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177165</wp:posOffset>
            </wp:positionV>
            <wp:extent cx="649097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0970" cy="33020"/>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-189230</wp:posOffset>
            </wp:positionV>
            <wp:extent cx="6490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097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2442210</wp:posOffset>
            </wp:positionH>
            <wp:positionV relativeFrom="paragraph">
              <wp:posOffset>65405</wp:posOffset>
            </wp:positionV>
            <wp:extent cx="1623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3060" cy="8255"/>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2442210</wp:posOffset>
            </wp:positionH>
            <wp:positionV relativeFrom="paragraph">
              <wp:posOffset>83185</wp:posOffset>
            </wp:positionV>
            <wp:extent cx="1623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3060" cy="8255"/>
                    </a:xfrm>
                    <a:prstGeom prst="rect">
                      <a:avLst/>
                    </a:prstGeom>
                    <a:noFill/>
                  </pic:spPr>
                </pic:pic>
              </a:graphicData>
            </a:graphic>
          </wp:anchor>
        </w:drawing>
      </w:r>
    </w:p>
    <w:p>
      <w:pPr>
        <w:spacing w:after="0" w:line="217" w:lineRule="exact"/>
        <w:rPr>
          <w:sz w:val="24"/>
          <w:szCs w:val="24"/>
          <w:color w:val="auto"/>
        </w:rPr>
      </w:pPr>
    </w:p>
    <w:p>
      <w:pPr>
        <w:ind w:left="420" w:hanging="413"/>
        <w:spacing w:after="0"/>
        <w:tabs>
          <w:tab w:leader="none" w:pos="4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55" w:lineRule="exact"/>
        <w:rPr>
          <w:sz w:val="24"/>
          <w:szCs w:val="24"/>
          <w:color w:val="auto"/>
        </w:rPr>
      </w:pPr>
    </w:p>
    <w:p>
      <w:pPr>
        <w:ind w:left="420" w:hanging="413"/>
        <w:spacing w:after="0"/>
        <w:tabs>
          <w:tab w:leader="none" w:pos="42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77" w:lineRule="exact"/>
        <w:rPr>
          <w:sz w:val="24"/>
          <w:szCs w:val="24"/>
          <w:color w:val="auto"/>
        </w:rPr>
      </w:pPr>
    </w:p>
    <w:p>
      <w:pPr>
        <w:ind w:left="322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3357880</wp:posOffset>
            </wp:positionH>
            <wp:positionV relativeFrom="paragraph">
              <wp:posOffset>-6985</wp:posOffset>
            </wp:positionV>
            <wp:extent cx="1101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2442210</wp:posOffset>
            </wp:positionH>
            <wp:positionV relativeFrom="paragraph">
              <wp:posOffset>87630</wp:posOffset>
            </wp:positionV>
            <wp:extent cx="16230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3060" cy="16510"/>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ALPINE INCOME PROPERTY TRUST,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2442210</wp:posOffset>
            </wp:positionH>
            <wp:positionV relativeFrom="paragraph">
              <wp:posOffset>62865</wp:posOffset>
            </wp:positionV>
            <wp:extent cx="1623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3060" cy="8255"/>
                    </a:xfrm>
                    <a:prstGeom prst="rect">
                      <a:avLst/>
                    </a:prstGeom>
                    <a:noFill/>
                  </pic:spPr>
                </pic:pic>
              </a:graphicData>
            </a:graphic>
          </wp:anchor>
        </w:drawing>
      </w:r>
    </w:p>
    <w:p>
      <w:pPr>
        <w:spacing w:after="0" w:line="154" w:lineRule="exact"/>
        <w:rPr>
          <w:sz w:val="24"/>
          <w:szCs w:val="24"/>
          <w:color w:val="auto"/>
        </w:rPr>
      </w:pPr>
    </w:p>
    <w:tbl>
      <w:tblPr>
        <w:tblLayout w:type="fixed"/>
        <w:tblInd w:w="1240" w:type="dxa"/>
        <w:tblCellMar>
          <w:top w:w="0" w:type="dxa"/>
          <w:left w:w="0" w:type="dxa"/>
          <w:bottom w:w="0" w:type="dxa"/>
          <w:right w:w="0" w:type="dxa"/>
        </w:tblCellMar>
      </w:tblPr>
      <w:tr>
        <w:trPr>
          <w:trHeight w:val="196"/>
        </w:trPr>
        <w:tc>
          <w:tcPr>
            <w:tcW w:w="5780" w:type="dxa"/>
            <w:vAlign w:val="bottom"/>
          </w:tcPr>
          <w:p>
            <w:pPr>
              <w:jc w:val="center"/>
              <w:ind w:right="3102"/>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38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84-2769895</w:t>
            </w:r>
          </w:p>
        </w:tc>
      </w:tr>
      <w:tr>
        <w:trPr>
          <w:trHeight w:val="196"/>
        </w:trPr>
        <w:tc>
          <w:tcPr>
            <w:tcW w:w="5780" w:type="dxa"/>
            <w:vAlign w:val="bottom"/>
          </w:tcPr>
          <w:p>
            <w:pPr>
              <w:jc w:val="center"/>
              <w:ind w:right="3102"/>
              <w:spacing w:after="0"/>
              <w:rPr>
                <w:sz w:val="20"/>
                <w:szCs w:val="20"/>
                <w:color w:val="auto"/>
              </w:rPr>
            </w:pPr>
            <w:r>
              <w:rPr>
                <w:rFonts w:ascii="Times New Roman" w:cs="Times New Roman" w:eastAsia="Times New Roman" w:hAnsi="Times New Roman"/>
                <w:sz w:val="16"/>
                <w:szCs w:val="16"/>
                <w:b w:val="1"/>
                <w:bCs w:val="1"/>
                <w:color w:val="auto"/>
                <w:w w:val="97"/>
              </w:rPr>
              <w:t>(State or other jurisdiction of</w:t>
            </w:r>
          </w:p>
        </w:tc>
        <w:tc>
          <w:tcPr>
            <w:tcW w:w="138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205"/>
        </w:trPr>
        <w:tc>
          <w:tcPr>
            <w:tcW w:w="5780" w:type="dxa"/>
            <w:vAlign w:val="bottom"/>
          </w:tcPr>
          <w:p>
            <w:pPr>
              <w:jc w:val="center"/>
              <w:ind w:right="3102"/>
              <w:spacing w:after="0"/>
              <w:rPr>
                <w:sz w:val="20"/>
                <w:szCs w:val="20"/>
                <w:color w:val="auto"/>
              </w:rPr>
            </w:pPr>
            <w:r>
              <w:rPr>
                <w:rFonts w:ascii="Times New Roman" w:cs="Times New Roman" w:eastAsia="Times New Roman" w:hAnsi="Times New Roman"/>
                <w:sz w:val="16"/>
                <w:szCs w:val="16"/>
                <w:b w:val="1"/>
                <w:bCs w:val="1"/>
                <w:color w:val="auto"/>
                <w:w w:val="97"/>
              </w:rPr>
              <w:t>incorporation or organization)</w:t>
            </w:r>
          </w:p>
        </w:tc>
        <w:tc>
          <w:tcPr>
            <w:tcW w:w="138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277"/>
        </w:trPr>
        <w:tc>
          <w:tcPr>
            <w:tcW w:w="5780" w:type="dxa"/>
            <w:vAlign w:val="bottom"/>
          </w:tcPr>
          <w:p>
            <w:pPr>
              <w:jc w:val="center"/>
              <w:ind w:right="3102"/>
              <w:spacing w:after="0"/>
              <w:rPr>
                <w:sz w:val="20"/>
                <w:szCs w:val="20"/>
                <w:color w:val="auto"/>
              </w:rPr>
            </w:pPr>
            <w:r>
              <w:rPr>
                <w:rFonts w:ascii="Times New Roman" w:cs="Times New Roman" w:eastAsia="Times New Roman" w:hAnsi="Times New Roman"/>
                <w:sz w:val="16"/>
                <w:szCs w:val="16"/>
                <w:b w:val="1"/>
                <w:bCs w:val="1"/>
                <w:color w:val="auto"/>
                <w:w w:val="96"/>
              </w:rPr>
              <w:t>369 N. New York Avenue, Suite 201</w:t>
            </w:r>
          </w:p>
        </w:tc>
        <w:tc>
          <w:tcPr>
            <w:tcW w:w="1380" w:type="dxa"/>
            <w:vAlign w:val="bottom"/>
          </w:tcPr>
          <w:p>
            <w:pPr>
              <w:spacing w:after="0"/>
              <w:rPr>
                <w:sz w:val="24"/>
                <w:szCs w:val="24"/>
                <w:color w:val="auto"/>
              </w:rPr>
            </w:pPr>
          </w:p>
        </w:tc>
      </w:tr>
      <w:tr>
        <w:trPr>
          <w:trHeight w:val="196"/>
        </w:trPr>
        <w:tc>
          <w:tcPr>
            <w:tcW w:w="5780" w:type="dxa"/>
            <w:vAlign w:val="bottom"/>
          </w:tcPr>
          <w:p>
            <w:pPr>
              <w:jc w:val="center"/>
              <w:ind w:right="3082"/>
              <w:spacing w:after="0"/>
              <w:rPr>
                <w:sz w:val="20"/>
                <w:szCs w:val="20"/>
                <w:color w:val="auto"/>
              </w:rPr>
            </w:pPr>
            <w:r>
              <w:rPr>
                <w:rFonts w:ascii="Times New Roman" w:cs="Times New Roman" w:eastAsia="Times New Roman" w:hAnsi="Times New Roman"/>
                <w:sz w:val="16"/>
                <w:szCs w:val="16"/>
                <w:b w:val="1"/>
                <w:bCs w:val="1"/>
                <w:color w:val="auto"/>
                <w:w w:val="97"/>
              </w:rPr>
              <w:t>Winter Park, Florida</w:t>
            </w:r>
          </w:p>
        </w:tc>
        <w:tc>
          <w:tcPr>
            <w:tcW w:w="138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05"/>
        </w:trPr>
        <w:tc>
          <w:tcPr>
            <w:tcW w:w="5780" w:type="dxa"/>
            <w:vAlign w:val="bottom"/>
          </w:tcPr>
          <w:p>
            <w:pPr>
              <w:jc w:val="center"/>
              <w:ind w:right="3102"/>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38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r>
        <w:trPr>
          <w:trHeight w:val="251"/>
        </w:trPr>
        <w:tc>
          <w:tcPr>
            <w:tcW w:w="5780" w:type="dxa"/>
            <w:vAlign w:val="bottom"/>
          </w:tcPr>
          <w:p>
            <w:pPr>
              <w:jc w:val="right"/>
              <w:ind w:right="1322"/>
              <w:spacing w:after="0"/>
              <w:rPr>
                <w:sz w:val="20"/>
                <w:szCs w:val="20"/>
                <w:color w:val="auto"/>
              </w:rPr>
            </w:pPr>
            <w:r>
              <w:rPr>
                <w:rFonts w:ascii="Times New Roman" w:cs="Times New Roman" w:eastAsia="Times New Roman" w:hAnsi="Times New Roman"/>
                <w:sz w:val="16"/>
                <w:szCs w:val="16"/>
                <w:b w:val="1"/>
                <w:bCs w:val="1"/>
                <w:color w:val="auto"/>
              </w:rPr>
              <w:t>(407) 904-3324</w:t>
            </w:r>
          </w:p>
        </w:tc>
        <w:tc>
          <w:tcPr>
            <w:tcW w:w="1380" w:type="dxa"/>
            <w:vAlign w:val="bottom"/>
          </w:tcPr>
          <w:p>
            <w:pPr>
              <w:spacing w:after="0"/>
              <w:rPr>
                <w:sz w:val="21"/>
                <w:szCs w:val="21"/>
                <w:color w:val="auto"/>
              </w:rPr>
            </w:pPr>
          </w:p>
        </w:tc>
      </w:tr>
      <w:tr>
        <w:trPr>
          <w:trHeight w:val="205"/>
        </w:trPr>
        <w:tc>
          <w:tcPr>
            <w:tcW w:w="5780" w:type="dxa"/>
            <w:vAlign w:val="bottom"/>
          </w:tcPr>
          <w:p>
            <w:pPr>
              <w:jc w:val="center"/>
              <w:ind w:left="1922"/>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w:t>
            </w:r>
          </w:p>
        </w:tc>
        <w:tc>
          <w:tcPr>
            <w:tcW w:w="1380" w:type="dxa"/>
            <w:vAlign w:val="bottom"/>
          </w:tcPr>
          <w:p>
            <w:pPr>
              <w:spacing w:after="0"/>
              <w:rPr>
                <w:sz w:val="17"/>
                <w:szCs w:val="17"/>
                <w:color w:val="auto"/>
              </w:rPr>
            </w:pPr>
          </w:p>
        </w:tc>
      </w:tr>
    </w:tbl>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1140 N. Williamson Blvd., Suite 140 Daytona Beach, Florida 32114</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2442210</wp:posOffset>
            </wp:positionH>
            <wp:positionV relativeFrom="paragraph">
              <wp:posOffset>65405</wp:posOffset>
            </wp:positionV>
            <wp:extent cx="16230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3060" cy="16510"/>
                    </a:xfrm>
                    <a:prstGeom prst="rect">
                      <a:avLst/>
                    </a:prstGeom>
                    <a:noFill/>
                  </pic:spPr>
                </pic:pic>
              </a:graphicData>
            </a:graphic>
          </wp:anchor>
        </w:drawing>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339"/>
        </w:trPr>
        <w:tc>
          <w:tcPr>
            <w:tcW w:w="20" w:type="dxa"/>
            <w:vAlign w:val="bottom"/>
          </w:tcPr>
          <w:p>
            <w:pPr>
              <w:spacing w:after="0"/>
              <w:rPr>
                <w:sz w:val="24"/>
                <w:szCs w:val="24"/>
                <w:color w:val="auto"/>
              </w:rPr>
            </w:pPr>
          </w:p>
        </w:tc>
        <w:tc>
          <w:tcPr>
            <w:tcW w:w="408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74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6"/>
              </w:rPr>
              <w:t>Trading Symbol</w:t>
            </w:r>
          </w:p>
        </w:tc>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r>
      <w:tr>
        <w:trPr>
          <w:trHeight w:val="183"/>
        </w:trPr>
        <w:tc>
          <w:tcPr>
            <w:tcW w:w="2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COMMON STOCK, $0.01 PAR VALUE</w:t>
            </w:r>
          </w:p>
        </w:tc>
        <w:tc>
          <w:tcPr>
            <w:tcW w:w="1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tcPr>
          <w:p>
            <w:pPr>
              <w:jc w:val="center"/>
              <w:ind w:right="446"/>
              <w:spacing w:after="0"/>
              <w:rPr>
                <w:sz w:val="20"/>
                <w:szCs w:val="20"/>
                <w:color w:val="auto"/>
              </w:rPr>
            </w:pPr>
            <w:r>
              <w:rPr>
                <w:rFonts w:ascii="Times New Roman" w:cs="Times New Roman" w:eastAsia="Times New Roman" w:hAnsi="Times New Roman"/>
                <w:sz w:val="14"/>
                <w:szCs w:val="14"/>
                <w:b w:val="1"/>
                <w:bCs w:val="1"/>
                <w:color w:val="auto"/>
                <w:w w:val="95"/>
              </w:rPr>
              <w:t>PINE</w:t>
            </w:r>
          </w:p>
        </w:tc>
        <w:tc>
          <w:tcPr>
            <w:tcW w:w="180" w:type="dxa"/>
            <w:vAlign w:val="bottom"/>
          </w:tcPr>
          <w:p>
            <w:pPr>
              <w:spacing w:after="0"/>
              <w:rPr>
                <w:sz w:val="15"/>
                <w:szCs w:val="15"/>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206" w:lineRule="exact"/>
        <w:rPr>
          <w:sz w:val="24"/>
          <w:szCs w:val="24"/>
          <w:color w:val="auto"/>
        </w:rPr>
      </w:pPr>
    </w:p>
    <w:p>
      <w:pPr>
        <w:jc w:val="both"/>
        <w:ind w:firstLine="426"/>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 w:lineRule="exact"/>
        <w:rPr>
          <w:sz w:val="24"/>
          <w:szCs w:val="24"/>
          <w:color w:val="auto"/>
        </w:rPr>
      </w:pPr>
    </w:p>
    <w:p>
      <w:pPr>
        <w:jc w:val="both"/>
        <w:ind w:firstLine="426"/>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 w:lineRule="exact"/>
        <w:rPr>
          <w:sz w:val="24"/>
          <w:szCs w:val="24"/>
          <w:color w:val="auto"/>
        </w:rPr>
      </w:pPr>
    </w:p>
    <w:p>
      <w:pPr>
        <w:jc w:val="both"/>
        <w:ind w:firstLine="426"/>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6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7"/>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6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9"/>
        </w:trPr>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5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ind w:firstLine="426"/>
        <w:spacing w:after="0" w:line="20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440" w:right="1580"/>
        <w:spacing w:after="0" w:line="23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outstanding on October 14, 2022 was 11,915,436.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434975</wp:posOffset>
            </wp:positionV>
            <wp:extent cx="649097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0970" cy="2476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37465</wp:posOffset>
            </wp:positionV>
            <wp:extent cx="6490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71120</wp:posOffset>
            </wp:positionV>
            <wp:extent cx="649097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0970" cy="33020"/>
                    </a:xfrm>
                    <a:prstGeom prst="rect">
                      <a:avLst/>
                    </a:prstGeom>
                    <a:noFill/>
                  </pic:spPr>
                </pic:pic>
              </a:graphicData>
            </a:graphic>
          </wp:anchor>
        </w:drawing>
      </w:r>
    </w:p>
    <w:p>
      <w:pPr>
        <w:sectPr>
          <w:pgSz w:w="11900" w:h="16838" w:orient="portrait"/>
          <w:cols w:equalWidth="0" w:num="1">
            <w:col w:w="10240"/>
          </w:cols>
          <w:pgMar w:left="820" w:top="643" w:right="83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00" w:type="dxa"/>
            <w:vAlign w:val="bottom"/>
            <w:gridSpan w:val="10"/>
          </w:tcPr>
          <w:p>
            <w:pPr>
              <w:ind w:left="1240"/>
              <w:spacing w:after="0"/>
              <w:rPr>
                <w:sz w:val="20"/>
                <w:szCs w:val="20"/>
                <w:color w:val="auto"/>
              </w:rPr>
            </w:pPr>
            <w:r>
              <w:rPr>
                <w:rFonts w:ascii="Times New Roman" w:cs="Times New Roman" w:eastAsia="Times New Roman" w:hAnsi="Times New Roman"/>
                <w:sz w:val="17"/>
                <w:szCs w:val="17"/>
                <w:color w:val="auto"/>
              </w:rPr>
              <w:t>INDEX</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29"/>
        </w:trPr>
        <w:tc>
          <w:tcPr>
            <w:tcW w:w="2880" w:type="dxa"/>
            <w:vAlign w:val="bottom"/>
            <w:gridSpan w:val="15"/>
            <w:vMerge w:val="restart"/>
          </w:tcPr>
          <w:p>
            <w:pPr>
              <w:spacing w:after="0"/>
              <w:rPr>
                <w:sz w:val="20"/>
                <w:szCs w:val="20"/>
                <w:color w:val="auto"/>
              </w:rPr>
            </w:pPr>
            <w:r>
              <w:rPr>
                <w:rFonts w:ascii="Times New Roman" w:cs="Times New Roman" w:eastAsia="Times New Roman" w:hAnsi="Times New Roman"/>
                <w:sz w:val="17"/>
                <w:szCs w:val="17"/>
                <w:color w:val="0000EE"/>
              </w:rPr>
              <w:t>PART I—FINANCIAL INFORMATION</w:t>
            </w:r>
          </w:p>
        </w:tc>
        <w:tc>
          <w:tcPr>
            <w:tcW w:w="5180" w:type="dxa"/>
            <w:vAlign w:val="bottom"/>
            <w:gridSpan w:val="11"/>
            <w:vMerge w:val="restart"/>
          </w:tcPr>
          <w:p>
            <w:pPr>
              <w:spacing w:after="0"/>
              <w:rPr>
                <w:sz w:val="19"/>
                <w:szCs w:val="19"/>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No.</w:t>
            </w:r>
          </w:p>
        </w:tc>
        <w:tc>
          <w:tcPr>
            <w:tcW w:w="0" w:type="dxa"/>
            <w:vAlign w:val="bottom"/>
          </w:tcPr>
          <w:p>
            <w:pPr>
              <w:spacing w:after="0"/>
              <w:rPr>
                <w:sz w:val="1"/>
                <w:szCs w:val="1"/>
                <w:color w:val="auto"/>
              </w:rPr>
            </w:pPr>
          </w:p>
        </w:tc>
      </w:tr>
      <w:tr>
        <w:trPr>
          <w:trHeight w:val="155"/>
        </w:trPr>
        <w:tc>
          <w:tcPr>
            <w:tcW w:w="2880" w:type="dxa"/>
            <w:vAlign w:val="bottom"/>
            <w:tcBorders>
              <w:bottom w:val="single" w:sz="8" w:color="0000EE"/>
            </w:tcBorders>
            <w:gridSpan w:val="15"/>
            <w:vMerge w:val="continue"/>
          </w:tcPr>
          <w:p>
            <w:pPr>
              <w:spacing w:after="0"/>
              <w:rPr>
                <w:sz w:val="13"/>
                <w:szCs w:val="13"/>
                <w:color w:val="auto"/>
              </w:rPr>
            </w:pPr>
          </w:p>
        </w:tc>
        <w:tc>
          <w:tcPr>
            <w:tcW w:w="5180" w:type="dxa"/>
            <w:vAlign w:val="bottom"/>
            <w:gridSpan w:val="11"/>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Item 1.</w:t>
            </w:r>
          </w:p>
        </w:tc>
        <w:tc>
          <w:tcPr>
            <w:tcW w:w="7400" w:type="dxa"/>
            <w:vAlign w:val="bottom"/>
            <w:gridSpan w:val="24"/>
          </w:tcPr>
          <w:p>
            <w:pPr>
              <w:ind w:left="60"/>
              <w:spacing w:after="0"/>
              <w:rPr>
                <w:sz w:val="20"/>
                <w:szCs w:val="20"/>
                <w:color w:val="auto"/>
              </w:rPr>
            </w:pPr>
            <w:r>
              <w:rPr>
                <w:rFonts w:ascii="Times New Roman" w:cs="Times New Roman" w:eastAsia="Times New Roman" w:hAnsi="Times New Roman"/>
                <w:sz w:val="17"/>
                <w:szCs w:val="17"/>
                <w:color w:val="0000EE"/>
              </w:rPr>
              <w:t>Financial Statements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20" w:type="dxa"/>
            <w:vAlign w:val="bottom"/>
          </w:tcPr>
          <w:p>
            <w:pPr>
              <w:spacing w:after="0"/>
              <w:rPr>
                <w:sz w:val="24"/>
                <w:szCs w:val="24"/>
                <w:color w:val="auto"/>
              </w:rPr>
            </w:pPr>
          </w:p>
        </w:tc>
        <w:tc>
          <w:tcPr>
            <w:tcW w:w="61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rPr>
              <w:t>Consolidated Balance Sheets – September 30, 2022 (Unaudited) and December 31, 2021</w:t>
            </w:r>
          </w:p>
        </w:tc>
        <w:tc>
          <w:tcPr>
            <w:tcW w:w="156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97"/>
        </w:trPr>
        <w:tc>
          <w:tcPr>
            <w:tcW w:w="320" w:type="dxa"/>
            <w:vAlign w:val="bottom"/>
          </w:tcPr>
          <w:p>
            <w:pPr>
              <w:spacing w:after="0"/>
              <w:rPr>
                <w:sz w:val="24"/>
                <w:szCs w:val="24"/>
                <w:color w:val="auto"/>
              </w:rPr>
            </w:pPr>
          </w:p>
        </w:tc>
        <w:tc>
          <w:tcPr>
            <w:tcW w:w="70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rPr>
              <w:t>Consolidated Statements of Operations – Three and nine months ended September 30, 2022 and 2021</w:t>
            </w:r>
          </w:p>
        </w:tc>
        <w:tc>
          <w:tcPr>
            <w:tcW w:w="66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40" w:type="dxa"/>
            <w:vAlign w:val="bottom"/>
            <w:tcBorders>
              <w:bottom w:val="single" w:sz="8" w:color="0000EE"/>
            </w:tcBorders>
            <w:gridSpan w:val="3"/>
          </w:tcPr>
          <w:p>
            <w:pPr>
              <w:spacing w:after="0" w:line="189" w:lineRule="exact"/>
              <w:rPr>
                <w:sz w:val="20"/>
                <w:szCs w:val="20"/>
                <w:color w:val="auto"/>
              </w:rPr>
            </w:pPr>
            <w:r>
              <w:rPr>
                <w:rFonts w:ascii="Times New Roman" w:cs="Times New Roman" w:eastAsia="Times New Roman" w:hAnsi="Times New Roman"/>
                <w:sz w:val="17"/>
                <w:szCs w:val="17"/>
                <w:color w:val="0000EE"/>
                <w:w w:val="99"/>
              </w:rPr>
              <w:t>(Unaudited)</w:t>
            </w:r>
          </w:p>
        </w:tc>
        <w:tc>
          <w:tcPr>
            <w:tcW w:w="6900" w:type="dxa"/>
            <w:vAlign w:val="bottom"/>
            <w:gridSpan w:val="22"/>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397"/>
        </w:trPr>
        <w:tc>
          <w:tcPr>
            <w:tcW w:w="320" w:type="dxa"/>
            <w:vAlign w:val="bottom"/>
          </w:tcPr>
          <w:p>
            <w:pPr>
              <w:spacing w:after="0"/>
              <w:rPr>
                <w:sz w:val="24"/>
                <w:szCs w:val="24"/>
                <w:color w:val="auto"/>
              </w:rPr>
            </w:pPr>
          </w:p>
        </w:tc>
        <w:tc>
          <w:tcPr>
            <w:tcW w:w="72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7"/>
                <w:szCs w:val="17"/>
                <w:color w:val="0000EE"/>
              </w:rPr>
              <w:t>Consolidated Statements of Comprehensive Income – Three and nine months ended September 30, 2022</w:t>
            </w:r>
          </w:p>
        </w:tc>
        <w:tc>
          <w:tcPr>
            <w:tcW w:w="4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774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and 2021 (Unaudited)</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20" w:type="dxa"/>
            <w:vAlign w:val="bottom"/>
          </w:tcPr>
          <w:p>
            <w:pPr>
              <w:spacing w:after="0"/>
              <w:rPr>
                <w:sz w:val="24"/>
                <w:szCs w:val="24"/>
                <w:color w:val="auto"/>
              </w:rPr>
            </w:pPr>
          </w:p>
        </w:tc>
        <w:tc>
          <w:tcPr>
            <w:tcW w:w="774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Consolidated Statements of Stockholders’ Equity – Three and nine months ended September 30, 2022 and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240" w:type="dxa"/>
            <w:vAlign w:val="bottom"/>
            <w:tcBorders>
              <w:top w:val="single" w:sz="8" w:color="0000EE"/>
              <w:bottom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7"/>
                <w:szCs w:val="17"/>
                <w:color w:val="0000EE"/>
              </w:rPr>
              <w:t>2021 (Unaudited)</w:t>
            </w:r>
          </w:p>
        </w:tc>
        <w:tc>
          <w:tcPr>
            <w:tcW w:w="6140" w:type="dxa"/>
            <w:vAlign w:val="bottom"/>
            <w:tcBorders>
              <w:top w:val="single" w:sz="8" w:color="0000EE"/>
            </w:tcBorders>
            <w:gridSpan w:val="19"/>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97"/>
        </w:trPr>
        <w:tc>
          <w:tcPr>
            <w:tcW w:w="320" w:type="dxa"/>
            <w:vAlign w:val="bottom"/>
          </w:tcPr>
          <w:p>
            <w:pPr>
              <w:spacing w:after="0"/>
              <w:rPr>
                <w:sz w:val="24"/>
                <w:szCs w:val="24"/>
                <w:color w:val="auto"/>
              </w:rPr>
            </w:pPr>
          </w:p>
        </w:tc>
        <w:tc>
          <w:tcPr>
            <w:tcW w:w="774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Consolidated Statements of Cash Flows – Nine months ended September 30, 2022 and 2021 (Unaudited)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397"/>
        </w:trPr>
        <w:tc>
          <w:tcPr>
            <w:tcW w:w="320" w:type="dxa"/>
            <w:vAlign w:val="bottom"/>
          </w:tcPr>
          <w:p>
            <w:pPr>
              <w:spacing w:after="0"/>
              <w:rPr>
                <w:sz w:val="24"/>
                <w:szCs w:val="24"/>
                <w:color w:val="auto"/>
              </w:rPr>
            </w:pPr>
          </w:p>
        </w:tc>
        <w:tc>
          <w:tcPr>
            <w:tcW w:w="730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 (Unaudited)</w:t>
            </w:r>
          </w:p>
        </w:tc>
        <w:tc>
          <w:tcPr>
            <w:tcW w:w="44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9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rPr>
              <w:t>Item 2.   Management’s Discussion and Analysis of Financial Condition and Results of Operations</w:t>
            </w:r>
          </w:p>
        </w:tc>
        <w:tc>
          <w:tcPr>
            <w:tcW w:w="110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397"/>
        </w:trPr>
        <w:tc>
          <w:tcPr>
            <w:tcW w:w="49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rPr>
              <w:t>Item 3.   Quantitative and Qualitative Disclosures About Market Risk</w:t>
            </w:r>
          </w:p>
        </w:tc>
        <w:tc>
          <w:tcPr>
            <w:tcW w:w="312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397"/>
        </w:trPr>
        <w:tc>
          <w:tcPr>
            <w:tcW w:w="24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Item 4.   Controls and Procedures</w:t>
            </w:r>
          </w:p>
        </w:tc>
        <w:tc>
          <w:tcPr>
            <w:tcW w:w="562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397"/>
        </w:trPr>
        <w:tc>
          <w:tcPr>
            <w:tcW w:w="25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rPr>
              <w:t>PART II—OTHER INFORMATION</w:t>
            </w:r>
          </w:p>
        </w:tc>
        <w:tc>
          <w:tcPr>
            <w:tcW w:w="548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397"/>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Item 1.</w:t>
            </w:r>
          </w:p>
        </w:tc>
        <w:tc>
          <w:tcPr>
            <w:tcW w:w="7400" w:type="dxa"/>
            <w:vAlign w:val="bottom"/>
            <w:gridSpan w:val="24"/>
          </w:tcPr>
          <w:p>
            <w:pPr>
              <w:ind w:left="60"/>
              <w:spacing w:after="0"/>
              <w:rPr>
                <w:sz w:val="20"/>
                <w:szCs w:val="20"/>
                <w:color w:val="auto"/>
              </w:rPr>
            </w:pPr>
            <w:r>
              <w:rPr>
                <w:rFonts w:ascii="Times New Roman" w:cs="Times New Roman" w:eastAsia="Times New Roman" w:hAnsi="Times New Roman"/>
                <w:sz w:val="17"/>
                <w:szCs w:val="17"/>
                <w:color w:val="0000EE"/>
              </w:rPr>
              <w:t>Legal Proceedings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397"/>
        </w:trPr>
        <w:tc>
          <w:tcPr>
            <w:tcW w:w="6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Item 1A.</w:t>
            </w:r>
          </w:p>
        </w:tc>
        <w:tc>
          <w:tcPr>
            <w:tcW w:w="1340" w:type="dxa"/>
            <w:vAlign w:val="bottom"/>
            <w:tcBorders>
              <w:top w:val="single" w:sz="8" w:color="0000EE"/>
            </w:tcBorders>
            <w:gridSpan w:val="8"/>
          </w:tcPr>
          <w:p>
            <w:pPr>
              <w:ind w:left="60"/>
              <w:spacing w:after="0"/>
              <w:rPr>
                <w:sz w:val="20"/>
                <w:szCs w:val="20"/>
                <w:color w:val="auto"/>
              </w:rPr>
            </w:pPr>
            <w:r>
              <w:rPr>
                <w:rFonts w:ascii="Times New Roman" w:cs="Times New Roman" w:eastAsia="Times New Roman" w:hAnsi="Times New Roman"/>
                <w:sz w:val="17"/>
                <w:szCs w:val="17"/>
                <w:color w:val="0000EE"/>
              </w:rPr>
              <w:t>Risk Factors</w:t>
            </w:r>
          </w:p>
        </w:tc>
        <w:tc>
          <w:tcPr>
            <w:tcW w:w="606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9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Item 2.   Unregistered Sales of Equity Securities and Use of Proceeds</w:t>
            </w:r>
          </w:p>
        </w:tc>
        <w:tc>
          <w:tcPr>
            <w:tcW w:w="314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397"/>
        </w:trPr>
        <w:tc>
          <w:tcPr>
            <w:tcW w:w="8060" w:type="dxa"/>
            <w:vAlign w:val="bottom"/>
            <w:gridSpan w:val="26"/>
          </w:tcPr>
          <w:p>
            <w:pPr>
              <w:spacing w:after="0"/>
              <w:rPr>
                <w:sz w:val="20"/>
                <w:szCs w:val="20"/>
                <w:color w:val="auto"/>
              </w:rPr>
            </w:pPr>
            <w:r>
              <w:rPr>
                <w:rFonts w:ascii="Times New Roman" w:cs="Times New Roman" w:eastAsia="Times New Roman" w:hAnsi="Times New Roman"/>
                <w:sz w:val="17"/>
                <w:szCs w:val="17"/>
                <w:color w:val="0000EE"/>
              </w:rPr>
              <w:t>Item 3.   Defaults Upon Senior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397"/>
        </w:trPr>
        <w:tc>
          <w:tcPr>
            <w:tcW w:w="296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rPr>
              <w:t>Item 4.   Mine Safety Disclosures</w:t>
            </w:r>
          </w:p>
        </w:tc>
        <w:tc>
          <w:tcPr>
            <w:tcW w:w="510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397"/>
        </w:trPr>
        <w:tc>
          <w:tcPr>
            <w:tcW w:w="6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Item 5.</w:t>
            </w:r>
          </w:p>
        </w:tc>
        <w:tc>
          <w:tcPr>
            <w:tcW w:w="1760" w:type="dxa"/>
            <w:vAlign w:val="bottom"/>
            <w:tcBorders>
              <w:top w:val="single" w:sz="8" w:color="0000EE"/>
            </w:tcBorders>
            <w:gridSpan w:val="10"/>
          </w:tcPr>
          <w:p>
            <w:pPr>
              <w:ind w:left="60"/>
              <w:spacing w:after="0"/>
              <w:rPr>
                <w:sz w:val="20"/>
                <w:szCs w:val="20"/>
                <w:color w:val="auto"/>
              </w:rPr>
            </w:pPr>
            <w:r>
              <w:rPr>
                <w:rFonts w:ascii="Times New Roman" w:cs="Times New Roman" w:eastAsia="Times New Roman" w:hAnsi="Times New Roman"/>
                <w:sz w:val="17"/>
                <w:szCs w:val="17"/>
                <w:color w:val="0000EE"/>
              </w:rPr>
              <w:t>Other Information</w:t>
            </w:r>
          </w:p>
        </w:tc>
        <w:tc>
          <w:tcPr>
            <w:tcW w:w="564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397"/>
        </w:trPr>
        <w:tc>
          <w:tcPr>
            <w:tcW w:w="6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Item 6.</w:t>
            </w:r>
          </w:p>
        </w:tc>
        <w:tc>
          <w:tcPr>
            <w:tcW w:w="640" w:type="dxa"/>
            <w:vAlign w:val="bottom"/>
            <w:tcBorders>
              <w:top w:val="single" w:sz="8" w:color="0000EE"/>
              <w:bottom w:val="single" w:sz="8" w:color="0000EE"/>
            </w:tcBorders>
            <w:gridSpan w:val="3"/>
          </w:tcPr>
          <w:p>
            <w:pPr>
              <w:ind w:left="60"/>
              <w:spacing w:after="0"/>
              <w:rPr>
                <w:sz w:val="20"/>
                <w:szCs w:val="20"/>
                <w:color w:val="auto"/>
              </w:rPr>
            </w:pPr>
            <w:r>
              <w:rPr>
                <w:rFonts w:ascii="Times New Roman" w:cs="Times New Roman" w:eastAsia="Times New Roman" w:hAnsi="Times New Roman"/>
                <w:sz w:val="17"/>
                <w:szCs w:val="17"/>
                <w:color w:val="0000EE"/>
                <w:w w:val="98"/>
              </w:rPr>
              <w:t>Exhibits</w:t>
            </w:r>
          </w:p>
        </w:tc>
        <w:tc>
          <w:tcPr>
            <w:tcW w:w="680" w:type="dxa"/>
            <w:vAlign w:val="bottom"/>
            <w:tcBorders>
              <w:top w:val="single" w:sz="8" w:color="0000EE"/>
            </w:tcBorders>
            <w:gridSpan w:val="4"/>
          </w:tcPr>
          <w:p>
            <w:pPr>
              <w:spacing w:after="0"/>
              <w:rPr>
                <w:sz w:val="24"/>
                <w:szCs w:val="24"/>
                <w:color w:val="auto"/>
              </w:rPr>
            </w:pPr>
          </w:p>
        </w:tc>
        <w:tc>
          <w:tcPr>
            <w:tcW w:w="6080" w:type="dxa"/>
            <w:vAlign w:val="bottom"/>
            <w:gridSpan w:val="1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397"/>
        </w:trPr>
        <w:tc>
          <w:tcPr>
            <w:tcW w:w="8060" w:type="dxa"/>
            <w:vAlign w:val="bottom"/>
            <w:gridSpan w:val="26"/>
          </w:tcPr>
          <w:p>
            <w:pPr>
              <w:spacing w:after="0"/>
              <w:rPr>
                <w:sz w:val="20"/>
                <w:szCs w:val="20"/>
                <w:color w:val="auto"/>
              </w:rPr>
            </w:pPr>
            <w:r>
              <w:rPr>
                <w:rFonts w:ascii="Times New Roman" w:cs="Times New Roman" w:eastAsia="Times New Roman" w:hAnsi="Times New Roman"/>
                <w:sz w:val="17"/>
                <w:szCs w:val="17"/>
                <w:color w:val="0000EE"/>
              </w:rPr>
              <w:t>SIGNATURES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ITEM 1. FINANCIAL STATEMENTS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ALPINE INCOME PROPERTY TRUST,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thousands, except share and per share data)</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Real Estate: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Land, at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177,465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178,172</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Building and Improvements, at Cost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307,347</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266,236</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Real Estate, at Cost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484,812</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444,408</w:t>
            </w:r>
          </w:p>
        </w:tc>
        <w:tc>
          <w:tcPr>
            <w:tcW w:w="0" w:type="dxa"/>
            <w:vAlign w:val="bottom"/>
          </w:tcPr>
          <w:p>
            <w:pPr>
              <w:spacing w:after="0"/>
              <w:rPr>
                <w:sz w:val="1"/>
                <w:szCs w:val="1"/>
                <w:color w:val="auto"/>
              </w:rPr>
            </w:pPr>
          </w:p>
        </w:tc>
      </w:tr>
      <w:tr>
        <w:trPr>
          <w:trHeight w:val="209"/>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(19,214)</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(15,419)</w:t>
            </w:r>
          </w:p>
        </w:tc>
        <w:tc>
          <w:tcPr>
            <w:tcW w:w="0" w:type="dxa"/>
            <w:vAlign w:val="bottom"/>
          </w:tcPr>
          <w:p>
            <w:pPr>
              <w:spacing w:after="0"/>
              <w:rPr>
                <w:sz w:val="1"/>
                <w:szCs w:val="1"/>
                <w:color w:val="auto"/>
              </w:rPr>
            </w:pPr>
          </w:p>
        </w:tc>
      </w:tr>
      <w:tr>
        <w:trPr>
          <w:trHeight w:val="202"/>
        </w:trPr>
        <w:tc>
          <w:tcPr>
            <w:tcW w:w="5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 Estate—Net</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465,598</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428,989</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8,851</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Intangible Lease Assets—Net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59,593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58,821</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Straight-Line Rent Adjustment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22,719</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6,369</w:t>
            </w: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565,602</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505,514</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18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4,758</w:t>
            </w:r>
          </w:p>
        </w:tc>
        <w:tc>
          <w:tcPr>
            <w:tcW w:w="180" w:type="dxa"/>
            <w:vAlign w:val="bottom"/>
          </w:tcPr>
          <w:p>
            <w:pPr>
              <w:spacing w:after="0"/>
              <w:rPr>
                <w:sz w:val="18"/>
                <w:szCs w:val="18"/>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Rent and Deferred Revenue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0" w:type="dxa"/>
            <w:vAlign w:val="bottom"/>
          </w:tcPr>
          <w:p>
            <w:pPr>
              <w:spacing w:after="0"/>
              <w:rPr>
                <w:sz w:val="1"/>
                <w:szCs w:val="1"/>
                <w:color w:val="auto"/>
              </w:rPr>
            </w:pPr>
          </w:p>
        </w:tc>
      </w:tr>
      <w:tr>
        <w:trPr>
          <w:trHeight w:val="209"/>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Intangible Lease Liabilities—Net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5,476</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286,506</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267,740</w:t>
            </w: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297,767</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277,612</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Contingencies—See Note 16</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Preferred Stock, $0.01 par value per share, 100 million shares authorized, no</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and outstanding as of September 30, 2022 and December 31, 2021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5860" w:type="dxa"/>
            <w:vAlign w:val="bottom"/>
          </w:tcPr>
          <w:p>
            <w:pPr>
              <w:ind w:left="120"/>
              <w:spacing w:after="0" w:line="190" w:lineRule="exact"/>
              <w:rPr>
                <w:sz w:val="20"/>
                <w:szCs w:val="20"/>
                <w:color w:val="auto"/>
              </w:rPr>
            </w:pPr>
            <w:r>
              <w:rPr>
                <w:rFonts w:ascii="Times New Roman" w:cs="Times New Roman" w:eastAsia="Times New Roman" w:hAnsi="Times New Roman"/>
                <w:sz w:val="17"/>
                <w:szCs w:val="17"/>
                <w:color w:val="auto"/>
              </w:rPr>
              <w:t>Common Stock, $0.01 par value per share, 500 million shares authorized,</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11,911,662 shares issued and outstanding as of September 30, 2022 and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11,454,815 shares issued and outstanding as of December 31, 2021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209,597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200,906</w:t>
            </w:r>
          </w:p>
        </w:tc>
        <w:tc>
          <w:tcPr>
            <w:tcW w:w="0" w:type="dxa"/>
            <w:vAlign w:val="bottom"/>
          </w:tcPr>
          <w:p>
            <w:pPr>
              <w:spacing w:after="0"/>
              <w:rPr>
                <w:sz w:val="1"/>
                <w:szCs w:val="1"/>
                <w:color w:val="auto"/>
              </w:rPr>
            </w:pPr>
          </w:p>
        </w:tc>
      </w:tr>
      <w:tr>
        <w:trPr>
          <w:trHeight w:val="209"/>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Retained Earnings (Dividends in Excess of Net Income)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(6,419)</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15,761</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1,922</w:t>
            </w:r>
          </w:p>
        </w:tc>
        <w:tc>
          <w:tcPr>
            <w:tcW w:w="0" w:type="dxa"/>
            <w:vAlign w:val="bottom"/>
          </w:tcPr>
          <w:p>
            <w:pPr>
              <w:spacing w:after="0"/>
              <w:rPr>
                <w:sz w:val="1"/>
                <w:szCs w:val="1"/>
                <w:color w:val="auto"/>
              </w:rPr>
            </w:pPr>
          </w:p>
        </w:tc>
      </w:tr>
      <w:tr>
        <w:trPr>
          <w:trHeight w:val="202"/>
        </w:trPr>
        <w:tc>
          <w:tcPr>
            <w:tcW w:w="5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Stockholders' Equity</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234,273</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196,523</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33,562</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31,379</w:t>
            </w: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267,835</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227,902</w:t>
            </w: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565,602</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505,514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ALPINE INCOME PROPERTY TRUST,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CONSOLIDATED STATEMENTS OF OPERATIONS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 in thousands, except share and per share data)</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5"/>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19"/>
                <w:szCs w:val="19"/>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1300" w:type="dxa"/>
            <w:vAlign w:val="bottom"/>
            <w:tcBorders>
              <w:top w:val="single" w:sz="8" w:color="auto"/>
            </w:tcBorders>
            <w:gridSpan w:val="3"/>
          </w:tcPr>
          <w:p>
            <w:pPr>
              <w:jc w:val="right"/>
              <w:ind w:right="18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8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5"/>
                <w:szCs w:val="15"/>
                <w:color w:val="auto"/>
              </w:rPr>
            </w:pPr>
          </w:p>
        </w:tc>
        <w:tc>
          <w:tcPr>
            <w:tcW w:w="1320" w:type="dxa"/>
            <w:vAlign w:val="bottom"/>
            <w:tcBorders>
              <w:top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Lease Income</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Disposition of Assets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(284)</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From Operations</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34,777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20"/>
              <w:spacing w:after="0" w:line="190" w:lineRule="exact"/>
              <w:rPr>
                <w:sz w:val="20"/>
                <w:szCs w:val="20"/>
                <w:color w:val="auto"/>
              </w:rPr>
            </w:pPr>
            <w:r>
              <w:rPr>
                <w:rFonts w:ascii="Times New Roman" w:cs="Times New Roman" w:eastAsia="Times New Roman" w:hAnsi="Times New Roman"/>
                <w:sz w:val="17"/>
                <w:szCs w:val="17"/>
                <w:color w:val="auto"/>
              </w:rPr>
              <w:t>Less: Net Income Attributable to Noncontrolling</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w:t>
            </w: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(1,400)</w:t>
            </w: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w:t>
            </w: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(3,572)</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170"/>
        </w:trPr>
        <w:tc>
          <w:tcPr>
            <w:tcW w:w="38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Net Income Attributable to Alpine Income Property</w:t>
            </w:r>
          </w:p>
        </w:tc>
        <w:tc>
          <w:tcPr>
            <w:tcW w:w="220" w:type="dxa"/>
            <w:vAlign w:val="bottom"/>
            <w:tcBorders>
              <w:top w:val="single" w:sz="8" w:color="auto"/>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24,858</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Trust, Inc.</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Per Common Share Data: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Net Income Attributable to Alpine Income Property</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Trust, Inc.</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12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2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Number of Common Shares: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11,888,171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11,299,548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11,799,151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9,253,090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13,591,665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12,996,503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13,502,645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10,637,934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0" w:right="59"/>
        <w:spacing w:after="0" w:line="27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COMPREHENSIVE INCOME (Unaudited,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2460" w:type="dxa"/>
            <w:vAlign w:val="bottom"/>
            <w:gridSpan w:val="4"/>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81"/>
        </w:trPr>
        <w:tc>
          <w:tcPr>
            <w:tcW w:w="3760" w:type="dxa"/>
            <w:vAlign w:val="bottom"/>
          </w:tcPr>
          <w:p>
            <w:pPr>
              <w:spacing w:after="0"/>
              <w:rPr>
                <w:sz w:val="15"/>
                <w:szCs w:val="15"/>
                <w:color w:val="auto"/>
              </w:rPr>
            </w:pPr>
          </w:p>
        </w:tc>
        <w:tc>
          <w:tcPr>
            <w:tcW w:w="1340" w:type="dxa"/>
            <w:vAlign w:val="bottom"/>
            <w:tcBorders>
              <w:top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6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7"/>
              <w:spacing w:after="0" w:line="181" w:lineRule="exact"/>
              <w:rPr>
                <w:sz w:val="20"/>
                <w:szCs w:val="20"/>
                <w:color w:val="auto"/>
              </w:rPr>
            </w:pPr>
            <w:r>
              <w:rPr>
                <w:rFonts w:ascii="Times New Roman" w:cs="Times New Roman" w:eastAsia="Times New Roman" w:hAnsi="Times New Roman"/>
                <w:sz w:val="17"/>
                <w:szCs w:val="17"/>
                <w:b w:val="1"/>
                <w:bCs w:val="1"/>
                <w:color w:val="auto"/>
                <w:w w:val="96"/>
              </w:rPr>
              <w:t>September 30,</w:t>
            </w:r>
          </w:p>
        </w:tc>
      </w:tr>
      <w:tr>
        <w:trPr>
          <w:trHeight w:val="229"/>
        </w:trPr>
        <w:tc>
          <w:tcPr>
            <w:tcW w:w="3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70"/>
        </w:trPr>
        <w:tc>
          <w:tcPr>
            <w:tcW w:w="3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Net Income Attributable to Alpine Income Property</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2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Trust, Inc.</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24,858</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r>
      <w:tr>
        <w:trPr>
          <w:trHeight w:val="202"/>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0"/>
        </w:trPr>
        <w:tc>
          <w:tcPr>
            <w:tcW w:w="3760" w:type="dxa"/>
            <w:vAlign w:val="bottom"/>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auto"/>
              </w:rPr>
              <w:t>Cash Flow Hedging Derivative - Interest Rate</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7"/>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Swaps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4,762</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13,839</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r>
      <w:tr>
        <w:trPr>
          <w:trHeight w:val="202"/>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Other Comprehensive Income</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4,762</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13,839</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w:t>
            </w:r>
          </w:p>
        </w:tc>
      </w:tr>
      <w:tr>
        <w:trPr>
          <w:trHeight w:val="202"/>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Income</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14,532</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38,697</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w:t>
            </w:r>
          </w:p>
        </w:tc>
      </w:tr>
      <w:tr>
        <w:trPr>
          <w:trHeight w:val="20"/>
        </w:trPr>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0" w:right="59"/>
        <w:spacing w:after="0" w:line="27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(Unaudited, in thousands, except per share data)</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the three months ended September 30, 2022:</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(Dividends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200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Excess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20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of Net</w:t>
            </w:r>
          </w:p>
        </w:tc>
        <w:tc>
          <w:tcPr>
            <w:tcW w:w="1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c>
          <w:tcPr>
            <w:tcW w:w="16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Noncontrolling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20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Par</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Income)</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9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July 1, 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208,706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222,125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254,756</w:t>
            </w:r>
          </w:p>
        </w:tc>
      </w:tr>
      <w:tr>
        <w:trPr>
          <w:trHeight w:val="19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11,170</w:t>
            </w:r>
          </w:p>
        </w:tc>
      </w:tr>
      <w:tr>
        <w:trPr>
          <w:trHeight w:val="19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Issuance to Directors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82"/>
        </w:trPr>
        <w:tc>
          <w:tcPr>
            <w:tcW w:w="20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Stock Issuance, Net of</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Equity Issuance Costs</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188"/>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($0.275 per</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182"/>
        </w:trPr>
        <w:tc>
          <w:tcPr>
            <w:tcW w:w="20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Other Comprehensive</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6"/>
        </w:trPr>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4,762</w:t>
            </w:r>
          </w:p>
        </w:tc>
      </w:tr>
      <w:tr>
        <w:trPr>
          <w:trHeight w:val="192"/>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2022</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209,597</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15,761</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234,273</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267,835</w:t>
            </w:r>
          </w:p>
        </w:tc>
      </w:tr>
      <w:tr>
        <w:trPr>
          <w:trHeight w:val="20"/>
        </w:trPr>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the three months ended September 30, 2021:</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(Dividends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Excess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of Net</w:t>
            </w:r>
          </w:p>
        </w:tc>
        <w:tc>
          <w:tcPr>
            <w:tcW w:w="1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c>
          <w:tcPr>
            <w:tcW w:w="16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Par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Income)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95"/>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July 1, 2021</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197,978</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(9,689)</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188,582</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29,858</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218,440</w:t>
            </w:r>
          </w:p>
        </w:tc>
      </w:t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19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Issuance to Directors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82"/>
        </w:trPr>
        <w:tc>
          <w:tcPr>
            <w:tcW w:w="19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Stock Issuance, Net of</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Equity Issuance Costs</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Units Issued</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r>
      <w:tr>
        <w:trPr>
          <w:trHeight w:val="182"/>
        </w:trPr>
        <w:tc>
          <w:tcPr>
            <w:tcW w:w="19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Cash Dividends ($0.255 per</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w:t>
            </w:r>
          </w:p>
        </w:tc>
      </w:tr>
      <w:tr>
        <w:trPr>
          <w:trHeight w:val="20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2021</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198,019</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(11,652)</w:t>
            </w:r>
          </w:p>
        </w:tc>
        <w:tc>
          <w:tcPr>
            <w:tcW w:w="160" w:type="dxa"/>
            <w:vAlign w:val="bottom"/>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186,808</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30,593</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217,401</w:t>
            </w: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1500" w:right="1580"/>
        <w:spacing w:after="0" w:line="27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(continued) (Unaudited, in thousands, except per share data)</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the nine months ended September 30, 2022:</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(Dividends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Excess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of Net</w:t>
            </w:r>
          </w:p>
        </w:tc>
        <w:tc>
          <w:tcPr>
            <w:tcW w:w="1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Noncontrolling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1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Par</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Income)</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200,906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196,523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227,902</w:t>
            </w:r>
          </w:p>
        </w:tc>
        <w:tc>
          <w:tcPr>
            <w:tcW w:w="0" w:type="dxa"/>
            <w:vAlign w:val="bottom"/>
          </w:tcPr>
          <w:p>
            <w:pPr>
              <w:spacing w:after="0"/>
              <w:rPr>
                <w:sz w:val="1"/>
                <w:szCs w:val="1"/>
                <w:color w:val="auto"/>
              </w:rPr>
            </w:pPr>
          </w:p>
        </w:tc>
      </w:tr>
      <w:tr>
        <w:trPr>
          <w:trHeight w:val="196"/>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28,430</w:t>
            </w:r>
          </w:p>
        </w:tc>
        <w:tc>
          <w:tcPr>
            <w:tcW w:w="0" w:type="dxa"/>
            <w:vAlign w:val="bottom"/>
          </w:tcPr>
          <w:p>
            <w:pPr>
              <w:spacing w:after="0"/>
              <w:rPr>
                <w:sz w:val="1"/>
                <w:szCs w:val="1"/>
                <w:color w:val="auto"/>
              </w:rPr>
            </w:pPr>
          </w:p>
        </w:tc>
      </w:tr>
      <w:tr>
        <w:trPr>
          <w:trHeight w:val="19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Issuance to Directors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182"/>
        </w:trPr>
        <w:tc>
          <w:tcPr>
            <w:tcW w:w="18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Stock Issuance, Net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Equity Issuance Costs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($0.815 per</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(11,032)</w:t>
            </w:r>
          </w:p>
        </w:tc>
        <w:tc>
          <w:tcPr>
            <w:tcW w:w="0" w:type="dxa"/>
            <w:vAlign w:val="bottom"/>
          </w:tcPr>
          <w:p>
            <w:pPr>
              <w:spacing w:after="0"/>
              <w:rPr>
                <w:sz w:val="1"/>
                <w:szCs w:val="1"/>
                <w:color w:val="auto"/>
              </w:rPr>
            </w:pPr>
          </w:p>
        </w:tc>
      </w:tr>
      <w:tr>
        <w:trPr>
          <w:trHeight w:val="182"/>
        </w:trPr>
        <w:tc>
          <w:tcPr>
            <w:tcW w:w="18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Other 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13,839</w:t>
            </w:r>
          </w:p>
        </w:tc>
        <w:tc>
          <w:tcPr>
            <w:tcW w:w="0" w:type="dxa"/>
            <w:vAlign w:val="bottom"/>
          </w:tcPr>
          <w:p>
            <w:pPr>
              <w:spacing w:after="0"/>
              <w:rPr>
                <w:sz w:val="1"/>
                <w:szCs w:val="1"/>
                <w:color w:val="auto"/>
              </w:rPr>
            </w:pPr>
          </w:p>
        </w:tc>
      </w:tr>
      <w:tr>
        <w:trPr>
          <w:trHeight w:val="168"/>
        </w:trPr>
        <w:tc>
          <w:tcPr>
            <w:tcW w:w="18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Balance September 30,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209,597</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8,796</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15,761</w:t>
            </w:r>
          </w:p>
        </w:tc>
        <w:tc>
          <w:tcPr>
            <w:tcW w:w="32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234,273</w:t>
            </w:r>
          </w:p>
        </w:tc>
        <w:tc>
          <w:tcPr>
            <w:tcW w:w="320" w:type="dxa"/>
            <w:vAlign w:val="bottom"/>
            <w:gridSpan w:val="2"/>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267,835</w:t>
            </w:r>
          </w:p>
        </w:tc>
        <w:tc>
          <w:tcPr>
            <w:tcW w:w="0" w:type="dxa"/>
            <w:vAlign w:val="bottom"/>
          </w:tcPr>
          <w:p>
            <w:pPr>
              <w:spacing w:after="0"/>
              <w:rPr>
                <w:sz w:val="1"/>
                <w:szCs w:val="1"/>
                <w:color w:val="auto"/>
              </w:rPr>
            </w:pPr>
          </w:p>
        </w:tc>
      </w:tr>
      <w:tr>
        <w:trPr>
          <w:trHeight w:val="197"/>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the nine months ended September 30, 2021:</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(Dividends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Excess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of Net</w:t>
            </w:r>
          </w:p>
        </w:tc>
        <w:tc>
          <w:tcPr>
            <w:tcW w:w="1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c>
          <w:tcPr>
            <w:tcW w:w="160" w:type="dxa"/>
            <w:vAlign w:val="bottom"/>
          </w:tcPr>
          <w:p>
            <w:pPr>
              <w:spacing w:after="0"/>
              <w:rPr>
                <w:sz w:val="17"/>
                <w:szCs w:val="17"/>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Noncontrolling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Par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Income)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5"/>
        </w:trPr>
        <w:tc>
          <w:tcPr>
            <w:tcW w:w="1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2021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132,878</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126,759</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22,334</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149,093</w:t>
            </w:r>
          </w:p>
        </w:tc>
        <w:tc>
          <w:tcPr>
            <w:tcW w:w="0" w:type="dxa"/>
            <w:vAlign w:val="bottom"/>
          </w:tcPr>
          <w:p>
            <w:pPr>
              <w:spacing w:after="0"/>
              <w:rPr>
                <w:sz w:val="1"/>
                <w:szCs w:val="1"/>
                <w:color w:val="auto"/>
              </w:rPr>
            </w:pPr>
          </w:p>
        </w:tc>
      </w:tr>
      <w:tr>
        <w:trPr>
          <w:trHeight w:val="196"/>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0" w:type="dxa"/>
            <w:vAlign w:val="bottom"/>
          </w:tcPr>
          <w:p>
            <w:pPr>
              <w:spacing w:after="0"/>
              <w:rPr>
                <w:sz w:val="1"/>
                <w:szCs w:val="1"/>
                <w:color w:val="auto"/>
              </w:rPr>
            </w:pPr>
          </w:p>
        </w:tc>
      </w:tr>
      <w:tr>
        <w:trPr>
          <w:trHeight w:val="19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Issuance to Directors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182"/>
        </w:trPr>
        <w:tc>
          <w:tcPr>
            <w:tcW w:w="18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Stock Issuance, Net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Equity Issuance Costs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64,961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64,961</w:t>
            </w: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Units Issued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w:t>
            </w:r>
          </w:p>
        </w:tc>
        <w:tc>
          <w:tcPr>
            <w:tcW w:w="0" w:type="dxa"/>
            <w:vAlign w:val="bottom"/>
          </w:tcPr>
          <w:p>
            <w:pPr>
              <w:spacing w:after="0"/>
              <w:rPr>
                <w:sz w:val="1"/>
                <w:szCs w:val="1"/>
                <w:color w:val="auto"/>
              </w:rPr>
            </w:pPr>
          </w:p>
        </w:tc>
      </w:tr>
      <w:tr>
        <w:trPr>
          <w:trHeight w:val="182"/>
        </w:trPr>
        <w:tc>
          <w:tcPr>
            <w:tcW w:w="18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Cash Dividends ($0.745 per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w:t>
            </w: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162"/>
        </w:trPr>
        <w:tc>
          <w:tcPr>
            <w:tcW w:w="18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Balance September 30,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198,019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(11,652)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3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186,808</w:t>
            </w:r>
          </w:p>
        </w:tc>
        <w:tc>
          <w:tcPr>
            <w:tcW w:w="32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30,593</w:t>
            </w:r>
          </w:p>
        </w:tc>
        <w:tc>
          <w:tcPr>
            <w:tcW w:w="160" w:type="dxa"/>
            <w:vAlign w:val="bottom"/>
          </w:tcPr>
          <w:p>
            <w:pPr>
              <w:spacing w:after="0"/>
              <w:rPr>
                <w:sz w:val="14"/>
                <w:szCs w:val="1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217,401</w:t>
            </w:r>
          </w:p>
        </w:tc>
        <w:tc>
          <w:tcPr>
            <w:tcW w:w="0" w:type="dxa"/>
            <w:vAlign w:val="bottom"/>
          </w:tcPr>
          <w:p>
            <w:pPr>
              <w:spacing w:after="0"/>
              <w:rPr>
                <w:sz w:val="1"/>
                <w:szCs w:val="1"/>
                <w:color w:val="auto"/>
              </w:rPr>
            </w:pPr>
          </w:p>
        </w:tc>
      </w:tr>
      <w:tr>
        <w:trPr>
          <w:trHeight w:val="197"/>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ALPINE INCOME PROPERTY TRUST,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 in thousands)</w:t>
      </w:r>
    </w:p>
    <w:p>
      <w:pPr>
        <w:spacing w:after="0" w:line="2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33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ind w:right="131"/>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20" w:type="dxa"/>
            <w:vAlign w:val="bottom"/>
          </w:tcPr>
          <w:p>
            <w:pPr>
              <w:spacing w:after="0"/>
              <w:rPr>
                <w:sz w:val="11"/>
                <w:szCs w:val="11"/>
                <w:color w:val="auto"/>
              </w:rPr>
            </w:pPr>
          </w:p>
        </w:tc>
      </w:tr>
      <w:tr>
        <w:trPr>
          <w:trHeight w:val="136"/>
        </w:trPr>
        <w:tc>
          <w:tcPr>
            <w:tcW w:w="5680" w:type="dxa"/>
            <w:vAlign w:val="bottom"/>
            <w:tcBorders>
              <w:top w:val="single" w:sz="8" w:color="CCEEFF"/>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14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28,430</w:t>
            </w:r>
          </w:p>
        </w:tc>
        <w:tc>
          <w:tcPr>
            <w:tcW w:w="16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1,913</w:t>
            </w:r>
          </w:p>
        </w:tc>
        <w:tc>
          <w:tcPr>
            <w:tcW w:w="20" w:type="dxa"/>
            <w:vAlign w:val="bottom"/>
          </w:tcPr>
          <w:p>
            <w:pPr>
              <w:spacing w:after="0"/>
              <w:rPr>
                <w:sz w:val="12"/>
                <w:szCs w:val="12"/>
                <w:color w:val="auto"/>
              </w:rPr>
            </w:pPr>
          </w:p>
        </w:tc>
      </w:tr>
      <w:tr>
        <w:trPr>
          <w:trHeight w:val="143"/>
        </w:trPr>
        <w:tc>
          <w:tcPr>
            <w:tcW w:w="568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1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17,232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10,914</w:t>
            </w:r>
          </w:p>
        </w:tc>
        <w:tc>
          <w:tcPr>
            <w:tcW w:w="20" w:type="dxa"/>
            <w:vAlign w:val="bottom"/>
          </w:tcPr>
          <w:p>
            <w:pPr>
              <w:spacing w:after="0"/>
              <w:rPr>
                <w:sz w:val="12"/>
                <w:szCs w:val="12"/>
                <w:color w:val="auto"/>
              </w:rPr>
            </w:pPr>
          </w:p>
        </w:tc>
      </w:tr>
      <w:tr>
        <w:trPr>
          <w:trHeight w:val="143"/>
        </w:trPr>
        <w:tc>
          <w:tcPr>
            <w:tcW w:w="568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Amortization of Intangible Lease Assets and Liabilities to Lease Income</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(168)</w:t>
            </w:r>
          </w:p>
        </w:tc>
        <w:tc>
          <w:tcPr>
            <w:tcW w:w="20" w:type="dxa"/>
            <w:vAlign w:val="bottom"/>
          </w:tcPr>
          <w:p>
            <w:pPr>
              <w:spacing w:after="0"/>
              <w:rPr>
                <w:sz w:val="12"/>
                <w:szCs w:val="12"/>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140" w:type="dxa"/>
            <w:vAlign w:val="bottom"/>
          </w:tcPr>
          <w:p>
            <w:pPr>
              <w:spacing w:after="0"/>
              <w:rPr>
                <w:sz w:val="12"/>
                <w:szCs w:val="12"/>
                <w:color w:val="auto"/>
              </w:rPr>
            </w:pPr>
          </w:p>
        </w:tc>
        <w:tc>
          <w:tcPr>
            <w:tcW w:w="1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236</w:t>
            </w:r>
          </w:p>
        </w:tc>
        <w:tc>
          <w:tcPr>
            <w:tcW w:w="20" w:type="dxa"/>
            <w:vAlign w:val="bottom"/>
          </w:tcPr>
          <w:p>
            <w:pPr>
              <w:spacing w:after="0"/>
              <w:rPr>
                <w:sz w:val="12"/>
                <w:szCs w:val="12"/>
                <w:color w:val="auto"/>
              </w:rPr>
            </w:pPr>
          </w:p>
        </w:tc>
      </w:tr>
      <w:tr>
        <w:trPr>
          <w:trHeight w:val="143"/>
        </w:trPr>
        <w:tc>
          <w:tcPr>
            <w:tcW w:w="568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(27,248)</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(544)</w:t>
            </w:r>
          </w:p>
        </w:tc>
        <w:tc>
          <w:tcPr>
            <w:tcW w:w="20" w:type="dxa"/>
            <w:vAlign w:val="bottom"/>
          </w:tcPr>
          <w:p>
            <w:pPr>
              <w:spacing w:after="0"/>
              <w:rPr>
                <w:sz w:val="12"/>
                <w:szCs w:val="12"/>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Non-Cash Compensation</w:t>
            </w:r>
          </w:p>
        </w:tc>
        <w:tc>
          <w:tcPr>
            <w:tcW w:w="140" w:type="dxa"/>
            <w:vAlign w:val="bottom"/>
          </w:tcPr>
          <w:p>
            <w:pPr>
              <w:spacing w:after="0"/>
              <w:rPr>
                <w:sz w:val="12"/>
                <w:szCs w:val="12"/>
                <w:color w:val="auto"/>
              </w:rPr>
            </w:pPr>
          </w:p>
        </w:tc>
        <w:tc>
          <w:tcPr>
            <w:tcW w:w="1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231</w:t>
            </w:r>
          </w:p>
        </w:tc>
        <w:tc>
          <w:tcPr>
            <w:tcW w:w="20" w:type="dxa"/>
            <w:vAlign w:val="bottom"/>
          </w:tcPr>
          <w:p>
            <w:pPr>
              <w:spacing w:after="0"/>
              <w:rPr>
                <w:sz w:val="12"/>
                <w:szCs w:val="12"/>
                <w:color w:val="auto"/>
              </w:rPr>
            </w:pPr>
          </w:p>
        </w:tc>
      </w:tr>
      <w:tr>
        <w:trPr>
          <w:trHeight w:val="143"/>
        </w:trPr>
        <w:tc>
          <w:tcPr>
            <w:tcW w:w="568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Decrease (Increase) in Assets: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Straight-Line Rent Adjustment</w:t>
            </w:r>
          </w:p>
        </w:tc>
        <w:tc>
          <w:tcPr>
            <w:tcW w:w="140" w:type="dxa"/>
            <w:vAlign w:val="bottom"/>
          </w:tcPr>
          <w:p>
            <w:pPr>
              <w:spacing w:after="0"/>
              <w:rPr>
                <w:sz w:val="12"/>
                <w:szCs w:val="12"/>
                <w:color w:val="auto"/>
              </w:rPr>
            </w:pPr>
          </w:p>
        </w:tc>
        <w:tc>
          <w:tcPr>
            <w:tcW w:w="156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(393)</w:t>
            </w:r>
          </w:p>
        </w:tc>
        <w:tc>
          <w:tcPr>
            <w:tcW w:w="20" w:type="dxa"/>
            <w:vAlign w:val="bottom"/>
          </w:tcPr>
          <w:p>
            <w:pPr>
              <w:spacing w:after="0"/>
              <w:rPr>
                <w:sz w:val="12"/>
                <w:szCs w:val="12"/>
                <w:color w:val="auto"/>
              </w:rPr>
            </w:pPr>
          </w:p>
        </w:tc>
      </w:tr>
      <w:tr>
        <w:trPr>
          <w:trHeight w:val="143"/>
        </w:trPr>
        <w:tc>
          <w:tcPr>
            <w:tcW w:w="568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COVID-19 Rent Repayments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408</w:t>
            </w:r>
          </w:p>
        </w:tc>
        <w:tc>
          <w:tcPr>
            <w:tcW w:w="20" w:type="dxa"/>
            <w:vAlign w:val="bottom"/>
          </w:tcPr>
          <w:p>
            <w:pPr>
              <w:spacing w:after="0"/>
              <w:rPr>
                <w:sz w:val="12"/>
                <w:szCs w:val="12"/>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2"/>
                <w:szCs w:val="12"/>
                <w:color w:val="auto"/>
              </w:rPr>
            </w:pPr>
          </w:p>
        </w:tc>
        <w:tc>
          <w:tcPr>
            <w:tcW w:w="156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(837)</w:t>
            </w: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(654)</w:t>
            </w:r>
          </w:p>
        </w:tc>
        <w:tc>
          <w:tcPr>
            <w:tcW w:w="20" w:type="dxa"/>
            <w:vAlign w:val="bottom"/>
          </w:tcPr>
          <w:p>
            <w:pPr>
              <w:spacing w:after="0"/>
              <w:rPr>
                <w:sz w:val="12"/>
                <w:szCs w:val="12"/>
                <w:color w:val="auto"/>
              </w:rPr>
            </w:pPr>
          </w:p>
        </w:tc>
      </w:tr>
      <w:tr>
        <w:trPr>
          <w:trHeight w:val="143"/>
        </w:trPr>
        <w:tc>
          <w:tcPr>
            <w:tcW w:w="568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40" w:type="dxa"/>
            <w:vAlign w:val="bottom"/>
          </w:tcPr>
          <w:p>
            <w:pPr>
              <w:spacing w:after="0"/>
              <w:rPr>
                <w:sz w:val="12"/>
                <w:szCs w:val="12"/>
                <w:color w:val="auto"/>
              </w:rPr>
            </w:pPr>
          </w:p>
        </w:tc>
        <w:tc>
          <w:tcPr>
            <w:tcW w:w="1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869</w:t>
            </w:r>
          </w:p>
        </w:tc>
        <w:tc>
          <w:tcPr>
            <w:tcW w:w="20" w:type="dxa"/>
            <w:vAlign w:val="bottom"/>
          </w:tcPr>
          <w:p>
            <w:pPr>
              <w:spacing w:after="0"/>
              <w:rPr>
                <w:sz w:val="12"/>
                <w:szCs w:val="12"/>
                <w:color w:val="auto"/>
              </w:rPr>
            </w:pPr>
          </w:p>
        </w:tc>
      </w:tr>
      <w:tr>
        <w:trPr>
          <w:trHeight w:val="143"/>
        </w:trPr>
        <w:tc>
          <w:tcPr>
            <w:tcW w:w="568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Prepaid Rent and Deferred Revenue</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278</w:t>
            </w:r>
          </w:p>
        </w:tc>
        <w:tc>
          <w:tcPr>
            <w:tcW w:w="20" w:type="dxa"/>
            <w:vAlign w:val="bottom"/>
          </w:tcPr>
          <w:p>
            <w:pPr>
              <w:spacing w:after="0"/>
              <w:rPr>
                <w:sz w:val="12"/>
                <w:szCs w:val="12"/>
                <w:color w:val="auto"/>
              </w:rPr>
            </w:pPr>
          </w:p>
        </w:tc>
      </w:tr>
      <w:tr>
        <w:trPr>
          <w:trHeight w:val="136"/>
        </w:trPr>
        <w:tc>
          <w:tcPr>
            <w:tcW w:w="5680" w:type="dxa"/>
            <w:vAlign w:val="bottom"/>
            <w:tcBorders>
              <w:bottom w:val="single" w:sz="8" w:color="CCEEFF"/>
            </w:tcBorders>
            <w:gridSpan w:val="2"/>
          </w:tcPr>
          <w:p>
            <w:pPr>
              <w:ind w:left="320"/>
              <w:spacing w:after="0" w:line="137"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17,609</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13,090</w:t>
            </w:r>
          </w:p>
        </w:tc>
        <w:tc>
          <w:tcPr>
            <w:tcW w:w="20" w:type="dxa"/>
            <w:vAlign w:val="bottom"/>
          </w:tcPr>
          <w:p>
            <w:pPr>
              <w:spacing w:after="0"/>
              <w:rPr>
                <w:sz w:val="11"/>
                <w:szCs w:val="11"/>
                <w:color w:val="auto"/>
              </w:rPr>
            </w:pPr>
          </w:p>
        </w:tc>
      </w:tr>
      <w:tr>
        <w:trPr>
          <w:trHeight w:val="136"/>
        </w:trPr>
        <w:tc>
          <w:tcPr>
            <w:tcW w:w="568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Acquisition of Real Estate, Including Capitalized Expenditures</w:t>
            </w:r>
          </w:p>
        </w:tc>
        <w:tc>
          <w:tcPr>
            <w:tcW w:w="140" w:type="dxa"/>
            <w:vAlign w:val="bottom"/>
          </w:tcPr>
          <w:p>
            <w:pPr>
              <w:spacing w:after="0"/>
              <w:rPr>
                <w:sz w:val="12"/>
                <w:szCs w:val="12"/>
                <w:color w:val="auto"/>
              </w:rPr>
            </w:pPr>
          </w:p>
        </w:tc>
        <w:tc>
          <w:tcPr>
            <w:tcW w:w="156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(147,148)</w:t>
            </w: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(120,961)</w:t>
            </w:r>
          </w:p>
        </w:tc>
        <w:tc>
          <w:tcPr>
            <w:tcW w:w="20" w:type="dxa"/>
            <w:vAlign w:val="bottom"/>
          </w:tcPr>
          <w:p>
            <w:pPr>
              <w:spacing w:after="0"/>
              <w:rPr>
                <w:sz w:val="12"/>
                <w:szCs w:val="12"/>
                <w:color w:val="auto"/>
              </w:rPr>
            </w:pPr>
          </w:p>
        </w:tc>
      </w:tr>
      <w:tr>
        <w:trPr>
          <w:trHeight w:val="143"/>
        </w:trPr>
        <w:tc>
          <w:tcPr>
            <w:tcW w:w="568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Proceeds from Disposition of Assets</w:t>
            </w:r>
          </w:p>
        </w:tc>
        <w:tc>
          <w:tcPr>
            <w:tcW w:w="1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120,252</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3,653</w:t>
            </w:r>
          </w:p>
        </w:tc>
        <w:tc>
          <w:tcPr>
            <w:tcW w:w="20" w:type="dxa"/>
            <w:vAlign w:val="bottom"/>
          </w:tcPr>
          <w:p>
            <w:pPr>
              <w:spacing w:after="0"/>
              <w:rPr>
                <w:sz w:val="12"/>
                <w:szCs w:val="12"/>
                <w:color w:val="auto"/>
              </w:rPr>
            </w:pPr>
          </w:p>
        </w:tc>
      </w:tr>
      <w:tr>
        <w:trPr>
          <w:trHeight w:val="136"/>
        </w:trPr>
        <w:tc>
          <w:tcPr>
            <w:tcW w:w="5680" w:type="dxa"/>
            <w:vAlign w:val="bottom"/>
            <w:tcBorders>
              <w:bottom w:val="single" w:sz="8" w:color="CCEEFF"/>
            </w:tcBorders>
            <w:gridSpan w:val="2"/>
          </w:tcPr>
          <w:p>
            <w:pPr>
              <w:ind w:left="320"/>
              <w:spacing w:after="0" w:line="137"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(26,896)</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(117,308)</w:t>
            </w:r>
          </w:p>
        </w:tc>
        <w:tc>
          <w:tcPr>
            <w:tcW w:w="20" w:type="dxa"/>
            <w:vAlign w:val="bottom"/>
          </w:tcPr>
          <w:p>
            <w:pPr>
              <w:spacing w:after="0"/>
              <w:rPr>
                <w:sz w:val="11"/>
                <w:szCs w:val="11"/>
                <w:color w:val="auto"/>
              </w:rPr>
            </w:pPr>
          </w:p>
        </w:tc>
      </w:tr>
      <w:tr>
        <w:trPr>
          <w:trHeight w:val="136"/>
        </w:trPr>
        <w:tc>
          <w:tcPr>
            <w:tcW w:w="568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40" w:type="dxa"/>
            <w:vAlign w:val="bottom"/>
          </w:tcPr>
          <w:p>
            <w:pPr>
              <w:spacing w:after="0"/>
              <w:rPr>
                <w:sz w:val="12"/>
                <w:szCs w:val="12"/>
                <w:color w:val="auto"/>
              </w:rPr>
            </w:pPr>
          </w:p>
        </w:tc>
        <w:tc>
          <w:tcPr>
            <w:tcW w:w="1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222,500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217,121</w:t>
            </w:r>
          </w:p>
        </w:tc>
        <w:tc>
          <w:tcPr>
            <w:tcW w:w="20" w:type="dxa"/>
            <w:vAlign w:val="bottom"/>
          </w:tcPr>
          <w:p>
            <w:pPr>
              <w:spacing w:after="0"/>
              <w:rPr>
                <w:sz w:val="12"/>
                <w:szCs w:val="12"/>
                <w:color w:val="auto"/>
              </w:rPr>
            </w:pPr>
          </w:p>
        </w:tc>
      </w:tr>
      <w:tr>
        <w:trPr>
          <w:trHeight w:val="143"/>
        </w:trPr>
        <w:tc>
          <w:tcPr>
            <w:tcW w:w="568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Payments on Long-Term Debt</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(203,500)</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(162,431)</w:t>
            </w:r>
          </w:p>
        </w:tc>
        <w:tc>
          <w:tcPr>
            <w:tcW w:w="20" w:type="dxa"/>
            <w:vAlign w:val="bottom"/>
          </w:tcPr>
          <w:p>
            <w:pPr>
              <w:spacing w:after="0"/>
              <w:rPr>
                <w:sz w:val="12"/>
                <w:szCs w:val="12"/>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Cash Paid for Loan Fees</w:t>
            </w:r>
          </w:p>
        </w:tc>
        <w:tc>
          <w:tcPr>
            <w:tcW w:w="140" w:type="dxa"/>
            <w:vAlign w:val="bottom"/>
          </w:tcPr>
          <w:p>
            <w:pPr>
              <w:spacing w:after="0"/>
              <w:rPr>
                <w:sz w:val="12"/>
                <w:szCs w:val="12"/>
                <w:color w:val="auto"/>
              </w:rPr>
            </w:pPr>
          </w:p>
        </w:tc>
        <w:tc>
          <w:tcPr>
            <w:tcW w:w="156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(1,387)</w:t>
            </w:r>
          </w:p>
        </w:tc>
        <w:tc>
          <w:tcPr>
            <w:tcW w:w="20" w:type="dxa"/>
            <w:vAlign w:val="bottom"/>
          </w:tcPr>
          <w:p>
            <w:pPr>
              <w:spacing w:after="0"/>
              <w:rPr>
                <w:sz w:val="12"/>
                <w:szCs w:val="12"/>
                <w:color w:val="auto"/>
              </w:rPr>
            </w:pPr>
          </w:p>
        </w:tc>
      </w:tr>
      <w:tr>
        <w:trPr>
          <w:trHeight w:val="143"/>
        </w:trPr>
        <w:tc>
          <w:tcPr>
            <w:tcW w:w="568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Proceeds From Stock Issuance, Net</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8,459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64,961</w:t>
            </w:r>
          </w:p>
        </w:tc>
        <w:tc>
          <w:tcPr>
            <w:tcW w:w="20" w:type="dxa"/>
            <w:vAlign w:val="bottom"/>
          </w:tcPr>
          <w:p>
            <w:pPr>
              <w:spacing w:after="0"/>
              <w:rPr>
                <w:sz w:val="12"/>
                <w:szCs w:val="12"/>
                <w:color w:val="auto"/>
              </w:rPr>
            </w:pPr>
          </w:p>
        </w:tc>
      </w:tr>
      <w:tr>
        <w:trPr>
          <w:trHeight w:val="143"/>
        </w:trPr>
        <w:tc>
          <w:tcPr>
            <w:tcW w:w="568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Dividends Paid</w:t>
            </w:r>
          </w:p>
        </w:tc>
        <w:tc>
          <w:tcPr>
            <w:tcW w:w="140" w:type="dxa"/>
            <w:vAlign w:val="bottom"/>
          </w:tcPr>
          <w:p>
            <w:pPr>
              <w:spacing w:after="0"/>
              <w:rPr>
                <w:sz w:val="12"/>
                <w:szCs w:val="12"/>
                <w:color w:val="auto"/>
              </w:rPr>
            </w:pPr>
          </w:p>
        </w:tc>
        <w:tc>
          <w:tcPr>
            <w:tcW w:w="156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(11,032)</w:t>
            </w: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(8,634)</w:t>
            </w:r>
          </w:p>
        </w:tc>
        <w:tc>
          <w:tcPr>
            <w:tcW w:w="20" w:type="dxa"/>
            <w:vAlign w:val="bottom"/>
          </w:tcPr>
          <w:p>
            <w:pPr>
              <w:spacing w:after="0"/>
              <w:rPr>
                <w:sz w:val="12"/>
                <w:szCs w:val="12"/>
                <w:color w:val="auto"/>
              </w:rPr>
            </w:pPr>
          </w:p>
        </w:tc>
      </w:tr>
      <w:tr>
        <w:trPr>
          <w:trHeight w:val="136"/>
        </w:trPr>
        <w:tc>
          <w:tcPr>
            <w:tcW w:w="5680" w:type="dxa"/>
            <w:vAlign w:val="bottom"/>
            <w:tcBorders>
              <w:top w:val="single" w:sz="8" w:color="CCEEFF"/>
            </w:tcBorders>
            <w:gridSpan w:val="2"/>
            <w:shd w:val="clear" w:color="auto" w:fill="CCEEFF"/>
          </w:tcPr>
          <w:p>
            <w:pPr>
              <w:ind w:left="320"/>
              <w:spacing w:after="0" w:line="137"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40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15,943</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4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109,630</w:t>
            </w:r>
          </w:p>
        </w:tc>
        <w:tc>
          <w:tcPr>
            <w:tcW w:w="20" w:type="dxa"/>
            <w:vAlign w:val="bottom"/>
          </w:tcPr>
          <w:p>
            <w:pPr>
              <w:spacing w:after="0"/>
              <w:rPr>
                <w:sz w:val="11"/>
                <w:szCs w:val="11"/>
                <w:color w:val="auto"/>
              </w:rPr>
            </w:pPr>
          </w:p>
        </w:tc>
      </w:tr>
      <w:tr>
        <w:trPr>
          <w:trHeight w:val="136"/>
        </w:trPr>
        <w:tc>
          <w:tcPr>
            <w:tcW w:w="568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140" w:type="dxa"/>
            <w:vAlign w:val="bottom"/>
          </w:tcPr>
          <w:p>
            <w:pPr>
              <w:spacing w:after="0"/>
              <w:rPr>
                <w:sz w:val="11"/>
                <w:szCs w:val="11"/>
                <w:color w:val="auto"/>
              </w:rPr>
            </w:pPr>
          </w:p>
        </w:tc>
        <w:tc>
          <w:tcPr>
            <w:tcW w:w="14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6,656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5,412</w:t>
            </w:r>
          </w:p>
        </w:tc>
        <w:tc>
          <w:tcPr>
            <w:tcW w:w="20" w:type="dxa"/>
            <w:vAlign w:val="bottom"/>
          </w:tcPr>
          <w:p>
            <w:pPr>
              <w:spacing w:after="0"/>
              <w:rPr>
                <w:sz w:val="11"/>
                <w:szCs w:val="11"/>
                <w:color w:val="auto"/>
              </w:rPr>
            </w:pPr>
          </w:p>
        </w:tc>
      </w:tr>
      <w:tr>
        <w:trPr>
          <w:trHeight w:val="143"/>
        </w:trPr>
        <w:tc>
          <w:tcPr>
            <w:tcW w:w="568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9,497</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1,894</w:t>
            </w:r>
          </w:p>
        </w:tc>
        <w:tc>
          <w:tcPr>
            <w:tcW w:w="20" w:type="dxa"/>
            <w:vAlign w:val="bottom"/>
          </w:tcPr>
          <w:p>
            <w:pPr>
              <w:spacing w:after="0"/>
              <w:rPr>
                <w:sz w:val="12"/>
                <w:szCs w:val="12"/>
                <w:color w:val="auto"/>
              </w:rPr>
            </w:pPr>
          </w:p>
        </w:tc>
      </w:tr>
      <w:tr>
        <w:trPr>
          <w:trHeight w:val="176"/>
        </w:trPr>
        <w:tc>
          <w:tcPr>
            <w:tcW w:w="5680" w:type="dxa"/>
            <w:vAlign w:val="bottom"/>
            <w:tcBorders>
              <w:bottom w:val="single" w:sz="8" w:color="CCEEFF"/>
            </w:tcBorders>
            <w:gridSpan w:val="2"/>
          </w:tcPr>
          <w:p>
            <w:pPr>
              <w:spacing w:after="0" w:line="137"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16,153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7,306</w:t>
            </w:r>
          </w:p>
        </w:tc>
        <w:tc>
          <w:tcPr>
            <w:tcW w:w="20" w:type="dxa"/>
            <w:vAlign w:val="bottom"/>
          </w:tcPr>
          <w:p>
            <w:pPr>
              <w:spacing w:after="0"/>
              <w:rPr>
                <w:sz w:val="15"/>
                <w:szCs w:val="15"/>
                <w:color w:val="auto"/>
              </w:rPr>
            </w:pPr>
          </w:p>
        </w:tc>
      </w:tr>
      <w:tr>
        <w:trPr>
          <w:trHeight w:val="123"/>
        </w:trPr>
        <w:tc>
          <w:tcPr>
            <w:tcW w:w="332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0"/>
        </w:trPr>
        <w:tc>
          <w:tcPr>
            <w:tcW w:w="332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4"/>
                <w:szCs w:val="14"/>
                <w:color w:val="auto"/>
                <w:w w:val="99"/>
              </w:rPr>
              <w:t>Reconciliation of Cash to the Consolidated Balance Sheets:</w:t>
            </w: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568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3,834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6,706</w:t>
            </w:r>
          </w:p>
        </w:tc>
        <w:tc>
          <w:tcPr>
            <w:tcW w:w="20" w:type="dxa"/>
            <w:vAlign w:val="bottom"/>
          </w:tcPr>
          <w:p>
            <w:pPr>
              <w:spacing w:after="0"/>
              <w:rPr>
                <w:sz w:val="11"/>
                <w:szCs w:val="11"/>
                <w:color w:val="auto"/>
              </w:rPr>
            </w:pPr>
          </w:p>
        </w:tc>
      </w:tr>
      <w:tr>
        <w:trPr>
          <w:trHeight w:val="143"/>
        </w:trPr>
        <w:tc>
          <w:tcPr>
            <w:tcW w:w="5680" w:type="dxa"/>
            <w:vAlign w:val="bottom"/>
            <w:tcBorders>
              <w:bottom w:val="single" w:sz="8" w:color="CCEEFF"/>
            </w:tcBorders>
            <w:gridSpan w:val="2"/>
          </w:tcPr>
          <w:p>
            <w:pPr>
              <w:spacing w:after="0" w:line="143"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12,319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600</w:t>
            </w:r>
          </w:p>
        </w:tc>
        <w:tc>
          <w:tcPr>
            <w:tcW w:w="20" w:type="dxa"/>
            <w:vAlign w:val="bottom"/>
          </w:tcPr>
          <w:p>
            <w:pPr>
              <w:spacing w:after="0"/>
              <w:rPr>
                <w:sz w:val="12"/>
                <w:szCs w:val="12"/>
                <w:color w:val="auto"/>
              </w:rPr>
            </w:pPr>
          </w:p>
        </w:tc>
      </w:tr>
      <w:tr>
        <w:trPr>
          <w:trHeight w:val="136"/>
        </w:trPr>
        <w:tc>
          <w:tcPr>
            <w:tcW w:w="5680" w:type="dxa"/>
            <w:vAlign w:val="bottom"/>
            <w:tcBorders>
              <w:bottom w:val="single" w:sz="8" w:color="CCEEFF"/>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Total Cash</w:t>
            </w:r>
          </w:p>
        </w:tc>
        <w:tc>
          <w:tcPr>
            <w:tcW w:w="1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16,153</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7,306</w:t>
            </w:r>
          </w:p>
        </w:tc>
        <w:tc>
          <w:tcPr>
            <w:tcW w:w="20" w:type="dxa"/>
            <w:vAlign w:val="bottom"/>
          </w:tcPr>
          <w:p>
            <w:pPr>
              <w:spacing w:after="0"/>
              <w:rPr>
                <w:sz w:val="11"/>
                <w:szCs w:val="11"/>
                <w:color w:val="auto"/>
              </w:rPr>
            </w:pPr>
          </w:p>
        </w:tc>
      </w:tr>
      <w:tr>
        <w:trPr>
          <w:trHeight w:val="20"/>
        </w:trPr>
        <w:tc>
          <w:tcPr>
            <w:tcW w:w="3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0" w:right="59"/>
        <w:spacing w:after="0" w:line="27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CASH FLOWS (Continued) (Unaudited,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6"/>
        </w:trPr>
        <w:tc>
          <w:tcPr>
            <w:tcW w:w="5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1"/>
                <w:szCs w:val="11"/>
                <w:color w:val="auto"/>
              </w:rPr>
            </w:pPr>
          </w:p>
        </w:tc>
        <w:tc>
          <w:tcPr>
            <w:tcW w:w="1380" w:type="dxa"/>
            <w:vAlign w:val="bottom"/>
          </w:tcPr>
          <w:p>
            <w:pPr>
              <w:jc w:val="right"/>
              <w:ind w:right="131"/>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 30, 2021</w:t>
            </w:r>
          </w:p>
        </w:tc>
      </w:tr>
      <w:tr>
        <w:trPr>
          <w:trHeight w:val="136"/>
        </w:trPr>
        <w:tc>
          <w:tcPr>
            <w:tcW w:w="568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18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r>
      <w:tr>
        <w:trPr>
          <w:trHeight w:val="143"/>
        </w:trPr>
        <w:tc>
          <w:tcPr>
            <w:tcW w:w="568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Cash Paid for Interest</w:t>
            </w:r>
          </w:p>
        </w:tc>
        <w:tc>
          <w:tcPr>
            <w:tcW w:w="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5,806</w:t>
            </w:r>
          </w:p>
        </w:tc>
        <w:tc>
          <w:tcPr>
            <w:tcW w:w="160" w:type="dxa"/>
            <w:vAlign w:val="bottom"/>
          </w:tcPr>
          <w:p>
            <w:pPr>
              <w:spacing w:after="0"/>
              <w:rPr>
                <w:sz w:val="12"/>
                <w:szCs w:val="12"/>
                <w:color w:val="auto"/>
              </w:rPr>
            </w:pPr>
          </w:p>
        </w:tc>
        <w:tc>
          <w:tcPr>
            <w:tcW w:w="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2,030</w:t>
            </w:r>
          </w:p>
        </w:tc>
      </w:tr>
      <w:tr>
        <w:trPr>
          <w:trHeight w:val="143"/>
        </w:trPr>
        <w:tc>
          <w:tcPr>
            <w:tcW w:w="5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43"/>
        </w:trPr>
        <w:tc>
          <w:tcPr>
            <w:tcW w:w="56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3"/>
        </w:trPr>
        <w:tc>
          <w:tcPr>
            <w:tcW w:w="568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Unrealized Gain on Cash Flow Hedge</w:t>
            </w:r>
          </w:p>
        </w:tc>
        <w:tc>
          <w:tcPr>
            <w:tcW w:w="1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13,839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809</w:t>
            </w:r>
          </w:p>
        </w:tc>
      </w:tr>
      <w:tr>
        <w:trPr>
          <w:trHeight w:val="143"/>
        </w:trPr>
        <w:tc>
          <w:tcPr>
            <w:tcW w:w="568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Right-of-Use Assets and Operating Lease Liability</w:t>
            </w:r>
          </w:p>
        </w:tc>
        <w:tc>
          <w:tcPr>
            <w:tcW w:w="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1,831</w:t>
            </w:r>
          </w:p>
        </w:tc>
        <w:tc>
          <w:tcPr>
            <w:tcW w:w="160" w:type="dxa"/>
            <w:vAlign w:val="bottom"/>
          </w:tcPr>
          <w:p>
            <w:pPr>
              <w:spacing w:after="0"/>
              <w:rPr>
                <w:sz w:val="12"/>
                <w:szCs w:val="12"/>
                <w:color w:val="auto"/>
              </w:rPr>
            </w:pPr>
          </w:p>
        </w:tc>
        <w:tc>
          <w:tcPr>
            <w:tcW w:w="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143"/>
        </w:trPr>
        <w:tc>
          <w:tcPr>
            <w:tcW w:w="568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Operating Units Issued in Exchange for Real Estate</w:t>
            </w:r>
          </w:p>
        </w:tc>
        <w:tc>
          <w:tcPr>
            <w:tcW w:w="1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9,041</w:t>
            </w:r>
          </w:p>
        </w:tc>
      </w:tr>
      <w:tr>
        <w:trPr>
          <w:trHeight w:val="143"/>
        </w:trPr>
        <w:tc>
          <w:tcPr>
            <w:tcW w:w="568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Underwriting Discounts on Capital Raised Through Issuance of Common Stock</w:t>
            </w:r>
          </w:p>
        </w:tc>
        <w:tc>
          <w:tcPr>
            <w:tcW w:w="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2,866</w:t>
            </w:r>
          </w:p>
        </w:tc>
      </w:tr>
      <w:tr>
        <w:trPr>
          <w:trHeight w:val="143"/>
        </w:trPr>
        <w:tc>
          <w:tcPr>
            <w:tcW w:w="568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Assumption of Mortgage Note Payable</w:t>
            </w:r>
          </w:p>
        </w:tc>
        <w:tc>
          <w:tcPr>
            <w:tcW w:w="1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30,000</w:t>
            </w: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(UNAUDITED)</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1. BUSINESS AND ORGANIZATION</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BUSINESS</w:t>
      </w:r>
    </w:p>
    <w:p>
      <w:pPr>
        <w:spacing w:after="0" w:line="224"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63"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Our portfolio consists of 146 net leased properties located in 104 markets in 35 states. The properties in our portfolio are primarily subject to long-term, triple-net leases, which generally require the tenant to pay all of the property operating expenses such as real estate taxes, insurance, assessments and other governmental fees, utilities, repairs and maintenance and certain capital expenditures.</w:t>
      </w:r>
    </w:p>
    <w:p>
      <w:pPr>
        <w:spacing w:after="0" w:line="170"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real estate investment trust (“REIT”) and the sole member of our Manager (“CTO”).</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ORGANIZATION</w:t>
      </w:r>
    </w:p>
    <w:p>
      <w:pPr>
        <w:spacing w:after="0" w:line="224" w:lineRule="exact"/>
        <w:rPr>
          <w:sz w:val="20"/>
          <w:szCs w:val="20"/>
          <w:color w:val="auto"/>
        </w:rPr>
      </w:pPr>
    </w:p>
    <w:p>
      <w:pPr>
        <w:jc w:val="both"/>
        <w:ind w:left="40" w:right="59" w:firstLine="313"/>
        <w:spacing w:after="0" w:line="258" w:lineRule="auto"/>
        <w:rPr>
          <w:sz w:val="20"/>
          <w:szCs w:val="20"/>
          <w:color w:val="auto"/>
        </w:rPr>
      </w:pPr>
      <w:r>
        <w:rPr>
          <w:rFonts w:ascii="Times New Roman" w:cs="Times New Roman" w:eastAsia="Times New Roman" w:hAnsi="Times New Roman"/>
          <w:sz w:val="17"/>
          <w:szCs w:val="17"/>
          <w:color w:val="auto"/>
        </w:rPr>
        <w:t>The Company is a Maryland corporation that was formed on August 19, 2019. On November 26, 2019, the Company closed its initial public offering (“IPO”) of shares of its common stock (the “Offering”) as well as a concurrent private placement of shares of common stock to CTO. The price per share paid in the Offering and the concurrent private placement was $19.00 (the “IPO Price”). The Offering raised $142.5 million in gross proceeds from the issuance of 7,500,000 shares of our common stock. We also raised $7.5 million from the concurrent private placement to CTO from the issuance of 394,737 shares of our common stock (“CTO Private Placement”). Included in the Offering was CTO’s purchase of 421,053 shares of our common stock for $8.0 million, representing a cash investment by CTO of $15.5 million. A total of $125.9 million of proceeds from the Offering were utilized to acquire 15 properties in our initial portfolio from CTO. The remaining five properties in our initial portfolio were contributed by CTO in exchange for 1,223,854 units of the operating partnership (the “OP Units”) for a value of $23.3 million based on the IPO Price. As of September 30, 2022, eleven of the properties included within our initial portfolio have been sold. The Company incurred a total of $12.0 million of transaction costs, which included underwriting fees of $9.4 million. Upon completion of the Offering, the CTO Private Placement, and the other transactions executed at the time of our listing on the New York Stock Exchange (the “NYSE”) under the symbol “PINE” (collectively defined as the “Formation Transactions”), CTO owned 22.3% of our outstanding common stock (assuming the OP Units issued to CTO in the Formation Transactions are exchanged for shares of our common stock on a one-for-one basis).</w:t>
      </w:r>
    </w:p>
    <w:p>
      <w:pPr>
        <w:spacing w:after="0" w:line="186" w:lineRule="exact"/>
        <w:rPr>
          <w:sz w:val="20"/>
          <w:szCs w:val="20"/>
          <w:color w:val="auto"/>
        </w:rPr>
      </w:pPr>
    </w:p>
    <w:p>
      <w:pPr>
        <w:jc w:val="both"/>
        <w:ind w:left="40" w:right="59" w:firstLine="313"/>
        <w:spacing w:after="0" w:line="259" w:lineRule="auto"/>
        <w:rPr>
          <w:sz w:val="20"/>
          <w:szCs w:val="20"/>
          <w:color w:val="auto"/>
        </w:rPr>
      </w:pPr>
      <w:r>
        <w:rPr>
          <w:rFonts w:ascii="Times New Roman" w:cs="Times New Roman" w:eastAsia="Times New Roman" w:hAnsi="Times New Roman"/>
          <w:sz w:val="17"/>
          <w:szCs w:val="17"/>
          <w:color w:val="auto"/>
        </w:rPr>
        <w:t>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September 30, 2022, we have a total ownership interest in the Operating Partnership of 87.5%, with CTO holding, directly and indirectly, a 9.0% ownership interest in the Operating Partnership. The remaining 3.5% ownership interest is held by an unrelated third party in connection with the issuance of 479,640 OP Units valued at $9.0 million in the aggregate, or $18.85 per unit. The issuance of 479,640 OP Units includes (i) 424,951 OP Units issued as consideration for the portfolio of nine net lease properties acquired on June 30, 2021 and (ii) 54,689 OP Units issued as consideration for the acquisition of one net lease property on July 12, 2021.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0" w:right="59" w:firstLine="357"/>
        <w:spacing w:after="0" w:line="259" w:lineRule="auto"/>
        <w:rPr>
          <w:sz w:val="20"/>
          <w:szCs w:val="20"/>
          <w:color w:val="auto"/>
        </w:rPr>
      </w:pPr>
      <w:r>
        <w:rPr>
          <w:rFonts w:ascii="Times New Roman" w:cs="Times New Roman" w:eastAsia="Times New Roman" w:hAnsi="Times New Roman"/>
          <w:sz w:val="17"/>
          <w:szCs w:val="17"/>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2. SUMMARY OF SIGNIFICANT ACCOUNTING POLICIES</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USE OF ESTIMATES IN THE PREPARATION OF FINANCIAL STATEMENTS</w:t>
      </w:r>
    </w:p>
    <w:p>
      <w:pPr>
        <w:spacing w:after="0" w:line="224"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70"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LONG-LIVED ASSETS</w:t>
      </w:r>
    </w:p>
    <w:p>
      <w:pPr>
        <w:spacing w:after="0" w:line="224" w:lineRule="exact"/>
        <w:rPr>
          <w:sz w:val="20"/>
          <w:szCs w:val="20"/>
          <w:color w:val="auto"/>
        </w:rPr>
      </w:pPr>
    </w:p>
    <w:p>
      <w:pPr>
        <w:jc w:val="both"/>
        <w:ind w:left="40" w:right="59" w:firstLine="313"/>
        <w:spacing w:after="0" w:line="261" w:lineRule="auto"/>
        <w:rPr>
          <w:sz w:val="20"/>
          <w:szCs w:val="20"/>
          <w:color w:val="auto"/>
        </w:rPr>
      </w:pPr>
      <w:r>
        <w:rPr>
          <w:rFonts w:ascii="Times New Roman" w:cs="Times New Roman" w:eastAsia="Times New Roman" w:hAnsi="Times New Roman"/>
          <w:sz w:val="17"/>
          <w:szCs w:val="17"/>
          <w:color w:val="auto"/>
        </w:rPr>
        <w:t xml:space="preserve">The Company follows Financial Accounting Standards Board (“FASB”) Accounting Standards Codification (“ASC”) Topic 360-10,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in conducting its impairment analyses. The Company reviews the recoverability of long-lived assets, primarily 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PURCHASE ACCOUNTING FOR ACQUISITIONS OF REAL ESTATE SUBJECT TO A LEASE</w:t>
      </w:r>
    </w:p>
    <w:p>
      <w:pPr>
        <w:spacing w:after="0" w:line="224" w:lineRule="exact"/>
        <w:rPr>
          <w:sz w:val="20"/>
          <w:szCs w:val="20"/>
          <w:color w:val="auto"/>
        </w:rPr>
      </w:pPr>
    </w:p>
    <w:p>
      <w:pPr>
        <w:jc w:val="both"/>
        <w:ind w:left="40" w:right="59" w:firstLine="540"/>
        <w:spacing w:after="0" w:line="260" w:lineRule="auto"/>
        <w:rPr>
          <w:sz w:val="20"/>
          <w:szCs w:val="20"/>
          <w:color w:val="auto"/>
        </w:rPr>
      </w:pPr>
      <w:r>
        <w:rPr>
          <w:rFonts w:ascii="Times New Roman" w:cs="Times New Roman" w:eastAsia="Times New Roman" w:hAnsi="Times New Roman"/>
          <w:sz w:val="17"/>
          <w:szCs w:val="17"/>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Times New Roman" w:cs="Times New Roman" w:eastAsia="Times New Roman" w:hAnsi="Times New Roman"/>
          <w:sz w:val="17"/>
          <w:szCs w:val="17"/>
          <w:i w:val="1"/>
          <w:iCs w:val="1"/>
          <w:color w:val="auto"/>
        </w:rPr>
        <w:t>Clarifying the Definition of a Business</w:t>
      </w:r>
      <w:r>
        <w:rPr>
          <w:rFonts w:ascii="Times New Roman" w:cs="Times New Roman" w:eastAsia="Times New Roman" w:hAnsi="Times New Roman"/>
          <w:sz w:val="17"/>
          <w:szCs w:val="17"/>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0" w:right="59" w:firstLine="483"/>
        <w:spacing w:after="0" w:line="259" w:lineRule="auto"/>
        <w:rPr>
          <w:sz w:val="20"/>
          <w:szCs w:val="20"/>
          <w:color w:val="auto"/>
        </w:rPr>
      </w:pPr>
      <w:r>
        <w:rPr>
          <w:rFonts w:ascii="Times New Roman" w:cs="Times New Roman" w:eastAsia="Times New Roman" w:hAnsi="Times New Roman"/>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SALES OF REAL ESTATE</w:t>
      </w:r>
    </w:p>
    <w:p>
      <w:pPr>
        <w:spacing w:after="0" w:line="224" w:lineRule="exact"/>
        <w:rPr>
          <w:sz w:val="20"/>
          <w:szCs w:val="20"/>
          <w:color w:val="auto"/>
        </w:rPr>
      </w:pPr>
    </w:p>
    <w:p>
      <w:pPr>
        <w:jc w:val="both"/>
        <w:ind w:left="40" w:right="59" w:firstLine="483"/>
        <w:spacing w:after="0" w:line="265" w:lineRule="auto"/>
        <w:rPr>
          <w:sz w:val="20"/>
          <w:szCs w:val="20"/>
          <w:color w:val="auto"/>
        </w:rPr>
      </w:pPr>
      <w:r>
        <w:rPr>
          <w:rFonts w:ascii="Times New Roman" w:cs="Times New Roman" w:eastAsia="Times New Roman" w:hAnsi="Times New Roman"/>
          <w:sz w:val="17"/>
          <w:szCs w:val="17"/>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on dispositions of assets. In accordance with the FASB guidance, gains or losses on sales of real estate are generally recognized using the full accrual method.</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PROPERTY LEASE REVENUE</w:t>
      </w:r>
    </w:p>
    <w:p>
      <w:pPr>
        <w:spacing w:after="0" w:line="224" w:lineRule="exact"/>
        <w:rPr>
          <w:sz w:val="20"/>
          <w:szCs w:val="20"/>
          <w:color w:val="auto"/>
        </w:rPr>
      </w:pPr>
    </w:p>
    <w:p>
      <w:pPr>
        <w:jc w:val="both"/>
        <w:ind w:left="40" w:right="59" w:firstLine="313"/>
        <w:spacing w:after="0" w:line="261" w:lineRule="auto"/>
        <w:rPr>
          <w:sz w:val="20"/>
          <w:szCs w:val="20"/>
          <w:color w:val="auto"/>
        </w:rPr>
      </w:pPr>
      <w:r>
        <w:rPr>
          <w:rFonts w:ascii="Times New Roman" w:cs="Times New Roman" w:eastAsia="Times New Roman" w:hAnsi="Times New Roman"/>
          <w:sz w:val="17"/>
          <w:szCs w:val="17"/>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77"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September 30, 2022 and December 31, 2021, the Company’s allowance for doubtful accounts totaled $0.4 million and $0.3 million, respectively.</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OPERATING LAND LEASE EXPENSE</w:t>
      </w:r>
    </w:p>
    <w:p>
      <w:pPr>
        <w:spacing w:after="0" w:line="224"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 xml:space="preserve">The Company is the lessee under operating land leases for certain of its properties, which leases are classified as operating leases pursuant to FASB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The corresponding lease expense is recognized on a straight-line basis over the term of the lease and is included in real estate expenses in the accompanying consolidated statements of operations.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24"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Cash and cash equivalents include cash on hand, bank demand accounts, and money market accounts having original maturities of 90 days or less. The Company’s bank balances as of September 30, 2022 and December 31, 2021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RESTRICTED CASH</w:t>
      </w:r>
    </w:p>
    <w:p>
      <w:pPr>
        <w:spacing w:after="0" w:line="224" w:lineRule="exact"/>
        <w:rPr>
          <w:sz w:val="20"/>
          <w:szCs w:val="20"/>
          <w:color w:val="auto"/>
        </w:rPr>
      </w:pPr>
    </w:p>
    <w:p>
      <w:pPr>
        <w:jc w:val="both"/>
        <w:ind w:left="40" w:right="59" w:firstLine="426"/>
        <w:spacing w:after="0" w:line="275" w:lineRule="auto"/>
        <w:rPr>
          <w:sz w:val="20"/>
          <w:szCs w:val="20"/>
          <w:color w:val="auto"/>
        </w:rPr>
      </w:pPr>
      <w:r>
        <w:rPr>
          <w:rFonts w:ascii="Times New Roman" w:cs="Times New Roman" w:eastAsia="Times New Roman" w:hAnsi="Times New Roman"/>
          <w:sz w:val="17"/>
          <w:szCs w:val="17"/>
          <w:color w:val="auto"/>
        </w:rPr>
        <w:t>Restricted cash totaled $12.3 million as of September 30, 2022 of which $0.8 million is being held in a capital replacement and leasing commissions reserve account in connection with our financing of six properties and $11.5 million is being held in various escrow accounts to be reinvested through the like-kind exchange structure into other income properties.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DERIVATIVE FINANCIAL INSTRUMENTS AND HEDGING ACTIVITY</w:t>
      </w:r>
    </w:p>
    <w:p>
      <w:pPr>
        <w:spacing w:after="0" w:line="222" w:lineRule="exact"/>
        <w:rPr>
          <w:sz w:val="20"/>
          <w:szCs w:val="20"/>
          <w:color w:val="auto"/>
        </w:rPr>
      </w:pPr>
    </w:p>
    <w:p>
      <w:pPr>
        <w:jc w:val="both"/>
        <w:ind w:left="40" w:right="59" w:firstLine="313"/>
        <w:spacing w:after="0" w:line="266" w:lineRule="auto"/>
        <w:rPr>
          <w:sz w:val="20"/>
          <w:szCs w:val="20"/>
          <w:color w:val="auto"/>
        </w:rPr>
      </w:pPr>
      <w:r>
        <w:rPr>
          <w:rFonts w:ascii="Times New Roman" w:cs="Times New Roman" w:eastAsia="Times New Roman" w:hAnsi="Times New Roman"/>
          <w:sz w:val="17"/>
          <w:szCs w:val="17"/>
          <w:color w:val="auto"/>
        </w:rPr>
        <w:t xml:space="preserve">The Company accounts for its cash flow hedging derivatives in accordance with FASB ASC Topic 815-20,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Hedging</w:t>
      </w:r>
      <w:r>
        <w:rPr>
          <w:rFonts w:ascii="Times New Roman" w:cs="Times New Roman" w:eastAsia="Times New Roman" w:hAnsi="Times New Roman"/>
          <w:sz w:val="17"/>
          <w:szCs w:val="17"/>
          <w:color w:val="auto"/>
        </w:rPr>
        <w:t>. Depending upon the hedge’s value at each balance sheet date, the derivatives are included in either other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70"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70"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10, “Interest Rate Swaps”).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224" w:lineRule="exact"/>
        <w:rPr>
          <w:sz w:val="20"/>
          <w:szCs w:val="20"/>
          <w:color w:val="auto"/>
        </w:rPr>
      </w:pPr>
    </w:p>
    <w:p>
      <w:pPr>
        <w:jc w:val="both"/>
        <w:ind w:left="40" w:right="59" w:firstLine="313"/>
        <w:spacing w:after="0" w:line="260" w:lineRule="auto"/>
        <w:rPr>
          <w:sz w:val="20"/>
          <w:szCs w:val="20"/>
          <w:color w:val="auto"/>
        </w:rPr>
      </w:pPr>
      <w:r>
        <w:rPr>
          <w:rFonts w:ascii="Times New Roman" w:cs="Times New Roman" w:eastAsia="Times New Roman" w:hAnsi="Times New Roman"/>
          <w:sz w:val="17"/>
          <w:szCs w:val="17"/>
          <w:color w:val="auto"/>
        </w:rPr>
        <w:t>The carrying amounts of the Company’s financial assets and liabilities including cash and cash equivalents, restricted cash, accounts receivable included in other assets, accounts payable, and accrued expenses and other liabilities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mortgage note payable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FAIR VALUE MEASUREMENTS</w:t>
      </w:r>
    </w:p>
    <w:p>
      <w:pPr>
        <w:spacing w:after="0" w:line="211"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59" w:lineRule="exact"/>
        <w:rPr>
          <w:sz w:val="20"/>
          <w:szCs w:val="20"/>
          <w:color w:val="auto"/>
        </w:rPr>
      </w:pPr>
    </w:p>
    <w:p>
      <w:pPr>
        <w:ind w:left="700" w:hanging="314"/>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Valuation is based upon quoted prices in active markets for identical assets or liabilities.</w:t>
      </w:r>
    </w:p>
    <w:p>
      <w:pPr>
        <w:spacing w:after="0" w:line="208" w:lineRule="exact"/>
        <w:rPr>
          <w:rFonts w:ascii="Times New Roman" w:cs="Times New Roman" w:eastAsia="Times New Roman" w:hAnsi="Times New Roman"/>
          <w:sz w:val="17"/>
          <w:szCs w:val="17"/>
          <w:color w:val="auto"/>
        </w:rPr>
      </w:pPr>
    </w:p>
    <w:p>
      <w:pPr>
        <w:jc w:val="both"/>
        <w:ind w:left="700" w:right="79" w:hanging="314"/>
        <w:spacing w:after="0" w:line="259" w:lineRule="auto"/>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700" w:right="59" w:hanging="314"/>
        <w:spacing w:after="0" w:line="258" w:lineRule="auto"/>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CONCENTRATION OF CREDIT RISK</w:t>
      </w:r>
    </w:p>
    <w:p>
      <w:pPr>
        <w:spacing w:after="0" w:line="224"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There were no tenants who accounted for more than 10% of total revenues during the nine months ended September 30, 2022. Wells Fargo Bank, NA accounted for 13% of total revenues during the nine months ended September 30, 2021.</w:t>
      </w:r>
    </w:p>
    <w:p>
      <w:pPr>
        <w:spacing w:after="0" w:line="147" w:lineRule="exact"/>
        <w:rPr>
          <w:sz w:val="20"/>
          <w:szCs w:val="20"/>
          <w:color w:val="auto"/>
        </w:rPr>
      </w:pPr>
    </w:p>
    <w:p>
      <w:pPr>
        <w:jc w:val="both"/>
        <w:ind w:left="40" w:right="79" w:firstLine="313"/>
        <w:spacing w:after="0" w:line="294" w:lineRule="auto"/>
        <w:rPr>
          <w:sz w:val="20"/>
          <w:szCs w:val="20"/>
          <w:color w:val="auto"/>
        </w:rPr>
      </w:pPr>
      <w:r>
        <w:rPr>
          <w:rFonts w:ascii="Times New Roman" w:cs="Times New Roman" w:eastAsia="Times New Roman" w:hAnsi="Times New Roman"/>
          <w:sz w:val="17"/>
          <w:szCs w:val="17"/>
          <w:color w:val="auto"/>
        </w:rPr>
        <w:t>As of September 30, 2022 and December 31, 2021, 20% of the Company’s real estate portfolio, based on square footage, was located in the state of Texas.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3. PROPERTY PORTFOLIO</w:t>
      </w:r>
    </w:p>
    <w:p>
      <w:pPr>
        <w:spacing w:after="0" w:line="224"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As of September 30, 2022, the Company’s property portfolio consisted of 146 properties with total square footage of 3.4 million.</w:t>
      </w:r>
    </w:p>
    <w:p>
      <w:pPr>
        <w:spacing w:after="0" w:line="147"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Leasing revenue consists of long-term rental revenue from retail and office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components of leasing revenue are as follows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5"/>
          </w:tcPr>
          <w:p>
            <w:pPr>
              <w:ind w:left="5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40" w:type="dxa"/>
            <w:vAlign w:val="bottom"/>
          </w:tcPr>
          <w:p>
            <w:pPr>
              <w:spacing w:after="0"/>
              <w:rPr>
                <w:sz w:val="19"/>
                <w:szCs w:val="19"/>
                <w:color w:val="auto"/>
              </w:rPr>
            </w:pPr>
          </w:p>
        </w:tc>
        <w:tc>
          <w:tcPr>
            <w:tcW w:w="2240" w:type="dxa"/>
            <w:vAlign w:val="bottom"/>
            <w:gridSpan w:val="3"/>
          </w:tcPr>
          <w:p>
            <w:pPr>
              <w:ind w:left="6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660" w:type="dxa"/>
            <w:vAlign w:val="bottom"/>
          </w:tcPr>
          <w:p>
            <w:pPr>
              <w:spacing w:after="0"/>
              <w:rPr>
                <w:sz w:val="19"/>
                <w:szCs w:val="19"/>
                <w:color w:val="auto"/>
              </w:rPr>
            </w:pPr>
          </w:p>
        </w:tc>
      </w:tr>
      <w:tr>
        <w:trPr>
          <w:trHeight w:val="181"/>
        </w:trPr>
        <w:tc>
          <w:tcPr>
            <w:tcW w:w="26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6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93"/>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ind w:left="4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8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229"/>
        </w:trPr>
        <w:tc>
          <w:tcPr>
            <w:tcW w:w="2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2021</w:t>
            </w:r>
          </w:p>
        </w:tc>
      </w:tr>
      <w:tr>
        <w:trPr>
          <w:trHeight w:val="20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Income</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9"/>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Lease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29,818</w:t>
            </w:r>
          </w:p>
        </w:tc>
        <w:tc>
          <w:tcPr>
            <w:tcW w:w="1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18,850</w:t>
            </w:r>
          </w:p>
        </w:tc>
      </w:tr>
      <w:tr>
        <w:trPr>
          <w:trHeight w:val="209"/>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Variable Lease Payments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w:t>
            </w:r>
          </w:p>
        </w:tc>
      </w:tr>
      <w:tr>
        <w:trPr>
          <w:trHeight w:val="202"/>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Total Lease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8,171</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33,608</w:t>
            </w:r>
          </w:p>
        </w:tc>
        <w:tc>
          <w:tcPr>
            <w:tcW w:w="120" w:type="dxa"/>
            <w:vAlign w:val="bottom"/>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20,658</w:t>
            </w: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40" w:right="59" w:firstLine="313"/>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Minimum Future Rental Receipts. </w:t>
      </w:r>
      <w:r>
        <w:rPr>
          <w:rFonts w:ascii="Times New Roman" w:cs="Times New Roman" w:eastAsia="Times New Roman" w:hAnsi="Times New Roman"/>
          <w:sz w:val="17"/>
          <w:szCs w:val="17"/>
          <w:color w:val="auto"/>
        </w:rPr>
        <w:t>Minimum future rental receipts under non-cancelable operating leases, excluding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percentage rent and other lease payments that are not fixed and determinable, having remaining terms in excess of one year subsequent to September 30, 2022, are summarized as follows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460" w:type="dxa"/>
            <w:vAlign w:val="bottom"/>
          </w:tcPr>
          <w:p>
            <w:pPr>
              <w:spacing w:after="0"/>
              <w:rPr>
                <w:sz w:val="19"/>
                <w:szCs w:val="19"/>
                <w:color w:val="auto"/>
              </w:rPr>
            </w:pPr>
          </w:p>
        </w:tc>
        <w:tc>
          <w:tcPr>
            <w:tcW w:w="190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Amounts</w:t>
            </w:r>
          </w:p>
        </w:tc>
      </w:tr>
      <w:tr>
        <w:trPr>
          <w:trHeight w:val="202"/>
        </w:trPr>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9,684</w:t>
            </w: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38,521</w:t>
            </w: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37,496</w:t>
            </w: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35,882</w:t>
            </w: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34,963</w:t>
            </w: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31,550</w:t>
            </w:r>
          </w:p>
        </w:tc>
      </w:tr>
      <w:tr>
        <w:trPr>
          <w:trHeight w:val="209"/>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 and Thereafter (Cumulative)</w:t>
            </w:r>
          </w:p>
        </w:tc>
        <w:tc>
          <w:tcPr>
            <w:tcW w:w="4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112,277</w:t>
            </w:r>
          </w:p>
        </w:tc>
      </w:tr>
      <w:tr>
        <w:trPr>
          <w:trHeight w:val="202"/>
        </w:trPr>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4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300,373</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40" w:right="59" w:firstLine="313"/>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2022 Activity. </w:t>
      </w:r>
      <w:r>
        <w:rPr>
          <w:rFonts w:ascii="Times New Roman" w:cs="Times New Roman" w:eastAsia="Times New Roman" w:hAnsi="Times New Roman"/>
          <w:sz w:val="17"/>
          <w:szCs w:val="17"/>
          <w:color w:val="auto"/>
        </w:rPr>
        <w:t>During the nine months ended September 30, 2022, the Company acquired 44 properties for a combined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price of $145.7 million, or a total cost of $147.0 million including capitalized acquisition costs. The properties are located in 22 states, leased to 17 different tenants, and had a weighted average remaining lease term of 8.9 years at the time of acquisition. Of the total acquisition cost, $37.0 million was allocated to land, $94.1 million was allocated to buildings and improvements, $17.6 million was allocated to intangible assets pertaining to the in-place lease value, leasing</w:t>
      </w:r>
    </w:p>
    <w:p>
      <w:pPr>
        <w:sectPr>
          <w:pgSz w:w="11900" w:h="16838" w:orient="portrait"/>
          <w:cols w:equalWidth="0" w:num="1">
            <w:col w:w="9019"/>
          </w:cols>
          <w:pgMar w:left="1440" w:top="499"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293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0" w:right="59"/>
        <w:spacing w:after="0" w:line="294" w:lineRule="auto"/>
        <w:rPr>
          <w:sz w:val="20"/>
          <w:szCs w:val="20"/>
          <w:color w:val="auto"/>
        </w:rPr>
      </w:pPr>
      <w:r>
        <w:rPr>
          <w:rFonts w:ascii="Times New Roman" w:cs="Times New Roman" w:eastAsia="Times New Roman" w:hAnsi="Times New Roman"/>
          <w:sz w:val="17"/>
          <w:szCs w:val="17"/>
          <w:color w:val="auto"/>
        </w:rPr>
        <w:t>fees, and above market lease value, and $1.7 million was allocated to intangible liabilities for the below market lease value. The weighted average amortization period for the intangible assets and liabilities was 9.2 years at acquisition.</w:t>
      </w:r>
    </w:p>
    <w:p>
      <w:pPr>
        <w:spacing w:after="0" w:line="147" w:lineRule="exact"/>
        <w:rPr>
          <w:sz w:val="20"/>
          <w:szCs w:val="20"/>
          <w:color w:val="auto"/>
        </w:rPr>
      </w:pPr>
    </w:p>
    <w:p>
      <w:pPr>
        <w:jc w:val="both"/>
        <w:ind w:left="40" w:right="79" w:firstLine="313"/>
        <w:spacing w:after="0" w:line="294" w:lineRule="auto"/>
        <w:rPr>
          <w:sz w:val="20"/>
          <w:szCs w:val="20"/>
          <w:color w:val="auto"/>
        </w:rPr>
      </w:pPr>
      <w:r>
        <w:rPr>
          <w:rFonts w:ascii="Times New Roman" w:cs="Times New Roman" w:eastAsia="Times New Roman" w:hAnsi="Times New Roman"/>
          <w:sz w:val="17"/>
          <w:szCs w:val="17"/>
          <w:color w:val="auto"/>
        </w:rPr>
        <w:t>During the nine months ended September 30, 2022, the Company sold 11 properties for an aggregate sales price of $123.3 million, generating aggregate gains on sale of $27.2 million.</w:t>
      </w:r>
    </w:p>
    <w:p>
      <w:pPr>
        <w:spacing w:after="0" w:line="80" w:lineRule="exact"/>
        <w:rPr>
          <w:sz w:val="20"/>
          <w:szCs w:val="20"/>
          <w:color w:val="auto"/>
        </w:rPr>
      </w:pPr>
    </w:p>
    <w:p>
      <w:pPr>
        <w:jc w:val="both"/>
        <w:ind w:left="40" w:right="59" w:firstLine="313"/>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2021 Activity. </w:t>
      </w:r>
      <w:r>
        <w:rPr>
          <w:rFonts w:ascii="Times New Roman" w:cs="Times New Roman" w:eastAsia="Times New Roman" w:hAnsi="Times New Roman"/>
          <w:sz w:val="17"/>
          <w:szCs w:val="17"/>
          <w:color w:val="auto"/>
        </w:rPr>
        <w:t>During the nine months ended September 30, 2021, the Company acquired 42 properties for a combined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price of $158.7 million, or a total cost of $160.0 million including capitalized acquisition costs. Of the total acquisition cost, $52.1 million was allocated to land, $89.6 million was allocated to buildings and improvements, $20.5 million was allocated to intangible assets pertaining to the in-place lease value, leasing fees, and above market lease value, and $2.2 million was allocated to intangible liabilities for the below market lease value. The weighted average amortization period for the intangible assets and liabilities was 8.4 years at acquisition.</w:t>
      </w:r>
    </w:p>
    <w:p>
      <w:pPr>
        <w:spacing w:after="0" w:line="172"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During the nine months ended September 30, 2021, the Company sold one property for a sales price of $3.8 million, generating a gain of $0.5 million.</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4. FAIR VALUE OF FINANCIAL INSTRUMENTS</w:t>
      </w:r>
    </w:p>
    <w:p>
      <w:pPr>
        <w:spacing w:after="0" w:line="211" w:lineRule="exact"/>
        <w:rPr>
          <w:sz w:val="20"/>
          <w:szCs w:val="20"/>
          <w:color w:val="auto"/>
        </w:rPr>
      </w:pPr>
    </w:p>
    <w:p>
      <w:pPr>
        <w:jc w:val="both"/>
        <w:ind w:left="40" w:right="59" w:firstLine="313"/>
        <w:spacing w:after="0" w:line="278" w:lineRule="auto"/>
        <w:rPr>
          <w:sz w:val="20"/>
          <w:szCs w:val="20"/>
          <w:color w:val="auto"/>
        </w:rPr>
      </w:pPr>
      <w:r>
        <w:rPr>
          <w:rFonts w:ascii="Times New Roman" w:cs="Times New Roman" w:eastAsia="Times New Roman" w:hAnsi="Times New Roman"/>
          <w:sz w:val="17"/>
          <w:szCs w:val="17"/>
          <w:color w:val="auto"/>
        </w:rPr>
        <w:t>The following table presents the carrying value and estimated fair value of the Company’s financial instruments not carried at fair value on the consolidated balance sheets at September 30, 2022 and December 31, 2021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20" w:type="dxa"/>
            <w:vAlign w:val="bottom"/>
          </w:tcPr>
          <w:p>
            <w:pPr>
              <w:spacing w:after="0"/>
              <w:rPr>
                <w:sz w:val="19"/>
                <w:szCs w:val="19"/>
                <w:color w:val="auto"/>
              </w:rPr>
            </w:pPr>
          </w:p>
        </w:tc>
        <w:tc>
          <w:tcPr>
            <w:tcW w:w="2820" w:type="dxa"/>
            <w:vAlign w:val="bottom"/>
            <w:gridSpan w:val="4"/>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181"/>
        </w:trPr>
        <w:tc>
          <w:tcPr>
            <w:tcW w:w="3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ind w:left="100"/>
              <w:spacing w:after="0" w:line="181" w:lineRule="exact"/>
              <w:rPr>
                <w:sz w:val="20"/>
                <w:szCs w:val="20"/>
                <w:color w:val="auto"/>
              </w:rPr>
            </w:pPr>
            <w:r>
              <w:rPr>
                <w:rFonts w:ascii="Times New Roman" w:cs="Times New Roman" w:eastAsia="Times New Roman" w:hAnsi="Times New Roman"/>
                <w:sz w:val="17"/>
                <w:szCs w:val="17"/>
                <w:b w:val="1"/>
                <w:bCs w:val="1"/>
                <w:color w:val="auto"/>
              </w:rPr>
              <w:t>Estimated</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33"/>
              <w:spacing w:after="0" w:line="181" w:lineRule="exact"/>
              <w:rPr>
                <w:sz w:val="20"/>
                <w:szCs w:val="20"/>
                <w:color w:val="auto"/>
              </w:rPr>
            </w:pPr>
            <w:r>
              <w:rPr>
                <w:rFonts w:ascii="Times New Roman" w:cs="Times New Roman" w:eastAsia="Times New Roman" w:hAnsi="Times New Roman"/>
                <w:sz w:val="17"/>
                <w:szCs w:val="17"/>
                <w:b w:val="1"/>
                <w:bCs w:val="1"/>
                <w:color w:val="auto"/>
              </w:rPr>
              <w:t>Estimated</w:t>
            </w:r>
          </w:p>
        </w:tc>
      </w:tr>
      <w:tr>
        <w:trPr>
          <w:trHeight w:val="229"/>
        </w:trPr>
        <w:tc>
          <w:tcPr>
            <w:tcW w:w="310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0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0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02"/>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 Level 1</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8,851</w:t>
            </w:r>
          </w:p>
        </w:tc>
      </w:tr>
      <w:tr>
        <w:trPr>
          <w:trHeight w:val="209"/>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 - Level 1</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12,319</w:t>
            </w:r>
          </w:p>
        </w:tc>
        <w:tc>
          <w:tcPr>
            <w:tcW w:w="18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8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 Level 2</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267,740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272,637</w:t>
            </w:r>
          </w:p>
        </w:tc>
      </w:tr>
    </w:tbl>
    <w:p>
      <w:pPr>
        <w:spacing w:after="0" w:line="177" w:lineRule="exact"/>
        <w:rPr>
          <w:sz w:val="20"/>
          <w:szCs w:val="20"/>
          <w:color w:val="auto"/>
        </w:rPr>
      </w:pPr>
    </w:p>
    <w:p>
      <w:pPr>
        <w:jc w:val="both"/>
        <w:ind w:left="40" w:right="59" w:firstLine="313"/>
        <w:spacing w:after="0" w:line="243" w:lineRule="auto"/>
        <w:rPr>
          <w:sz w:val="20"/>
          <w:szCs w:val="20"/>
          <w:color w:val="auto"/>
        </w:rPr>
      </w:pPr>
      <w:r>
        <w:rPr>
          <w:rFonts w:ascii="Times New Roman" w:cs="Times New Roman" w:eastAsia="Times New Roman" w:hAnsi="Times New Roman"/>
          <w:sz w:val="17"/>
          <w:szCs w:val="17"/>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76" w:lineRule="exact"/>
        <w:rPr>
          <w:sz w:val="20"/>
          <w:szCs w:val="20"/>
          <w:color w:val="auto"/>
        </w:rPr>
      </w:pPr>
    </w:p>
    <w:p>
      <w:pPr>
        <w:jc w:val="both"/>
        <w:ind w:left="40" w:right="59" w:firstLine="313"/>
        <w:spacing w:after="0" w:line="243" w:lineRule="auto"/>
        <w:rPr>
          <w:sz w:val="20"/>
          <w:szCs w:val="20"/>
          <w:color w:val="auto"/>
        </w:rPr>
      </w:pPr>
      <w:r>
        <w:rPr>
          <w:rFonts w:ascii="Times New Roman" w:cs="Times New Roman" w:eastAsia="Times New Roman" w:hAnsi="Times New Roman"/>
          <w:sz w:val="17"/>
          <w:szCs w:val="17"/>
          <w:color w:val="auto"/>
        </w:rPr>
        <w:t>The following tables present the fair value of assets measured on a recurring basis by level as of September 30, 2022 and December 31, 2021 (in thousands). See Note 10, “Interest Rate Swaps” for further disclosure related to the Company’s interest rate swaps.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7"/>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Fair Value at Reporting Date Using</w:t>
            </w:r>
          </w:p>
        </w:tc>
      </w:tr>
      <w:tr>
        <w:trPr>
          <w:trHeight w:val="181"/>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160"/>
              <w:spacing w:after="0" w:line="181" w:lineRule="exact"/>
              <w:rPr>
                <w:sz w:val="20"/>
                <w:szCs w:val="20"/>
                <w:color w:val="auto"/>
              </w:rPr>
            </w:pPr>
            <w:r>
              <w:rPr>
                <w:rFonts w:ascii="Times New Roman" w:cs="Times New Roman" w:eastAsia="Times New Roman" w:hAnsi="Times New Roman"/>
                <w:sz w:val="17"/>
                <w:szCs w:val="17"/>
                <w:b w:val="1"/>
                <w:bCs w:val="1"/>
                <w:color w:val="auto"/>
              </w:rPr>
              <w:t>Quoted Prices in</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Active Markets</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Other</w:t>
            </w:r>
          </w:p>
        </w:tc>
        <w:tc>
          <w:tcPr>
            <w:tcW w:w="120" w:type="dxa"/>
            <w:vAlign w:val="bottom"/>
          </w:tcPr>
          <w:p>
            <w:pPr>
              <w:spacing w:after="0"/>
              <w:rPr>
                <w:sz w:val="18"/>
                <w:szCs w:val="18"/>
                <w:color w:val="auto"/>
              </w:rPr>
            </w:pP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Significant</w:t>
            </w: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for Identical</w:t>
            </w:r>
          </w:p>
        </w:tc>
        <w:tc>
          <w:tcPr>
            <w:tcW w:w="1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1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Unobservable</w:t>
            </w: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Inputs (Level 3)</w:t>
            </w:r>
          </w:p>
        </w:tc>
      </w:tr>
      <w:tr>
        <w:trPr>
          <w:trHeight w:val="202"/>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09"/>
        </w:trPr>
        <w:tc>
          <w:tcPr>
            <w:tcW w:w="3380" w:type="dxa"/>
            <w:vAlign w:val="bottom"/>
          </w:tcPr>
          <w:p>
            <w:pPr>
              <w:ind w:left="320"/>
              <w:spacing w:after="0" w:line="209" w:lineRule="exact"/>
              <w:rPr>
                <w:sz w:val="20"/>
                <w:szCs w:val="20"/>
                <w:color w:val="auto"/>
              </w:rPr>
            </w:pPr>
            <w:r>
              <w:rPr>
                <w:rFonts w:ascii="Times New Roman" w:cs="Times New Roman" w:eastAsia="Times New Roman" w:hAnsi="Times New Roman"/>
                <w:sz w:val="16"/>
                <w:szCs w:val="16"/>
                <w:color w:val="auto"/>
              </w:rPr>
              <w:t xml:space="preserve">2026 Term Loan Interest Rate Swap </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3380" w:type="dxa"/>
            <w:vAlign w:val="bottom"/>
            <w:shd w:val="clear" w:color="auto" w:fill="CCEEFF"/>
          </w:tcPr>
          <w:p>
            <w:pPr>
              <w:ind w:left="320"/>
              <w:spacing w:after="0" w:line="209" w:lineRule="exact"/>
              <w:rPr>
                <w:sz w:val="20"/>
                <w:szCs w:val="20"/>
                <w:color w:val="auto"/>
              </w:rPr>
            </w:pPr>
            <w:r>
              <w:rPr>
                <w:rFonts w:ascii="Times New Roman" w:cs="Times New Roman" w:eastAsia="Times New Roman" w:hAnsi="Times New Roman"/>
                <w:sz w:val="16"/>
                <w:szCs w:val="16"/>
                <w:color w:val="auto"/>
              </w:rPr>
              <w:t xml:space="preserve">2027 Term Loan Interest Rate Swap </w:t>
            </w:r>
            <w:r>
              <w:rPr>
                <w:rFonts w:ascii="Times New Roman" w:cs="Times New Roman" w:eastAsia="Times New Roman" w:hAnsi="Times New Roman"/>
                <w:sz w:val="24"/>
                <w:szCs w:val="24"/>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9"/>
        </w:trPr>
        <w:tc>
          <w:tcPr>
            <w:tcW w:w="3380" w:type="dxa"/>
            <w:vAlign w:val="bottom"/>
            <w:shd w:val="clear" w:color="auto" w:fill="CCEEFF"/>
          </w:tcPr>
          <w:p>
            <w:pPr>
              <w:ind w:left="320"/>
              <w:spacing w:after="0" w:line="209" w:lineRule="exact"/>
              <w:rPr>
                <w:sz w:val="20"/>
                <w:szCs w:val="20"/>
                <w:color w:val="auto"/>
              </w:rPr>
            </w:pPr>
            <w:r>
              <w:rPr>
                <w:rFonts w:ascii="Times New Roman" w:cs="Times New Roman" w:eastAsia="Times New Roman" w:hAnsi="Times New Roman"/>
                <w:sz w:val="16"/>
                <w:szCs w:val="16"/>
                <w:color w:val="auto"/>
              </w:rPr>
              <w:t xml:space="preserve">2026 Term Loan Interest Rate Swap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42"/>
        </w:trPr>
        <w:tc>
          <w:tcPr>
            <w:tcW w:w="3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xml:space="preserve">2027 Term Loan Interest Rate Swap </w:t>
            </w:r>
            <w:r>
              <w:rPr>
                <w:rFonts w:ascii="Times New Roman" w:cs="Times New Roman" w:eastAsia="Times New Roman" w:hAnsi="Times New Roman"/>
                <w:sz w:val="26"/>
                <w:szCs w:val="26"/>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-18415</wp:posOffset>
            </wp:positionV>
            <wp:extent cx="14160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19" w:lineRule="exact"/>
        <w:rPr>
          <w:sz w:val="20"/>
          <w:szCs w:val="20"/>
          <w:color w:val="auto"/>
        </w:rPr>
      </w:pPr>
    </w:p>
    <w:p>
      <w:pPr>
        <w:jc w:val="both"/>
        <w:ind w:left="360" w:right="79" w:hanging="313"/>
        <w:spacing w:after="0" w:line="221" w:lineRule="auto"/>
        <w:tabs>
          <w:tab w:leader="none" w:pos="36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As of September 30, 2022, the Company has utilized interest rate swaps to fix SOFR and achieve a weighted average fixed interest rate of 2.05% plus 0.10% and the applicable spread on the $100 million 2026 Term Loan (hereinafter defined) balance. See Note 10, “Interest Rate Swaps” for further disclosure related to the Company’s interest rate swaps.</w:t>
      </w:r>
    </w:p>
    <w:p>
      <w:pPr>
        <w:spacing w:after="0" w:line="1" w:lineRule="exact"/>
        <w:rPr>
          <w:rFonts w:ascii="Times New Roman" w:cs="Times New Roman" w:eastAsia="Times New Roman" w:hAnsi="Times New Roman"/>
          <w:sz w:val="10"/>
          <w:szCs w:val="10"/>
          <w:color w:val="auto"/>
        </w:rPr>
      </w:pPr>
    </w:p>
    <w:p>
      <w:pPr>
        <w:jc w:val="both"/>
        <w:ind w:left="360" w:right="79" w:hanging="313"/>
        <w:spacing w:after="0" w:line="224" w:lineRule="auto"/>
        <w:tabs>
          <w:tab w:leader="none" w:pos="36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As of September 30, 2022, the Company has utilized interest rate swaps to fix SOFR and achieve a weighted average fixed interest rate of 1.18% plus 0.10% and the applicable spread on the $100 million 2027 Term Loan (hereinafter defined) balance. See Note 10, “Interest Rate Swaps” for further disclosure related to the Company’s interest rate swaps.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293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5. INTANGIBLE ASSETS AND LIABILITIES</w:t>
      </w:r>
    </w:p>
    <w:p>
      <w:pPr>
        <w:spacing w:after="0" w:line="224"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September 30, 2022 and December 31, 2021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40" w:type="dxa"/>
            <w:vAlign w:val="bottom"/>
          </w:tcPr>
          <w:p>
            <w:pPr>
              <w:spacing w:after="0"/>
              <w:rPr>
                <w:sz w:val="17"/>
                <w:szCs w:val="17"/>
                <w:color w:val="auto"/>
              </w:rPr>
            </w:pPr>
          </w:p>
        </w:tc>
        <w:tc>
          <w:tcPr>
            <w:tcW w:w="164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0" w:type="dxa"/>
            <w:vAlign w:val="bottom"/>
          </w:tcPr>
          <w:p>
            <w:pPr>
              <w:spacing w:after="0"/>
              <w:rPr>
                <w:sz w:val="17"/>
                <w:szCs w:val="17"/>
                <w:color w:val="auto"/>
              </w:rPr>
            </w:pPr>
          </w:p>
        </w:tc>
      </w:tr>
      <w:tr>
        <w:trPr>
          <w:trHeight w:val="202"/>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Lease Assets:</w:t>
            </w:r>
          </w:p>
        </w:tc>
        <w:tc>
          <w:tcPr>
            <w:tcW w:w="1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Value of In-Place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48,098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45,301</w:t>
            </w:r>
          </w:p>
        </w:tc>
        <w:tc>
          <w:tcPr>
            <w:tcW w:w="20" w:type="dxa"/>
            <w:vAlign w:val="bottom"/>
          </w:tcPr>
          <w:p>
            <w:pPr>
              <w:spacing w:after="0"/>
              <w:rPr>
                <w:sz w:val="18"/>
                <w:szCs w:val="18"/>
                <w:color w:val="auto"/>
              </w:rPr>
            </w:pPr>
          </w:p>
        </w:tc>
      </w:tr>
      <w:tr>
        <w:trPr>
          <w:trHeight w:val="209"/>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Value of Above Market In-Place Leases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3,623</w:t>
            </w:r>
          </w:p>
        </w:tc>
        <w:tc>
          <w:tcPr>
            <w:tcW w:w="20" w:type="dxa"/>
            <w:vAlign w:val="bottom"/>
          </w:tcPr>
          <w:p>
            <w:pPr>
              <w:spacing w:after="0"/>
              <w:rPr>
                <w:sz w:val="18"/>
                <w:szCs w:val="18"/>
                <w:color w:val="auto"/>
              </w:rPr>
            </w:pPr>
          </w:p>
        </w:tc>
      </w:tr>
      <w:tr>
        <w:trPr>
          <w:trHeight w:val="209"/>
        </w:trPr>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Value of Intangible Leasing Costs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19,066</w:t>
            </w:r>
          </w:p>
        </w:tc>
        <w:tc>
          <w:tcPr>
            <w:tcW w:w="20" w:type="dxa"/>
            <w:vAlign w:val="bottom"/>
          </w:tcPr>
          <w:p>
            <w:pPr>
              <w:spacing w:after="0"/>
              <w:rPr>
                <w:sz w:val="18"/>
                <w:szCs w:val="18"/>
                <w:color w:val="auto"/>
              </w:rPr>
            </w:pPr>
          </w:p>
        </w:tc>
      </w:tr>
      <w:tr>
        <w:trPr>
          <w:trHeight w:val="202"/>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Sub-total Intangible Lease Assets</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71,927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67,990</w:t>
            </w:r>
          </w:p>
        </w:tc>
        <w:tc>
          <w:tcPr>
            <w:tcW w:w="20" w:type="dxa"/>
            <w:vAlign w:val="bottom"/>
          </w:tcPr>
          <w:p>
            <w:pPr>
              <w:spacing w:after="0"/>
              <w:rPr>
                <w:sz w:val="17"/>
                <w:szCs w:val="17"/>
                <w:color w:val="auto"/>
              </w:rPr>
            </w:pPr>
          </w:p>
        </w:tc>
      </w:tr>
      <w:tr>
        <w:trPr>
          <w:trHeight w:val="209"/>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(12,334)</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(9,169)</w:t>
            </w:r>
          </w:p>
        </w:tc>
        <w:tc>
          <w:tcPr>
            <w:tcW w:w="20" w:type="dxa"/>
            <w:vAlign w:val="bottom"/>
          </w:tcPr>
          <w:p>
            <w:pPr>
              <w:spacing w:after="0"/>
              <w:rPr>
                <w:sz w:val="18"/>
                <w:szCs w:val="18"/>
                <w:color w:val="auto"/>
              </w:rPr>
            </w:pPr>
          </w:p>
        </w:tc>
      </w:tr>
      <w:tr>
        <w:trPr>
          <w:trHeight w:val="202"/>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Sub-total Intangible Lease Assets—Net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59,593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58,821</w:t>
            </w:r>
          </w:p>
        </w:tc>
        <w:tc>
          <w:tcPr>
            <w:tcW w:w="20" w:type="dxa"/>
            <w:vAlign w:val="bottom"/>
          </w:tcPr>
          <w:p>
            <w:pPr>
              <w:spacing w:after="0"/>
              <w:rPr>
                <w:sz w:val="17"/>
                <w:szCs w:val="17"/>
                <w:color w:val="auto"/>
              </w:rPr>
            </w:pPr>
          </w:p>
        </w:tc>
      </w:tr>
      <w:tr>
        <w:trPr>
          <w:trHeight w:val="20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Intangible Lease Liabilities:</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Value of Below Market In-Place Leases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(5,918)</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(6,397)</w:t>
            </w:r>
          </w:p>
        </w:tc>
        <w:tc>
          <w:tcPr>
            <w:tcW w:w="20" w:type="dxa"/>
            <w:vAlign w:val="bottom"/>
          </w:tcPr>
          <w:p>
            <w:pPr>
              <w:spacing w:after="0"/>
              <w:rPr>
                <w:sz w:val="18"/>
                <w:szCs w:val="18"/>
                <w:color w:val="auto"/>
              </w:rPr>
            </w:pPr>
          </w:p>
        </w:tc>
      </w:tr>
      <w:tr>
        <w:trPr>
          <w:trHeight w:val="202"/>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 Intangible Lease Liabilities</w:t>
            </w: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(5,918)</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(6,397)</w:t>
            </w:r>
          </w:p>
        </w:tc>
        <w:tc>
          <w:tcPr>
            <w:tcW w:w="20" w:type="dxa"/>
            <w:vAlign w:val="bottom"/>
          </w:tcPr>
          <w:p>
            <w:pPr>
              <w:spacing w:after="0"/>
              <w:rPr>
                <w:sz w:val="17"/>
                <w:szCs w:val="17"/>
                <w:color w:val="auto"/>
              </w:rPr>
            </w:pPr>
          </w:p>
        </w:tc>
      </w:tr>
      <w:tr>
        <w:trPr>
          <w:trHeight w:val="20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20" w:type="dxa"/>
            <w:vAlign w:val="bottom"/>
          </w:tcPr>
          <w:p>
            <w:pPr>
              <w:spacing w:after="0"/>
              <w:rPr>
                <w:sz w:val="18"/>
                <w:szCs w:val="18"/>
                <w:color w:val="auto"/>
              </w:rPr>
            </w:pPr>
          </w:p>
        </w:tc>
      </w:tr>
      <w:tr>
        <w:trPr>
          <w:trHeight w:val="202"/>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Sub-total Intangible Lease Liabilities—Net</w:t>
            </w: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(5,008)</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(5,476)</w:t>
            </w:r>
          </w:p>
        </w:tc>
        <w:tc>
          <w:tcPr>
            <w:tcW w:w="20" w:type="dxa"/>
            <w:vAlign w:val="bottom"/>
          </w:tcPr>
          <w:p>
            <w:pPr>
              <w:spacing w:after="0"/>
              <w:rPr>
                <w:sz w:val="17"/>
                <w:szCs w:val="17"/>
                <w:color w:val="auto"/>
              </w:rPr>
            </w:pPr>
          </w:p>
        </w:tc>
      </w:tr>
      <w:tr>
        <w:trPr>
          <w:trHeight w:val="202"/>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Intangible Assets and Liabilities—Net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54,585</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53,345</w:t>
            </w:r>
          </w:p>
        </w:tc>
        <w:tc>
          <w:tcPr>
            <w:tcW w:w="2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following table reflects the net amortization of intangible assets and liabilities during the three and nine months ended</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September 30, 2022 and 2021 (in thousands):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5"/>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Pr>
          <w:p>
            <w:pPr>
              <w:spacing w:after="0"/>
              <w:rPr>
                <w:sz w:val="19"/>
                <w:szCs w:val="19"/>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3"/>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5"/>
                <w:szCs w:val="15"/>
                <w:color w:val="auto"/>
              </w:rPr>
            </w:pPr>
          </w:p>
        </w:tc>
        <w:tc>
          <w:tcPr>
            <w:tcW w:w="1320" w:type="dxa"/>
            <w:vAlign w:val="bottom"/>
            <w:tcBorders>
              <w:top w:val="single" w:sz="8" w:color="auto"/>
            </w:tcBorders>
            <w:gridSpan w:val="3"/>
          </w:tcPr>
          <w:p>
            <w:pPr>
              <w:jc w:val="right"/>
              <w:ind w:right="18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Accretion to Properties Revenue</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(77)</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6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Net Amortization of Intangible Assets and</w:t>
            </w: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6,236</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40" w:right="59" w:firstLine="313"/>
        <w:spacing w:after="0" w:line="267" w:lineRule="auto"/>
        <w:rPr>
          <w:sz w:val="20"/>
          <w:szCs w:val="20"/>
          <w:color w:val="auto"/>
        </w:rPr>
      </w:pPr>
      <w:r>
        <w:rPr>
          <w:rFonts w:ascii="Times New Roman" w:cs="Times New Roman" w:eastAsia="Times New Roman" w:hAnsi="Times New Roman"/>
          <w:sz w:val="17"/>
          <w:szCs w:val="17"/>
          <w:color w:val="auto"/>
        </w:rPr>
        <w:t>The estimated future amortization expense (income) related to net intangible assets and liabilities is as follows (in thousands):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Net Future</w:t>
            </w:r>
          </w:p>
        </w:tc>
      </w:tr>
      <w:tr>
        <w:trPr>
          <w:trHeight w:val="209"/>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Amortization of</w:t>
            </w:r>
          </w:p>
        </w:tc>
      </w:tr>
      <w:tr>
        <w:trPr>
          <w:trHeight w:val="209"/>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Future Amortization</w:t>
            </w:r>
          </w:p>
        </w:tc>
        <w:tc>
          <w:tcPr>
            <w:tcW w:w="1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Future Accretion to</w:t>
            </w:r>
          </w:p>
        </w:tc>
        <w:tc>
          <w:tcPr>
            <w:tcW w:w="100" w:type="dxa"/>
            <w:vAlign w:val="bottom"/>
          </w:tcPr>
          <w:p>
            <w:pPr>
              <w:spacing w:after="0"/>
              <w:rPr>
                <w:sz w:val="18"/>
                <w:szCs w:val="18"/>
                <w:color w:val="auto"/>
              </w:rPr>
            </w:pPr>
          </w:p>
        </w:tc>
        <w:tc>
          <w:tcPr>
            <w:tcW w:w="170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Intangible Assets and</w:t>
            </w:r>
          </w:p>
        </w:tc>
      </w:tr>
      <w:tr>
        <w:trPr>
          <w:trHeight w:val="229"/>
        </w:trPr>
        <w:tc>
          <w:tcPr>
            <w:tcW w:w="3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100" w:type="dxa"/>
            <w:vAlign w:val="bottom"/>
          </w:tcPr>
          <w:p>
            <w:pPr>
              <w:spacing w:after="0"/>
              <w:rPr>
                <w:sz w:val="19"/>
                <w:szCs w:val="19"/>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Expense</w:t>
            </w:r>
          </w:p>
        </w:tc>
        <w:tc>
          <w:tcPr>
            <w:tcW w:w="140" w:type="dxa"/>
            <w:vAlign w:val="bottom"/>
          </w:tcPr>
          <w:p>
            <w:pPr>
              <w:spacing w:after="0"/>
              <w:rPr>
                <w:sz w:val="19"/>
                <w:szCs w:val="19"/>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Property Revenue</w:t>
            </w:r>
          </w:p>
        </w:tc>
        <w:tc>
          <w:tcPr>
            <w:tcW w:w="100" w:type="dxa"/>
            <w:vAlign w:val="bottom"/>
          </w:tcPr>
          <w:p>
            <w:pPr>
              <w:spacing w:after="0"/>
              <w:rPr>
                <w:sz w:val="19"/>
                <w:szCs w:val="19"/>
                <w:color w:val="auto"/>
              </w:rPr>
            </w:pPr>
          </w:p>
        </w:tc>
        <w:tc>
          <w:tcPr>
            <w:tcW w:w="170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Liabilities</w:t>
            </w:r>
          </w:p>
        </w:tc>
      </w:tr>
      <w:tr>
        <w:trPr>
          <w:trHeight w:val="202"/>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w:t>
            </w: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8,286</w:t>
            </w:r>
          </w:p>
        </w:tc>
      </w:tr>
      <w:tr>
        <w:trPr>
          <w:trHeight w:val="20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7,939</w:t>
            </w: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7,313</w:t>
            </w:r>
          </w:p>
        </w:tc>
      </w:tr>
      <w:tr>
        <w:trPr>
          <w:trHeight w:val="20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6,695</w:t>
            </w: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5,179</w:t>
            </w:r>
          </w:p>
        </w:tc>
      </w:tr>
      <w:tr>
        <w:trPr>
          <w:trHeight w:val="20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 and Thereafter</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17,050</w:t>
            </w:r>
          </w:p>
        </w:tc>
      </w:tr>
      <w:tr>
        <w:trPr>
          <w:trHeight w:val="202"/>
        </w:trPr>
        <w:tc>
          <w:tcPr>
            <w:tcW w:w="3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56,167</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(1,582)</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54,585</w:t>
            </w:r>
          </w:p>
        </w:tc>
      </w:tr>
      <w:tr>
        <w:trPr>
          <w:trHeight w:val="20"/>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As of September 30, 2022, the weighted average amortization period of both the total intangible assets and liabilities was 9.0 years.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NOTE 6. OTHER ASSETS</w:t>
            </w:r>
          </w:p>
        </w:tc>
        <w:tc>
          <w:tcPr>
            <w:tcW w:w="37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36"/>
        </w:trPr>
        <w:tc>
          <w:tcPr>
            <w:tcW w:w="580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Other assets consisted of the following (in thousands):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0"/>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900" w:type="dxa"/>
            <w:vAlign w:val="bottom"/>
            <w:tcBorders>
              <w:bottom w:val="single" w:sz="8" w:color="auto"/>
            </w:tcBorders>
          </w:tcPr>
          <w:p>
            <w:pPr>
              <w:spacing w:after="0"/>
              <w:rPr>
                <w:sz w:val="24"/>
                <w:szCs w:val="24"/>
                <w:color w:val="auto"/>
              </w:rPr>
            </w:pPr>
          </w:p>
        </w:tc>
      </w:tr>
      <w:tr>
        <w:trPr>
          <w:trHeight w:val="202"/>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02"/>
        </w:trPr>
        <w:tc>
          <w:tcPr>
            <w:tcW w:w="5800" w:type="dxa"/>
            <w:vAlign w:val="bottom"/>
            <w:tcBorders>
              <w:top w:val="single" w:sz="8" w:color="CCEE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 xml:space="preserve">Tenant Receivables—Net of Allowance for Doubtful Accounts </w:t>
            </w:r>
            <w:r>
              <w:rPr>
                <w:rFonts w:ascii="Times New Roman" w:cs="Times New Roman" w:eastAsia="Times New Roman" w:hAnsi="Times New Roman"/>
                <w:sz w:val="23"/>
                <w:szCs w:val="23"/>
                <w:color w:val="auto"/>
                <w:vertAlign w:val="superscript"/>
              </w:rPr>
              <w:t>(1)</w:t>
            </w: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r>
      <w:tr>
        <w:trPr>
          <w:trHeight w:val="209"/>
        </w:trPr>
        <w:tc>
          <w:tcPr>
            <w:tcW w:w="5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Prepaid Insurance</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r>
      <w:tr>
        <w:trPr>
          <w:trHeight w:val="209"/>
        </w:trPr>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Deposits on Acquisitions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09"/>
        </w:trPr>
        <w:tc>
          <w:tcPr>
            <w:tcW w:w="5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Prepaid Expenses, Deposits, and Other</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w:t>
            </w:r>
          </w:p>
        </w:tc>
      </w:tr>
      <w:tr>
        <w:trPr>
          <w:trHeight w:val="209"/>
        </w:trPr>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Financing Costs—Net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09"/>
        </w:trPr>
        <w:tc>
          <w:tcPr>
            <w:tcW w:w="5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Interest Rate Swaps</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15,765</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w:t>
            </w:r>
          </w:p>
        </w:tc>
      </w:tr>
      <w:tr>
        <w:trPr>
          <w:trHeight w:val="209"/>
        </w:trPr>
        <w:tc>
          <w:tcPr>
            <w:tcW w:w="5800" w:type="dxa"/>
            <w:vAlign w:val="bottom"/>
            <w:gridSpan w:val="3"/>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 xml:space="preserve">Operating Leases - Right-of-Use Asset </w:t>
            </w:r>
            <w:r>
              <w:rPr>
                <w:rFonts w:ascii="Times New Roman" w:cs="Times New Roman" w:eastAsia="Times New Roman" w:hAnsi="Times New Roman"/>
                <w:sz w:val="24"/>
                <w:szCs w:val="24"/>
                <w:color w:val="auto"/>
                <w:vertAlign w:val="superscript"/>
              </w:rPr>
              <w:t>(2)</w:t>
            </w: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Other Assets</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22,719</w:t>
            </w:r>
          </w:p>
        </w:tc>
        <w:tc>
          <w:tcPr>
            <w:tcW w:w="140" w:type="dxa"/>
            <w:vAlign w:val="bottom"/>
          </w:tcPr>
          <w:p>
            <w:pPr>
              <w:spacing w:after="0"/>
              <w:rPr>
                <w:sz w:val="17"/>
                <w:szCs w:val="17"/>
                <w:color w:val="auto"/>
              </w:rPr>
            </w:pPr>
          </w:p>
        </w:tc>
        <w:tc>
          <w:tcPr>
            <w:tcW w:w="6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6,369</w:t>
            </w:r>
          </w:p>
        </w:tc>
      </w:tr>
      <w:tr>
        <w:trPr>
          <w:trHeight w:val="20"/>
        </w:trPr>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3"/>
        </w:trPr>
        <w:tc>
          <w:tcPr>
            <w:tcW w:w="20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54" w:lineRule="exact"/>
        <w:rPr>
          <w:sz w:val="20"/>
          <w:szCs w:val="20"/>
          <w:color w:val="auto"/>
        </w:rPr>
      </w:pPr>
    </w:p>
    <w:p>
      <w:pPr>
        <w:ind w:left="360" w:hanging="313"/>
        <w:spacing w:after="0"/>
        <w:tabs>
          <w:tab w:leader="none" w:pos="36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Includes a $0.4 million and $0.3 million allowance for doubtful accounts as of September 30, 2022 and December 31, 2021, respectively.</w:t>
      </w:r>
    </w:p>
    <w:p>
      <w:pPr>
        <w:ind w:left="360" w:hanging="313"/>
        <w:spacing w:after="0"/>
        <w:tabs>
          <w:tab w:leader="none" w:pos="36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See Note 7, “Operating Land Leases” for further disclosure related to the Company’s right-of-use asset balance as of September 30, 2022.</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7. OPERATING LAND LEASES</w:t>
      </w:r>
    </w:p>
    <w:p>
      <w:pPr>
        <w:spacing w:after="0" w:line="222"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color w:val="auto"/>
        </w:rPr>
        <w:t xml:space="preserve">The Company is the lessee under operating land leases for certain of its properties. FASB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requires a lessee to recognize right-of-use assets and lease liabilities that arise from leases, whether qualifying as an operating or finance lease. As of September 30, 2022, the Company’s right-of-use assets and corresponding lease liabilities totaled $1.7 million,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77"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70"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Amortization of right-of-use assets for operating land leases is recognized on a straight-line basis over the term of the lease and is included within real estate expenses in the consolidated statements of operations. Amortization totaled $0.1 million during the three and nine months ended September 30, 2022, with no such expense recognized during the three or nine months ended September 30, 2021.</w:t>
      </w:r>
    </w:p>
    <w:p>
      <w:pPr>
        <w:spacing w:after="0" w:line="157"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color w:val="auto"/>
        </w:rPr>
        <w:t>The following table reflects a summary of operating land leases, under which the Company is the lessee, for the three and nine months ended September 30, 2022 and 2021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1"/>
        </w:trPr>
        <w:tc>
          <w:tcPr>
            <w:tcW w:w="3580" w:type="dxa"/>
            <w:vAlign w:val="bottom"/>
          </w:tcPr>
          <w:p>
            <w:pPr>
              <w:spacing w:after="0"/>
              <w:rPr>
                <w:sz w:val="15"/>
                <w:szCs w:val="15"/>
                <w:color w:val="auto"/>
              </w:rPr>
            </w:pPr>
          </w:p>
        </w:tc>
        <w:tc>
          <w:tcPr>
            <w:tcW w:w="1360" w:type="dxa"/>
            <w:vAlign w:val="bottom"/>
            <w:gridSpan w:val="3"/>
          </w:tcPr>
          <w:p>
            <w:pPr>
              <w:jc w:val="right"/>
              <w:ind w:right="22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5"/>
                <w:szCs w:val="15"/>
                <w:color w:val="auto"/>
              </w:rPr>
            </w:pPr>
          </w:p>
        </w:tc>
        <w:tc>
          <w:tcPr>
            <w:tcW w:w="1380" w:type="dxa"/>
            <w:vAlign w:val="bottom"/>
            <w:gridSpan w:val="3"/>
          </w:tcPr>
          <w:p>
            <w:pPr>
              <w:jc w:val="right"/>
              <w:ind w:right="24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0" w:type="dxa"/>
            <w:vAlign w:val="bottom"/>
          </w:tcPr>
          <w:p>
            <w:pPr>
              <w:spacing w:after="0"/>
              <w:rPr>
                <w:sz w:val="15"/>
                <w:szCs w:val="15"/>
                <w:color w:val="auto"/>
              </w:rPr>
            </w:pPr>
          </w:p>
        </w:tc>
      </w:tr>
      <w:tr>
        <w:trPr>
          <w:trHeight w:val="229"/>
        </w:trPr>
        <w:tc>
          <w:tcPr>
            <w:tcW w:w="3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Cash Outflows</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r>
      <w:tr>
        <w:trPr>
          <w:trHeight w:val="20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2.0 %</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r>
      <w:tr>
        <w:trPr>
          <w:trHeight w:val="834"/>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1"/>
        </w:trPr>
        <w:tc>
          <w:tcPr>
            <w:tcW w:w="3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Minimum future lease payments under non-cancelable operating land leases, having remaining terms in excess of one year subsequent to September 30, 2022, are summarized as follows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7"/>
                <w:szCs w:val="17"/>
                <w:color w:val="auto"/>
              </w:rPr>
            </w:pP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20" w:type="dxa"/>
            <w:vAlign w:val="bottom"/>
          </w:tcPr>
          <w:p>
            <w:pPr>
              <w:spacing w:after="0"/>
              <w:rPr>
                <w:sz w:val="18"/>
                <w:szCs w:val="18"/>
                <w:color w:val="auto"/>
              </w:rPr>
            </w:pPr>
          </w:p>
        </w:tc>
      </w:tr>
      <w:tr>
        <w:trPr>
          <w:trHeight w:val="20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20" w:type="dxa"/>
            <w:vAlign w:val="bottom"/>
          </w:tcPr>
          <w:p>
            <w:pPr>
              <w:spacing w:after="0"/>
              <w:rPr>
                <w:sz w:val="18"/>
                <w:szCs w:val="18"/>
                <w:color w:val="auto"/>
              </w:rPr>
            </w:pP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0" w:type="dxa"/>
            <w:vAlign w:val="bottom"/>
          </w:tcPr>
          <w:p>
            <w:pPr>
              <w:spacing w:after="0"/>
              <w:rPr>
                <w:sz w:val="18"/>
                <w:szCs w:val="18"/>
                <w:color w:val="auto"/>
              </w:rPr>
            </w:pPr>
          </w:p>
        </w:tc>
      </w:tr>
      <w:tr>
        <w:trPr>
          <w:trHeight w:val="20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20" w:type="dxa"/>
            <w:vAlign w:val="bottom"/>
          </w:tcPr>
          <w:p>
            <w:pPr>
              <w:spacing w:after="0"/>
              <w:rPr>
                <w:sz w:val="18"/>
                <w:szCs w:val="18"/>
                <w:color w:val="auto"/>
              </w:rPr>
            </w:pP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20" w:type="dxa"/>
            <w:vAlign w:val="bottom"/>
          </w:tcPr>
          <w:p>
            <w:pPr>
              <w:spacing w:after="0"/>
              <w:rPr>
                <w:sz w:val="18"/>
                <w:szCs w:val="18"/>
                <w:color w:val="auto"/>
              </w:rPr>
            </w:pPr>
          </w:p>
        </w:tc>
      </w:tr>
      <w:tr>
        <w:trPr>
          <w:trHeight w:val="20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 and Thereafter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20" w:type="dxa"/>
            <w:vAlign w:val="bottom"/>
          </w:tcPr>
          <w:p>
            <w:pPr>
              <w:spacing w:after="0"/>
              <w:rPr>
                <w:sz w:val="18"/>
                <w:szCs w:val="18"/>
                <w:color w:val="auto"/>
              </w:rPr>
            </w:pPr>
          </w:p>
        </w:tc>
      </w:tr>
      <w:tr>
        <w:trPr>
          <w:trHeight w:val="20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20" w:type="dxa"/>
            <w:vAlign w:val="bottom"/>
          </w:tcPr>
          <w:p>
            <w:pPr>
              <w:spacing w:after="0"/>
              <w:rPr>
                <w:sz w:val="17"/>
                <w:szCs w:val="17"/>
                <w:color w:val="auto"/>
              </w:rPr>
            </w:pPr>
          </w:p>
        </w:tc>
      </w:tr>
      <w:tr>
        <w:trPr>
          <w:trHeight w:val="20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Imputed Interest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0" w:type="dxa"/>
            <w:vAlign w:val="bottom"/>
          </w:tcPr>
          <w:p>
            <w:pPr>
              <w:spacing w:after="0"/>
              <w:rPr>
                <w:sz w:val="18"/>
                <w:szCs w:val="18"/>
                <w:color w:val="auto"/>
              </w:rPr>
            </w:pPr>
          </w:p>
        </w:tc>
      </w:tr>
      <w:tr>
        <w:trPr>
          <w:trHeight w:val="20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Leases – Liability</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1,721</w:t>
            </w:r>
          </w:p>
        </w:tc>
        <w:tc>
          <w:tcPr>
            <w:tcW w:w="2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0"/>
        </w:trPr>
        <w:tc>
          <w:tcPr>
            <w:tcW w:w="66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b w:val="1"/>
                <w:bCs w:val="1"/>
                <w:color w:val="auto"/>
              </w:rPr>
              <w:t>NOTE 8. ACCOUNTS PAYABLE, ACCRUED EXPENSES, AND OTHER LIABILITIES</w:t>
            </w:r>
          </w:p>
        </w:tc>
        <w:tc>
          <w:tcPr>
            <w:tcW w:w="4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7280" w:type="dxa"/>
            <w:vAlign w:val="bottom"/>
            <w:gridSpan w:val="9"/>
          </w:tcPr>
          <w:p>
            <w:pPr>
              <w:ind w:left="3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 consisted of the following (in thousands):</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0"/>
        </w:trPr>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2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60" w:type="dxa"/>
            <w:vAlign w:val="bottom"/>
          </w:tcPr>
          <w:p>
            <w:pPr>
              <w:spacing w:after="0"/>
              <w:rPr>
                <w:sz w:val="17"/>
                <w:szCs w:val="17"/>
                <w:color w:val="auto"/>
              </w:rPr>
            </w:pPr>
          </w:p>
        </w:tc>
        <w:tc>
          <w:tcPr>
            <w:tcW w:w="164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0" w:type="dxa"/>
            <w:vAlign w:val="bottom"/>
          </w:tcPr>
          <w:p>
            <w:pPr>
              <w:spacing w:after="0"/>
              <w:rPr>
                <w:sz w:val="17"/>
                <w:szCs w:val="17"/>
                <w:color w:val="auto"/>
              </w:rPr>
            </w:pPr>
          </w:p>
        </w:tc>
      </w:tr>
      <w:tr>
        <w:trPr>
          <w:trHeight w:val="202"/>
        </w:trPr>
        <w:tc>
          <w:tcPr>
            <w:tcW w:w="5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0" w:type="dxa"/>
            <w:vAlign w:val="bottom"/>
          </w:tcPr>
          <w:p>
            <w:pPr>
              <w:spacing w:after="0"/>
              <w:rPr>
                <w:sz w:val="17"/>
                <w:szCs w:val="17"/>
                <w:color w:val="auto"/>
              </w:rPr>
            </w:pPr>
          </w:p>
        </w:tc>
      </w:tr>
      <w:tr>
        <w:trPr>
          <w:trHeight w:val="209"/>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tcPr>
          <w:p>
            <w:pPr>
              <w:spacing w:after="0"/>
              <w:rPr>
                <w:sz w:val="18"/>
                <w:szCs w:val="18"/>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20" w:type="dxa"/>
            <w:vAlign w:val="bottom"/>
          </w:tcPr>
          <w:p>
            <w:pPr>
              <w:spacing w:after="0"/>
              <w:rPr>
                <w:sz w:val="18"/>
                <w:szCs w:val="18"/>
                <w:color w:val="auto"/>
              </w:rPr>
            </w:pPr>
          </w:p>
        </w:tc>
      </w:tr>
      <w:tr>
        <w:trPr>
          <w:trHeight w:val="20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Tenant Security Deposits</w:t>
            </w:r>
          </w:p>
        </w:tc>
        <w:tc>
          <w:tcPr>
            <w:tcW w:w="12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r>
      <w:tr>
        <w:trPr>
          <w:trHeight w:val="209"/>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Due to CTO</w:t>
            </w:r>
          </w:p>
        </w:tc>
        <w:tc>
          <w:tcPr>
            <w:tcW w:w="120" w:type="dxa"/>
            <w:vAlign w:val="bottom"/>
          </w:tcPr>
          <w:p>
            <w:pPr>
              <w:spacing w:after="0"/>
              <w:rPr>
                <w:sz w:val="18"/>
                <w:szCs w:val="18"/>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20" w:type="dxa"/>
            <w:vAlign w:val="bottom"/>
          </w:tcPr>
          <w:p>
            <w:pPr>
              <w:spacing w:after="0"/>
              <w:rPr>
                <w:sz w:val="18"/>
                <w:szCs w:val="18"/>
                <w:color w:val="auto"/>
              </w:rPr>
            </w:pPr>
          </w:p>
        </w:tc>
      </w:tr>
      <w:tr>
        <w:trPr>
          <w:trHeight w:val="20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Rate Swap</w:t>
            </w:r>
          </w:p>
        </w:tc>
        <w:tc>
          <w:tcPr>
            <w:tcW w:w="12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20" w:type="dxa"/>
            <w:vAlign w:val="bottom"/>
          </w:tcPr>
          <w:p>
            <w:pPr>
              <w:spacing w:after="0"/>
              <w:rPr>
                <w:sz w:val="18"/>
                <w:szCs w:val="18"/>
                <w:color w:val="auto"/>
              </w:rPr>
            </w:pPr>
          </w:p>
        </w:tc>
      </w:tr>
      <w:tr>
        <w:trPr>
          <w:trHeight w:val="209"/>
        </w:trPr>
        <w:tc>
          <w:tcPr>
            <w:tcW w:w="5180" w:type="dxa"/>
            <w:vAlign w:val="bottom"/>
            <w:tcBorders>
              <w:bottom w:val="single" w:sz="8" w:color="CCEEFF"/>
            </w:tcBorders>
            <w:gridSpan w:val="2"/>
          </w:tcPr>
          <w:p>
            <w:pPr>
              <w:spacing w:after="0" w:line="209" w:lineRule="exact"/>
              <w:rPr>
                <w:sz w:val="20"/>
                <w:szCs w:val="20"/>
                <w:color w:val="auto"/>
              </w:rPr>
            </w:pPr>
            <w:r>
              <w:rPr>
                <w:rFonts w:ascii="Times New Roman" w:cs="Times New Roman" w:eastAsia="Times New Roman" w:hAnsi="Times New Roman"/>
                <w:sz w:val="16"/>
                <w:szCs w:val="16"/>
                <w:color w:val="auto"/>
              </w:rPr>
              <w:t xml:space="preserve">Operating Leases - Liability </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1,721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r>
      <w:tr>
        <w:trPr>
          <w:trHeight w:val="202"/>
        </w:trPr>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Accounts Payable, Accrued Expenses, and Other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20" w:type="dxa"/>
            <w:vAlign w:val="bottom"/>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
        </w:trPr>
        <w:tc>
          <w:tcPr>
            <w:tcW w:w="224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56" w:lineRule="exact"/>
        <w:rPr>
          <w:sz w:val="20"/>
          <w:szCs w:val="20"/>
          <w:color w:val="auto"/>
        </w:rPr>
      </w:pPr>
    </w:p>
    <w:p>
      <w:pPr>
        <w:ind w:left="360" w:hanging="313"/>
        <w:spacing w:after="0"/>
        <w:tabs>
          <w:tab w:leader="none" w:pos="360"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See Note 7, “Operating Land Leases” for further disclosure related to the Company’s operating lease liability balance as of September 30, 2022.</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9. LONG-TERM DEBT</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2022, the Company’s outstanding indebtedness, at face value, was as follows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Face</w:t>
            </w:r>
          </w:p>
        </w:tc>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Debt</w:t>
            </w:r>
          </w:p>
        </w:tc>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Stated Interest Rate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2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rPr>
              <w:t>30-Day SOFR + 0.10% +</w:t>
            </w: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58,000</w:t>
            </w:r>
          </w:p>
        </w:tc>
        <w:tc>
          <w:tcPr>
            <w:tcW w:w="20" w:type="dxa"/>
            <w:vAlign w:val="bottom"/>
            <w:shd w:val="clear" w:color="auto" w:fill="CCEEFF"/>
          </w:tcPr>
          <w:p>
            <w:pPr>
              <w:spacing w:after="0"/>
              <w:rPr>
                <w:sz w:val="19"/>
                <w:szCs w:val="19"/>
                <w:color w:val="auto"/>
              </w:rPr>
            </w:pPr>
          </w:p>
        </w:tc>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 - 2.20%]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2027</w:t>
            </w:r>
          </w:p>
        </w:tc>
        <w:tc>
          <w:tcPr>
            <w:tcW w:w="0" w:type="dxa"/>
            <w:vAlign w:val="bottom"/>
          </w:tcPr>
          <w:p>
            <w:pPr>
              <w:spacing w:after="0"/>
              <w:rPr>
                <w:sz w:val="1"/>
                <w:szCs w:val="1"/>
                <w:color w:val="auto"/>
              </w:rPr>
            </w:pPr>
          </w:p>
        </w:tc>
      </w:tr>
      <w:tr>
        <w:trPr>
          <w:trHeight w:val="19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 xml:space="preserve">2026 Term Loan </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30-Day SOFR + 0.10% +</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[1.35% - 1.95%]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2026</w:t>
            </w:r>
          </w:p>
        </w:tc>
        <w:tc>
          <w:tcPr>
            <w:tcW w:w="0" w:type="dxa"/>
            <w:vAlign w:val="bottom"/>
          </w:tcPr>
          <w:p>
            <w:pPr>
              <w:spacing w:after="0"/>
              <w:rPr>
                <w:sz w:val="1"/>
                <w:szCs w:val="1"/>
                <w:color w:val="auto"/>
              </w:rPr>
            </w:pPr>
          </w:p>
        </w:tc>
      </w:tr>
      <w:tr>
        <w:trPr>
          <w:trHeight w:val="190"/>
        </w:trPr>
        <w:tc>
          <w:tcPr>
            <w:tcW w:w="3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2027 Term Loan </w:t>
            </w:r>
            <w:r>
              <w:rPr>
                <w:rFonts w:ascii="Times New Roman" w:cs="Times New Roman" w:eastAsia="Times New Roman" w:hAnsi="Times New Roman"/>
                <w:sz w:val="26"/>
                <w:szCs w:val="26"/>
                <w:color w:val="auto"/>
                <w:vertAlign w:val="superscript"/>
              </w:rPr>
              <w:t>(2)</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30-Day SOFR + 0.10% +</w:t>
            </w: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0" w:type="dxa"/>
            <w:vAlign w:val="bottom"/>
            <w:shd w:val="clear" w:color="auto" w:fill="CCEEFF"/>
          </w:tcPr>
          <w:p>
            <w:pPr>
              <w:spacing w:after="0"/>
              <w:rPr>
                <w:sz w:val="19"/>
                <w:szCs w:val="19"/>
                <w:color w:val="auto"/>
              </w:rPr>
            </w:pPr>
          </w:p>
        </w:tc>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 - 1.90%]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2027</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Mortgage Note Payable – CMBS Portfolio</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20" w:type="dxa"/>
            <w:vAlign w:val="bottom"/>
            <w:tcBorders>
              <w:bottom w:val="single" w:sz="8" w:color="CCEEFF"/>
            </w:tcBorders>
          </w:tcPr>
          <w:p>
            <w:pPr>
              <w:spacing w:after="0"/>
              <w:rPr>
                <w:sz w:val="18"/>
                <w:szCs w:val="18"/>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4.33%</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October 2034</w:t>
            </w:r>
          </w:p>
        </w:tc>
        <w:tc>
          <w:tcPr>
            <w:tcW w:w="0" w:type="dxa"/>
            <w:vAlign w:val="bottom"/>
          </w:tcPr>
          <w:p>
            <w:pPr>
              <w:spacing w:after="0"/>
              <w:rPr>
                <w:sz w:val="1"/>
                <w:szCs w:val="1"/>
                <w:color w:val="auto"/>
              </w:rPr>
            </w:pPr>
          </w:p>
        </w:tc>
      </w:tr>
      <w:tr>
        <w:trPr>
          <w:trHeight w:val="202"/>
        </w:trPr>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Debt/Weighted-Average Rate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288,000</w:t>
            </w:r>
          </w:p>
        </w:tc>
        <w:tc>
          <w:tcPr>
            <w:tcW w:w="2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3.73%</w:t>
            </w: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240" w:type="dxa"/>
            <w:vAlign w:val="bottom"/>
            <w:tcBorders>
              <w:bottom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60" w:right="79" w:hanging="313"/>
        <w:spacing w:after="0" w:line="221" w:lineRule="auto"/>
        <w:tabs>
          <w:tab w:leader="none" w:pos="36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As of September 30, 2022, the Company has utilized interest rate swaps to fix SOFR and achieve a weighted average fixed interest rate of 2.05% plus 0.10% and the applicable spread on the $100 million 2026 Term Loan (hereinafter defined) balance. See Note 10, “Interest Rate Swaps” for further disclosure related to the Company’s interest rate swaps.</w:t>
      </w:r>
    </w:p>
    <w:p>
      <w:pPr>
        <w:spacing w:after="0" w:line="1" w:lineRule="exact"/>
        <w:rPr>
          <w:rFonts w:ascii="Times New Roman" w:cs="Times New Roman" w:eastAsia="Times New Roman" w:hAnsi="Times New Roman"/>
          <w:sz w:val="10"/>
          <w:szCs w:val="10"/>
          <w:color w:val="auto"/>
        </w:rPr>
      </w:pPr>
    </w:p>
    <w:p>
      <w:pPr>
        <w:jc w:val="both"/>
        <w:ind w:left="360" w:right="79" w:hanging="313"/>
        <w:spacing w:after="0" w:line="224" w:lineRule="auto"/>
        <w:tabs>
          <w:tab w:leader="none" w:pos="36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As of September 30, 2022, the Company has utilized interest rate swaps to fix SOFR and achieve a weighted average fixed interest rate of 1.18% plus 0.10% and the applicable spread on the $100 million 2027 Term Loan (hereinafter defined) balance. See Note 10, “Interest Rate Swaps” for further disclosure related to the Company’s interest rate swaps.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40" w:right="59" w:firstLine="313"/>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Credit Facility. </w:t>
      </w:r>
      <w:r>
        <w:rPr>
          <w:rFonts w:ascii="Times New Roman" w:cs="Times New Roman" w:eastAsia="Times New Roman" w:hAnsi="Times New Roman"/>
          <w:sz w:val="17"/>
          <w:szCs w:val="17"/>
          <w:color w:val="auto"/>
        </w:rPr>
        <w:t>On September 30, 2022, the Company and the Operating Partnership entered into a credit agreement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Amended and Restated Credit Agreement”) with KeyBank National Association, as administrative agent, and certain other lenders named therein, which amended and restated the 2027 Term Loan Credit Agreement (hereinafter defined) to include, among other things:</w:t>
      </w:r>
    </w:p>
    <w:p>
      <w:pPr>
        <w:spacing w:after="0" w:line="169" w:lineRule="exact"/>
        <w:rPr>
          <w:sz w:val="20"/>
          <w:szCs w:val="20"/>
          <w:color w:val="auto"/>
        </w:rPr>
      </w:pPr>
    </w:p>
    <w:p>
      <w:pPr>
        <w:ind w:left="1020" w:right="459" w:hanging="321"/>
        <w:spacing w:after="0" w:line="267"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origination of a new senior unsecured revolving credit facility in the amount of $250 million (the “Credit Facility”) which matures on January 31, 2027, with the option to extend for one year;</w:t>
      </w:r>
    </w:p>
    <w:p>
      <w:pPr>
        <w:jc w:val="both"/>
        <w:ind w:left="1020" w:right="59" w:hanging="321"/>
        <w:spacing w:after="0" w:line="256"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accordion option that allows the Company to request additional revolving loan commitments and additional term loan commitments, provided the aggregate amount of revolving loan commitments and term loan commitments shall not exceed $750 million;</w:t>
      </w:r>
    </w:p>
    <w:p>
      <w:pPr>
        <w:ind w:left="1020" w:hanging="321"/>
        <w:spacing w:after="0"/>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of certain financial covenants; and</w:t>
      </w:r>
    </w:p>
    <w:p>
      <w:pPr>
        <w:spacing w:after="0" w:line="13" w:lineRule="exact"/>
        <w:rPr>
          <w:rFonts w:ascii="Times New Roman" w:cs="Times New Roman" w:eastAsia="Times New Roman" w:hAnsi="Times New Roman"/>
          <w:sz w:val="17"/>
          <w:szCs w:val="17"/>
          <w:color w:val="auto"/>
        </w:rPr>
      </w:pPr>
    </w:p>
    <w:p>
      <w:pPr>
        <w:ind w:left="1020" w:right="79" w:hanging="321"/>
        <w:spacing w:after="0" w:line="272"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 of a sustainability-linked pricing component pursuant to which the Company will receive interest rate reductions up to 0.025% based on performance against sustainability performance targets.</w:t>
      </w:r>
    </w:p>
    <w:p>
      <w:pPr>
        <w:spacing w:after="0" w:line="151" w:lineRule="exact"/>
        <w:rPr>
          <w:sz w:val="20"/>
          <w:szCs w:val="20"/>
          <w:color w:val="auto"/>
        </w:rPr>
      </w:pPr>
    </w:p>
    <w:p>
      <w:pPr>
        <w:jc w:val="both"/>
        <w:ind w:left="40" w:right="59" w:firstLine="313"/>
        <w:spacing w:after="0" w:line="263" w:lineRule="auto"/>
        <w:rPr>
          <w:sz w:val="20"/>
          <w:szCs w:val="20"/>
          <w:color w:val="auto"/>
        </w:rPr>
      </w:pPr>
      <w:r>
        <w:rPr>
          <w:rFonts w:ascii="Times New Roman" w:cs="Times New Roman" w:eastAsia="Times New Roman" w:hAnsi="Times New Roman"/>
          <w:sz w:val="17"/>
          <w:szCs w:val="17"/>
          <w:color w:val="auto"/>
        </w:rPr>
        <w:t>Pursuant to the 2022 Amended and Restated Credit Agreement, the indebtedness outstanding under the Credit Facility accrues at a rate ranging from SOFR plus 0.10% plus 125 basis points to SOFR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spacing w:after="0" w:line="162" w:lineRule="exact"/>
        <w:rPr>
          <w:sz w:val="20"/>
          <w:szCs w:val="20"/>
          <w:color w:val="auto"/>
        </w:rPr>
      </w:pPr>
    </w:p>
    <w:p>
      <w:pPr>
        <w:jc w:val="both"/>
        <w:ind w:left="40" w:right="59" w:firstLine="356"/>
        <w:spacing w:after="0" w:line="263" w:lineRule="auto"/>
        <w:rPr>
          <w:sz w:val="20"/>
          <w:szCs w:val="20"/>
          <w:color w:val="auto"/>
        </w:rPr>
      </w:pPr>
      <w:r>
        <w:rPr>
          <w:rFonts w:ascii="Times New Roman" w:cs="Times New Roman" w:eastAsia="Times New Roman" w:hAnsi="Times New Roman"/>
          <w:sz w:val="17"/>
          <w:szCs w:val="17"/>
          <w:color w:val="auto"/>
        </w:rPr>
        <w:t>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spacing w:after="0" w:line="162"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At September 30, 2022, the commitment level under the Credit Facility was $250.0 million and the Company had an outstanding balance of $58.0 million.</w:t>
      </w:r>
    </w:p>
    <w:p>
      <w:pPr>
        <w:spacing w:after="0" w:line="145"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Prior Credit Facility. </w:t>
      </w:r>
      <w:r>
        <w:rPr>
          <w:rFonts w:ascii="Times New Roman" w:cs="Times New Roman" w:eastAsia="Times New Roman" w:hAnsi="Times New Roman"/>
          <w:sz w:val="17"/>
          <w:szCs w:val="17"/>
          <w:color w:val="auto"/>
        </w:rPr>
        <w:t>On September 30, 2022, in connection with the Company’s entry into the 2022 Amended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Restated Credit Agreement, the Company repaid all obligations outstanding under the Credit Agreement, dated as of November 26, 2019, as amended, among the Company, the Bank of Montreal, as administrative agent, and certain other lenders party thereto (the “Prior Revolving Credit Facility”), and the Prior Revolving Credit Facility was terminated and the obligations thereunder discharged. As a result of the termination of the Prior Revolving Credit Facility, $0.3 million of unamortized deferred financing costs were written off during the three months ended September 30, 2022 and are included in the consolidated statements of operations as Loss on Extinguishment of Debt.</w:t>
      </w:r>
    </w:p>
    <w:p>
      <w:pPr>
        <w:spacing w:after="0" w:line="162"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2026 Term Loan. </w:t>
      </w:r>
      <w:r>
        <w:rPr>
          <w:rFonts w:ascii="Times New Roman" w:cs="Times New Roman" w:eastAsia="Times New Roman" w:hAnsi="Times New Roman"/>
          <w:sz w:val="17"/>
          <w:szCs w:val="17"/>
          <w:color w:val="auto"/>
        </w:rPr>
        <w:t>On May 21, 2021, the Operating Partnership, the Company and certain subsidiaries of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w:t>
      </w:r>
    </w:p>
    <w:p>
      <w:pPr>
        <w:spacing w:after="0" w:line="177"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On October 5, 2022, the Company entered into an amendment which, among other things, amends certain financial covenants and add a sustainability-linked pricing component consistent with what is contained in the 2022 Amended and Restated Credit Agreement (the “2026 Term Loan Second Amendment”), effective September 30, 2022.</w:t>
      </w:r>
    </w:p>
    <w:p>
      <w:pPr>
        <w:spacing w:after="0" w:line="147" w:lineRule="exact"/>
        <w:rPr>
          <w:sz w:val="20"/>
          <w:szCs w:val="20"/>
          <w:color w:val="auto"/>
        </w:rPr>
      </w:pPr>
    </w:p>
    <w:p>
      <w:pPr>
        <w:jc w:val="both"/>
        <w:ind w:left="40" w:right="59" w:firstLine="313"/>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2027 Term Loan. </w:t>
      </w:r>
      <w:r>
        <w:rPr>
          <w:rFonts w:ascii="Times New Roman" w:cs="Times New Roman" w:eastAsia="Times New Roman" w:hAnsi="Times New Roman"/>
          <w:sz w:val="17"/>
          <w:szCs w:val="17"/>
          <w:color w:val="auto"/>
        </w:rPr>
        <w:t>On September 30, 2021, the Operating Partnership, the Company and certain subsidiaries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w:t>
      </w:r>
    </w:p>
    <w:p>
      <w:pPr>
        <w:sectPr>
          <w:pgSz w:w="11900" w:h="16838" w:orient="portrait"/>
          <w:cols w:equalWidth="0" w:num="1">
            <w:col w:w="9019"/>
          </w:cols>
          <w:pgMar w:left="1440" w:top="499"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7"/>
          <w:szCs w:val="17"/>
          <w:color w:val="auto"/>
        </w:rPr>
        <w:t>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w:t>
      </w:r>
    </w:p>
    <w:p>
      <w:pPr>
        <w:spacing w:after="0" w:line="163"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an accordion option that allows the Company to request additional revolving loan commitments and additional term loan commitments not to exceed $750.0 million in the aggregate.</w:t>
      </w:r>
    </w:p>
    <w:p>
      <w:pPr>
        <w:spacing w:after="0" w:line="170" w:lineRule="exact"/>
        <w:rPr>
          <w:sz w:val="20"/>
          <w:szCs w:val="20"/>
          <w:color w:val="auto"/>
        </w:rPr>
      </w:pPr>
    </w:p>
    <w:p>
      <w:pPr>
        <w:jc w:val="both"/>
        <w:ind w:left="40" w:right="59" w:firstLine="313"/>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Mortgage Notes Payable. </w:t>
      </w:r>
      <w:r>
        <w:rPr>
          <w:rFonts w:ascii="Times New Roman" w:cs="Times New Roman" w:eastAsia="Times New Roman" w:hAnsi="Times New Roman"/>
          <w:sz w:val="17"/>
          <w:szCs w:val="17"/>
          <w:color w:val="auto"/>
        </w:rPr>
        <w:t>On June 30, 2021, in connection with the acquisition of six net lease properties from CTO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“CMBS Portfolio”), the Company assumed an existing $30.0 million secured mortgage, which bears interest at a fixed rate of 4.33%. The mortgage note matures in October 2034 and is prepayable without penalty beginning in October 2024. Additionally, on June 30, 2021, in connection with the acquisition of two net lease properties from an unrelated third party, the Company assumed mortgage notes totaling an aggregate of $1.6 million, which balance was repaid on July 1, 2021.</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Long-term debt as of September 30, 2022 and December 31, 2021 consisted of the following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00" w:type="dxa"/>
            <w:vAlign w:val="bottom"/>
          </w:tcPr>
          <w:p>
            <w:pPr>
              <w:spacing w:after="0"/>
              <w:rPr>
                <w:sz w:val="19"/>
                <w:szCs w:val="19"/>
                <w:color w:val="auto"/>
              </w:rPr>
            </w:pPr>
          </w:p>
        </w:tc>
        <w:tc>
          <w:tcPr>
            <w:tcW w:w="206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181"/>
        </w:trPr>
        <w:tc>
          <w:tcPr>
            <w:tcW w:w="4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7"/>
                <w:szCs w:val="17"/>
                <w:b w:val="1"/>
                <w:bCs w:val="1"/>
                <w:color w:val="auto"/>
              </w:rPr>
              <w:t>Due Within</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Due Within</w:t>
            </w:r>
          </w:p>
        </w:tc>
      </w:tr>
      <w:tr>
        <w:trPr>
          <w:trHeight w:val="229"/>
        </w:trPr>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One Year</w:t>
            </w:r>
          </w:p>
        </w:tc>
        <w:tc>
          <w:tcPr>
            <w:tcW w:w="2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One Year</w:t>
            </w:r>
          </w:p>
        </w:tc>
      </w:tr>
      <w:tr>
        <w:trPr>
          <w:trHeight w:val="202"/>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Facility</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99,000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2026 Term Loan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 Term Loan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Mortgage Note Payable – CMBS Portfolio</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Costs, net of Accumulated Amortization</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(1,494)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Total Long-Term Debt</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286,506</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267,740</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Payments applicable to reduction of principal amounts as of September 30, 2022 will be required as follows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340" w:type="dxa"/>
            <w:vAlign w:val="bottom"/>
          </w:tcPr>
          <w:p>
            <w:pPr>
              <w:spacing w:after="0"/>
              <w:rPr>
                <w:sz w:val="19"/>
                <w:szCs w:val="19"/>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02"/>
        </w:trPr>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158,000</w:t>
            </w:r>
          </w:p>
        </w:tc>
      </w:tr>
      <w:tr>
        <w:trPr>
          <w:trHeight w:val="209"/>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 and Thereafter</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w:t>
            </w:r>
          </w:p>
        </w:tc>
      </w:tr>
      <w:tr>
        <w:trPr>
          <w:trHeight w:val="202"/>
        </w:trPr>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Long-Term Debt - Face Value</w:t>
            </w: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288,000</w:t>
            </w: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carrying value of long-term debt as of September 30, 2022 consisted of the following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Face Amount</w:t>
            </w:r>
          </w:p>
        </w:tc>
        <w:tc>
          <w:tcPr>
            <w:tcW w:w="4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288,000</w:t>
            </w:r>
          </w:p>
        </w:tc>
      </w:tr>
      <w:tr>
        <w:trPr>
          <w:trHeight w:val="209"/>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Financing Costs, net of Accumulated Amortization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(1,494)</w:t>
            </w:r>
          </w:p>
        </w:tc>
      </w:tr>
      <w:tr>
        <w:trPr>
          <w:trHeight w:val="202"/>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Long-Term Debt</w:t>
            </w:r>
          </w:p>
        </w:tc>
        <w:tc>
          <w:tcPr>
            <w:tcW w:w="40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286,506</w:t>
            </w:r>
          </w:p>
        </w:tc>
      </w:tr>
      <w:tr>
        <w:trPr>
          <w:trHeight w:val="20"/>
        </w:trPr>
        <w:tc>
          <w:tcPr>
            <w:tcW w:w="7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In addition to the $1.5 million of financing costs, net of accumulated amortization included in the table above, as of September 30, 2022, the Company also had financing costs, net of accumulated amortization related to the Credit Facility of $1.6 million which is included in other assets on the consolidated balance sheets. These costs are amortized on a straight-line basis over the term of the Credit Facility and are included in interest expense in the consolidated statements of operations.</w:t>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following table reflects a summary of interest expense incurred and paid during the three and nine months ended</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September 30, 2022 and 2021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10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81"/>
        </w:trPr>
        <w:tc>
          <w:tcPr>
            <w:tcW w:w="4200" w:type="dxa"/>
            <w:vAlign w:val="bottom"/>
          </w:tcPr>
          <w:p>
            <w:pPr>
              <w:spacing w:after="0"/>
              <w:rPr>
                <w:sz w:val="15"/>
                <w:szCs w:val="15"/>
                <w:color w:val="auto"/>
              </w:rPr>
            </w:pPr>
          </w:p>
        </w:tc>
        <w:tc>
          <w:tcPr>
            <w:tcW w:w="1180" w:type="dxa"/>
            <w:vAlign w:val="bottom"/>
            <w:tcBorders>
              <w:top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4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60" w:type="dxa"/>
            <w:vAlign w:val="bottom"/>
          </w:tcPr>
          <w:p>
            <w:pPr>
              <w:spacing w:after="0"/>
              <w:rPr>
                <w:sz w:val="15"/>
                <w:szCs w:val="15"/>
                <w:color w:val="auto"/>
              </w:rPr>
            </w:pPr>
          </w:p>
        </w:tc>
        <w:tc>
          <w:tcPr>
            <w:tcW w:w="1200" w:type="dxa"/>
            <w:vAlign w:val="bottom"/>
            <w:tcBorders>
              <w:top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4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9"/>
        </w:trPr>
        <w:tc>
          <w:tcPr>
            <w:tcW w:w="4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2"/>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w:t>
            </w:r>
          </w:p>
        </w:tc>
      </w:tr>
      <w:tr>
        <w:trPr>
          <w:trHeight w:val="190"/>
        </w:trPr>
        <w:tc>
          <w:tcPr>
            <w:tcW w:w="420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Amortization of Deferred Financing Costs to Interest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7"/>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r>
      <w:tr>
        <w:trPr>
          <w:trHeight w:val="20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Interest Expense</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6,347</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w:t>
            </w: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8"/>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Interest Paid</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5,806</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w:t>
            </w: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Company was in compliance with all of its debt covenants as of September 30, 2022.</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10. INTEREST RATE SWAPS</w:t>
      </w:r>
    </w:p>
    <w:p>
      <w:pPr>
        <w:spacing w:after="0" w:line="119" w:lineRule="exact"/>
        <w:rPr>
          <w:sz w:val="20"/>
          <w:szCs w:val="20"/>
          <w:color w:val="auto"/>
        </w:rPr>
      </w:pPr>
    </w:p>
    <w:p>
      <w:pPr>
        <w:jc w:val="both"/>
        <w:ind w:left="40" w:right="59" w:firstLine="475"/>
        <w:spacing w:after="0" w:line="263" w:lineRule="auto"/>
        <w:rPr>
          <w:sz w:val="20"/>
          <w:szCs w:val="20"/>
          <w:color w:val="auto"/>
        </w:rPr>
      </w:pPr>
      <w:r>
        <w:rPr>
          <w:rFonts w:ascii="Times New Roman" w:cs="Times New Roman" w:eastAsia="Times New Roman" w:hAnsi="Times New Roman"/>
          <w:sz w:val="17"/>
          <w:szCs w:val="17"/>
          <w:color w:val="auto"/>
        </w:rPr>
        <w:t>The Company has entered into interest rate swap agreements to hedge against changes in future cash flows resulting from fluctuating interest rates related to the below noted borrowings. The interest rate agreements were 100% effective during the three and nine months ended September 30, 2022. Accordingly, the changes in fair value on the interest rate swaps have been classified in accumulated other comprehensive income (loss). The fair value of the interest rate swap agreements are included in other assets and accrue and other liabilities, respectively, on the consolidated balance sheets. Information related to the Company’s interest rate swap agreements are noted below (in thousands):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08"/>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Date</w:t>
            </w:r>
          </w:p>
        </w:tc>
        <w:tc>
          <w:tcPr>
            <w:tcW w:w="16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Rate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5"/>
              </w:rPr>
              <w:t>September 30, 2022</w:t>
            </w:r>
          </w:p>
        </w:tc>
        <w:tc>
          <w:tcPr>
            <w:tcW w:w="0" w:type="dxa"/>
            <w:vAlign w:val="bottom"/>
          </w:tcPr>
          <w:p>
            <w:pPr>
              <w:spacing w:after="0"/>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30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2.05% + 0.10% +</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2026</w:t>
            </w:r>
          </w:p>
        </w:tc>
        <w:tc>
          <w:tcPr>
            <w:tcW w:w="1460" w:type="dxa"/>
            <w:vAlign w:val="bottom"/>
            <w:gridSpan w:val="2"/>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5/21/2021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5/21/2026</w:t>
            </w:r>
          </w:p>
        </w:tc>
        <w:tc>
          <w:tcPr>
            <w:tcW w:w="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8"/>
              </w:rPr>
              <w:t>applicable spread</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6,553</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7"/>
              </w:rPr>
              <w:t>1.18%+ 0.10% +</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2027</w:t>
            </w:r>
          </w:p>
        </w:tc>
        <w:tc>
          <w:tcPr>
            <w:tcW w:w="1460" w:type="dxa"/>
            <w:vAlign w:val="bottom"/>
            <w:gridSpan w:val="2"/>
            <w:vMerge w:val="continue"/>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9/30/2021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11/26/2024</w:t>
            </w:r>
          </w:p>
        </w:tc>
        <w:tc>
          <w:tcPr>
            <w:tcW w:w="160" w:type="dxa"/>
            <w:vAlign w:val="bottom"/>
          </w:tcPr>
          <w:p>
            <w:pPr>
              <w:spacing w:after="0"/>
              <w:rPr>
                <w:sz w:val="18"/>
                <w:szCs w:val="18"/>
                <w:color w:val="auto"/>
              </w:rPr>
            </w:pP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applicable spread</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w:t>
            </w:r>
          </w:p>
        </w:tc>
        <w:tc>
          <w:tcPr>
            <w:tcW w:w="0" w:type="dxa"/>
            <w:vAlign w:val="bottom"/>
          </w:tcPr>
          <w:p>
            <w:pPr>
              <w:spacing w:after="0"/>
              <w:rPr>
                <w:sz w:val="1"/>
                <w:szCs w:val="1"/>
                <w:color w:val="auto"/>
              </w:rPr>
            </w:pPr>
          </w:p>
        </w:tc>
      </w:tr>
      <w:tr>
        <w:trPr>
          <w:trHeight w:val="182"/>
        </w:trPr>
        <w:tc>
          <w:tcPr>
            <w:tcW w:w="34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(3)</w:t>
            </w: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3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w w:val="97"/>
              </w:rPr>
              <w:t>1.60%+ 0.10% +</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2027</w:t>
            </w:r>
          </w:p>
        </w:tc>
        <w:tc>
          <w:tcPr>
            <w:tcW w:w="1460" w:type="dxa"/>
            <w:vAlign w:val="bottom"/>
            <w:gridSpan w:val="2"/>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11/26/2024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1/31/2027</w:t>
            </w:r>
          </w:p>
        </w:tc>
        <w:tc>
          <w:tcPr>
            <w:tcW w:w="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8"/>
              </w:rPr>
              <w:t>applicable spread</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w:t>
            </w:r>
          </w:p>
        </w:tc>
        <w:tc>
          <w:tcPr>
            <w:tcW w:w="0" w:type="dxa"/>
            <w:vAlign w:val="bottom"/>
          </w:tcPr>
          <w:p>
            <w:pPr>
              <w:spacing w:after="0"/>
              <w:rPr>
                <w:sz w:val="1"/>
                <w:szCs w:val="1"/>
                <w:color w:val="auto"/>
              </w:rPr>
            </w:pPr>
          </w:p>
        </w:tc>
      </w:tr>
      <w:tr>
        <w:trPr>
          <w:trHeight w:val="110"/>
        </w:trPr>
        <w:tc>
          <w:tcPr>
            <w:tcW w:w="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60" w:hanging="313"/>
        <w:spacing w:after="0"/>
        <w:tabs>
          <w:tab w:leader="none" w:pos="36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As of September 30, 2022, the Company has utilized interest rate swaps to fix SOFR and achieve a weighted average fixed interest rate of 2.05% plus</w:t>
      </w:r>
    </w:p>
    <w:p>
      <w:pPr>
        <w:ind w:left="360" w:right="99"/>
        <w:spacing w:after="0" w:line="213" w:lineRule="auto"/>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0.10% and the applicable spread on the $100 million 2026 Term Loan balance. The weighted average fixed interest rate of 2.05%, is comprised of: (i) rate swaps on $60.0 million of the 2026 Term Loan balance effective May 21, 2021, as amended on April 14, 2022 in connection with the 2026 Term Loan Amendment, to fix SOFR (prior to April 14, 2022, the swap was to fix LIBOR), and (ii) a rate swap on $40.0 million of the 2026 Term Loan Balance effective September 30, 2022, to fix SOFR.</w:t>
      </w:r>
    </w:p>
    <w:p>
      <w:pPr>
        <w:spacing w:after="0" w:line="2" w:lineRule="exact"/>
        <w:rPr>
          <w:rFonts w:ascii="Times New Roman" w:cs="Times New Roman" w:eastAsia="Times New Roman" w:hAnsi="Times New Roman"/>
          <w:sz w:val="10"/>
          <w:szCs w:val="10"/>
          <w:color w:val="auto"/>
        </w:rPr>
      </w:pPr>
    </w:p>
    <w:p>
      <w:pPr>
        <w:jc w:val="both"/>
        <w:ind w:left="360" w:right="79" w:hanging="313"/>
        <w:spacing w:after="0" w:line="213" w:lineRule="auto"/>
        <w:tabs>
          <w:tab w:leader="none" w:pos="36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As of September 30, 2022, the Company has utilized interest rate swaps to fix SOFR and achieve a weighted average fixed interest rate of 1.18% plus 0.10% and the applicable spread on the $100 million 2027 Term Loan balance. The weighted average fixed interest rate of 1.18%, is comprised of: (i) rate swaps on $80.0 million of the 2027 Term Loan balance effective September 30, 2021, as amended on April 14, 2022 in connection with the 2027 Term Loan Amendment, to fix SOFR, (prior to April 14, 2022, the swap was to fix LIBOR), and (ii) a rate swap on $20.0 million of the 2027 Term Loan balance effective September 30, 2022, to fix SOFR.</w:t>
      </w:r>
    </w:p>
    <w:p>
      <w:pPr>
        <w:spacing w:after="0" w:line="2" w:lineRule="exact"/>
        <w:rPr>
          <w:rFonts w:ascii="Times New Roman" w:cs="Times New Roman" w:eastAsia="Times New Roman" w:hAnsi="Times New Roman"/>
          <w:sz w:val="10"/>
          <w:szCs w:val="10"/>
          <w:color w:val="auto"/>
        </w:rPr>
      </w:pPr>
    </w:p>
    <w:p>
      <w:pPr>
        <w:ind w:left="360" w:right="79" w:hanging="313"/>
        <w:spacing w:after="0" w:line="230" w:lineRule="auto"/>
        <w:tabs>
          <w:tab w:leader="none" w:pos="36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The interest rate swap agreement hedges $80.0 million of the $100.0 million 2027 Term Loan balance under different terms and commences concurrent to the interest rate agreements maturing on November 26, 2024 to extend the fixed interest rate through maturity on January 31,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293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11. EQUITY</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SHELF REGISTRATION</w:t>
      </w:r>
    </w:p>
    <w:p>
      <w:pPr>
        <w:spacing w:after="0" w:line="211"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ATM PROGRAM</w:t>
      </w:r>
    </w:p>
    <w:p>
      <w:pPr>
        <w:spacing w:after="0" w:line="211" w:lineRule="exact"/>
        <w:rPr>
          <w:sz w:val="20"/>
          <w:szCs w:val="20"/>
          <w:color w:val="auto"/>
        </w:rPr>
      </w:pPr>
    </w:p>
    <w:p>
      <w:pPr>
        <w:jc w:val="both"/>
        <w:ind w:left="40" w:right="59" w:firstLine="313"/>
        <w:spacing w:after="0" w:line="260" w:lineRule="auto"/>
        <w:rPr>
          <w:sz w:val="20"/>
          <w:szCs w:val="20"/>
          <w:color w:val="auto"/>
        </w:rPr>
      </w:pPr>
      <w:r>
        <w:rPr>
          <w:rFonts w:ascii="Times New Roman" w:cs="Times New Roman" w:eastAsia="Times New Roman" w:hAnsi="Times New Roman"/>
          <w:sz w:val="17"/>
          <w:szCs w:val="17"/>
          <w:color w:val="auto"/>
        </w:rPr>
        <w:t>On December 14, 2020, the Company implemented a $100.0 million “at-the-market” equity offering program (the “2020 ATM Program”) pursuant to which the Company may sell, from time to time, shares of the Company’s common stock. During the three months ended September 30, 2022, the Company sold 44,384 shares under the 2020 ATM Program for gross proceeds of $0.8 million at a weighted average price of $18.69 per share, generating net proceeds of $0.8 million after deducting transaction fees totaling $0.01 million. During the nine months ended September 30, 2022, the Company sold 446,167 shares under the 2020 ATM Program for gross proceeds of $8.7 million at a weighted average price of $19.44 per share, generating net proceeds of $8.5 million after deducting transaction fees totaling $0.1 million. During the nine months ended September 30, 2021, the Company sold 610,229 shares under the 2020 ATM Program for gross proceeds of $11.1 million at a weighted average price of $18.19 per share, generating net proceeds of $10.9 million after deducting transaction fees totaling $0.2 million. The Company was not active under the 2020 ATM Program during the three months ended September 30, 2021.</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FOLLOW-ON PUBLIC OFFERING</w:t>
      </w:r>
    </w:p>
    <w:p>
      <w:pPr>
        <w:spacing w:after="0" w:line="224" w:lineRule="exact"/>
        <w:rPr>
          <w:sz w:val="20"/>
          <w:szCs w:val="20"/>
          <w:color w:val="auto"/>
        </w:rPr>
      </w:pPr>
    </w:p>
    <w:p>
      <w:pPr>
        <w:jc w:val="both"/>
        <w:ind w:left="40" w:right="59" w:firstLine="313"/>
        <w:spacing w:after="0" w:line="272" w:lineRule="auto"/>
        <w:rPr>
          <w:sz w:val="20"/>
          <w:szCs w:val="20"/>
          <w:color w:val="auto"/>
        </w:rPr>
      </w:pPr>
      <w:r>
        <w:rPr>
          <w:rFonts w:ascii="Times New Roman" w:cs="Times New Roman" w:eastAsia="Times New Roman" w:hAnsi="Times New Roman"/>
          <w:sz w:val="17"/>
          <w:szCs w:val="17"/>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224"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color w:val="auto"/>
        </w:rPr>
        <w:t>As of September 30, 2022, CTO holds, directly and indirectly, a 9.0% noncontrolling ownership interest in the Operating Partnership as a result of 1,223,854 OP Units issued to CTO at the time of the Company’s Formation Transactions, as further described in Note 1, “Business and Organization.” An additional 3.5% noncontrolling ownership interest is held by an unrelated third party in connection with the issuance of 479,640 OP Units valued at $9.0 million in the aggregate, or $18.85 per unit. The issuance of 479,640 OP Units includes (i) 424,951 OP Units issued as consideration for the portfolio of nine net lease properties acquired on June 30, 2021 and (ii) 54,689 OP Units issued as consideration for the acquisition of one net lease property on July 12, 2021.</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24" w:lineRule="exact"/>
        <w:rPr>
          <w:sz w:val="20"/>
          <w:szCs w:val="20"/>
          <w:color w:val="auto"/>
        </w:rPr>
      </w:pPr>
    </w:p>
    <w:p>
      <w:pPr>
        <w:jc w:val="both"/>
        <w:ind w:left="40" w:right="59" w:firstLine="313"/>
        <w:spacing w:after="0" w:line="260" w:lineRule="auto"/>
        <w:rPr>
          <w:sz w:val="20"/>
          <w:szCs w:val="20"/>
          <w:color w:val="auto"/>
        </w:rPr>
      </w:pPr>
      <w:r>
        <w:rPr>
          <w:rFonts w:ascii="Times New Roman" w:cs="Times New Roman" w:eastAsia="Times New Roman" w:hAnsi="Times New Roman"/>
          <w:sz w:val="17"/>
          <w:szCs w:val="17"/>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September 30, 2022 and 2021, the Company declared and paid cash dividends on its common stock and OP Units of $0.275 per share and $0.255 per share, respectively. During the nine months ended September 30, 2022 and 2021, the Company declared and paid cash dividends on its common stock and OP Units of $0.815 per share and $0.745 per share,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293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12. COMMON STOCK AND EARNINGS PER SHARE</w:t>
      </w:r>
    </w:p>
    <w:p>
      <w:pPr>
        <w:spacing w:after="0" w:line="224"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pacing w:after="0" w:line="144"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The following is a reconciliation of basic and diluted earnings per common share (in thousands, except share and per share data):</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Pr>
          <w:p>
            <w:pPr>
              <w:spacing w:after="0"/>
              <w:rPr>
                <w:sz w:val="19"/>
                <w:szCs w:val="19"/>
                <w:color w:val="auto"/>
              </w:rPr>
            </w:pPr>
          </w:p>
        </w:tc>
        <w:tc>
          <w:tcPr>
            <w:tcW w:w="212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181"/>
        </w:trPr>
        <w:tc>
          <w:tcPr>
            <w:tcW w:w="4260" w:type="dxa"/>
            <w:vAlign w:val="bottom"/>
          </w:tcPr>
          <w:p>
            <w:pPr>
              <w:spacing w:after="0"/>
              <w:rPr>
                <w:sz w:val="15"/>
                <w:szCs w:val="15"/>
                <w:color w:val="auto"/>
              </w:rPr>
            </w:pPr>
          </w:p>
        </w:tc>
        <w:tc>
          <w:tcPr>
            <w:tcW w:w="1160" w:type="dxa"/>
            <w:vAlign w:val="bottom"/>
            <w:tcBorders>
              <w:top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4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40" w:type="dxa"/>
            <w:vAlign w:val="bottom"/>
          </w:tcPr>
          <w:p>
            <w:pPr>
              <w:spacing w:after="0"/>
              <w:rPr>
                <w:sz w:val="15"/>
                <w:szCs w:val="15"/>
                <w:color w:val="auto"/>
              </w:rPr>
            </w:pPr>
          </w:p>
        </w:tc>
        <w:tc>
          <w:tcPr>
            <w:tcW w:w="1180" w:type="dxa"/>
            <w:vAlign w:val="bottom"/>
            <w:tcBorders>
              <w:top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4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170"/>
        </w:trPr>
        <w:tc>
          <w:tcPr>
            <w:tcW w:w="42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Net Income Attributable to Alpine Income Property Trust,</w:t>
            </w:r>
          </w:p>
        </w:tc>
        <w:tc>
          <w:tcPr>
            <w:tcW w:w="2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4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4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24,858</w:t>
            </w:r>
          </w:p>
        </w:tc>
        <w:tc>
          <w:tcPr>
            <w:tcW w:w="6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0" w:type="dxa"/>
            <w:vAlign w:val="bottom"/>
          </w:tcPr>
          <w:p>
            <w:pPr>
              <w:spacing w:after="0"/>
              <w:rPr>
                <w:sz w:val="1"/>
                <w:szCs w:val="1"/>
                <w:color w:val="auto"/>
              </w:rPr>
            </w:pPr>
          </w:p>
        </w:tc>
      </w:tr>
      <w:tr>
        <w:trPr>
          <w:trHeight w:val="214"/>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11,888,171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11,299,548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11,799,151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9,253,090</w:t>
            </w:r>
          </w:p>
        </w:tc>
        <w:tc>
          <w:tcPr>
            <w:tcW w:w="0" w:type="dxa"/>
            <w:vAlign w:val="bottom"/>
          </w:tcPr>
          <w:p>
            <w:pPr>
              <w:spacing w:after="0"/>
              <w:rPr>
                <w:sz w:val="1"/>
                <w:szCs w:val="1"/>
                <w:color w:val="auto"/>
              </w:rPr>
            </w:pPr>
          </w:p>
        </w:tc>
      </w:tr>
      <w:tr>
        <w:trPr>
          <w:trHeight w:val="183"/>
        </w:trPr>
        <w:tc>
          <w:tcPr>
            <w:tcW w:w="42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Weighted Average Number of Common Shares Applicable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60" w:type="dxa"/>
            <w:vAlign w:val="bottom"/>
            <w:tcBorders>
              <w:bottom w:val="single" w:sz="8" w:color="CCEEFF"/>
            </w:tcBorders>
          </w:tcPr>
          <w:p>
            <w:pPr>
              <w:spacing w:after="0" w:line="235" w:lineRule="exact"/>
              <w:rPr>
                <w:sz w:val="20"/>
                <w:szCs w:val="20"/>
                <w:color w:val="auto"/>
              </w:rPr>
            </w:pPr>
            <w:r>
              <w:rPr>
                <w:rFonts w:ascii="Times New Roman" w:cs="Times New Roman" w:eastAsia="Times New Roman" w:hAnsi="Times New Roman"/>
                <w:sz w:val="17"/>
                <w:szCs w:val="17"/>
                <w:color w:val="auto"/>
              </w:rPr>
              <w:t xml:space="preserve">to OP Units using Treasury Stock Method </w:t>
            </w:r>
            <w:r>
              <w:rPr>
                <w:rFonts w:ascii="Times New Roman" w:cs="Times New Roman" w:eastAsia="Times New Roman" w:hAnsi="Times New Roman"/>
                <w:sz w:val="26"/>
                <w:szCs w:val="26"/>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1,703,494</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1,696,955</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1,703,494</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1,384,844</w:t>
            </w:r>
          </w:p>
        </w:tc>
        <w:tc>
          <w:tcPr>
            <w:tcW w:w="0" w:type="dxa"/>
            <w:vAlign w:val="bottom"/>
          </w:tcPr>
          <w:p>
            <w:pPr>
              <w:spacing w:after="0"/>
              <w:rPr>
                <w:sz w:val="1"/>
                <w:szCs w:val="1"/>
                <w:color w:val="auto"/>
              </w:rPr>
            </w:pPr>
          </w:p>
        </w:tc>
      </w:tr>
      <w:tr>
        <w:trPr>
          <w:trHeight w:val="202"/>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Shares Applicable to Diluted Earnings per Share</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13,591,665</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12,996,503</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13,502,645</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10,637,934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Per Common Share Data:</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Net Income Attributable to Alpine Income Property Trust,</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r>
        <w:trPr>
          <w:trHeight w:val="227"/>
        </w:trPr>
        <w:tc>
          <w:tcPr>
            <w:tcW w:w="4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4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4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60" w:type="dxa"/>
            <w:vAlign w:val="bottom"/>
          </w:tcPr>
          <w:p>
            <w:pPr>
              <w:spacing w:after="0"/>
              <w:rPr>
                <w:sz w:val="19"/>
                <w:szCs w:val="19"/>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46355</wp:posOffset>
            </wp:positionV>
            <wp:extent cx="14160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122" w:lineRule="exact"/>
        <w:rPr>
          <w:sz w:val="20"/>
          <w:szCs w:val="20"/>
          <w:color w:val="auto"/>
        </w:rPr>
      </w:pPr>
    </w:p>
    <w:p>
      <w:pPr>
        <w:jc w:val="both"/>
        <w:ind w:left="360" w:right="79" w:hanging="313"/>
        <w:spacing w:after="0" w:line="232" w:lineRule="auto"/>
        <w:tabs>
          <w:tab w:leader="none" w:pos="36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Represents shares underlying OP units including (i) 1,223,854 shares underlying OP Units issued to CTO in connection with our Formation Transactions and (ii) 479,640 shares underlying OP Units issued to an unrelated third party in connection with the acquisition of ten net lease properties during the year ended December 31, 2021 (see Note 11, “Equity”).</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13. SHARE REPURCHASES</w:t>
      </w:r>
    </w:p>
    <w:p>
      <w:pPr>
        <w:spacing w:after="0" w:line="224"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In March 2020, the Board approved a $5.0 million stock repurchase program (the “$5.0 Million Repurchase Program”). During the first half of 2020, the Company repurchased 456,237 shares of its common stock on the open market for a total cost of $5.0 million, or an average price per share of $11.02, which completed the $5.0 Million Repurchase Program. There were no repurchases of the Company’s common stock during the nine months ended September 30, 2022, or 2021.</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14. STOCK-BASED COMPENSATION</w:t>
      </w:r>
    </w:p>
    <w:p>
      <w:pPr>
        <w:spacing w:after="0" w:line="224" w:lineRule="exact"/>
        <w:rPr>
          <w:sz w:val="20"/>
          <w:szCs w:val="20"/>
          <w:color w:val="auto"/>
        </w:rPr>
      </w:pPr>
    </w:p>
    <w:p>
      <w:pPr>
        <w:jc w:val="both"/>
        <w:ind w:left="40" w:right="59" w:firstLine="469"/>
        <w:spacing w:after="0" w:line="265" w:lineRule="auto"/>
        <w:rPr>
          <w:sz w:val="20"/>
          <w:szCs w:val="20"/>
          <w:color w:val="auto"/>
        </w:rPr>
      </w:pPr>
      <w:r>
        <w:rPr>
          <w:rFonts w:ascii="Times New Roman" w:cs="Times New Roman" w:eastAsia="Times New Roman" w:hAnsi="Times New Roman"/>
          <w:sz w:val="17"/>
          <w:szCs w:val="17"/>
          <w:color w:val="auto"/>
        </w:rPr>
        <w:t>In connection with the closing of the IPO, 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72" w:lineRule="exact"/>
        <w:rPr>
          <w:sz w:val="20"/>
          <w:szCs w:val="20"/>
          <w:color w:val="auto"/>
        </w:rPr>
      </w:pPr>
    </w:p>
    <w:p>
      <w:pPr>
        <w:jc w:val="both"/>
        <w:ind w:left="40" w:right="59" w:firstLine="475"/>
        <w:spacing w:after="0" w:line="263" w:lineRule="auto"/>
        <w:rPr>
          <w:sz w:val="20"/>
          <w:szCs w:val="20"/>
          <w:color w:val="auto"/>
        </w:rPr>
      </w:pPr>
      <w:r>
        <w:rPr>
          <w:rFonts w:ascii="Times New Roman" w:cs="Times New Roman" w:eastAsia="Times New Roman" w:hAnsi="Times New Roman"/>
          <w:sz w:val="17"/>
          <w:szCs w:val="17"/>
          <w:color w:val="auto"/>
        </w:rPr>
        <w:t>On November 26, 2019, the Company granted restricted shares of common stock to each of the inaugural non-employee directors under the Individual Plan. Each of the inaugural non-employee directors received an award of 2,000 restricted shares of common stock on November 26, 2019. The restricted shares will vest in substantially equal installments on each of the first, second and third anniversaries of the grant date. As of September 30, 2022, the first and second increments of this award had vested, leaving 2,668 shares unvested. In addition, the restricted shares are subject to a holding period beginning on the grant date and ending on the date that the grantee ceases to serve as a member of the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Board (the “Holding Period”). During the Holding Period, the restricted shares may not be sold, pledged or otherwise transferred by the grantee. Except for the one-time IPO-related grant of these 8,000 restricted shares of common stock, and the quarterly common stock grants to the non-employee directors in lieu of cash retainer fees (pursuant to the directors’ annual election under the Company’s Non-Employee Director Compensation Policy), the Company has not made any grants under the Equity Incentive Plans. Any future grants under the Equity Incentive Plans will be approved by the compensation committee of the Board. The 2019 non-employee director share awards had an aggregate grant date fair value of $0.2 million. The Company’s determination of the grant date fair value of the three-year vest restricted stock awards was calculated by multiplying the number of shares issued by the Company’s stock price at the grant date. Compensation cost is recognized on a straight-line basis over the vesting period and is included in general and administrative expenses in the Company’s consolidated statements of operations. Award forfeitures are accounted for in the period in which they occur.</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summary of activity for these awards during the nine months ended September 30, 2022 is presented below:</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Non-Vested Restricted Shares</w:t>
            </w: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Pr>
          <w:p>
            <w:pPr>
              <w:spacing w:after="0"/>
              <w:rPr>
                <w:sz w:val="19"/>
                <w:szCs w:val="19"/>
                <w:color w:val="auto"/>
              </w:rPr>
            </w:pP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9"/>
              </w:rPr>
              <w:t>Wtd. Avg. Fair Value</w:t>
            </w:r>
          </w:p>
        </w:tc>
      </w:tr>
      <w:tr>
        <w:trPr>
          <w:trHeight w:val="202"/>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at January 1, 2022</w:t>
            </w:r>
          </w:p>
        </w:tc>
        <w:tc>
          <w:tcPr>
            <w:tcW w:w="3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w:t>
            </w:r>
          </w:p>
        </w:tc>
      </w:tr>
      <w:tr>
        <w:trPr>
          <w:trHeight w:val="209"/>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Expired</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Non-Vested at September 30, 2022</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18.80</w:t>
            </w:r>
          </w:p>
        </w:tc>
      </w:tr>
      <w:tr>
        <w:trPr>
          <w:trHeight w:val="20"/>
        </w:trPr>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As of September 30, 2022, there was $0.01 million of unrecognized compensation cost related to the three-year vest restricted shares, which will be recognized over a remaining period of 0.2 years.</w:t>
      </w:r>
    </w:p>
    <w:p>
      <w:pPr>
        <w:spacing w:after="0" w:line="147" w:lineRule="exact"/>
        <w:rPr>
          <w:sz w:val="20"/>
          <w:szCs w:val="20"/>
          <w:color w:val="auto"/>
        </w:rPr>
      </w:pPr>
    </w:p>
    <w:p>
      <w:pPr>
        <w:jc w:val="both"/>
        <w:ind w:left="40" w:right="59" w:firstLine="313"/>
        <w:spacing w:after="0" w:line="260" w:lineRule="auto"/>
        <w:rPr>
          <w:sz w:val="20"/>
          <w:szCs w:val="20"/>
          <w:color w:val="auto"/>
        </w:rPr>
      </w:pPr>
      <w:r>
        <w:rPr>
          <w:rFonts w:ascii="Times New Roman" w:cs="Times New Roman" w:eastAsia="Times New Roman" w:hAnsi="Times New Roman"/>
          <w:sz w:val="17"/>
          <w:szCs w:val="17"/>
          <w:color w:val="auto"/>
        </w:rPr>
        <w:t>Each member of the Board has the option to receive his or her annual retainer in shares of Company common stock rather than cash. The number of shares awarded to the directors making such election is calculated quarterly by dividing the amount of the quarterly retainer payment due to such director by the trailing 20-day average price of the Company’s common stock as of the last business day of the calendar quarter, rounded down to the nearest whole number of shares. During the nine months ended September 30, 2022, the expense recognized for the value of the Company’s common stock received by non-employee directors totaled $0.2 million, or 10,977 shares, of which 3,514 shares were issued on April 1, 2022, 3,689 shares were issued on July 1, 2022, and 3,774 shares were issued on October 3, 2022. During the nine months ended September 30, 2021, the expense recognized for the value of the Company’s common stock received by non-employee directors totaled $0.2 million, or 10,572 shares, of which 3,453 were issued on April 1, 2021, 3,525 shares were issued on July 1, 2021, and 3,594 shares were issued on October 1, 2021.</w:t>
      </w:r>
    </w:p>
    <w:p>
      <w:pPr>
        <w:spacing w:after="0" w:line="177"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Stock compensation expense for the three and nine months ended September 30, 2022 and 2021 is summarized as follows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2620" w:type="dxa"/>
            <w:vAlign w:val="bottom"/>
            <w:gridSpan w:val="4"/>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81"/>
        </w:trPr>
        <w:tc>
          <w:tcPr>
            <w:tcW w:w="3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3"/>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3"/>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9"/>
        </w:trPr>
        <w:tc>
          <w:tcPr>
            <w:tcW w:w="3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70"/>
        </w:trPr>
        <w:tc>
          <w:tcPr>
            <w:tcW w:w="34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Stock Compensation Expense – Director</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2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190"/>
        </w:trPr>
        <w:tc>
          <w:tcPr>
            <w:tcW w:w="340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Stock Compensation Expense – Director</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7"/>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Retainers Paid in Stock</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02"/>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293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15. RELATED PARTY MANAGEMENT COMPANY</w:t>
      </w:r>
    </w:p>
    <w:p>
      <w:pPr>
        <w:spacing w:after="0" w:line="211" w:lineRule="exact"/>
        <w:rPr>
          <w:sz w:val="20"/>
          <w:szCs w:val="20"/>
          <w:color w:val="auto"/>
        </w:rPr>
      </w:pPr>
    </w:p>
    <w:p>
      <w:pPr>
        <w:jc w:val="both"/>
        <w:ind w:left="40" w:right="59" w:firstLine="313"/>
        <w:spacing w:after="0" w:line="260" w:lineRule="auto"/>
        <w:rPr>
          <w:sz w:val="20"/>
          <w:szCs w:val="20"/>
          <w:color w:val="auto"/>
        </w:rPr>
      </w:pPr>
      <w:r>
        <w:rPr>
          <w:rFonts w:ascii="Times New Roman" w:cs="Times New Roman" w:eastAsia="Times New Roman" w:hAnsi="Times New Roman"/>
          <w:sz w:val="17"/>
          <w:szCs w:val="17"/>
          <w:color w:val="auto"/>
        </w:rPr>
        <w:t>We are externally managed by the Manager, a wholly owned subsidiary of CTO. Subsequent to the IPO, through September 30, 2022, CTO purchased an aggregate 134,221 shares of PINE common stock in the open market including (i) 126,133 shares purchased during the nine months ended September 30, 2022 for $2.3 million, or an average price per share of $17.83 and (ii) 8,088 shares purchased during the year ended December 31, 2021 for $0.1 million, or an average price per share of $17.65. As of September 30, 2022, CTO owns, in the aggregate, 1,223,854 OP Units and 950,011 shares of PINE common stock, inclusive of (i) 394,737 shares of common stock totaling $7.5 million issued in connection with the CTO Private Placement, (ii) 421,053 shares of common stock totaling $8.0 million issued in connection with the IPO, and (iii) 134,221 shares of common stock totaling $2.4 million purchased by CTO subsequent to the IPO. The aggregate 1,223,854 OP Units and 950,011 shares of PINE common stock held by CTO represent an investment totaling $35.3 million, or 16.0% of PINE’s outstanding equity, as of September 30, 2022.</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Management Agreement</w:t>
      </w:r>
    </w:p>
    <w:p>
      <w:pPr>
        <w:spacing w:after="0" w:line="224" w:lineRule="exact"/>
        <w:rPr>
          <w:sz w:val="20"/>
          <w:szCs w:val="20"/>
          <w:color w:val="auto"/>
        </w:rPr>
      </w:pPr>
    </w:p>
    <w:p>
      <w:pPr>
        <w:jc w:val="both"/>
        <w:ind w:left="40" w:right="59" w:firstLine="313"/>
        <w:spacing w:after="0" w:line="263" w:lineRule="auto"/>
        <w:rPr>
          <w:sz w:val="20"/>
          <w:szCs w:val="20"/>
          <w:color w:val="auto"/>
        </w:rPr>
      </w:pPr>
      <w:r>
        <w:rPr>
          <w:rFonts w:ascii="Times New Roman" w:cs="Times New Roman" w:eastAsia="Times New Roman" w:hAnsi="Times New Roman"/>
          <w:sz w:val="17"/>
          <w:szCs w:val="17"/>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75" w:lineRule="exact"/>
        <w:rPr>
          <w:sz w:val="20"/>
          <w:szCs w:val="20"/>
          <w:color w:val="auto"/>
        </w:rPr>
      </w:pPr>
    </w:p>
    <w:p>
      <w:pPr>
        <w:jc w:val="both"/>
        <w:ind w:left="40" w:right="59" w:firstLine="313"/>
        <w:spacing w:after="0" w:line="263" w:lineRule="auto"/>
        <w:rPr>
          <w:sz w:val="20"/>
          <w:szCs w:val="20"/>
          <w:color w:val="auto"/>
        </w:rPr>
      </w:pPr>
      <w:r>
        <w:rPr>
          <w:rFonts w:ascii="Times New Roman" w:cs="Times New Roman" w:eastAsia="Times New Roman" w:hAnsi="Times New Roman"/>
          <w:sz w:val="17"/>
          <w:szCs w:val="17"/>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w:t>
      </w:r>
    </w:p>
    <w:p>
      <w:pPr>
        <w:spacing w:after="0" w:line="1" w:lineRule="exact"/>
        <w:rPr>
          <w:sz w:val="20"/>
          <w:szCs w:val="20"/>
          <w:color w:val="auto"/>
        </w:rPr>
      </w:pPr>
    </w:p>
    <w:p>
      <w:pPr>
        <w:ind w:left="40" w:right="59" w:firstLine="7"/>
        <w:spacing w:after="0" w:line="272" w:lineRule="auto"/>
        <w:tabs>
          <w:tab w:leader="none" w:pos="27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 multiplied by (b) the Outperformance Amount multiplied by (c) the weighted average shares. No incentive fee was due for the year ended December 31, 2021.</w:t>
      </w:r>
    </w:p>
    <w:p>
      <w:pPr>
        <w:spacing w:after="0" w:line="165"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63" w:lineRule="exact"/>
        <w:rPr>
          <w:sz w:val="20"/>
          <w:szCs w:val="20"/>
          <w:color w:val="auto"/>
        </w:rPr>
      </w:pPr>
    </w:p>
    <w:p>
      <w:pPr>
        <w:jc w:val="both"/>
        <w:ind w:left="40" w:right="59" w:firstLine="313"/>
        <w:spacing w:after="0" w:line="263" w:lineRule="auto"/>
        <w:rPr>
          <w:sz w:val="20"/>
          <w:szCs w:val="20"/>
          <w:color w:val="auto"/>
        </w:rPr>
      </w:pPr>
      <w:r>
        <w:rPr>
          <w:rFonts w:ascii="Times New Roman" w:cs="Times New Roman" w:eastAsia="Times New Roman" w:hAnsi="Times New Roman"/>
          <w:sz w:val="17"/>
          <w:szCs w:val="17"/>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w:t>
      </w:r>
    </w:p>
    <w:p>
      <w:pPr>
        <w:spacing w:after="0" w:line="1" w:lineRule="exact"/>
        <w:rPr>
          <w:sz w:val="20"/>
          <w:szCs w:val="20"/>
          <w:color w:val="auto"/>
        </w:rPr>
      </w:pPr>
    </w:p>
    <w:p>
      <w:pPr>
        <w:jc w:val="both"/>
        <w:ind w:left="40" w:right="59" w:firstLine="7"/>
        <w:spacing w:after="0" w:line="259" w:lineRule="auto"/>
        <w:tabs>
          <w:tab w:leader="none" w:pos="25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76"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70"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color w:val="auto"/>
        </w:rPr>
        <w:t>The Company incurred management fee expenses totaling $0.9 million and $2.8 million during the three and nine months ended September 30, 2022, respectively. The Company also paid dividends on the common stock and OP Units owned by affiliates of the Manager in the amount of $0.6 million and $1.7 million for the three and nine months ended September 30, 2022, respectively. The Company incurred management fee expenses totaling $0.9 million and $2.3 million during the three and nine months ended September 30, 2021, respectively. The Company also paid dividends on the common stock and OP Units owned by affiliates of the Manager in the amount of $0.5 million and $1.7 million for the three and nine months ended September 30, 2021, respectively.</w:t>
      </w:r>
    </w:p>
    <w:p>
      <w:pPr>
        <w:sectPr>
          <w:pgSz w:w="11900" w:h="16838" w:orient="portrait"/>
          <w:cols w:equalWidth="0" w:num="1">
            <w:col w:w="9019"/>
          </w:cols>
          <w:pgMar w:left="1440" w:top="499"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293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following table represents amounts due to (from) CTO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9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80" w:type="dxa"/>
            <w:vAlign w:val="bottom"/>
          </w:tcPr>
          <w:p>
            <w:pPr>
              <w:spacing w:after="0"/>
              <w:rPr>
                <w:sz w:val="17"/>
                <w:szCs w:val="17"/>
                <w:color w:val="auto"/>
              </w:rPr>
            </w:pPr>
          </w:p>
        </w:tc>
        <w:tc>
          <w:tcPr>
            <w:tcW w:w="174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02"/>
        </w:trPr>
        <w:tc>
          <w:tcPr>
            <w:tcW w:w="4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Fee due to CTO</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0" w:type="dxa"/>
            <w:vAlign w:val="bottom"/>
          </w:tcPr>
          <w:p>
            <w:pPr>
              <w:spacing w:after="0"/>
              <w:rPr>
                <w:sz w:val="1"/>
                <w:szCs w:val="1"/>
                <w:color w:val="auto"/>
              </w:rPr>
            </w:pPr>
          </w:p>
        </w:tc>
      </w:tr>
      <w:tr>
        <w:trPr>
          <w:trHeight w:val="209"/>
        </w:trPr>
        <w:tc>
          <w:tcPr>
            <w:tcW w:w="4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0" w:type="dxa"/>
            <w:vAlign w:val="bottom"/>
          </w:tcPr>
          <w:p>
            <w:pPr>
              <w:spacing w:after="0"/>
              <w:rPr>
                <w:sz w:val="1"/>
                <w:szCs w:val="1"/>
                <w:color w:val="auto"/>
              </w:rPr>
            </w:pPr>
          </w:p>
        </w:tc>
      </w:tr>
      <w:tr>
        <w:trPr>
          <w:trHeight w:val="202"/>
        </w:trPr>
        <w:tc>
          <w:tcPr>
            <w:tcW w:w="4900" w:type="dxa"/>
            <w:vAlign w:val="bottom"/>
            <w:tcBorders>
              <w:top w:val="single" w:sz="8" w:color="CCEEFF"/>
              <w:bottom w:val="single" w:sz="8" w:color="CCEE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240" w:type="dxa"/>
            <w:vAlign w:val="bottom"/>
            <w:tcBorders>
              <w:bottom w:val="single" w:sz="8" w:color="auto"/>
            </w:tcBorders>
          </w:tcPr>
          <w:p>
            <w:pPr>
              <w:spacing w:after="0"/>
              <w:rPr>
                <w:sz w:val="6"/>
                <w:szCs w:val="6"/>
                <w:color w:val="auto"/>
              </w:rPr>
            </w:pPr>
          </w:p>
        </w:tc>
        <w:tc>
          <w:tcPr>
            <w:tcW w:w="2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60" w:hanging="313"/>
        <w:spacing w:after="0"/>
        <w:tabs>
          <w:tab w:leader="none" w:pos="36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Included in accrued expenses, see Note 8, “Accounts Payable, Accrued Expenses, and Other Liabilities”.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ROFO Agreement</w:t>
      </w:r>
    </w:p>
    <w:p>
      <w:pPr>
        <w:spacing w:after="0" w:line="198"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72" w:lineRule="exact"/>
        <w:rPr>
          <w:sz w:val="20"/>
          <w:szCs w:val="20"/>
          <w:color w:val="auto"/>
        </w:rPr>
      </w:pPr>
    </w:p>
    <w:p>
      <w:pPr>
        <w:jc w:val="both"/>
        <w:ind w:left="40" w:right="79" w:firstLine="313"/>
        <w:spacing w:after="0" w:line="294" w:lineRule="auto"/>
        <w:rPr>
          <w:sz w:val="20"/>
          <w:szCs w:val="20"/>
          <w:color w:val="auto"/>
        </w:rPr>
      </w:pPr>
      <w:r>
        <w:rPr>
          <w:rFonts w:ascii="Times New Roman" w:cs="Times New Roman" w:eastAsia="Times New Roman" w:hAnsi="Times New Roman"/>
          <w:sz w:val="17"/>
          <w:szCs w:val="17"/>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47"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term of the ROFO Agreement will continue for so long as the Management Agreement with our Manager is in effect.</w:t>
      </w:r>
    </w:p>
    <w:p>
      <w:pPr>
        <w:spacing w:after="0" w:line="222"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On April 6, 2021, the Company entered into a purchase and sale agreement with a certain subsidiary of CTO for the purchase of one net lease property for $11.5 million. The acquisition was completed on April 23, 2021.</w:t>
      </w:r>
    </w:p>
    <w:p>
      <w:pPr>
        <w:spacing w:after="0" w:line="147" w:lineRule="exact"/>
        <w:rPr>
          <w:sz w:val="20"/>
          <w:szCs w:val="20"/>
          <w:color w:val="auto"/>
        </w:rPr>
      </w:pPr>
    </w:p>
    <w:p>
      <w:pPr>
        <w:jc w:val="both"/>
        <w:ind w:left="40" w:right="59" w:firstLine="313"/>
        <w:spacing w:after="0" w:line="272" w:lineRule="auto"/>
        <w:rPr>
          <w:sz w:val="20"/>
          <w:szCs w:val="20"/>
          <w:color w:val="auto"/>
        </w:rPr>
      </w:pPr>
      <w:r>
        <w:rPr>
          <w:rFonts w:ascii="Times New Roman" w:cs="Times New Roman" w:eastAsia="Times New Roman" w:hAnsi="Times New Roman"/>
          <w:sz w:val="17"/>
          <w:szCs w:val="17"/>
          <w:color w:val="auto"/>
        </w:rPr>
        <w:t>On April 2, 2021, the Company entered into a purchase and sale agreement with certain subsidiaries of CTO for the purchase of the CMBS Portfolio. The terms of the purchase and sale agreement, as amended on April 20, 2021, provided a total purchase price of $44.5 million for the CMBS Portfolio. The acquisition of the CMBS Portfolio was completed on June 30, 2021.</w:t>
      </w:r>
    </w:p>
    <w:p>
      <w:pPr>
        <w:spacing w:after="0" w:line="378"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On January 5, 2022, the Company entered into a purchase and sale agreement with a certain subsidiary of CTO for the purchase of one net lease property for $6.9 million. The acquisition was completed on January 7, 2022.</w:t>
      </w:r>
    </w:p>
    <w:p>
      <w:pPr>
        <w:spacing w:after="0" w:line="147"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The entry into these purchase and sale agreements, and subsequent completion of the related acquisitions, are a result of the Company exercising its right to purchase the aforementioned properties under the ROFO Agreement.</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Conflicts of Interest</w:t>
      </w:r>
    </w:p>
    <w:p>
      <w:pPr>
        <w:spacing w:after="0" w:line="198" w:lineRule="exact"/>
        <w:rPr>
          <w:sz w:val="20"/>
          <w:szCs w:val="20"/>
          <w:color w:val="auto"/>
        </w:rPr>
      </w:pPr>
    </w:p>
    <w:p>
      <w:pPr>
        <w:jc w:val="both"/>
        <w:ind w:left="40" w:right="59" w:firstLine="313"/>
        <w:spacing w:after="0" w:line="261" w:lineRule="auto"/>
        <w:rPr>
          <w:sz w:val="20"/>
          <w:szCs w:val="20"/>
          <w:color w:val="auto"/>
        </w:rPr>
      </w:pPr>
      <w:r>
        <w:rPr>
          <w:rFonts w:ascii="Times New Roman" w:cs="Times New Roman" w:eastAsia="Times New Roman" w:hAnsi="Times New Roman"/>
          <w:sz w:val="17"/>
          <w:szCs w:val="17"/>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75" w:lineRule="exact"/>
        <w:rPr>
          <w:sz w:val="20"/>
          <w:szCs w:val="20"/>
          <w:color w:val="auto"/>
        </w:rPr>
      </w:pPr>
    </w:p>
    <w:p>
      <w:pPr>
        <w:jc w:val="both"/>
        <w:ind w:left="40" w:right="59" w:firstLine="313"/>
        <w:spacing w:after="0" w:line="261" w:lineRule="auto"/>
        <w:rPr>
          <w:sz w:val="20"/>
          <w:szCs w:val="20"/>
          <w:color w:val="auto"/>
        </w:rPr>
      </w:pPr>
      <w:r>
        <w:rPr>
          <w:rFonts w:ascii="Times New Roman" w:cs="Times New Roman" w:eastAsia="Times New Roman" w:hAnsi="Times New Roman"/>
          <w:sz w:val="17"/>
          <w:szCs w:val="17"/>
          <w:color w:val="auto"/>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385"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70"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88"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63" w:lineRule="exact"/>
        <w:rPr>
          <w:sz w:val="20"/>
          <w:szCs w:val="20"/>
          <w:color w:val="auto"/>
        </w:rPr>
      </w:pPr>
    </w:p>
    <w:p>
      <w:pPr>
        <w:jc w:val="both"/>
        <w:ind w:left="40" w:right="59" w:firstLine="313"/>
        <w:spacing w:after="0" w:line="258" w:lineRule="auto"/>
        <w:rPr>
          <w:sz w:val="20"/>
          <w:szCs w:val="20"/>
          <w:color w:val="auto"/>
        </w:rPr>
      </w:pPr>
      <w:r>
        <w:rPr>
          <w:rFonts w:ascii="Times New Roman" w:cs="Times New Roman" w:eastAsia="Times New Roman" w:hAnsi="Times New Roman"/>
          <w:sz w:val="17"/>
          <w:szCs w:val="17"/>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16. COMMITMENTS AND CONTINGENCIES</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1"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NOTE 17. SUBSEQUENT EVENTS</w:t>
      </w:r>
    </w:p>
    <w:p>
      <w:pPr>
        <w:spacing w:after="0" w:line="237"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Subsequent events and transactions were evaluated through October 20, 2022 the date the consolidated financial statements were issued.</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Long-Term Debt</w:t>
      </w:r>
    </w:p>
    <w:p>
      <w:pPr>
        <w:spacing w:after="0" w:line="224"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On October 5, 2022, the Company entered into the 2026 Term Loan Second Amendment which, among other things, amended certain financial covenants and added a sustainability-linked pricing component consistent with what is contained in the 2022 Amended and Restated Credit Agreement, effective September 30, 2022.</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There were no other reportable subsequent events or transactions.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40" w:right="59"/>
        <w:spacing w:after="0" w:line="297" w:lineRule="auto"/>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42"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i w:val="1"/>
          <w:iCs w:val="1"/>
          <w:color w:val="auto"/>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2021.</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4" w:lineRule="exact"/>
        <w:rPr>
          <w:sz w:val="20"/>
          <w:szCs w:val="20"/>
          <w:color w:val="auto"/>
        </w:rPr>
      </w:pPr>
    </w:p>
    <w:p>
      <w:pPr>
        <w:jc w:val="both"/>
        <w:ind w:left="40" w:right="59" w:firstLine="313"/>
        <w:spacing w:after="0" w:line="261"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77" w:lineRule="exact"/>
        <w:rPr>
          <w:sz w:val="20"/>
          <w:szCs w:val="20"/>
          <w:color w:val="auto"/>
        </w:rPr>
      </w:pPr>
    </w:p>
    <w:p>
      <w:pPr>
        <w:jc w:val="both"/>
        <w:ind w:left="40" w:right="59" w:firstLine="313"/>
        <w:spacing w:after="0" w:line="260" w:lineRule="auto"/>
        <w:rPr>
          <w:sz w:val="20"/>
          <w:szCs w:val="20"/>
          <w:color w:val="auto"/>
        </w:rPr>
      </w:pPr>
      <w:r>
        <w:rPr>
          <w:rFonts w:ascii="Times New Roman" w:cs="Times New Roman" w:eastAsia="Times New Roman" w:hAnsi="Times New Roman"/>
          <w:sz w:val="17"/>
          <w:szCs w:val="17"/>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and national economic conditions affecting the real estate development business and properties; the impact of competitive real estate activity; the loss of any major property tenants; the ultimate geographic spread, severity and duration of pandemics such as the outbreak of COVID-19 and its variants,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77" w:lineRule="exact"/>
        <w:rPr>
          <w:sz w:val="20"/>
          <w:szCs w:val="20"/>
          <w:color w:val="auto"/>
        </w:rPr>
      </w:pPr>
    </w:p>
    <w:p>
      <w:pPr>
        <w:jc w:val="both"/>
        <w:ind w:left="40" w:right="59" w:firstLine="313"/>
        <w:spacing w:after="0" w:line="263" w:lineRule="auto"/>
        <w:rPr>
          <w:sz w:val="20"/>
          <w:szCs w:val="20"/>
          <w:color w:val="auto"/>
        </w:rPr>
      </w:pPr>
      <w:r>
        <w:rPr>
          <w:rFonts w:ascii="Times New Roman" w:cs="Times New Roman" w:eastAsia="Times New Roman" w:hAnsi="Times New Roman"/>
          <w:sz w:val="17"/>
          <w:szCs w:val="17"/>
          <w:color w:val="auto"/>
        </w:rPr>
        <w:t>See “Item 1A. Risk Factors” of the Company’s Annual Report on Form 10-K for the year ended December 31, 2021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4"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color w:val="auto"/>
        </w:rPr>
        <w:t>We are a real estate company that owns and operates a high-quality portfolio of commercial properties located in the United States. Our properties are generally leased on a long-term basis and located primarily in, or in close proximity to major metropolitan statistical areas, or MSAs, and in growth markets and other markets in the United States with favorable economic and demographic conditions. Our properties are primarily leased to industry leading, creditworthy tenants, many of which operate in industries we believe are resistant to the impact of e-commerce or defensive in nature against economic uncertainty or disruption. The properties in our portfolio are primarily triple-net leases which generally require the tenant to pay all of the property operating expenses such as real estate taxes, insurance, assessments and other governmental fees,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0" w:right="59"/>
        <w:spacing w:after="0" w:line="294" w:lineRule="auto"/>
        <w:rPr>
          <w:sz w:val="20"/>
          <w:szCs w:val="20"/>
          <w:color w:val="auto"/>
        </w:rPr>
      </w:pPr>
      <w:r>
        <w:rPr>
          <w:rFonts w:ascii="Times New Roman" w:cs="Times New Roman" w:eastAsia="Times New Roman" w:hAnsi="Times New Roman"/>
          <w:sz w:val="17"/>
          <w:szCs w:val="17"/>
          <w:color w:val="auto"/>
        </w:rPr>
        <w:t>utilities, repairs and maintenance and certain capital expenditures. Our portfolio consists of 146 net leased retail and office properties located in 104 markets in 35 states.</w:t>
      </w:r>
    </w:p>
    <w:p>
      <w:pPr>
        <w:spacing w:after="0" w:line="147"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Twenty properties, representing our initial portfolio, were acquired from CTO Realty Growth, Inc. (“CTO”) in the formation transactions, utilizing $125.9 million of proceeds from our initial public offering of our common stock (the “IPO”) and the issuance of 1,223,854 units of our operating partnership (the “OP Units”) that had an initial value of $23.3 million based on the IPO price of $19.00 per share (the “IPO Price”). As of September 30, 2022, eleven of the properties included within our initial portfolio have been sold.</w:t>
      </w:r>
    </w:p>
    <w:p>
      <w:pPr>
        <w:spacing w:after="0" w:line="172" w:lineRule="exact"/>
        <w:rPr>
          <w:sz w:val="20"/>
          <w:szCs w:val="20"/>
          <w:color w:val="auto"/>
        </w:rPr>
      </w:pPr>
    </w:p>
    <w:p>
      <w:pPr>
        <w:jc w:val="both"/>
        <w:ind w:left="40" w:right="59" w:firstLine="313"/>
        <w:spacing w:after="0" w:line="260" w:lineRule="auto"/>
        <w:rPr>
          <w:sz w:val="20"/>
          <w:szCs w:val="20"/>
          <w:color w:val="auto"/>
        </w:rPr>
      </w:pPr>
      <w:r>
        <w:rPr>
          <w:rFonts w:ascii="Times New Roman" w:cs="Times New Roman" w:eastAsia="Times New Roman" w:hAnsi="Times New Roman"/>
          <w:sz w:val="17"/>
          <w:szCs w:val="17"/>
          <w:color w:val="auto"/>
        </w:rPr>
        <w:t>We seek to acquire, own and operate primarily freestanding, commercial real estate properties located in the United States leased primarily pursuant to triple-net, long-term leases. We focus on investments primarily in retail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or who use a physical presence as a component of their omnichannel strategy. We also seek to invest in properties that are net leased to tenants that we determine have attractive credit characteristics, stable operating histories and healthy rent coverage levels, are well-located within their respective markets and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3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Our objective is to maximize cash flow and value per share by generating stable and growing cash flows and attractive</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risk-adjusted returns through owning, operating and growing a diversified portfolio of high-quality net leased commercial</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properties with strong long-term real estate fundamentals. The 146 properties in our portfolio are 100% occupied and represent</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3.4 million of gross rentable square feet. As of September 30, 2022, our leases have a weighted-average remaining lease term of</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7.7 years based on annualized base rent.</w:t>
      </w:r>
    </w:p>
    <w:p>
      <w:pPr>
        <w:spacing w:after="0" w:line="204" w:lineRule="exact"/>
        <w:rPr>
          <w:sz w:val="20"/>
          <w:szCs w:val="20"/>
          <w:color w:val="auto"/>
        </w:rPr>
      </w:pPr>
    </w:p>
    <w:p>
      <w:pPr>
        <w:jc w:val="both"/>
        <w:ind w:left="40" w:right="59" w:firstLine="313"/>
        <w:spacing w:after="0" w:line="261" w:lineRule="auto"/>
        <w:rPr>
          <w:sz w:val="20"/>
          <w:szCs w:val="20"/>
          <w:color w:val="auto"/>
        </w:rPr>
      </w:pPr>
      <w:r>
        <w:rPr>
          <w:rFonts w:ascii="Times New Roman" w:cs="Times New Roman" w:eastAsia="Times New Roman" w:hAnsi="Times New Roman"/>
          <w:sz w:val="17"/>
          <w:szCs w:val="17"/>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77" w:lineRule="exact"/>
        <w:rPr>
          <w:sz w:val="20"/>
          <w:szCs w:val="20"/>
          <w:color w:val="auto"/>
        </w:rPr>
      </w:pPr>
    </w:p>
    <w:p>
      <w:pPr>
        <w:jc w:val="both"/>
        <w:ind w:left="40" w:right="79" w:firstLine="313"/>
        <w:spacing w:after="0" w:line="275" w:lineRule="auto"/>
        <w:rPr>
          <w:sz w:val="20"/>
          <w:szCs w:val="20"/>
          <w:color w:val="auto"/>
        </w:rPr>
      </w:pPr>
      <w:r>
        <w:rPr>
          <w:rFonts w:ascii="Times New Roman" w:cs="Times New Roman" w:eastAsia="Times New Roman" w:hAnsi="Times New Roman"/>
          <w:sz w:val="17"/>
          <w:szCs w:val="17"/>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SEPTEMBER 30, 2022 AND 2021</w:t>
      </w:r>
    </w:p>
    <w:p>
      <w:pPr>
        <w:spacing w:after="0" w:line="224"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The following presents the Company’s results of operations for the three months ended September 30, 2022, as compared to the three months ended September 30, 2021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320" w:type="dxa"/>
            <w:vAlign w:val="bottom"/>
          </w:tcPr>
          <w:p>
            <w:pPr>
              <w:spacing w:after="0"/>
              <w:rPr>
                <w:sz w:val="15"/>
                <w:szCs w:val="15"/>
                <w:color w:val="auto"/>
              </w:rPr>
            </w:pPr>
          </w:p>
        </w:tc>
        <w:tc>
          <w:tcPr>
            <w:tcW w:w="1220" w:type="dxa"/>
            <w:vAlign w:val="bottom"/>
            <w:tcBorders>
              <w:top w:val="single" w:sz="8" w:color="auto"/>
            </w:tcBorders>
            <w:gridSpan w:val="3"/>
          </w:tcPr>
          <w:p>
            <w:pPr>
              <w:jc w:val="right"/>
              <w:ind w:right="12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 Variance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Variance</w:t>
            </w:r>
          </w:p>
        </w:tc>
        <w:tc>
          <w:tcPr>
            <w:tcW w:w="0" w:type="dxa"/>
            <w:vAlign w:val="bottom"/>
          </w:tcPr>
          <w:p>
            <w:pPr>
              <w:spacing w:after="0"/>
              <w:rPr>
                <w:sz w:val="1"/>
                <w:szCs w:val="1"/>
                <w:color w:val="auto"/>
              </w:rPr>
            </w:pPr>
          </w:p>
        </w:tc>
      </w:tr>
      <w:tr>
        <w:trPr>
          <w:trHeight w:val="202"/>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Lease Income</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3,358</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02"/>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209"/>
        </w:trPr>
        <w:tc>
          <w:tcPr>
            <w:tcW w:w="4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02"/>
        </w:trPr>
        <w:tc>
          <w:tcPr>
            <w:tcW w:w="4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2,549</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Disposition of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2034.4%</w:t>
            </w:r>
          </w:p>
        </w:tc>
        <w:tc>
          <w:tcPr>
            <w:tcW w:w="0" w:type="dxa"/>
            <w:vAlign w:val="bottom"/>
          </w:tcPr>
          <w:p>
            <w:pPr>
              <w:spacing w:after="0"/>
              <w:rPr>
                <w:sz w:val="1"/>
                <w:szCs w:val="1"/>
                <w:color w:val="auto"/>
              </w:rPr>
            </w:pPr>
          </w:p>
        </w:tc>
      </w:tr>
      <w:tr>
        <w:trPr>
          <w:trHeight w:val="209"/>
        </w:trPr>
        <w:tc>
          <w:tcPr>
            <w:tcW w:w="4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(284)</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2"/>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from Operations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11,592</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957.8%</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(1,262)</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(914.5)%</w:t>
            </w:r>
          </w:p>
        </w:tc>
        <w:tc>
          <w:tcPr>
            <w:tcW w:w="0" w:type="dxa"/>
            <w:vAlign w:val="bottom"/>
          </w:tcPr>
          <w:p>
            <w:pPr>
              <w:spacing w:after="0"/>
              <w:rPr>
                <w:sz w:val="1"/>
                <w:szCs w:val="1"/>
                <w:color w:val="auto"/>
              </w:rPr>
            </w:pPr>
          </w:p>
        </w:tc>
      </w:tr>
      <w:tr>
        <w:trPr>
          <w:trHeight w:val="170"/>
        </w:trPr>
        <w:tc>
          <w:tcPr>
            <w:tcW w:w="432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Net Income Attributable to Alpine Income Property Trust,</w:t>
            </w:r>
          </w:p>
        </w:tc>
        <w:tc>
          <w:tcPr>
            <w:tcW w:w="240" w:type="dxa"/>
            <w:vAlign w:val="bottom"/>
            <w:tcBorders>
              <w:top w:val="single" w:sz="8" w:color="auto"/>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8,852</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964.3%</w:t>
            </w:r>
          </w:p>
        </w:tc>
        <w:tc>
          <w:tcPr>
            <w:tcW w:w="0" w:type="dxa"/>
            <w:vAlign w:val="bottom"/>
          </w:tcPr>
          <w:p>
            <w:pPr>
              <w:spacing w:after="0"/>
              <w:rPr>
                <w:sz w:val="1"/>
                <w:szCs w:val="1"/>
                <w:color w:val="auto"/>
              </w:rPr>
            </w:pPr>
          </w:p>
        </w:tc>
      </w:tr>
      <w:tr>
        <w:trPr>
          <w:trHeight w:val="21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Revenue and Direct Cost of Revenues</w:t>
      </w:r>
    </w:p>
    <w:p>
      <w:pPr>
        <w:spacing w:after="0" w:line="224"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Revenue from our property operations during the three months ended September 30, 2022 and 2021, totaled $11.5 million and $8.2 million, respectively. The $3.3 million increase in revenues is reflective of the Company’s volume of property acquisitions, partially offset by property sales. The direct costs of revenues for our property operations totaled $1.8 million and $0.9 million for the three months ended September 30, 2022 and 2021, respectively. The $0.9 million increase in the direct cost of revenues is also attributable to the Company’s expanded property portfolio.</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p>
      <w:pPr>
        <w:spacing w:after="0" w:line="224"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represents the Company’s general and administrative expenses for the three months ended September 30, 2022, as compared to the three months ended September 30, 2021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1"/>
        </w:trPr>
        <w:tc>
          <w:tcPr>
            <w:tcW w:w="4260" w:type="dxa"/>
            <w:vAlign w:val="bottom"/>
          </w:tcPr>
          <w:p>
            <w:pPr>
              <w:spacing w:after="0"/>
              <w:rPr>
                <w:sz w:val="15"/>
                <w:szCs w:val="15"/>
                <w:color w:val="auto"/>
              </w:rPr>
            </w:pPr>
          </w:p>
        </w:tc>
        <w:tc>
          <w:tcPr>
            <w:tcW w:w="1240" w:type="dxa"/>
            <w:vAlign w:val="bottom"/>
            <w:tcBorders>
              <w:top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top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9"/>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Variance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Variance</w:t>
            </w:r>
          </w:p>
        </w:tc>
      </w:tr>
      <w:tr>
        <w:trPr>
          <w:trHeight w:val="202"/>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Fee to Manager</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Director Stock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&amp; Officer Insurance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09"/>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Additional General and Administrative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r>
      <w:tr>
        <w:trPr>
          <w:trHeight w:val="202"/>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General and Administrative Expenses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General and administrative expenses totaled $1.5 million and $1.4 million during the three months ended September 30, 2022 and 2021, respectively. The $0.1 million increase is attributable to growth in the Company’s equity base, which led to increased management fee expenses totaling $0.04 million, as well as increases in other general and administrative expenses which totaled less than $0.1 million.</w:t>
      </w:r>
    </w:p>
    <w:p>
      <w:pPr>
        <w:sectPr>
          <w:pgSz w:w="11900" w:h="16838" w:orient="portrait"/>
          <w:cols w:equalWidth="0" w:num="1">
            <w:col w:w="9019"/>
          </w:cols>
          <w:pgMar w:left="1440"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p>
      <w:pPr>
        <w:spacing w:after="0" w:line="224" w:lineRule="exact"/>
        <w:rPr>
          <w:sz w:val="20"/>
          <w:szCs w:val="20"/>
          <w:color w:val="auto"/>
        </w:rPr>
      </w:pPr>
    </w:p>
    <w:p>
      <w:pPr>
        <w:jc w:val="both"/>
        <w:ind w:left="40" w:right="59" w:firstLine="296"/>
        <w:spacing w:after="0" w:line="275" w:lineRule="auto"/>
        <w:rPr>
          <w:sz w:val="20"/>
          <w:szCs w:val="20"/>
          <w:color w:val="auto"/>
        </w:rPr>
      </w:pPr>
      <w:r>
        <w:rPr>
          <w:rFonts w:ascii="Times New Roman" w:cs="Times New Roman" w:eastAsia="Times New Roman" w:hAnsi="Times New Roman"/>
          <w:sz w:val="17"/>
          <w:szCs w:val="17"/>
          <w:color w:val="auto"/>
        </w:rPr>
        <w:t>Depreciation and amortization expense totaled $5.9 million and $4.3 million during the three months ended September 30, 2022 and 2021, respectively. The $1.6 million increase in the depreciation and amortization expense is reflective of the Company’s expanded property portfolio.</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Gain on Disposition of Assets</w:t>
      </w:r>
    </w:p>
    <w:p>
      <w:pPr>
        <w:spacing w:after="0" w:line="224" w:lineRule="exact"/>
        <w:rPr>
          <w:sz w:val="20"/>
          <w:szCs w:val="20"/>
          <w:color w:val="auto"/>
        </w:rPr>
      </w:pPr>
    </w:p>
    <w:p>
      <w:pPr>
        <w:jc w:val="both"/>
        <w:ind w:left="40" w:right="59" w:firstLine="298"/>
        <w:spacing w:after="0" w:line="275" w:lineRule="auto"/>
        <w:rPr>
          <w:sz w:val="20"/>
          <w:szCs w:val="20"/>
          <w:color w:val="auto"/>
        </w:rPr>
      </w:pPr>
      <w:r>
        <w:rPr>
          <w:rFonts w:ascii="Times New Roman" w:cs="Times New Roman" w:eastAsia="Times New Roman" w:hAnsi="Times New Roman"/>
          <w:sz w:val="17"/>
          <w:szCs w:val="17"/>
          <w:color w:val="auto"/>
        </w:rPr>
        <w:t>During the three months ended September 30, 2022, the Company sold six properties for an aggregate sales price of $50.5 million, generating aggregate gains on sale of $11.6 million. During the three months ended September 30, 2021, the Company sold one property for a sales price of $3.8 million, generating a gain of $0.5 million.</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Loss on Extinguishment of Debt</w:t>
      </w:r>
    </w:p>
    <w:p>
      <w:pPr>
        <w:spacing w:after="0" w:line="224" w:lineRule="exact"/>
        <w:rPr>
          <w:sz w:val="20"/>
          <w:szCs w:val="20"/>
          <w:color w:val="auto"/>
        </w:rPr>
      </w:pPr>
    </w:p>
    <w:p>
      <w:pPr>
        <w:jc w:val="both"/>
        <w:ind w:left="40" w:right="59" w:firstLine="378"/>
        <w:spacing w:after="0" w:line="275" w:lineRule="auto"/>
        <w:rPr>
          <w:sz w:val="20"/>
          <w:szCs w:val="20"/>
          <w:color w:val="auto"/>
        </w:rPr>
      </w:pPr>
      <w:r>
        <w:rPr>
          <w:rFonts w:ascii="Times New Roman" w:cs="Times New Roman" w:eastAsia="Times New Roman" w:hAnsi="Times New Roman"/>
          <w:sz w:val="17"/>
          <w:szCs w:val="17"/>
          <w:color w:val="auto"/>
        </w:rPr>
        <w:t>As a result of the termination of the Company’s Prior Revolving Credit Facility, $0.3 million of unamortized deferred financing costs were written off during the three months ended September 30, 2022 with no such expense during the three months ended September 30, 2021.</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24"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Interest expense totaled $2.5 million and $1.0 million during the three months ended September 30, 2022 and 2021, respectively. The $1.5 million increase in interest expense is attributable to the higher average outstanding debt balance during the three months ended September 30, 2022 as compared to the same period in 2021, as well as increases in the interest rates underlying the Company’s variable rate debt. The overall increase in the Company’s long-term debt was primarily utilized to fund the acquisitions of properties during the latter half of 2021 and year to date in 2022.</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Net Income</w:t>
      </w:r>
    </w:p>
    <w:p>
      <w:pPr>
        <w:spacing w:after="0" w:line="224" w:lineRule="exact"/>
        <w:rPr>
          <w:sz w:val="20"/>
          <w:szCs w:val="20"/>
          <w:color w:val="auto"/>
        </w:rPr>
      </w:pPr>
    </w:p>
    <w:p>
      <w:pPr>
        <w:jc w:val="both"/>
        <w:ind w:left="40" w:right="79" w:firstLine="313"/>
        <w:spacing w:after="0" w:line="294" w:lineRule="auto"/>
        <w:rPr>
          <w:sz w:val="20"/>
          <w:szCs w:val="20"/>
          <w:color w:val="auto"/>
        </w:rPr>
      </w:pPr>
      <w:r>
        <w:rPr>
          <w:rFonts w:ascii="Times New Roman" w:cs="Times New Roman" w:eastAsia="Times New Roman" w:hAnsi="Times New Roman"/>
          <w:sz w:val="17"/>
          <w:szCs w:val="17"/>
          <w:color w:val="auto"/>
        </w:rPr>
        <w:t>Net income totaled $9.8 million and $0.9 million during the three months ended September 30, 2022 and 2021, respectively. The $8.9 million increase in net income is attributable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COMPARISON OF THE NINE MONTHS ENDED SEPTEMBER 30, 2022 AND 2021</w:t>
      </w:r>
    </w:p>
    <w:p>
      <w:pPr>
        <w:spacing w:after="0" w:line="224"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The following presents the Company’s results of operations for the nine months ended September 30, 2022, as compared to the nine months ended September 30, 2021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320" w:type="dxa"/>
            <w:vAlign w:val="bottom"/>
          </w:tcPr>
          <w:p>
            <w:pPr>
              <w:spacing w:after="0"/>
              <w:rPr>
                <w:sz w:val="15"/>
                <w:szCs w:val="15"/>
                <w:color w:val="auto"/>
              </w:rPr>
            </w:pPr>
          </w:p>
        </w:tc>
        <w:tc>
          <w:tcPr>
            <w:tcW w:w="1220" w:type="dxa"/>
            <w:vAlign w:val="bottom"/>
            <w:tcBorders>
              <w:top w:val="single" w:sz="8" w:color="auto"/>
            </w:tcBorders>
            <w:gridSpan w:val="3"/>
          </w:tcPr>
          <w:p>
            <w:pPr>
              <w:jc w:val="right"/>
              <w:ind w:right="12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 Variance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Variance</w:t>
            </w:r>
          </w:p>
        </w:tc>
        <w:tc>
          <w:tcPr>
            <w:tcW w:w="0" w:type="dxa"/>
            <w:vAlign w:val="bottom"/>
          </w:tcPr>
          <w:p>
            <w:pPr>
              <w:spacing w:after="0"/>
              <w:rPr>
                <w:sz w:val="1"/>
                <w:szCs w:val="1"/>
                <w:color w:val="auto"/>
              </w:rPr>
            </w:pPr>
          </w:p>
        </w:tc>
      </w:tr>
      <w:tr>
        <w:trPr>
          <w:trHeight w:val="202"/>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Lease Income</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33,608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20,658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12,950</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0" w:type="dxa"/>
            <w:vAlign w:val="bottom"/>
          </w:tcPr>
          <w:p>
            <w:pPr>
              <w:spacing w:after="0"/>
              <w:rPr>
                <w:sz w:val="1"/>
                <w:szCs w:val="1"/>
                <w:color w:val="auto"/>
              </w:rPr>
            </w:pPr>
          </w:p>
        </w:tc>
      </w:tr>
      <w:tr>
        <w:trPr>
          <w:trHeight w:val="202"/>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0" w:type="dxa"/>
            <w:vAlign w:val="bottom"/>
          </w:tcPr>
          <w:p>
            <w:pPr>
              <w:spacing w:after="0"/>
              <w:rPr>
                <w:sz w:val="1"/>
                <w:szCs w:val="1"/>
                <w:color w:val="auto"/>
              </w:rPr>
            </w:pPr>
          </w:p>
        </w:tc>
      </w:tr>
      <w:tr>
        <w:trPr>
          <w:trHeight w:val="209"/>
        </w:trPr>
        <w:tc>
          <w:tcPr>
            <w:tcW w:w="4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0" w:type="dxa"/>
            <w:vAlign w:val="bottom"/>
          </w:tcPr>
          <w:p>
            <w:pPr>
              <w:spacing w:after="0"/>
              <w:rPr>
                <w:sz w:val="1"/>
                <w:szCs w:val="1"/>
                <w:color w:val="auto"/>
              </w:rPr>
            </w:pPr>
          </w:p>
        </w:tc>
      </w:tr>
      <w:tr>
        <w:trPr>
          <w:trHeight w:val="202"/>
        </w:trPr>
        <w:tc>
          <w:tcPr>
            <w:tcW w:w="4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Disposition of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4908.8%</w:t>
            </w:r>
          </w:p>
        </w:tc>
        <w:tc>
          <w:tcPr>
            <w:tcW w:w="0" w:type="dxa"/>
            <w:vAlign w:val="bottom"/>
          </w:tcPr>
          <w:p>
            <w:pPr>
              <w:spacing w:after="0"/>
              <w:rPr>
                <w:sz w:val="1"/>
                <w:szCs w:val="1"/>
                <w:color w:val="auto"/>
              </w:rPr>
            </w:pPr>
          </w:p>
        </w:tc>
      </w:tr>
      <w:tr>
        <w:trPr>
          <w:trHeight w:val="209"/>
        </w:trPr>
        <w:tc>
          <w:tcPr>
            <w:tcW w:w="4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(284)</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2"/>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from Operations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34,777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30,565</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725.7%</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1386.1%</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(3,572)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(3,321)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(1323.1)%</w:t>
            </w:r>
          </w:p>
        </w:tc>
        <w:tc>
          <w:tcPr>
            <w:tcW w:w="0" w:type="dxa"/>
            <w:vAlign w:val="bottom"/>
          </w:tcPr>
          <w:p>
            <w:pPr>
              <w:spacing w:after="0"/>
              <w:rPr>
                <w:sz w:val="1"/>
                <w:szCs w:val="1"/>
                <w:color w:val="auto"/>
              </w:rPr>
            </w:pPr>
          </w:p>
        </w:tc>
      </w:tr>
      <w:tr>
        <w:trPr>
          <w:trHeight w:val="170"/>
        </w:trPr>
        <w:tc>
          <w:tcPr>
            <w:tcW w:w="432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Net Income Attributable to Alpine Income Property Trust,</w:t>
            </w:r>
          </w:p>
        </w:tc>
        <w:tc>
          <w:tcPr>
            <w:tcW w:w="240" w:type="dxa"/>
            <w:vAlign w:val="bottom"/>
            <w:tcBorders>
              <w:top w:val="single" w:sz="8" w:color="auto"/>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23,196</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1395.7%</w:t>
            </w:r>
          </w:p>
        </w:tc>
        <w:tc>
          <w:tcPr>
            <w:tcW w:w="0" w:type="dxa"/>
            <w:vAlign w:val="bottom"/>
          </w:tcPr>
          <w:p>
            <w:pPr>
              <w:spacing w:after="0"/>
              <w:rPr>
                <w:sz w:val="1"/>
                <w:szCs w:val="1"/>
                <w:color w:val="auto"/>
              </w:rPr>
            </w:pPr>
          </w:p>
        </w:tc>
      </w:tr>
      <w:tr>
        <w:trPr>
          <w:trHeight w:val="21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Revenue and Direct Cost of Revenues</w:t>
      </w:r>
    </w:p>
    <w:p>
      <w:pPr>
        <w:spacing w:after="0" w:line="224"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Revenue from our property operations during the nine months ended September 30, 2022 and 2021, totaled $33.6 million and $20.7 million, respectively. The $12.9 million increase in revenues is reflective of the Company’s volume of property acquisitions, partially offset by property sales. The direct costs of revenues for our property operations totaled $4.2 million and $2.4 million for the nine months ended September 30, 2022 and 2021, respectively. The $1.8 million increase in the direct cost of revenues is also attributable to the Company’s expanded property portfolio.</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p>
      <w:pPr>
        <w:spacing w:after="0" w:line="224"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represents the Company’s general and administrative expenses for the nine months ended September 30, 2022, as compared to the nine months ended September 30, 2021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1"/>
        </w:trPr>
        <w:tc>
          <w:tcPr>
            <w:tcW w:w="4260" w:type="dxa"/>
            <w:vAlign w:val="bottom"/>
          </w:tcPr>
          <w:p>
            <w:pPr>
              <w:spacing w:after="0"/>
              <w:rPr>
                <w:sz w:val="15"/>
                <w:szCs w:val="15"/>
                <w:color w:val="auto"/>
              </w:rPr>
            </w:pPr>
          </w:p>
        </w:tc>
        <w:tc>
          <w:tcPr>
            <w:tcW w:w="1240" w:type="dxa"/>
            <w:vAlign w:val="bottom"/>
            <w:tcBorders>
              <w:top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top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9"/>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Variance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Variance</w:t>
            </w:r>
          </w:p>
        </w:tc>
      </w:tr>
      <w:tr>
        <w:trPr>
          <w:trHeight w:val="202"/>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Fee to Manager</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Director Stock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&amp; Officer Insurance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09"/>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Additional General and Administrative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02"/>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General and Administrative Expenses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40" w:right="59" w:firstLine="313"/>
        <w:spacing w:after="0" w:line="268" w:lineRule="auto"/>
        <w:rPr>
          <w:sz w:val="20"/>
          <w:szCs w:val="20"/>
          <w:color w:val="auto"/>
        </w:rPr>
      </w:pPr>
      <w:r>
        <w:rPr>
          <w:rFonts w:ascii="Times New Roman" w:cs="Times New Roman" w:eastAsia="Times New Roman" w:hAnsi="Times New Roman"/>
          <w:sz w:val="17"/>
          <w:szCs w:val="17"/>
          <w:color w:val="auto"/>
        </w:rPr>
        <w:t>General and administrative expenses totaled $4.4 million and $3.7 million during the nine months ended September 30, 2022 and 2021, respectively. The $0.7 million increase is primarily attributable to growth in the Company’s equity base, which led to increased management fee expenses totaling $0.6 million, as well as increases in other general and administrative expenses which totaled $0.2 million.</w:t>
      </w:r>
    </w:p>
    <w:p>
      <w:pPr>
        <w:sectPr>
          <w:pgSz w:w="11900" w:h="16838" w:orient="portrait"/>
          <w:cols w:equalWidth="0" w:num="1">
            <w:col w:w="9019"/>
          </w:cols>
          <w:pgMar w:left="1440"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p>
      <w:pPr>
        <w:spacing w:after="0" w:line="224" w:lineRule="exact"/>
        <w:rPr>
          <w:sz w:val="20"/>
          <w:szCs w:val="20"/>
          <w:color w:val="auto"/>
        </w:rPr>
      </w:pPr>
    </w:p>
    <w:p>
      <w:pPr>
        <w:jc w:val="both"/>
        <w:ind w:left="40" w:right="59" w:firstLine="261"/>
        <w:spacing w:after="0" w:line="275" w:lineRule="auto"/>
        <w:rPr>
          <w:sz w:val="20"/>
          <w:szCs w:val="20"/>
          <w:color w:val="auto"/>
        </w:rPr>
      </w:pPr>
      <w:r>
        <w:rPr>
          <w:rFonts w:ascii="Times New Roman" w:cs="Times New Roman" w:eastAsia="Times New Roman" w:hAnsi="Times New Roman"/>
          <w:sz w:val="17"/>
          <w:szCs w:val="17"/>
          <w:color w:val="auto"/>
        </w:rPr>
        <w:t>Depreciation and amortization expense totaled $17.2 million and $10.9 million during the nine months ended September 30, 2022 and 2021, respectively. The $6.3 million increase in the depreciation and amortization expense is reflective of the Company’s expanded property portfolio.</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Gain on Disposition of Assets</w:t>
      </w:r>
    </w:p>
    <w:p>
      <w:pPr>
        <w:spacing w:after="0" w:line="224" w:lineRule="exact"/>
        <w:rPr>
          <w:sz w:val="20"/>
          <w:szCs w:val="20"/>
          <w:color w:val="auto"/>
        </w:rPr>
      </w:pPr>
    </w:p>
    <w:p>
      <w:pPr>
        <w:jc w:val="both"/>
        <w:ind w:left="40" w:right="59" w:firstLine="295"/>
        <w:spacing w:after="0" w:line="275" w:lineRule="auto"/>
        <w:rPr>
          <w:sz w:val="20"/>
          <w:szCs w:val="20"/>
          <w:color w:val="auto"/>
        </w:rPr>
      </w:pPr>
      <w:r>
        <w:rPr>
          <w:rFonts w:ascii="Times New Roman" w:cs="Times New Roman" w:eastAsia="Times New Roman" w:hAnsi="Times New Roman"/>
          <w:sz w:val="17"/>
          <w:szCs w:val="17"/>
          <w:color w:val="auto"/>
        </w:rPr>
        <w:t>During the nine months ended September 30, 2022, the Company sold 11 properties for an aggregate sales price of $123.3 million, generating aggregate gains on sale of $27.2 million. During the nine months ended September 30, 2021, the Company sold one property for a sales price of $3.8 million, generating a gain of $0.5 million..</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Loss on Extinguishment of Debt</w:t>
      </w:r>
    </w:p>
    <w:p>
      <w:pPr>
        <w:spacing w:after="0" w:line="224" w:lineRule="exact"/>
        <w:rPr>
          <w:sz w:val="20"/>
          <w:szCs w:val="20"/>
          <w:color w:val="auto"/>
        </w:rPr>
      </w:pPr>
    </w:p>
    <w:p>
      <w:pPr>
        <w:jc w:val="both"/>
        <w:ind w:left="40" w:right="59" w:firstLine="378"/>
        <w:spacing w:after="0" w:line="275" w:lineRule="auto"/>
        <w:rPr>
          <w:sz w:val="20"/>
          <w:szCs w:val="20"/>
          <w:color w:val="auto"/>
        </w:rPr>
      </w:pPr>
      <w:r>
        <w:rPr>
          <w:rFonts w:ascii="Times New Roman" w:cs="Times New Roman" w:eastAsia="Times New Roman" w:hAnsi="Times New Roman"/>
          <w:sz w:val="17"/>
          <w:szCs w:val="17"/>
          <w:color w:val="auto"/>
        </w:rPr>
        <w:t>As a result of the termination of the Company’s Prior Revolving Credit Facility, $0.3 million of unamortized deferred financing costs were written off during the nine months ended September 30, 2022 with no such expense during the nine months ended September 30, 2021.</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24"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Interest expense totaled $6.3 million and $2.3 million during the nine months ended September 30, 2022 and 2021, respectively. The $4.0 million increase in interest expense is attributable to the higher average outstanding debt balance during the nine months ended September 30, 2022 as compared to the same period in 2021, as well as increases in the interest rates underlying the Company’s variable rate debt. The overall increase in the Company’s long-term debt was primarily utilized to fund the acquisitions of properties during the latter half of 2021 and year to date in 2022.</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Net Income</w:t>
      </w:r>
    </w:p>
    <w:p>
      <w:pPr>
        <w:spacing w:after="0" w:line="224"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Net income totaled $24.9 million and $1.7 million during the nine months ended September 30, 2022 and 2021, respectively. The $23.2 million increase in net income is attributable to the factors described above.</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4"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Cash totaled $16.2 million as of September 30, 2022, including restricted cash of $12.3 million, see Note 2 “Summary of Significant Accounting Policies” under the heading Restricted Cash for the Company’s disclosure related to its restricted cash balance as of September 30, 2022.</w:t>
      </w:r>
    </w:p>
    <w:p>
      <w:pPr>
        <w:spacing w:after="0" w:line="161" w:lineRule="exact"/>
        <w:rPr>
          <w:sz w:val="20"/>
          <w:szCs w:val="20"/>
          <w:color w:val="auto"/>
        </w:rPr>
      </w:pPr>
    </w:p>
    <w:p>
      <w:pPr>
        <w:jc w:val="both"/>
        <w:ind w:left="40" w:right="59" w:firstLine="313"/>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Long-Term Debt. </w:t>
      </w:r>
      <w:r>
        <w:rPr>
          <w:rFonts w:ascii="Times New Roman" w:cs="Times New Roman" w:eastAsia="Times New Roman" w:hAnsi="Times New Roman"/>
          <w:sz w:val="17"/>
          <w:szCs w:val="17"/>
          <w:color w:val="auto"/>
        </w:rPr>
        <w:t>As of September 30, 2022, the Company had an outstanding balance of $58.0 million on the $250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revolving Credit Facility. The Company also had $200.0 million in term loans and $30.0 million in mortgage notes payable outstanding as of September 30, 2022. See Note 9, “Long-Term Debt” for the Company’s disclosure related to its long-term debt balance at September 30, 2022.</w:t>
      </w:r>
    </w:p>
    <w:p>
      <w:pPr>
        <w:spacing w:after="0" w:line="167" w:lineRule="exact"/>
        <w:rPr>
          <w:sz w:val="20"/>
          <w:szCs w:val="20"/>
          <w:color w:val="auto"/>
        </w:rPr>
      </w:pPr>
    </w:p>
    <w:p>
      <w:pPr>
        <w:jc w:val="both"/>
        <w:ind w:left="40" w:right="59" w:firstLine="313"/>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Acquisitions and Dispositions. </w:t>
      </w:r>
      <w:r>
        <w:rPr>
          <w:rFonts w:ascii="Times New Roman" w:cs="Times New Roman" w:eastAsia="Times New Roman" w:hAnsi="Times New Roman"/>
          <w:sz w:val="17"/>
          <w:szCs w:val="17"/>
          <w:color w:val="auto"/>
        </w:rPr>
        <w:t>As further described in Note 3, “Property Portfolio,” the Company (i) acquired 44 properties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nine months ended September 30, 2022 for an aggregate purchase price of $145.7 million and (ii) sold 11 properties for an aggregate sales price of $123.3 million, generating aggregate gains on sale of $27.2 million.</w:t>
      </w:r>
    </w:p>
    <w:p>
      <w:pPr>
        <w:spacing w:after="0" w:line="160" w:lineRule="exact"/>
        <w:rPr>
          <w:sz w:val="20"/>
          <w:szCs w:val="20"/>
          <w:color w:val="auto"/>
        </w:rPr>
      </w:pPr>
    </w:p>
    <w:p>
      <w:pPr>
        <w:jc w:val="both"/>
        <w:ind w:left="40" w:right="59" w:firstLine="313"/>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ATM Program. </w:t>
      </w:r>
      <w:r>
        <w:rPr>
          <w:rFonts w:ascii="Times New Roman" w:cs="Times New Roman" w:eastAsia="Times New Roman" w:hAnsi="Times New Roman"/>
          <w:sz w:val="17"/>
          <w:szCs w:val="17"/>
          <w:color w:val="auto"/>
        </w:rPr>
        <w:t>During the nine months ended September 30, 2022, the Company sold 446,167 shares under the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ATM Program for gross proceeds of $8.7 million at a weighted average price of $19.44 per share, generating net proceeds of $8.5 million.</w:t>
      </w:r>
    </w:p>
    <w:p>
      <w:pPr>
        <w:spacing w:after="0" w:line="160" w:lineRule="exact"/>
        <w:rPr>
          <w:sz w:val="20"/>
          <w:szCs w:val="20"/>
          <w:color w:val="auto"/>
        </w:rPr>
      </w:pPr>
    </w:p>
    <w:p>
      <w:pPr>
        <w:jc w:val="both"/>
        <w:ind w:left="40" w:right="79" w:firstLine="313"/>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Capital Expenditures. </w:t>
      </w:r>
      <w:r>
        <w:rPr>
          <w:rFonts w:ascii="Times New Roman" w:cs="Times New Roman" w:eastAsia="Times New Roman" w:hAnsi="Times New Roman"/>
          <w:sz w:val="17"/>
          <w:szCs w:val="17"/>
          <w:color w:val="auto"/>
        </w:rPr>
        <w:t>As of September 30, 2022, the Company had no commitments related to capital expenditures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maintenance of fixed assets, such as land, buildings, and equipment.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$77.3 million of availability remaining under the 2020 ATM Program, and $192.0 million of available capacity on the existing $250.0 million Credit Facility.</w:t>
      </w:r>
    </w:p>
    <w:p>
      <w:pPr>
        <w:spacing w:after="0" w:line="172" w:lineRule="exact"/>
        <w:rPr>
          <w:sz w:val="20"/>
          <w:szCs w:val="20"/>
          <w:color w:val="auto"/>
        </w:rPr>
      </w:pPr>
    </w:p>
    <w:p>
      <w:pPr>
        <w:jc w:val="both"/>
        <w:ind w:left="40" w:right="59" w:firstLine="313"/>
        <w:spacing w:after="0" w:line="262" w:lineRule="auto"/>
        <w:rPr>
          <w:sz w:val="20"/>
          <w:szCs w:val="20"/>
          <w:color w:val="auto"/>
        </w:rPr>
      </w:pPr>
      <w:r>
        <w:rPr>
          <w:rFonts w:ascii="Times New Roman" w:cs="Times New Roman" w:eastAsia="Times New Roman" w:hAnsi="Times New Roman"/>
          <w:sz w:val="17"/>
          <w:szCs w:val="17"/>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capital that we raise and available borrowing capacity from the Credit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ind w:left="40" w:right="79" w:firstLine="313"/>
        <w:spacing w:after="0" w:line="267" w:lineRule="auto"/>
        <w:rPr>
          <w:sz w:val="20"/>
          <w:szCs w:val="20"/>
          <w:color w:val="auto"/>
        </w:rPr>
      </w:pPr>
      <w:r>
        <w:rPr>
          <w:rFonts w:ascii="Times New Roman" w:cs="Times New Roman" w:eastAsia="Times New Roman" w:hAnsi="Times New Roman"/>
          <w:sz w:val="17"/>
          <w:szCs w:val="17"/>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56" w:lineRule="exact"/>
        <w:rPr>
          <w:sz w:val="20"/>
          <w:szCs w:val="20"/>
          <w:color w:val="auto"/>
        </w:rPr>
      </w:pPr>
    </w:p>
    <w:p>
      <w:pPr>
        <w:jc w:val="both"/>
        <w:ind w:left="40" w:right="59" w:firstLine="313"/>
        <w:spacing w:after="0" w:line="258" w:lineRule="auto"/>
        <w:rPr>
          <w:sz w:val="20"/>
          <w:szCs w:val="20"/>
          <w:color w:val="auto"/>
        </w:rPr>
      </w:pPr>
      <w:r>
        <w:rPr>
          <w:rFonts w:ascii="Times New Roman" w:cs="Times New Roman" w:eastAsia="Times New Roman" w:hAnsi="Times New Roman"/>
          <w:sz w:val="17"/>
          <w:szCs w:val="17"/>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163" w:lineRule="exact"/>
        <w:rPr>
          <w:sz w:val="20"/>
          <w:szCs w:val="20"/>
          <w:color w:val="auto"/>
        </w:rPr>
      </w:pPr>
    </w:p>
    <w:p>
      <w:pPr>
        <w:jc w:val="both"/>
        <w:ind w:left="40" w:right="59" w:firstLine="313"/>
        <w:spacing w:after="0" w:line="249" w:lineRule="auto"/>
        <w:rPr>
          <w:sz w:val="20"/>
          <w:szCs w:val="20"/>
          <w:color w:val="auto"/>
        </w:rPr>
      </w:pPr>
      <w:r>
        <w:rPr>
          <w:rFonts w:ascii="Times New Roman" w:cs="Times New Roman" w:eastAsia="Times New Roman" w:hAnsi="Times New Roman"/>
          <w:sz w:val="17"/>
          <w:szCs w:val="17"/>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spacing w:after="0" w:line="175" w:lineRule="exact"/>
        <w:rPr>
          <w:sz w:val="20"/>
          <w:szCs w:val="20"/>
          <w:color w:val="auto"/>
        </w:rPr>
      </w:pPr>
    </w:p>
    <w:p>
      <w:pPr>
        <w:jc w:val="both"/>
        <w:ind w:left="40" w:right="59" w:firstLine="313"/>
        <w:spacing w:after="0" w:line="249" w:lineRule="auto"/>
        <w:rPr>
          <w:sz w:val="20"/>
          <w:szCs w:val="20"/>
          <w:color w:val="auto"/>
        </w:rPr>
      </w:pPr>
      <w:r>
        <w:rPr>
          <w:rFonts w:ascii="Times New Roman" w:cs="Times New Roman" w:eastAsia="Times New Roman" w:hAnsi="Times New Roman"/>
          <w:sz w:val="17"/>
          <w:szCs w:val="17"/>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Reconciliation of Non-GAAP Measures (in thousands, except share data):</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Pr>
          <w:p>
            <w:pPr>
              <w:spacing w:after="0"/>
              <w:rPr>
                <w:sz w:val="19"/>
                <w:szCs w:val="19"/>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81"/>
        </w:trPr>
        <w:tc>
          <w:tcPr>
            <w:tcW w:w="3740" w:type="dxa"/>
            <w:vAlign w:val="bottom"/>
          </w:tcPr>
          <w:p>
            <w:pPr>
              <w:spacing w:after="0"/>
              <w:rPr>
                <w:sz w:val="15"/>
                <w:szCs w:val="15"/>
                <w:color w:val="auto"/>
              </w:rPr>
            </w:pPr>
          </w:p>
        </w:tc>
        <w:tc>
          <w:tcPr>
            <w:tcW w:w="1340" w:type="dxa"/>
            <w:vAlign w:val="bottom"/>
            <w:tcBorders>
              <w:top w:val="single" w:sz="8" w:color="auto"/>
            </w:tcBorders>
            <w:gridSpan w:val="3"/>
          </w:tcPr>
          <w:p>
            <w:pPr>
              <w:jc w:val="right"/>
              <w:ind w:right="20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3"/>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5"/>
                <w:szCs w:val="15"/>
                <w:color w:val="auto"/>
              </w:rPr>
            </w:pPr>
          </w:p>
        </w:tc>
        <w:tc>
          <w:tcPr>
            <w:tcW w:w="1280" w:type="dxa"/>
            <w:vAlign w:val="bottom"/>
            <w:tcBorders>
              <w:top w:val="single" w:sz="8" w:color="auto"/>
            </w:tcBorders>
            <w:gridSpan w:val="3"/>
          </w:tcPr>
          <w:p>
            <w:pPr>
              <w:jc w:val="right"/>
              <w:ind w:right="16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0" w:type="dxa"/>
            <w:vAlign w:val="bottom"/>
          </w:tcPr>
          <w:p>
            <w:pPr>
              <w:spacing w:after="0"/>
              <w:rPr>
                <w:sz w:val="15"/>
                <w:szCs w:val="15"/>
                <w:color w:val="auto"/>
              </w:rPr>
            </w:pPr>
          </w:p>
        </w:tc>
      </w:tr>
      <w:tr>
        <w:trPr>
          <w:trHeight w:val="229"/>
        </w:trPr>
        <w:tc>
          <w:tcPr>
            <w:tcW w:w="3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19"/>
                <w:szCs w:val="19"/>
                <w:color w:val="auto"/>
              </w:rPr>
            </w:pPr>
          </w:p>
        </w:tc>
      </w:tr>
      <w:tr>
        <w:trPr>
          <w:trHeight w:val="20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20" w:type="dxa"/>
            <w:vAlign w:val="bottom"/>
          </w:tcPr>
          <w:p>
            <w:pPr>
              <w:spacing w:after="0"/>
              <w:rPr>
                <w:sz w:val="17"/>
                <w:szCs w:val="17"/>
                <w:color w:val="auto"/>
              </w:rPr>
            </w:pPr>
          </w:p>
        </w:tc>
      </w:tr>
      <w:tr>
        <w:trPr>
          <w:trHeight w:val="209"/>
        </w:trPr>
        <w:tc>
          <w:tcPr>
            <w:tcW w:w="3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10,914</w:t>
            </w:r>
          </w:p>
        </w:tc>
        <w:tc>
          <w:tcPr>
            <w:tcW w:w="20" w:type="dxa"/>
            <w:vAlign w:val="bottom"/>
          </w:tcPr>
          <w:p>
            <w:pPr>
              <w:spacing w:after="0"/>
              <w:rPr>
                <w:sz w:val="18"/>
                <w:szCs w:val="18"/>
                <w:color w:val="auto"/>
              </w:rPr>
            </w:pPr>
          </w:p>
        </w:tc>
      </w:tr>
      <w:tr>
        <w:trPr>
          <w:trHeight w:val="20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Disposition of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(11,611)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(544)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(27,248)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20" w:type="dxa"/>
            <w:vAlign w:val="bottom"/>
          </w:tcPr>
          <w:p>
            <w:pPr>
              <w:spacing w:after="0"/>
              <w:rPr>
                <w:sz w:val="18"/>
                <w:szCs w:val="18"/>
                <w:color w:val="auto"/>
              </w:rPr>
            </w:pPr>
          </w:p>
        </w:tc>
      </w:tr>
      <w:tr>
        <w:trPr>
          <w:trHeight w:val="20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Funds From Operations</w:t>
            </w:r>
          </w:p>
        </w:tc>
        <w:tc>
          <w:tcPr>
            <w:tcW w:w="2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5,425</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4,820</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18,414</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12,283</w:t>
            </w:r>
          </w:p>
        </w:tc>
        <w:tc>
          <w:tcPr>
            <w:tcW w:w="20" w:type="dxa"/>
            <w:vAlign w:val="bottom"/>
          </w:tcPr>
          <w:p>
            <w:pPr>
              <w:spacing w:after="0"/>
              <w:rPr>
                <w:sz w:val="17"/>
                <w:szCs w:val="17"/>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r>
      <w:tr>
        <w:trPr>
          <w:trHeight w:val="190"/>
        </w:trPr>
        <w:tc>
          <w:tcPr>
            <w:tcW w:w="3740" w:type="dxa"/>
            <w:vAlign w:val="bottom"/>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auto"/>
              </w:rPr>
              <w:t>Amortization of Intangible Assets and Liabilities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 Lease Income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(77)</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0" w:type="dxa"/>
            <w:vAlign w:val="bottom"/>
          </w:tcPr>
          <w:p>
            <w:pPr>
              <w:spacing w:after="0"/>
              <w:rPr>
                <w:sz w:val="19"/>
                <w:szCs w:val="19"/>
                <w:color w:val="auto"/>
              </w:rPr>
            </w:pPr>
          </w:p>
        </w:tc>
      </w:tr>
      <w:tr>
        <w:trPr>
          <w:trHeight w:val="209"/>
        </w:trPr>
        <w:tc>
          <w:tcPr>
            <w:tcW w:w="3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Straight-Line Rent Adjustment</w:t>
            </w: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(129)</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(737)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20" w:type="dxa"/>
            <w:vAlign w:val="bottom"/>
          </w:tcPr>
          <w:p>
            <w:pPr>
              <w:spacing w:after="0"/>
              <w:rPr>
                <w:sz w:val="18"/>
                <w:szCs w:val="18"/>
                <w:color w:val="auto"/>
              </w:rPr>
            </w:pPr>
          </w:p>
        </w:tc>
      </w:tr>
      <w:tr>
        <w:trPr>
          <w:trHeight w:val="20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COVID-19 Rent Repayments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20" w:type="dxa"/>
            <w:vAlign w:val="bottom"/>
          </w:tcPr>
          <w:p>
            <w:pPr>
              <w:spacing w:after="0"/>
              <w:rPr>
                <w:sz w:val="18"/>
                <w:szCs w:val="18"/>
                <w:color w:val="auto"/>
              </w:rPr>
            </w:pPr>
          </w:p>
        </w:tc>
      </w:tr>
      <w:tr>
        <w:trPr>
          <w:trHeight w:val="209"/>
        </w:trPr>
        <w:tc>
          <w:tcPr>
            <w:tcW w:w="3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Compensation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0" w:type="dxa"/>
            <w:vAlign w:val="bottom"/>
          </w:tcPr>
          <w:p>
            <w:pPr>
              <w:spacing w:after="0"/>
              <w:rPr>
                <w:sz w:val="18"/>
                <w:szCs w:val="18"/>
                <w:color w:val="auto"/>
              </w:rPr>
            </w:pPr>
          </w:p>
        </w:tc>
      </w:tr>
      <w:tr>
        <w:trPr>
          <w:trHeight w:val="190"/>
        </w:trPr>
        <w:tc>
          <w:tcPr>
            <w:tcW w:w="3740" w:type="dxa"/>
            <w:vAlign w:val="bottom"/>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auto"/>
              </w:rPr>
              <w:t>Amortization of Deferred Financing Costs to</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20" w:type="dxa"/>
            <w:vAlign w:val="bottom"/>
          </w:tcPr>
          <w:p>
            <w:pPr>
              <w:spacing w:after="0"/>
              <w:rPr>
                <w:sz w:val="19"/>
                <w:szCs w:val="19"/>
                <w:color w:val="auto"/>
              </w:rPr>
            </w:pPr>
          </w:p>
        </w:tc>
      </w:tr>
      <w:tr>
        <w:trPr>
          <w:trHeight w:val="209"/>
        </w:trPr>
        <w:tc>
          <w:tcPr>
            <w:tcW w:w="3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Non-Cash Expense (Income)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8"/>
                <w:szCs w:val="18"/>
                <w:color w:val="auto"/>
              </w:rPr>
            </w:pPr>
          </w:p>
        </w:tc>
      </w:tr>
      <w:tr>
        <w:trPr>
          <w:trHeight w:val="20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Recurring Capital Expenditures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8"/>
                <w:szCs w:val="18"/>
                <w:color w:val="auto"/>
              </w:rPr>
            </w:pPr>
          </w:p>
        </w:tc>
      </w:tr>
      <w:tr>
        <w:trPr>
          <w:trHeight w:val="242"/>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Adjusted Funds From Operations</w:t>
            </w: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5,676</w:t>
            </w:r>
          </w:p>
        </w:tc>
        <w:tc>
          <w:tcPr>
            <w:tcW w:w="1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18,473</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12,539</w:t>
            </w:r>
          </w:p>
        </w:tc>
        <w:tc>
          <w:tcPr>
            <w:tcW w:w="20" w:type="dxa"/>
            <w:vAlign w:val="bottom"/>
          </w:tcPr>
          <w:p>
            <w:pPr>
              <w:spacing w:after="0"/>
              <w:rPr>
                <w:sz w:val="21"/>
                <w:szCs w:val="21"/>
                <w:color w:val="auto"/>
              </w:rPr>
            </w:pPr>
          </w:p>
        </w:tc>
      </w:tr>
      <w:tr>
        <w:trPr>
          <w:trHeight w:val="188"/>
        </w:trPr>
        <w:tc>
          <w:tcPr>
            <w:tcW w:w="3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Number of Common Shares: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11,888,171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11,299,548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11,799,151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9,253,090</w:t>
            </w:r>
          </w:p>
        </w:tc>
        <w:tc>
          <w:tcPr>
            <w:tcW w:w="20" w:type="dxa"/>
            <w:vAlign w:val="bottom"/>
          </w:tcPr>
          <w:p>
            <w:pPr>
              <w:spacing w:after="0"/>
              <w:rPr>
                <w:sz w:val="18"/>
                <w:szCs w:val="18"/>
                <w:color w:val="auto"/>
              </w:rPr>
            </w:pPr>
          </w:p>
        </w:tc>
      </w:tr>
      <w:tr>
        <w:trPr>
          <w:trHeight w:val="227"/>
        </w:trPr>
        <w:tc>
          <w:tcPr>
            <w:tcW w:w="3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13,591,665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12,996,503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13,502,645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10,637,934</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Data (in thousands, except per share data):</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240" w:type="dxa"/>
            <w:vAlign w:val="bottom"/>
            <w:gridSpan w:val="4"/>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81"/>
        </w:trPr>
        <w:tc>
          <w:tcPr>
            <w:tcW w:w="3740" w:type="dxa"/>
            <w:vAlign w:val="bottom"/>
          </w:tcPr>
          <w:p>
            <w:pPr>
              <w:spacing w:after="0"/>
              <w:rPr>
                <w:sz w:val="15"/>
                <w:szCs w:val="15"/>
                <w:color w:val="auto"/>
              </w:rPr>
            </w:pPr>
          </w:p>
        </w:tc>
        <w:tc>
          <w:tcPr>
            <w:tcW w:w="1340" w:type="dxa"/>
            <w:vAlign w:val="bottom"/>
            <w:tcBorders>
              <w:top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3"/>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5"/>
                <w:szCs w:val="15"/>
                <w:color w:val="auto"/>
              </w:rPr>
            </w:pPr>
          </w:p>
        </w:tc>
        <w:tc>
          <w:tcPr>
            <w:tcW w:w="1280" w:type="dxa"/>
            <w:vAlign w:val="bottom"/>
            <w:tcBorders>
              <w:top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9"/>
        </w:trPr>
        <w:tc>
          <w:tcPr>
            <w:tcW w:w="3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FFO</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12,283</w:t>
            </w: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FFO per Diluted Share</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12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09"/>
        </w:trPr>
        <w:tc>
          <w:tcPr>
            <w:tcW w:w="3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AFFO</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5,676</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4,797</w:t>
            </w:r>
          </w:p>
        </w:tc>
        <w:tc>
          <w:tcPr>
            <w:tcW w:w="12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18,473</w:t>
            </w:r>
          </w:p>
        </w:tc>
        <w:tc>
          <w:tcPr>
            <w:tcW w:w="12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12,539</w:t>
            </w: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AFFO per Diluted Share</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bl>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None.</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4" w:lineRule="exact"/>
        <w:rPr>
          <w:sz w:val="20"/>
          <w:szCs w:val="20"/>
          <w:color w:val="auto"/>
        </w:rPr>
      </w:pPr>
    </w:p>
    <w:p>
      <w:pPr>
        <w:jc w:val="both"/>
        <w:ind w:left="40" w:right="59" w:firstLine="313"/>
        <w:spacing w:after="0" w:line="275" w:lineRule="auto"/>
        <w:rPr>
          <w:sz w:val="20"/>
          <w:szCs w:val="20"/>
          <w:color w:val="auto"/>
        </w:rPr>
      </w:pPr>
      <w:r>
        <w:rPr>
          <w:rFonts w:ascii="Times New Roman" w:cs="Times New Roman" w:eastAsia="Times New Roman" w:hAnsi="Times New Roman"/>
          <w:sz w:val="17"/>
          <w:szCs w:val="17"/>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61" w:lineRule="exact"/>
        <w:rPr>
          <w:sz w:val="20"/>
          <w:szCs w:val="20"/>
          <w:color w:val="auto"/>
        </w:rPr>
      </w:pPr>
    </w:p>
    <w:p>
      <w:pPr>
        <w:jc w:val="both"/>
        <w:ind w:left="40" w:right="59" w:firstLine="313"/>
        <w:spacing w:after="0" w:line="258" w:lineRule="auto"/>
        <w:rPr>
          <w:sz w:val="20"/>
          <w:szCs w:val="20"/>
          <w:color w:val="auto"/>
        </w:rPr>
      </w:pPr>
      <w:r>
        <w:rPr>
          <w:rFonts w:ascii="Times New Roman" w:cs="Times New Roman" w:eastAsia="Times New Roman" w:hAnsi="Times New Roman"/>
          <w:sz w:val="17"/>
          <w:szCs w:val="17"/>
          <w:i w:val="1"/>
          <w:iCs w:val="1"/>
          <w:color w:val="auto"/>
        </w:rPr>
        <w:t>Purchase Accounting for Acquisitions of Real Estate Subject to a Lease</w:t>
      </w:r>
      <w:r>
        <w:rPr>
          <w:rFonts w:ascii="Times New Roman" w:cs="Times New Roman" w:eastAsia="Times New Roman" w:hAnsi="Times New Roman"/>
          <w:sz w:val="17"/>
          <w:szCs w:val="17"/>
          <w:color w:val="auto"/>
        </w:rPr>
        <w:t>. As required by GAAP, the fair value of the real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44 properties for a combined purchase price of $145.7 million for the nine months ended September 30, 2022 and 42 properties for a combined purchase price of $158.7 million for the nine months ended September 30, 2021.</w:t>
      </w:r>
    </w:p>
    <w:p>
      <w:pPr>
        <w:spacing w:after="0" w:line="396" w:lineRule="exact"/>
        <w:rPr>
          <w:sz w:val="20"/>
          <w:szCs w:val="20"/>
          <w:color w:val="auto"/>
        </w:rPr>
      </w:pPr>
    </w:p>
    <w:p>
      <w:pPr>
        <w:jc w:val="both"/>
        <w:ind w:left="40" w:right="79" w:firstLine="313"/>
        <w:spacing w:after="0" w:line="294" w:lineRule="auto"/>
        <w:rPr>
          <w:sz w:val="20"/>
          <w:szCs w:val="20"/>
          <w:color w:val="auto"/>
        </w:rPr>
      </w:pPr>
      <w:r>
        <w:rPr>
          <w:rFonts w:ascii="Times New Roman" w:cs="Times New Roman" w:eastAsia="Times New Roman" w:hAnsi="Times New Roman"/>
          <w:sz w:val="17"/>
          <w:szCs w:val="17"/>
          <w:color w:val="auto"/>
        </w:rPr>
        <w:t>See Note 2, “Summary of Significant Accounting Policies”, for further discussion of the Company’s accounting estimates and policies.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ITEM 3. QUANTITATIVE AND QUALITATIVE DISCLOSURES ABOUT MARKET RISK</w:t>
      </w:r>
    </w:p>
    <w:p>
      <w:pPr>
        <w:spacing w:after="0" w:line="185" w:lineRule="exact"/>
        <w:rPr>
          <w:sz w:val="20"/>
          <w:szCs w:val="20"/>
          <w:color w:val="auto"/>
        </w:rPr>
      </w:pPr>
    </w:p>
    <w:p>
      <w:pPr>
        <w:jc w:val="both"/>
        <w:ind w:left="40" w:right="59" w:firstLine="313"/>
        <w:spacing w:after="0" w:line="294" w:lineRule="auto"/>
        <w:rPr>
          <w:sz w:val="20"/>
          <w:szCs w:val="20"/>
          <w:color w:val="auto"/>
        </w:rPr>
      </w:pPr>
      <w:r>
        <w:rPr>
          <w:rFonts w:ascii="Times New Roman" w:cs="Times New Roman" w:eastAsia="Times New Roman" w:hAnsi="Times New Roman"/>
          <w:sz w:val="17"/>
          <w:szCs w:val="17"/>
          <w:color w:val="auto"/>
        </w:rPr>
        <w:t>We are a smaller reporting company as defined in Item 10(f)(1) of Regulation S-K. As a result, pursuant to Item 305(e) of Regulation S-K, we are not required to provide the information required by this Item.</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ITEM 4. CONTROLS AND PROCEDURES</w:t>
      </w:r>
    </w:p>
    <w:p>
      <w:pPr>
        <w:spacing w:after="0" w:line="224" w:lineRule="exact"/>
        <w:rPr>
          <w:sz w:val="20"/>
          <w:szCs w:val="20"/>
          <w:color w:val="auto"/>
        </w:rPr>
      </w:pPr>
    </w:p>
    <w:p>
      <w:pPr>
        <w:jc w:val="both"/>
        <w:ind w:left="40" w:right="59" w:firstLine="313"/>
        <w:spacing w:after="0" w:line="263" w:lineRule="auto"/>
        <w:rPr>
          <w:sz w:val="20"/>
          <w:szCs w:val="20"/>
          <w:color w:val="auto"/>
        </w:rPr>
      </w:pPr>
      <w:r>
        <w:rPr>
          <w:rFonts w:ascii="Times New Roman" w:cs="Times New Roman" w:eastAsia="Times New Roman" w:hAnsi="Times New Roman"/>
          <w:sz w:val="17"/>
          <w:szCs w:val="17"/>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w:t>
      </w:r>
    </w:p>
    <w:p>
      <w:pPr>
        <w:sectPr>
          <w:pgSz w:w="11900" w:h="16838" w:orient="portrait"/>
          <w:cols w:equalWidth="0" w:num="1">
            <w:col w:w="9019"/>
          </w:cols>
          <w:pgMar w:left="1440" w:top="499"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September 30, 2022, that have materially affected, or are reasonably likely to materially affect, the Company’s internal control over financial reporting.</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PART II—OTHER INFORMATION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ITEM 1. LEGAL PROCEEDINGS</w:t>
      </w:r>
    </w:p>
    <w:p>
      <w:pPr>
        <w:spacing w:after="0" w:line="185" w:lineRule="exact"/>
        <w:rPr>
          <w:sz w:val="20"/>
          <w:szCs w:val="20"/>
          <w:color w:val="auto"/>
        </w:rPr>
      </w:pPr>
    </w:p>
    <w:p>
      <w:pPr>
        <w:jc w:val="both"/>
        <w:ind w:left="40" w:right="59" w:firstLine="313"/>
        <w:spacing w:after="0" w:line="259" w:lineRule="auto"/>
        <w:rPr>
          <w:sz w:val="20"/>
          <w:szCs w:val="20"/>
          <w:color w:val="auto"/>
        </w:rPr>
      </w:pPr>
      <w:r>
        <w:rPr>
          <w:rFonts w:ascii="Times New Roman" w:cs="Times New Roman" w:eastAsia="Times New Roman" w:hAnsi="Times New Roman"/>
          <w:sz w:val="17"/>
          <w:szCs w:val="17"/>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ITEM 1A. RISK FACTORS</w:t>
      </w:r>
    </w:p>
    <w:p>
      <w:pPr>
        <w:spacing w:after="0" w:line="224" w:lineRule="exact"/>
        <w:rPr>
          <w:sz w:val="20"/>
          <w:szCs w:val="20"/>
          <w:color w:val="auto"/>
        </w:rPr>
      </w:pPr>
    </w:p>
    <w:p>
      <w:pPr>
        <w:jc w:val="both"/>
        <w:ind w:left="40" w:right="59" w:firstLine="313"/>
        <w:spacing w:after="0" w:line="265" w:lineRule="auto"/>
        <w:rPr>
          <w:sz w:val="20"/>
          <w:szCs w:val="20"/>
          <w:color w:val="auto"/>
        </w:rPr>
      </w:pPr>
      <w:r>
        <w:rPr>
          <w:rFonts w:ascii="Times New Roman" w:cs="Times New Roman" w:eastAsia="Times New Roman" w:hAnsi="Times New Roman"/>
          <w:sz w:val="17"/>
          <w:szCs w:val="17"/>
          <w:color w:val="auto"/>
        </w:rPr>
        <w:t>As of September 30, 2022, there have been no material changes in our risk factors from those set forth under the heading Part I, “Item 1A. Risk Factors” in the Company’s Annual Report on Form 10-K for the year ended December 31, 2021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spacing w:after="0" w:line="170" w:lineRule="exact"/>
        <w:rPr>
          <w:sz w:val="20"/>
          <w:szCs w:val="20"/>
          <w:color w:val="auto"/>
        </w:rPr>
      </w:pPr>
    </w:p>
    <w:p>
      <w:pPr>
        <w:ind w:left="40" w:right="2119"/>
        <w:spacing w:after="0" w:line="488"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ITEM 2. UNREGISTERED SALES OF EQUITY SECURITIES AND USE OF PROCEEDS </w:t>
      </w:r>
      <w:r>
        <w:rPr>
          <w:rFonts w:ascii="Times New Roman" w:cs="Times New Roman" w:eastAsia="Times New Roman" w:hAnsi="Times New Roman"/>
          <w:sz w:val="17"/>
          <w:szCs w:val="17"/>
          <w:color w:val="auto"/>
        </w:rPr>
        <w:t>Not applicable</w:t>
      </w: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ITEM 3. DEFAULTS UPON SENIOR SECURITIES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ITEM 4. MINE SAFETY DISCLOSURES</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ITEM 5. OTHER INFORMATION</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ITEM 6. EXHIBITS</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Exhibits: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3.1</w:t>
            </w:r>
          </w:p>
        </w:tc>
        <w:tc>
          <w:tcPr>
            <w:tcW w:w="7680" w:type="dxa"/>
            <w:vAlign w:val="bottom"/>
            <w:gridSpan w:val="20"/>
          </w:tcPr>
          <w:p>
            <w:pPr>
              <w:spacing w:after="0"/>
              <w:rPr>
                <w:rFonts w:ascii="Times New Roman" w:cs="Times New Roman" w:eastAsia="Times New Roman" w:hAnsi="Times New Roman"/>
                <w:sz w:val="17"/>
                <w:szCs w:val="17"/>
                <w:color w:val="0000EE"/>
              </w:rPr>
            </w:pPr>
            <w:hyperlink r:id="rId57">
              <w:r>
                <w:rPr>
                  <w:rFonts w:ascii="Times New Roman" w:cs="Times New Roman" w:eastAsia="Times New Roman" w:hAnsi="Times New Roman"/>
                  <w:sz w:val="17"/>
                  <w:szCs w:val="17"/>
                  <w:color w:val="0000EE"/>
                </w:rPr>
                <w:t>Articles of Amendment and Restatement of Alpine Income Property Trust, Inc. (incorporated by reference to</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780" w:type="dxa"/>
            <w:vAlign w:val="bottom"/>
            <w:tcBorders>
              <w:top w:val="single" w:sz="8" w:color="0000EE"/>
              <w:bottom w:val="single" w:sz="8" w:color="0000EE"/>
            </w:tcBorders>
            <w:gridSpan w:val="8"/>
          </w:tcPr>
          <w:p>
            <w:pPr>
              <w:spacing w:after="0" w:line="150" w:lineRule="exact"/>
              <w:rPr>
                <w:rFonts w:ascii="Times New Roman" w:cs="Times New Roman" w:eastAsia="Times New Roman" w:hAnsi="Times New Roman"/>
                <w:sz w:val="17"/>
                <w:szCs w:val="17"/>
                <w:color w:val="0000EE"/>
                <w:w w:val="96"/>
              </w:rPr>
            </w:pPr>
            <w:hyperlink r:id="rId57">
              <w:r>
                <w:rPr>
                  <w:rFonts w:ascii="Times New Roman" w:cs="Times New Roman" w:eastAsia="Times New Roman" w:hAnsi="Times New Roman"/>
                  <w:sz w:val="17"/>
                  <w:szCs w:val="17"/>
                  <w:color w:val="0000EE"/>
                  <w:w w:val="96"/>
                </w:rPr>
                <w:t>Exhibit 3.1 to the Company’s Current Report on Form 8-K filed on December 3, 2019).</w:t>
              </w:r>
            </w:hyperlink>
          </w:p>
        </w:tc>
        <w:tc>
          <w:tcPr>
            <w:tcW w:w="1700" w:type="dxa"/>
            <w:vAlign w:val="bottom"/>
            <w:tcBorders>
              <w:top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3.2</w:t>
            </w:r>
          </w:p>
        </w:tc>
        <w:tc>
          <w:tcPr>
            <w:tcW w:w="7680" w:type="dxa"/>
            <w:vAlign w:val="bottom"/>
            <w:gridSpan w:val="20"/>
          </w:tcPr>
          <w:p>
            <w:pPr>
              <w:spacing w:after="0"/>
              <w:rPr>
                <w:rFonts w:ascii="Times New Roman" w:cs="Times New Roman" w:eastAsia="Times New Roman" w:hAnsi="Times New Roman"/>
                <w:sz w:val="17"/>
                <w:szCs w:val="17"/>
                <w:color w:val="0000EE"/>
              </w:rPr>
            </w:pPr>
            <w:hyperlink r:id="rId58">
              <w:r>
                <w:rPr>
                  <w:rFonts w:ascii="Times New Roman" w:cs="Times New Roman" w:eastAsia="Times New Roman" w:hAnsi="Times New Roman"/>
                  <w:sz w:val="17"/>
                  <w:szCs w:val="17"/>
                  <w:color w:val="0000EE"/>
                </w:rPr>
                <w:t xml:space="preserve">Second </w:t>
              </w:r>
              <w:r>
                <w:rPr>
                  <w:rFonts w:ascii="Times New Roman" w:cs="Times New Roman" w:eastAsia="Times New Roman" w:hAnsi="Times New Roman"/>
                  <w:sz w:val="16"/>
                  <w:szCs w:val="16"/>
                  <w:color w:val="0000EE"/>
                </w:rPr>
                <w:t>Amended and Restated Bylaws of Alpine Income Property Trust, Inc. (incorporated by reference to</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60" w:type="dxa"/>
            <w:vAlign w:val="bottom"/>
            <w:tcBorders>
              <w:top w:val="single" w:sz="8" w:color="0000EE"/>
              <w:bottom w:val="single" w:sz="8" w:color="0000EE"/>
            </w:tcBorders>
            <w:gridSpan w:val="7"/>
          </w:tcPr>
          <w:p>
            <w:pPr>
              <w:spacing w:after="0" w:line="150" w:lineRule="exact"/>
              <w:rPr>
                <w:rFonts w:ascii="Times New Roman" w:cs="Times New Roman" w:eastAsia="Times New Roman" w:hAnsi="Times New Roman"/>
                <w:sz w:val="17"/>
                <w:szCs w:val="17"/>
                <w:color w:val="0000EE"/>
                <w:w w:val="96"/>
              </w:rPr>
            </w:pPr>
            <w:hyperlink r:id="rId58">
              <w:r>
                <w:rPr>
                  <w:rFonts w:ascii="Times New Roman" w:cs="Times New Roman" w:eastAsia="Times New Roman" w:hAnsi="Times New Roman"/>
                  <w:sz w:val="17"/>
                  <w:szCs w:val="17"/>
                  <w:color w:val="0000EE"/>
                  <w:w w:val="96"/>
                </w:rPr>
                <w:t>Exhibit 3.1 to the Company’s Current Report on Form 8-K filed on July 22, 2021).</w:t>
              </w:r>
            </w:hyperlink>
          </w:p>
        </w:tc>
        <w:tc>
          <w:tcPr>
            <w:tcW w:w="2120" w:type="dxa"/>
            <w:vAlign w:val="bottom"/>
            <w:tcBorders>
              <w:top w:val="single" w:sz="8" w:color="0000EE"/>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4.1</w:t>
            </w:r>
          </w:p>
        </w:tc>
        <w:tc>
          <w:tcPr>
            <w:tcW w:w="7680" w:type="dxa"/>
            <w:vAlign w:val="bottom"/>
            <w:gridSpan w:val="20"/>
          </w:tcPr>
          <w:p>
            <w:pPr>
              <w:spacing w:after="0"/>
              <w:rPr>
                <w:rFonts w:ascii="Times New Roman" w:cs="Times New Roman" w:eastAsia="Times New Roman" w:hAnsi="Times New Roman"/>
                <w:sz w:val="17"/>
                <w:szCs w:val="17"/>
                <w:color w:val="0000EE"/>
                <w:w w:val="99"/>
              </w:rPr>
            </w:pPr>
            <w:hyperlink r:id="rId59">
              <w:r>
                <w:rPr>
                  <w:rFonts w:ascii="Times New Roman" w:cs="Times New Roman" w:eastAsia="Times New Roman" w:hAnsi="Times New Roman"/>
                  <w:sz w:val="17"/>
                  <w:szCs w:val="17"/>
                  <w:color w:val="0000EE"/>
                  <w:w w:val="99"/>
                </w:rPr>
                <w:t>Specimen Common Stock Certificate of Alpine Income Property Trust, Inc. (incorporated by reference to Exhibit</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7640" w:type="dxa"/>
            <w:vAlign w:val="bottom"/>
            <w:tcBorders>
              <w:top w:val="single" w:sz="8" w:color="0000EE"/>
            </w:tcBorders>
            <w:gridSpan w:val="18"/>
          </w:tcPr>
          <w:p>
            <w:pPr>
              <w:spacing w:after="0" w:line="150" w:lineRule="exact"/>
              <w:rPr>
                <w:rFonts w:ascii="Times New Roman" w:cs="Times New Roman" w:eastAsia="Times New Roman" w:hAnsi="Times New Roman"/>
                <w:sz w:val="17"/>
                <w:szCs w:val="17"/>
                <w:color w:val="0000EE"/>
                <w:w w:val="99"/>
              </w:rPr>
            </w:pPr>
            <w:hyperlink r:id="rId59">
              <w:r>
                <w:rPr>
                  <w:rFonts w:ascii="Times New Roman" w:cs="Times New Roman" w:eastAsia="Times New Roman" w:hAnsi="Times New Roman"/>
                  <w:sz w:val="17"/>
                  <w:szCs w:val="17"/>
                  <w:color w:val="0000EE"/>
                  <w:w w:val="99"/>
                </w:rPr>
                <w:t>4.</w:t>
              </w:r>
              <w:r>
                <w:rPr>
                  <w:rFonts w:ascii="Times New Roman" w:cs="Times New Roman" w:eastAsia="Times New Roman" w:hAnsi="Times New Roman"/>
                  <w:sz w:val="17"/>
                  <w:szCs w:val="17"/>
                  <w:u w:val="single" w:color="auto"/>
                  <w:color w:val="0000EE"/>
                  <w:w w:val="99"/>
                </w:rPr>
                <w:t>1</w:t>
              </w:r>
              <w:r>
                <w:rPr>
                  <w:rFonts w:ascii="Times New Roman" w:cs="Times New Roman" w:eastAsia="Times New Roman" w:hAnsi="Times New Roman"/>
                  <w:sz w:val="17"/>
                  <w:szCs w:val="17"/>
                  <w:color w:val="0000EE"/>
                  <w:w w:val="99"/>
                </w:rPr>
                <w:t xml:space="preserve"> to the Registrant’s Registration Statement on Form S-11/A (File No. 333-234304) filed with the Commission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7600" w:type="dxa"/>
            <w:vAlign w:val="bottom"/>
            <w:tcBorders>
              <w:top w:val="single" w:sz="8" w:color="0000EE"/>
            </w:tcBorders>
            <w:gridSpan w:val="16"/>
          </w:tcPr>
          <w:p>
            <w:pPr>
              <w:spacing w:after="0" w:line="163" w:lineRule="exact"/>
              <w:rPr>
                <w:rFonts w:ascii="Times New Roman" w:cs="Times New Roman" w:eastAsia="Times New Roman" w:hAnsi="Times New Roman"/>
                <w:sz w:val="17"/>
                <w:szCs w:val="17"/>
                <w:color w:val="0000EE"/>
              </w:rPr>
            </w:pPr>
            <w:hyperlink r:id="rId59">
              <w:r>
                <w:rPr>
                  <w:rFonts w:ascii="Times New Roman" w:cs="Times New Roman" w:eastAsia="Times New Roman" w:hAnsi="Times New Roman"/>
                  <w:sz w:val="17"/>
                  <w:szCs w:val="17"/>
                  <w:color w:val="0000EE"/>
                </w:rPr>
                <w:t>on October 29, 2019).</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Exhibit 10.1</w:t>
            </w:r>
          </w:p>
        </w:tc>
        <w:tc>
          <w:tcPr>
            <w:tcW w:w="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420" w:type="dxa"/>
            <w:vAlign w:val="bottom"/>
            <w:vMerge w:val="continue"/>
          </w:tcPr>
          <w:p>
            <w:pPr>
              <w:spacing w:after="0"/>
              <w:rPr>
                <w:sz w:val="22"/>
                <w:szCs w:val="22"/>
                <w:color w:val="auto"/>
              </w:rPr>
            </w:pPr>
          </w:p>
        </w:tc>
        <w:tc>
          <w:tcPr>
            <w:tcW w:w="7680" w:type="dxa"/>
            <w:vAlign w:val="bottom"/>
            <w:gridSpan w:val="20"/>
          </w:tcPr>
          <w:p>
            <w:pPr>
              <w:spacing w:after="0"/>
              <w:rPr>
                <w:rFonts w:ascii="Times New Roman" w:cs="Times New Roman" w:eastAsia="Times New Roman" w:hAnsi="Times New Roman"/>
                <w:sz w:val="17"/>
                <w:szCs w:val="17"/>
                <w:color w:val="0000EE"/>
              </w:rPr>
            </w:pPr>
            <w:hyperlink r:id="rId60">
              <w:r>
                <w:rPr>
                  <w:rFonts w:ascii="Times New Roman" w:cs="Times New Roman" w:eastAsia="Times New Roman" w:hAnsi="Times New Roman"/>
                  <w:sz w:val="17"/>
                  <w:szCs w:val="17"/>
                  <w:color w:val="0000EE"/>
                </w:rPr>
                <w:t>Amended and Restated Credit Agreement, dated as of September 30, 2022, among Alpine Income</w:t>
              </w:r>
            </w:hyperlink>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7500" w:type="dxa"/>
            <w:vAlign w:val="bottom"/>
            <w:tcBorders>
              <w:top w:val="single" w:sz="8" w:color="0000EE"/>
              <w:bottom w:val="single" w:sz="8" w:color="0000EE"/>
            </w:tcBorders>
            <w:gridSpan w:val="11"/>
          </w:tcPr>
          <w:p>
            <w:pPr>
              <w:spacing w:after="0" w:line="163" w:lineRule="exact"/>
              <w:rPr>
                <w:rFonts w:ascii="Times New Roman" w:cs="Times New Roman" w:eastAsia="Times New Roman" w:hAnsi="Times New Roman"/>
                <w:sz w:val="17"/>
                <w:szCs w:val="17"/>
                <w:color w:val="0000EE"/>
              </w:rPr>
            </w:pPr>
            <w:hyperlink r:id="rId60">
              <w:r>
                <w:rPr>
                  <w:rFonts w:ascii="Times New Roman" w:cs="Times New Roman" w:eastAsia="Times New Roman" w:hAnsi="Times New Roman"/>
                  <w:sz w:val="17"/>
                  <w:szCs w:val="17"/>
                  <w:color w:val="0000EE"/>
                </w:rPr>
                <w:t>Property, OP, LP, Alpine Income Property Trust, Inc., the other Guarantors from time to time parties</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7560" w:type="dxa"/>
            <w:vAlign w:val="bottom"/>
            <w:gridSpan w:val="14"/>
          </w:tcPr>
          <w:p>
            <w:pPr>
              <w:spacing w:after="0" w:line="163" w:lineRule="exact"/>
              <w:rPr>
                <w:rFonts w:ascii="Times New Roman" w:cs="Times New Roman" w:eastAsia="Times New Roman" w:hAnsi="Times New Roman"/>
                <w:sz w:val="17"/>
                <w:szCs w:val="17"/>
                <w:color w:val="0000EE"/>
              </w:rPr>
            </w:pPr>
            <w:hyperlink r:id="rId60">
              <w:r>
                <w:rPr>
                  <w:rFonts w:ascii="Times New Roman" w:cs="Times New Roman" w:eastAsia="Times New Roman" w:hAnsi="Times New Roman"/>
                  <w:sz w:val="17"/>
                  <w:szCs w:val="17"/>
                  <w:color w:val="0000EE"/>
                </w:rPr>
                <w:t>thereto, KeyBank National Association, and certain other lenders named therein (incorporated by reference</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6200" w:type="dxa"/>
            <w:vAlign w:val="bottom"/>
            <w:tcBorders>
              <w:top w:val="single" w:sz="8" w:color="0000EE"/>
              <w:bottom w:val="single" w:sz="8" w:color="0000EE"/>
            </w:tcBorders>
            <w:gridSpan w:val="9"/>
          </w:tcPr>
          <w:p>
            <w:pPr>
              <w:spacing w:after="0" w:line="163" w:lineRule="exact"/>
              <w:rPr>
                <w:rFonts w:ascii="Times New Roman" w:cs="Times New Roman" w:eastAsia="Times New Roman" w:hAnsi="Times New Roman"/>
                <w:sz w:val="17"/>
                <w:szCs w:val="17"/>
                <w:color w:val="0000EE"/>
              </w:rPr>
            </w:pPr>
            <w:hyperlink r:id="rId60">
              <w:r>
                <w:rPr>
                  <w:rFonts w:ascii="Times New Roman" w:cs="Times New Roman" w:eastAsia="Times New Roman" w:hAnsi="Times New Roman"/>
                  <w:sz w:val="17"/>
                  <w:szCs w:val="17"/>
                  <w:color w:val="0000EE"/>
                </w:rPr>
                <w:t>to Exhibit 10.1 to the Company’s Current Report on Form 8-K filed on October 6, 2022).</w:t>
              </w:r>
            </w:hyperlink>
          </w:p>
        </w:tc>
        <w:tc>
          <w:tcPr>
            <w:tcW w:w="132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10.2*</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Second Amendment to the 2026 Term Loan Agreement, dated as of October 5, 2022, among Alpine</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7620" w:type="dxa"/>
            <w:vAlign w:val="bottom"/>
            <w:tcBorders>
              <w:top w:val="single" w:sz="8" w:color="0000EE"/>
              <w:bottom w:val="single" w:sz="8" w:color="0000EE"/>
            </w:tcBorders>
            <w:gridSpan w:val="17"/>
          </w:tcPr>
          <w:p>
            <w:pPr>
              <w:spacing w:after="0" w:line="163" w:lineRule="exact"/>
              <w:rPr>
                <w:sz w:val="20"/>
                <w:szCs w:val="20"/>
                <w:color w:val="auto"/>
              </w:rPr>
            </w:pPr>
            <w:r>
              <w:rPr>
                <w:rFonts w:ascii="Times New Roman" w:cs="Times New Roman" w:eastAsia="Times New Roman" w:hAnsi="Times New Roman"/>
                <w:sz w:val="17"/>
                <w:szCs w:val="17"/>
                <w:color w:val="0000EE"/>
              </w:rPr>
              <w:t>Income Property, OP, LP, Alpine Income Property Trust, Inc., the other Guarantors from time to time</w:t>
            </w:r>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200" w:type="dxa"/>
            <w:vAlign w:val="bottom"/>
            <w:tcBorders>
              <w:bottom w:val="single" w:sz="8" w:color="0000EE"/>
            </w:tcBorders>
            <w:gridSpan w:val="6"/>
          </w:tcPr>
          <w:p>
            <w:pPr>
              <w:spacing w:after="0" w:line="163" w:lineRule="exact"/>
              <w:rPr>
                <w:sz w:val="20"/>
                <w:szCs w:val="20"/>
                <w:color w:val="auto"/>
              </w:rPr>
            </w:pPr>
            <w:r>
              <w:rPr>
                <w:rFonts w:ascii="Times New Roman" w:cs="Times New Roman" w:eastAsia="Times New Roman" w:hAnsi="Times New Roman"/>
                <w:sz w:val="17"/>
                <w:szCs w:val="17"/>
                <w:color w:val="0000EE"/>
              </w:rPr>
              <w:t>parties thereto, Truist Bank, N.A., and certain other lenders named therein.</w:t>
            </w:r>
          </w:p>
        </w:tc>
        <w:tc>
          <w:tcPr>
            <w:tcW w:w="246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31.1*</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31.2*</w:t>
            </w:r>
          </w:p>
        </w:tc>
        <w:tc>
          <w:tcPr>
            <w:tcW w:w="51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Sarbanes-Oxley Act of 2002.</w:t>
            </w:r>
          </w:p>
        </w:tc>
        <w:tc>
          <w:tcPr>
            <w:tcW w:w="252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262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32.1**</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7540" w:type="dxa"/>
            <w:vAlign w:val="bottom"/>
            <w:tcBorders>
              <w:top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7"/>
                <w:szCs w:val="17"/>
                <w:color w:val="0000EE"/>
              </w:rPr>
              <w:t>Oxley Act of 2002.</w:t>
            </w: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32.2**</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7540" w:type="dxa"/>
            <w:vAlign w:val="bottom"/>
            <w:tcBorders>
              <w:top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7"/>
                <w:szCs w:val="17"/>
                <w:color w:val="0000EE"/>
              </w:rPr>
              <w:t>Oxley Act of 2002.</w:t>
            </w: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101.INS</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101.SCH</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101.CAL</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101.DEF</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101.LAB</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101.PRE</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104</w:t>
            </w:r>
          </w:p>
        </w:tc>
        <w:tc>
          <w:tcPr>
            <w:tcW w:w="76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0" w:type="dxa"/>
            <w:vAlign w:val="bottom"/>
          </w:tcPr>
          <w:p>
            <w:pPr>
              <w:spacing w:after="0"/>
              <w:rPr>
                <w:sz w:val="1"/>
                <w:szCs w:val="1"/>
                <w:color w:val="auto"/>
              </w:rPr>
            </w:pPr>
          </w:p>
        </w:tc>
      </w:tr>
      <w:tr>
        <w:trPr>
          <w:trHeight w:val="80"/>
        </w:trPr>
        <w:tc>
          <w:tcPr>
            <w:tcW w:w="14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Filed herewith</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4" w:lineRule="exact"/>
        <w:rPr>
          <w:sz w:val="20"/>
          <w:szCs w:val="20"/>
          <w:color w:val="auto"/>
        </w:rPr>
      </w:pPr>
    </w:p>
    <w:p>
      <w:pPr>
        <w:ind w:left="40" w:right="59"/>
        <w:spacing w:after="0" w:line="29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ALPINE INCOME PROPERTY TRUST, INC.</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(Registrant)</w:t>
      </w:r>
    </w:p>
    <w:p>
      <w:pPr>
        <w:spacing w:after="0" w:line="230"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17"/>
          <w:szCs w:val="17"/>
          <w:color w:val="auto"/>
        </w:rPr>
        <w:t>October 20, 2022</w:t>
      </w:r>
      <w:r>
        <w:rPr>
          <w:sz w:val="20"/>
          <w:szCs w:val="20"/>
          <w:color w:val="auto"/>
        </w:rPr>
        <w:tab/>
      </w:r>
      <w:r>
        <w:rPr>
          <w:rFonts w:ascii="Times New Roman" w:cs="Times New Roman" w:eastAsia="Times New Roman" w:hAnsi="Times New Roman"/>
          <w:sz w:val="17"/>
          <w:szCs w:val="17"/>
          <w:color w:val="auto"/>
        </w:rPr>
        <w:t>By:  /s/ John P. Albright</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-123190</wp:posOffset>
            </wp:positionV>
            <wp:extent cx="2492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30"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17"/>
          <w:szCs w:val="17"/>
          <w:color w:val="auto"/>
        </w:rPr>
        <w:t>October 20, 2022</w:t>
      </w:r>
      <w:r>
        <w:rPr>
          <w:sz w:val="20"/>
          <w:szCs w:val="20"/>
          <w:color w:val="auto"/>
        </w:rPr>
        <w:tab/>
      </w:r>
      <w:r>
        <w:rPr>
          <w:rFonts w:ascii="Times New Roman" w:cs="Times New Roman" w:eastAsia="Times New Roman" w:hAnsi="Times New Roman"/>
          <w:sz w:val="17"/>
          <w:szCs w:val="17"/>
          <w:color w:val="auto"/>
        </w:rPr>
        <w:t>By:  /s/ Matthew M. Partridge</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Matthew M. Partridge, 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-123190</wp:posOffset>
            </wp:positionV>
            <wp:extent cx="2492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Chief Financial Officer and Treasurer</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pacing w:after="0" w:line="230"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17"/>
          <w:szCs w:val="17"/>
          <w:color w:val="auto"/>
        </w:rPr>
        <w:t>October 20, 2022</w:t>
      </w:r>
      <w:r>
        <w:rPr>
          <w:sz w:val="20"/>
          <w:szCs w:val="20"/>
          <w:color w:val="auto"/>
        </w:rPr>
        <w:tab/>
      </w:r>
      <w:r>
        <w:rPr>
          <w:rFonts w:ascii="Times New Roman" w:cs="Times New Roman" w:eastAsia="Times New Roman" w:hAnsi="Times New Roman"/>
          <w:sz w:val="17"/>
          <w:szCs w:val="17"/>
          <w:color w:val="auto"/>
        </w:rPr>
        <w:t>By:  /s/ Lisa M. Vorakoun</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Lisa M. Vorakoun,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-123190</wp:posOffset>
            </wp:positionV>
            <wp:extent cx="2492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Chief Accounting Officer</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SECOND AMENDMENT TO CREDIT AGREEMENT</w:t>
      </w:r>
    </w:p>
    <w:p>
      <w:pPr>
        <w:spacing w:after="0" w:line="324" w:lineRule="exact"/>
        <w:rPr>
          <w:sz w:val="20"/>
          <w:szCs w:val="20"/>
          <w:color w:val="auto"/>
        </w:rPr>
      </w:pPr>
    </w:p>
    <w:p>
      <w:pPr>
        <w:jc w:val="both"/>
        <w:ind w:left="40" w:right="59" w:firstLine="626"/>
        <w:spacing w:after="0" w:line="241" w:lineRule="auto"/>
        <w:rPr>
          <w:sz w:val="20"/>
          <w:szCs w:val="20"/>
          <w:color w:val="auto"/>
        </w:rPr>
      </w:pPr>
      <w:r>
        <w:rPr>
          <w:rFonts w:ascii="Times New Roman" w:cs="Times New Roman" w:eastAsia="Times New Roman" w:hAnsi="Times New Roman"/>
          <w:sz w:val="17"/>
          <w:szCs w:val="17"/>
          <w:color w:val="auto"/>
        </w:rPr>
        <w:t>This SECOND AMENDMENT TO CREDIT AGREEMENT (this “</w:t>
      </w:r>
      <w:r>
        <w:rPr>
          <w:rFonts w:ascii="Times New Roman" w:cs="Times New Roman" w:eastAsia="Times New Roman" w:hAnsi="Times New Roman"/>
          <w:sz w:val="17"/>
          <w:szCs w:val="17"/>
          <w:b w:val="1"/>
          <w:bCs w:val="1"/>
          <w:i w:val="1"/>
          <w:iCs w:val="1"/>
          <w:color w:val="auto"/>
        </w:rPr>
        <w:t>Amendment</w:t>
      </w:r>
      <w:r>
        <w:rPr>
          <w:rFonts w:ascii="Times New Roman" w:cs="Times New Roman" w:eastAsia="Times New Roman" w:hAnsi="Times New Roman"/>
          <w:sz w:val="17"/>
          <w:szCs w:val="17"/>
          <w:color w:val="auto"/>
        </w:rPr>
        <w:t>”) is made as of this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day of October, 2022, by and among ALPINE INCOME PROPERTY OP, LP, a Delaware limited partnership (the “</w:t>
      </w:r>
      <w:r>
        <w:rPr>
          <w:rFonts w:ascii="Times New Roman" w:cs="Times New Roman" w:eastAsia="Times New Roman" w:hAnsi="Times New Roman"/>
          <w:sz w:val="17"/>
          <w:szCs w:val="17"/>
          <w:b w:val="1"/>
          <w:bCs w:val="1"/>
          <w:i w:val="1"/>
          <w:iCs w:val="1"/>
          <w:color w:val="auto"/>
        </w:rPr>
        <w:t>Borrower</w:t>
      </w:r>
      <w:r>
        <w:rPr>
          <w:rFonts w:ascii="Times New Roman" w:cs="Times New Roman" w:eastAsia="Times New Roman" w:hAnsi="Times New Roman"/>
          <w:sz w:val="17"/>
          <w:szCs w:val="17"/>
          <w:color w:val="auto"/>
        </w:rPr>
        <w:t>”), ALPINE INCOME PROPERTY TRUST, INC., a Maryland corporation (“</w:t>
      </w:r>
      <w:r>
        <w:rPr>
          <w:rFonts w:ascii="Times New Roman" w:cs="Times New Roman" w:eastAsia="Times New Roman" w:hAnsi="Times New Roman"/>
          <w:sz w:val="17"/>
          <w:szCs w:val="17"/>
          <w:b w:val="1"/>
          <w:bCs w:val="1"/>
          <w:i w:val="1"/>
          <w:iCs w:val="1"/>
          <w:color w:val="auto"/>
        </w:rPr>
        <w:t>Parent Guarantor</w:t>
      </w:r>
      <w:r>
        <w:rPr>
          <w:rFonts w:ascii="Times New Roman" w:cs="Times New Roman" w:eastAsia="Times New Roman" w:hAnsi="Times New Roman"/>
          <w:sz w:val="17"/>
          <w:szCs w:val="17"/>
          <w:color w:val="auto"/>
        </w:rPr>
        <w:t>” and together with the other Guarantors party hereto, both individually and collectively, the “</w:t>
      </w:r>
      <w:r>
        <w:rPr>
          <w:rFonts w:ascii="Times New Roman" w:cs="Times New Roman" w:eastAsia="Times New Roman" w:hAnsi="Times New Roman"/>
          <w:sz w:val="17"/>
          <w:szCs w:val="17"/>
          <w:b w:val="1"/>
          <w:bCs w:val="1"/>
          <w:i w:val="1"/>
          <w:iCs w:val="1"/>
          <w:color w:val="auto"/>
        </w:rPr>
        <w:t>Guarantor(s)</w:t>
      </w:r>
      <w:r>
        <w:rPr>
          <w:rFonts w:ascii="Times New Roman" w:cs="Times New Roman" w:eastAsia="Times New Roman" w:hAnsi="Times New Roman"/>
          <w:sz w:val="17"/>
          <w:szCs w:val="17"/>
          <w:color w:val="auto"/>
        </w:rPr>
        <w:t>”), TRUIST BANK, N.A., as administrative agent (together with any successor administrative agent, the “</w:t>
      </w:r>
      <w:r>
        <w:rPr>
          <w:rFonts w:ascii="Times New Roman" w:cs="Times New Roman" w:eastAsia="Times New Roman" w:hAnsi="Times New Roman"/>
          <w:sz w:val="17"/>
          <w:szCs w:val="17"/>
          <w:b w:val="1"/>
          <w:bCs w:val="1"/>
          <w:i w:val="1"/>
          <w:iCs w:val="1"/>
          <w:color w:val="auto"/>
        </w:rPr>
        <w:t>Administrative Agent</w:t>
      </w:r>
      <w:r>
        <w:rPr>
          <w:rFonts w:ascii="Times New Roman" w:cs="Times New Roman" w:eastAsia="Times New Roman" w:hAnsi="Times New Roman"/>
          <w:sz w:val="17"/>
          <w:szCs w:val="17"/>
          <w:color w:val="auto"/>
        </w:rPr>
        <w:t>”) for the Lenders, and the banks, financial institutions and other institutional lenders listed on the signature pages hereof as the lenders (individually and collectively, the “</w:t>
      </w:r>
      <w:r>
        <w:rPr>
          <w:rFonts w:ascii="Times New Roman" w:cs="Times New Roman" w:eastAsia="Times New Roman" w:hAnsi="Times New Roman"/>
          <w:sz w:val="17"/>
          <w:szCs w:val="17"/>
          <w:b w:val="1"/>
          <w:bCs w:val="1"/>
          <w:i w:val="1"/>
          <w:iCs w:val="1"/>
          <w:color w:val="auto"/>
        </w:rPr>
        <w:t>Lender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Lenders</w:t>
      </w:r>
      <w:r>
        <w:rPr>
          <w:rFonts w:ascii="Times New Roman" w:cs="Times New Roman" w:eastAsia="Times New Roman" w:hAnsi="Times New Roman"/>
          <w:sz w:val="17"/>
          <w:szCs w:val="17"/>
          <w:color w:val="auto"/>
        </w:rPr>
        <w:t>”). Unless otherwise defined herein, terms defined in the Credit Agreement set forth below shall have the same meaning herein.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 I T N E S S E T H:</w:t>
      </w:r>
    </w:p>
    <w:p>
      <w:pPr>
        <w:spacing w:after="0" w:line="222" w:lineRule="exact"/>
        <w:rPr>
          <w:sz w:val="20"/>
          <w:szCs w:val="20"/>
          <w:color w:val="auto"/>
        </w:rPr>
      </w:pPr>
    </w:p>
    <w:p>
      <w:pPr>
        <w:jc w:val="both"/>
        <w:ind w:left="40" w:right="59" w:firstLine="626"/>
        <w:spacing w:after="0" w:line="267" w:lineRule="auto"/>
        <w:rPr>
          <w:sz w:val="20"/>
          <w:szCs w:val="20"/>
          <w:color w:val="auto"/>
        </w:rPr>
      </w:pPr>
      <w:r>
        <w:rPr>
          <w:rFonts w:ascii="Times New Roman" w:cs="Times New Roman" w:eastAsia="Times New Roman" w:hAnsi="Times New Roman"/>
          <w:sz w:val="17"/>
          <w:szCs w:val="17"/>
          <w:color w:val="auto"/>
        </w:rPr>
        <w:t>WHEREAS, the Borrower, the Guarantors, the Administrative Agent and certain Lenders have entered into a certain Credit Agreement dated as of May 21, 2021 (as amended by that certain Amendment, Increase and Joinder to Credit Agreement dated as of April 14, 2022, the “</w:t>
      </w:r>
      <w:r>
        <w:rPr>
          <w:rFonts w:ascii="Times New Roman" w:cs="Times New Roman" w:eastAsia="Times New Roman" w:hAnsi="Times New Roman"/>
          <w:sz w:val="17"/>
          <w:szCs w:val="17"/>
          <w:b w:val="1"/>
          <w:bCs w:val="1"/>
          <w:i w:val="1"/>
          <w:iCs w:val="1"/>
          <w:color w:val="auto"/>
        </w:rPr>
        <w:t>Existing Credit Agreement</w:t>
      </w:r>
      <w:r>
        <w:rPr>
          <w:rFonts w:ascii="Times New Roman" w:cs="Times New Roman" w:eastAsia="Times New Roman" w:hAnsi="Times New Roman"/>
          <w:sz w:val="17"/>
          <w:szCs w:val="17"/>
          <w:color w:val="auto"/>
        </w:rPr>
        <w:t>”; and the Existing Credit Agreement, as amended by this Amendment, and as may be further amended, restated, supplemented, or otherwise modified from time to time, the “</w:t>
      </w:r>
      <w:r>
        <w:rPr>
          <w:rFonts w:ascii="Times New Roman" w:cs="Times New Roman" w:eastAsia="Times New Roman" w:hAnsi="Times New Roman"/>
          <w:sz w:val="17"/>
          <w:szCs w:val="17"/>
          <w:b w:val="1"/>
          <w:bCs w:val="1"/>
          <w:i w:val="1"/>
          <w:iCs w:val="1"/>
          <w:color w:val="auto"/>
        </w:rPr>
        <w:t>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w:t>
      </w:r>
    </w:p>
    <w:p>
      <w:pPr>
        <w:spacing w:after="0" w:line="382" w:lineRule="exact"/>
        <w:rPr>
          <w:sz w:val="20"/>
          <w:szCs w:val="20"/>
          <w:color w:val="auto"/>
        </w:rPr>
      </w:pPr>
    </w:p>
    <w:p>
      <w:pPr>
        <w:jc w:val="both"/>
        <w:ind w:left="40" w:right="59" w:firstLine="626"/>
        <w:spacing w:after="0" w:line="294" w:lineRule="auto"/>
        <w:rPr>
          <w:sz w:val="20"/>
          <w:szCs w:val="20"/>
          <w:color w:val="auto"/>
        </w:rPr>
      </w:pPr>
      <w:r>
        <w:rPr>
          <w:rFonts w:ascii="Times New Roman" w:cs="Times New Roman" w:eastAsia="Times New Roman" w:hAnsi="Times New Roman"/>
          <w:sz w:val="17"/>
          <w:szCs w:val="17"/>
          <w:color w:val="auto"/>
        </w:rPr>
        <w:t>WHEREAS, the Borrower, Administrative Agent and Lenders have agreed that certain financial covenants and certain other provisions set forth in the Existing Credit Agreement be amended; and</w:t>
      </w:r>
    </w:p>
    <w:p>
      <w:pPr>
        <w:spacing w:after="0" w:line="147" w:lineRule="exact"/>
        <w:rPr>
          <w:sz w:val="20"/>
          <w:szCs w:val="20"/>
          <w:color w:val="auto"/>
        </w:rPr>
      </w:pPr>
    </w:p>
    <w:p>
      <w:pPr>
        <w:jc w:val="both"/>
        <w:ind w:left="40" w:right="59" w:firstLine="626"/>
        <w:spacing w:after="0" w:line="268" w:lineRule="auto"/>
        <w:rPr>
          <w:sz w:val="20"/>
          <w:szCs w:val="20"/>
          <w:color w:val="auto"/>
        </w:rPr>
      </w:pPr>
      <w:r>
        <w:rPr>
          <w:rFonts w:ascii="Times New Roman" w:cs="Times New Roman" w:eastAsia="Times New Roman" w:hAnsi="Times New Roman"/>
          <w:sz w:val="17"/>
          <w:szCs w:val="17"/>
          <w:color w:val="auto"/>
        </w:rPr>
        <w:t xml:space="preserve">WHEREAS, the Borrower has requested that the Administrative Agent release (i) certain properties identified on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i w:val="1"/>
          <w:iCs w:val="1"/>
          <w:color w:val="auto"/>
        </w:rPr>
        <w:t>Specified Released Properties</w:t>
      </w:r>
      <w:r>
        <w:rPr>
          <w:rFonts w:ascii="Times New Roman" w:cs="Times New Roman" w:eastAsia="Times New Roman" w:hAnsi="Times New Roman"/>
          <w:sz w:val="17"/>
          <w:szCs w:val="17"/>
          <w:color w:val="auto"/>
        </w:rPr>
        <w:t xml:space="preserve">”) as Eligible Properties under the Credit Agreement and (ii) certain Guarantors identified on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i w:val="1"/>
          <w:iCs w:val="1"/>
          <w:color w:val="auto"/>
        </w:rPr>
        <w:t>Specified Released Guarantors</w:t>
      </w:r>
      <w:r>
        <w:rPr>
          <w:rFonts w:ascii="Times New Roman" w:cs="Times New Roman" w:eastAsia="Times New Roman" w:hAnsi="Times New Roman"/>
          <w:sz w:val="17"/>
          <w:szCs w:val="17"/>
          <w:color w:val="auto"/>
        </w:rPr>
        <w:t>”) from their obligations as Guarantors under the Credit Agreement.</w:t>
      </w:r>
    </w:p>
    <w:p>
      <w:pPr>
        <w:spacing w:after="0" w:line="170" w:lineRule="exact"/>
        <w:rPr>
          <w:sz w:val="20"/>
          <w:szCs w:val="20"/>
          <w:color w:val="auto"/>
        </w:rPr>
      </w:pPr>
    </w:p>
    <w:p>
      <w:pPr>
        <w:jc w:val="both"/>
        <w:ind w:left="40" w:right="59" w:firstLine="626"/>
        <w:spacing w:after="0" w:line="294" w:lineRule="auto"/>
        <w:rPr>
          <w:sz w:val="20"/>
          <w:szCs w:val="20"/>
          <w:color w:val="auto"/>
        </w:rPr>
      </w:pPr>
      <w:r>
        <w:rPr>
          <w:rFonts w:ascii="Times New Roman" w:cs="Times New Roman" w:eastAsia="Times New Roman" w:hAnsi="Times New Roman"/>
          <w:sz w:val="17"/>
          <w:szCs w:val="17"/>
          <w:color w:val="auto"/>
        </w:rPr>
        <w:t>NOW, THEREFORE, in consideration of the mutual promises and agreements herein contained, the parties hereto hereby agree as follows:</w:t>
      </w:r>
    </w:p>
    <w:p>
      <w:pPr>
        <w:spacing w:after="0" w:line="147" w:lineRule="exact"/>
        <w:rPr>
          <w:sz w:val="20"/>
          <w:szCs w:val="20"/>
          <w:color w:val="auto"/>
        </w:rPr>
      </w:pPr>
    </w:p>
    <w:p>
      <w:pPr>
        <w:ind w:left="1300" w:hanging="627"/>
        <w:spacing w:after="0"/>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to Credit Agreement</w:t>
      </w:r>
      <w:r>
        <w:rPr>
          <w:rFonts w:ascii="Times New Roman" w:cs="Times New Roman" w:eastAsia="Times New Roman" w:hAnsi="Times New Roman"/>
          <w:sz w:val="17"/>
          <w:szCs w:val="17"/>
          <w:color w:val="auto"/>
        </w:rPr>
        <w:t>.</w:t>
      </w:r>
    </w:p>
    <w:p>
      <w:pPr>
        <w:spacing w:after="0" w:line="221" w:lineRule="exact"/>
        <w:rPr>
          <w:rFonts w:ascii="Times New Roman" w:cs="Times New Roman" w:eastAsia="Times New Roman" w:hAnsi="Times New Roman"/>
          <w:sz w:val="17"/>
          <w:szCs w:val="17"/>
          <w:color w:val="auto"/>
        </w:rPr>
      </w:pPr>
    </w:p>
    <w:p>
      <w:pPr>
        <w:jc w:val="both"/>
        <w:ind w:left="680" w:right="59" w:firstLine="619"/>
        <w:spacing w:after="0" w:line="268" w:lineRule="auto"/>
        <w:tabs>
          <w:tab w:leader="none" w:pos="193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Existing Credit Agreement is hereby amended to delete the stricken text (indicated textually in the same manner as the following example: </w:t>
      </w:r>
      <w:r>
        <w:rPr>
          <w:rFonts w:ascii="Times New Roman" w:cs="Times New Roman" w:eastAsia="Times New Roman" w:hAnsi="Times New Roman"/>
          <w:sz w:val="17"/>
          <w:szCs w:val="17"/>
          <w:color w:val="FF0000"/>
          <w:strike w:val="1"/>
        </w:rPr>
        <w:t>stricken text</w:t>
      </w:r>
      <w:r>
        <w:rPr>
          <w:rFonts w:ascii="Times New Roman" w:cs="Times New Roman" w:eastAsia="Times New Roman" w:hAnsi="Times New Roman"/>
          <w:sz w:val="17"/>
          <w:szCs w:val="17"/>
          <w:color w:val="auto"/>
        </w:rPr>
        <w:t xml:space="preserve">) and to add the double-underlined text (indicated textually in the same manner as the following example: </w:t>
      </w:r>
      <w:r>
        <w:rPr>
          <w:rFonts w:ascii="Times New Roman" w:cs="Times New Roman" w:eastAsia="Times New Roman" w:hAnsi="Times New Roman"/>
          <w:sz w:val="17"/>
          <w:szCs w:val="17"/>
          <w:u w:val="single" w:color="auto"/>
          <w:color w:val="4472C4"/>
        </w:rPr>
        <w:t>double-underlined text</w:t>
      </w:r>
      <w:r>
        <w:rPr>
          <w:rFonts w:ascii="Times New Roman" w:cs="Times New Roman" w:eastAsia="Times New Roman" w:hAnsi="Times New Roman"/>
          <w:sz w:val="17"/>
          <w:szCs w:val="17"/>
          <w:color w:val="auto"/>
        </w:rPr>
        <w:t xml:space="preserve">) as set forth on the pages of the Credit Agreement 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jc w:val="both"/>
        <w:ind w:left="40" w:right="59" w:firstLine="633"/>
        <w:spacing w:after="0" w:line="275" w:lineRule="auto"/>
        <w:tabs>
          <w:tab w:leader="none" w:pos="129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By its signature below, the Administrative Agent and each Lender release (i) the Specified Released Properties as Eligible Properties under the Credit Agreement and (ii) the Specified Released Guarantors from their obligations as Guarantors under the Credit Agreement (collectively, the “</w:t>
      </w:r>
      <w:r>
        <w:rPr>
          <w:rFonts w:ascii="Times New Roman" w:cs="Times New Roman" w:eastAsia="Times New Roman" w:hAnsi="Times New Roman"/>
          <w:sz w:val="17"/>
          <w:szCs w:val="17"/>
          <w:b w:val="1"/>
          <w:bCs w:val="1"/>
          <w:i w:val="1"/>
          <w:iCs w:val="1"/>
          <w:color w:val="auto"/>
        </w:rPr>
        <w:t>Specified Releases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711200</wp:posOffset>
            </wp:positionV>
            <wp:extent cx="566293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1" w:name="page42"/>
    <w:bookmarkEnd w:id="41"/>
    <w:p>
      <w:pPr>
        <w:jc w:val="both"/>
        <w:ind w:left="40" w:right="59" w:firstLine="633"/>
        <w:spacing w:after="0" w:line="268" w:lineRule="auto"/>
        <w:tabs>
          <w:tab w:leader="none" w:pos="129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to Effectiveness</w:t>
      </w:r>
      <w:r>
        <w:rPr>
          <w:rFonts w:ascii="Times New Roman" w:cs="Times New Roman" w:eastAsia="Times New Roman" w:hAnsi="Times New Roman"/>
          <w:sz w:val="17"/>
          <w:szCs w:val="17"/>
          <w:color w:val="auto"/>
        </w:rPr>
        <w:t>. The amendments set forth in Section 1 of this Amendment and the Specified Releases set forth in Section 2 of this Amendment shall be deemed effective as of September 30, 2022 (the “</w:t>
      </w:r>
      <w:r>
        <w:rPr>
          <w:rFonts w:ascii="Times New Roman" w:cs="Times New Roman" w:eastAsia="Times New Roman" w:hAnsi="Times New Roman"/>
          <w:sz w:val="17"/>
          <w:szCs w:val="17"/>
          <w:b w:val="1"/>
          <w:bCs w:val="1"/>
          <w:i w:val="1"/>
          <w:iCs w:val="1"/>
          <w:color w:val="auto"/>
        </w:rPr>
        <w:t>Amendment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provided each of the following conditions precedent has been fulfilled to the reasonable satisfaction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Administrative Agent on or prior to October 5, 2022:</w:t>
      </w:r>
    </w:p>
    <w:p>
      <w:pPr>
        <w:spacing w:after="0" w:line="169" w:lineRule="exact"/>
        <w:rPr>
          <w:rFonts w:ascii="Times New Roman" w:cs="Times New Roman" w:eastAsia="Times New Roman" w:hAnsi="Times New Roman"/>
          <w:sz w:val="17"/>
          <w:szCs w:val="17"/>
          <w:color w:val="auto"/>
        </w:rPr>
      </w:pPr>
    </w:p>
    <w:p>
      <w:pPr>
        <w:ind w:left="680" w:right="59" w:firstLine="619"/>
        <w:spacing w:after="0" w:line="294" w:lineRule="auto"/>
        <w:tabs>
          <w:tab w:leader="none" w:pos="193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shall have been duly executed and delivered by the Borrower, the Guarantors, Administrative Agent and the Lenders;</w:t>
      </w:r>
    </w:p>
    <w:p>
      <w:pPr>
        <w:spacing w:after="0" w:line="146" w:lineRule="exact"/>
        <w:rPr>
          <w:rFonts w:ascii="Times New Roman" w:cs="Times New Roman" w:eastAsia="Times New Roman" w:hAnsi="Times New Roman"/>
          <w:sz w:val="17"/>
          <w:szCs w:val="17"/>
          <w:color w:val="auto"/>
        </w:rPr>
      </w:pPr>
    </w:p>
    <w:p>
      <w:pPr>
        <w:jc w:val="both"/>
        <w:ind w:left="680" w:right="59" w:firstLine="619"/>
        <w:spacing w:after="0" w:line="268" w:lineRule="auto"/>
        <w:tabs>
          <w:tab w:leader="none" w:pos="193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action on the part of the Borrower and the Guarantors necessary for the valid execution, delivery and performance by the Borrower and the Guarantors of this Amendment shall have been duly and effectively taken. The Lenders shall have received such customary corporate resolutions, certificates and other customary corporate documents as the Administrative Agent shall reasonably request; and</w:t>
      </w:r>
    </w:p>
    <w:p>
      <w:pPr>
        <w:spacing w:after="0" w:line="169" w:lineRule="exact"/>
        <w:rPr>
          <w:rFonts w:ascii="Times New Roman" w:cs="Times New Roman" w:eastAsia="Times New Roman" w:hAnsi="Times New Roman"/>
          <w:sz w:val="17"/>
          <w:szCs w:val="17"/>
          <w:color w:val="auto"/>
        </w:rPr>
      </w:pPr>
    </w:p>
    <w:p>
      <w:pPr>
        <w:ind w:left="1920" w:hanging="621"/>
        <w:spacing w:after="0"/>
        <w:tabs>
          <w:tab w:leader="none" w:pos="19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this Amendment, no Default or Event of Default shall have occurred and be</w:t>
      </w:r>
    </w:p>
    <w:p>
      <w:pPr>
        <w:spacing w:after="0" w:line="31" w:lineRule="exact"/>
        <w:rPr>
          <w:rFonts w:ascii="Times New Roman" w:cs="Times New Roman" w:eastAsia="Times New Roman" w:hAnsi="Times New Roman"/>
          <w:sz w:val="17"/>
          <w:szCs w:val="17"/>
          <w:color w:val="auto"/>
        </w:rPr>
      </w:pPr>
    </w:p>
    <w:p>
      <w:pPr>
        <w:ind w:left="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w:t>
      </w:r>
    </w:p>
    <w:p>
      <w:pPr>
        <w:spacing w:after="0" w:line="203" w:lineRule="exact"/>
        <w:rPr>
          <w:rFonts w:ascii="Times New Roman" w:cs="Times New Roman" w:eastAsia="Times New Roman" w:hAnsi="Times New Roman"/>
          <w:sz w:val="17"/>
          <w:szCs w:val="17"/>
          <w:color w:val="auto"/>
        </w:rPr>
      </w:pPr>
    </w:p>
    <w:p>
      <w:pPr>
        <w:jc w:val="both"/>
        <w:ind w:left="40" w:right="59" w:firstLine="633"/>
        <w:spacing w:after="0" w:line="262" w:lineRule="auto"/>
        <w:tabs>
          <w:tab w:leader="none" w:pos="129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hereby certifies that, before and after giving effect to this Amendment, (a) the representations and warranties contained in Section 6 of the Credit Agreement and the other Loan Documents are true and correct in all material respects on, and as of, the Amendment Effective Date, except to the extent that such representations and warranties (i) specifically refer to an earlier date, in which case they are true and correct in all material respects as of such earlier date, or (ii) have been modified to reflect events occurring after the date of the Credit Agreement, as the same have been disclosed publicly or in writing to the Administrative Agent on or prior to the date hereof or are permitted or not prohibited under the Loan Documents, and (b) no Default or Event of Default exists as of the Amendment Effective Date.</w:t>
      </w:r>
    </w:p>
    <w:p>
      <w:pPr>
        <w:spacing w:after="0" w:line="175" w:lineRule="exact"/>
        <w:rPr>
          <w:rFonts w:ascii="Times New Roman" w:cs="Times New Roman" w:eastAsia="Times New Roman" w:hAnsi="Times New Roman"/>
          <w:sz w:val="17"/>
          <w:szCs w:val="17"/>
          <w:color w:val="auto"/>
        </w:rPr>
      </w:pPr>
    </w:p>
    <w:p>
      <w:pPr>
        <w:jc w:val="both"/>
        <w:ind w:left="40" w:right="59" w:firstLine="633"/>
        <w:spacing w:after="0" w:line="268" w:lineRule="auto"/>
        <w:tabs>
          <w:tab w:leader="none" w:pos="129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modified by this Amendment, the parties hereto hereby ratify, confirm, and reaffirm all of the terms and conditions of the Existing Credit Agreement. The parties hereto further acknowledge and agree that all of the terms and conditions of the Existing Credit Agreement and the other Loan Documents shall remain in full force and effect, except as expressly provided in this Amendment. This Amendment constitutes a Loan Document for all purposes.</w:t>
      </w:r>
    </w:p>
    <w:p>
      <w:pPr>
        <w:spacing w:after="0" w:line="169" w:lineRule="exact"/>
        <w:rPr>
          <w:rFonts w:ascii="Times New Roman" w:cs="Times New Roman" w:eastAsia="Times New Roman" w:hAnsi="Times New Roman"/>
          <w:sz w:val="17"/>
          <w:szCs w:val="17"/>
          <w:color w:val="auto"/>
        </w:rPr>
      </w:pPr>
    </w:p>
    <w:p>
      <w:pPr>
        <w:jc w:val="both"/>
        <w:ind w:left="40" w:right="59" w:firstLine="633"/>
        <w:spacing w:after="0" w:line="268" w:lineRule="auto"/>
        <w:tabs>
          <w:tab w:leader="none" w:pos="129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which may be executed in multiple counterparts, constitutes the entire agreement of the parties regarding the matters contained herein and shall not be modified by any prior oral or written discussions. Delivery of an executed counterpart of a signature page of this Amendment by telecopy or other electronic imaging transmission (e.g. PDF by email) shall be effective as delivery of a manually executed counterpart of this Amendment.</w:t>
      </w:r>
    </w:p>
    <w:p>
      <w:pPr>
        <w:spacing w:after="0" w:line="169" w:lineRule="exact"/>
        <w:rPr>
          <w:rFonts w:ascii="Times New Roman" w:cs="Times New Roman" w:eastAsia="Times New Roman" w:hAnsi="Times New Roman"/>
          <w:sz w:val="17"/>
          <w:szCs w:val="17"/>
          <w:color w:val="auto"/>
        </w:rPr>
      </w:pPr>
    </w:p>
    <w:p>
      <w:pPr>
        <w:jc w:val="both"/>
        <w:ind w:left="40" w:right="59" w:firstLine="633"/>
        <w:spacing w:after="0" w:line="275" w:lineRule="auto"/>
        <w:tabs>
          <w:tab w:leader="none" w:pos="129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determination that any provision of this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Amendment.</w:t>
      </w:r>
    </w:p>
    <w:p>
      <w:pPr>
        <w:spacing w:after="0" w:line="162" w:lineRule="exact"/>
        <w:rPr>
          <w:rFonts w:ascii="Times New Roman" w:cs="Times New Roman" w:eastAsia="Times New Roman" w:hAnsi="Times New Roman"/>
          <w:sz w:val="17"/>
          <w:szCs w:val="17"/>
          <w:color w:val="auto"/>
        </w:rPr>
      </w:pPr>
    </w:p>
    <w:p>
      <w:pPr>
        <w:ind w:left="40" w:right="79" w:firstLine="633"/>
        <w:spacing w:after="0" w:line="294" w:lineRule="auto"/>
        <w:tabs>
          <w:tab w:leader="none" w:pos="129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shall be governed by and construed in accordance with the laws of the State of New York, including Section 5-1401 of the General Obligations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701040</wp:posOffset>
            </wp:positionV>
            <wp:extent cx="566293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749935</wp:posOffset>
            </wp:positionV>
            <wp:extent cx="566293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43" w:name="page44"/>
    <w:bookmarkEnd w:id="43"/>
    <w:p>
      <w:pPr>
        <w:ind w:left="40" w:right="59" w:firstLine="626"/>
        <w:spacing w:after="0" w:line="297"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each of the undersigned have caused this Amendment to be executed by its duly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representative as of the date first set forth above.</w:t>
      </w:r>
    </w:p>
    <w:p>
      <w:pPr>
        <w:spacing w:after="0" w:line="1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BORROWER:</w:t>
      </w:r>
    </w:p>
    <w:p>
      <w:pPr>
        <w:spacing w:after="0" w:line="2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ALPINE INCOME PROPERTY OP,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Alpine Income Property GP, LLC, a Delaware limited</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liability company, its General Partner</w:t>
      </w: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By: Alpine Income Property Trust, Inc., a Maryland</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corporation, its sole member</w:t>
      </w:r>
    </w:p>
    <w:p>
      <w:pPr>
        <w:spacing w:after="0" w:line="200" w:lineRule="exact"/>
        <w:rPr>
          <w:sz w:val="20"/>
          <w:szCs w:val="20"/>
          <w:color w:val="auto"/>
        </w:rPr>
      </w:pPr>
    </w:p>
    <w:p>
      <w:pPr>
        <w:spacing w:after="0" w:line="212" w:lineRule="exact"/>
        <w:rPr>
          <w:sz w:val="20"/>
          <w:szCs w:val="20"/>
          <w:color w:val="auto"/>
        </w:rPr>
      </w:pPr>
    </w:p>
    <w:tbl>
      <w:tblPr>
        <w:tblLayout w:type="fixed"/>
        <w:tblInd w:w="52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Matthew M. Partridge</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1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Matthew M. Partridge</w:t>
            </w:r>
          </w:p>
        </w:tc>
      </w:tr>
      <w:tr>
        <w:trPr>
          <w:trHeight w:val="209"/>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w:t>
            </w:r>
          </w:p>
        </w:tc>
      </w:tr>
      <w:tr>
        <w:trPr>
          <w:trHeight w:val="227"/>
        </w:trPr>
        <w:tc>
          <w:tcPr>
            <w:tcW w:w="6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44" w:name="page45"/>
    <w:bookmarkEnd w:id="44"/>
    <w:p>
      <w:pPr>
        <w:ind w:left="4520"/>
        <w:spacing w:after="0"/>
        <w:rPr>
          <w:sz w:val="20"/>
          <w:szCs w:val="20"/>
          <w:color w:val="auto"/>
        </w:rPr>
      </w:pPr>
      <w:r>
        <w:rPr>
          <w:rFonts w:ascii="Times New Roman" w:cs="Times New Roman" w:eastAsia="Times New Roman" w:hAnsi="Times New Roman"/>
          <w:sz w:val="17"/>
          <w:szCs w:val="17"/>
          <w:b w:val="1"/>
          <w:bCs w:val="1"/>
          <w:i w:val="1"/>
          <w:iCs w:val="1"/>
          <w:color w:val="auto"/>
        </w:rPr>
        <w:t>“GUARANTORS”</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i w:val="1"/>
          <w:iCs w:val="1"/>
          <w:color w:val="auto"/>
        </w:rPr>
        <w:t>“PARENT”</w:t>
      </w: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ALPINE INCOME PROPERTY TRUST,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 Maryland corporation</w:t>
      </w:r>
    </w:p>
    <w:p>
      <w:pPr>
        <w:spacing w:after="0" w:line="204"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Matthew M. Partridge</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Matthew M. Partridge</w:t>
            </w:r>
          </w:p>
        </w:tc>
      </w:tr>
      <w:tr>
        <w:trPr>
          <w:trHeight w:val="209"/>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 Chief Financial Officer and</w:t>
            </w:r>
          </w:p>
        </w:tc>
      </w:tr>
      <w:tr>
        <w:trPr>
          <w:trHeight w:val="227"/>
        </w:trPr>
        <w:tc>
          <w:tcPr>
            <w:tcW w:w="60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Treasurer</w:t>
            </w:r>
          </w:p>
        </w:tc>
      </w:tr>
    </w:tbl>
    <w:p>
      <w:pPr>
        <w:spacing w:after="0" w:line="1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i w:val="1"/>
          <w:iCs w:val="1"/>
          <w:color w:val="auto"/>
        </w:rPr>
        <w:t>“MATERIAL SUBSIDIARIES”</w:t>
      </w: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INDIGO HENRY LLC</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Alpine Income Property OP, LP,</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a Delaware limited partnership, its member</w:t>
      </w:r>
    </w:p>
    <w:p>
      <w:pPr>
        <w:spacing w:after="0" w:line="204"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7"/>
          <w:szCs w:val="17"/>
          <w:color w:val="auto"/>
        </w:rPr>
        <w:t>By: Alpine Income Property GP, LLC, a Delaware</w:t>
      </w:r>
    </w:p>
    <w:p>
      <w:pPr>
        <w:spacing w:after="0" w:line="3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7"/>
          <w:szCs w:val="17"/>
          <w:color w:val="auto"/>
        </w:rPr>
        <w:t>limited liability company, its General Partner,</w:t>
      </w: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By: Alpine Income Property Trust, Inc., a Maryland</w:t>
      </w:r>
    </w:p>
    <w:p>
      <w:pPr>
        <w:spacing w:after="0" w:line="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corporation, its sole member</w:t>
      </w:r>
    </w:p>
    <w:p>
      <w:pPr>
        <w:spacing w:after="0" w:line="200" w:lineRule="exact"/>
        <w:rPr>
          <w:sz w:val="20"/>
          <w:szCs w:val="20"/>
          <w:color w:val="auto"/>
        </w:rPr>
      </w:pPr>
    </w:p>
    <w:p>
      <w:pPr>
        <w:spacing w:after="0" w:line="21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By: /s/ Matthew M. Partridge</w:t>
      </w:r>
    </w:p>
    <w:p>
      <w:pPr>
        <w:spacing w:after="0" w:line="31" w:lineRule="exact"/>
        <w:rPr>
          <w:sz w:val="20"/>
          <w:szCs w:val="20"/>
          <w:color w:val="auto"/>
        </w:rPr>
      </w:pPr>
    </w:p>
    <w:p>
      <w:pPr>
        <w:ind w:left="5920"/>
        <w:spacing w:after="0"/>
        <w:tabs>
          <w:tab w:leader="none" w:pos="6520" w:val="left"/>
        </w:tabs>
        <w:rPr>
          <w:sz w:val="20"/>
          <w:szCs w:val="20"/>
          <w:color w:val="auto"/>
        </w:rPr>
      </w:pPr>
      <w:r>
        <w:rPr>
          <w:rFonts w:ascii="Times New Roman" w:cs="Times New Roman" w:eastAsia="Times New Roman" w:hAnsi="Times New Roman"/>
          <w:sz w:val="17"/>
          <w:szCs w:val="17"/>
          <w:color w:val="auto"/>
        </w:rPr>
        <w:t>Name:</w:t>
        <w:tab/>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-123190</wp:posOffset>
            </wp:positionV>
            <wp:extent cx="19291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6" w:lineRule="exact"/>
        <w:rPr>
          <w:sz w:val="20"/>
          <w:szCs w:val="20"/>
          <w:color w:val="auto"/>
        </w:rPr>
      </w:pPr>
    </w:p>
    <w:p>
      <w:pPr>
        <w:ind w:left="592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Senior Vice President,</w:t>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Chief Financial Officer, and</w:t>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Treasurer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45" w:name="page46"/>
    <w:bookmarkEnd w:id="45"/>
    <w:p>
      <w:pPr>
        <w:ind w:left="4520"/>
        <w:spacing w:after="0"/>
        <w:rPr>
          <w:sz w:val="20"/>
          <w:szCs w:val="20"/>
          <w:color w:val="auto"/>
        </w:rPr>
      </w:pPr>
      <w:r>
        <w:rPr>
          <w:rFonts w:ascii="Times New Roman" w:cs="Times New Roman" w:eastAsia="Times New Roman" w:hAnsi="Times New Roman"/>
          <w:sz w:val="17"/>
          <w:szCs w:val="17"/>
          <w:color w:val="auto"/>
        </w:rPr>
        <w:t>CTO19 TROY WI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CTO17 BRANDON FL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CTO19 ALBANY GA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BLANDING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HURST TX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TULSA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HIGHLAND KY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TYN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ARDEN NC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BARKER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BINGHAM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CHAZY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HAMMOND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HARRISVILLE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HEUVELTON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HOWELL MI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LIMESTONE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MILFORD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NEWTONSVILLE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ODESSA LLC</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Alpine Income Property OP, LP,</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a Delaware limited partnership, its Manager</w:t>
      </w:r>
    </w:p>
    <w:p>
      <w:pPr>
        <w:spacing w:after="0" w:line="204"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7"/>
          <w:szCs w:val="17"/>
          <w:color w:val="auto"/>
        </w:rPr>
        <w:t>By: Alpine Income Property GP, LLC, a Delaware</w:t>
      </w:r>
    </w:p>
    <w:p>
      <w:pPr>
        <w:spacing w:after="0" w:line="3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7"/>
          <w:szCs w:val="17"/>
          <w:color w:val="auto"/>
        </w:rPr>
        <w:t>limited liability company, its General Partner,</w:t>
      </w: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By: Alpine Income Property Trust, Inc., a Maryland</w:t>
      </w:r>
    </w:p>
    <w:p>
      <w:pPr>
        <w:spacing w:after="0" w:line="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corporation, its sole member</w:t>
      </w:r>
    </w:p>
    <w:p>
      <w:pPr>
        <w:spacing w:after="0" w:line="200" w:lineRule="exact"/>
        <w:rPr>
          <w:sz w:val="20"/>
          <w:szCs w:val="20"/>
          <w:color w:val="auto"/>
        </w:rPr>
      </w:pPr>
    </w:p>
    <w:p>
      <w:pPr>
        <w:spacing w:after="0" w:line="21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By: /s/ Matthew M. Partridge</w:t>
      </w:r>
    </w:p>
    <w:p>
      <w:pPr>
        <w:spacing w:after="0" w:line="31" w:lineRule="exact"/>
        <w:rPr>
          <w:sz w:val="20"/>
          <w:szCs w:val="20"/>
          <w:color w:val="auto"/>
        </w:rPr>
      </w:pPr>
    </w:p>
    <w:p>
      <w:pPr>
        <w:ind w:left="5920"/>
        <w:spacing w:after="0"/>
        <w:tabs>
          <w:tab w:leader="none" w:pos="6520" w:val="left"/>
        </w:tabs>
        <w:rPr>
          <w:sz w:val="20"/>
          <w:szCs w:val="20"/>
          <w:color w:val="auto"/>
        </w:rPr>
      </w:pPr>
      <w:r>
        <w:rPr>
          <w:rFonts w:ascii="Times New Roman" w:cs="Times New Roman" w:eastAsia="Times New Roman" w:hAnsi="Times New Roman"/>
          <w:sz w:val="17"/>
          <w:szCs w:val="17"/>
          <w:color w:val="auto"/>
        </w:rPr>
        <w:t>Name:</w:t>
        <w:tab/>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-123190</wp:posOffset>
            </wp:positionV>
            <wp:extent cx="19291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6" w:lineRule="exact"/>
        <w:rPr>
          <w:sz w:val="20"/>
          <w:szCs w:val="20"/>
          <w:color w:val="auto"/>
        </w:rPr>
      </w:pPr>
    </w:p>
    <w:p>
      <w:pPr>
        <w:ind w:left="592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Senior Vice President,</w:t>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Chief Financial Officer, and</w:t>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Treasurer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46" w:name="page47"/>
    <w:bookmarkEnd w:id="46"/>
    <w:p>
      <w:pPr>
        <w:ind w:left="4520"/>
        <w:spacing w:after="0"/>
        <w:rPr>
          <w:sz w:val="20"/>
          <w:szCs w:val="20"/>
          <w:color w:val="auto"/>
        </w:rPr>
      </w:pPr>
      <w:r>
        <w:rPr>
          <w:rFonts w:ascii="Times New Roman" w:cs="Times New Roman" w:eastAsia="Times New Roman" w:hAnsi="Times New Roman"/>
          <w:sz w:val="17"/>
          <w:szCs w:val="17"/>
          <w:color w:val="auto"/>
        </w:rPr>
        <w:t>CTO16 RENO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CTLC18 LYNN MA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CTO19 BIRMINGHAM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PINE19 ALPHARETTA GA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SALEM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SEVERN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SOMERVILLE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WILLIS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WINTHROP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KERMIT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TACOMA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CUT &amp; SHOOT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DEL RIO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SEGUIN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ACQUISITIONS II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ACQUISITIONS III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ACQUISITIONS IV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ACQUISITIONS V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ACQUISITIONS VI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ACQUISITIONS VIII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ACQUISITIONS X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 MEX OH,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 MEX OH 2, LLC</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Alpine Income Property OP, LP,</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a Delaware limited partnership, its Manager</w:t>
      </w:r>
    </w:p>
    <w:p>
      <w:pPr>
        <w:spacing w:after="0" w:line="204"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7"/>
          <w:szCs w:val="17"/>
          <w:color w:val="auto"/>
        </w:rPr>
        <w:t>By: Alpine Income Property GP, LLC, a Delaware</w:t>
      </w:r>
    </w:p>
    <w:p>
      <w:pPr>
        <w:spacing w:after="0" w:line="3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7"/>
          <w:szCs w:val="17"/>
          <w:color w:val="auto"/>
        </w:rPr>
        <w:t>limited liability company, its General Partner,</w:t>
      </w: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By: Alpine Income Property Trust, Inc., a Maryland</w:t>
      </w:r>
    </w:p>
    <w:p>
      <w:pPr>
        <w:spacing w:after="0" w:line="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corporation, its sole member</w:t>
      </w:r>
    </w:p>
    <w:p>
      <w:pPr>
        <w:spacing w:after="0" w:line="200" w:lineRule="exact"/>
        <w:rPr>
          <w:sz w:val="20"/>
          <w:szCs w:val="20"/>
          <w:color w:val="auto"/>
        </w:rPr>
      </w:pPr>
    </w:p>
    <w:p>
      <w:pPr>
        <w:spacing w:after="0" w:line="21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By: /s/ Matthew M. Partridge</w:t>
      </w:r>
    </w:p>
    <w:p>
      <w:pPr>
        <w:spacing w:after="0" w:line="31" w:lineRule="exact"/>
        <w:rPr>
          <w:sz w:val="20"/>
          <w:szCs w:val="20"/>
          <w:color w:val="auto"/>
        </w:rPr>
      </w:pPr>
    </w:p>
    <w:p>
      <w:pPr>
        <w:ind w:left="5920"/>
        <w:spacing w:after="0"/>
        <w:tabs>
          <w:tab w:leader="none" w:pos="6520" w:val="left"/>
        </w:tabs>
        <w:rPr>
          <w:sz w:val="20"/>
          <w:szCs w:val="20"/>
          <w:color w:val="auto"/>
        </w:rPr>
      </w:pPr>
      <w:r>
        <w:rPr>
          <w:rFonts w:ascii="Times New Roman" w:cs="Times New Roman" w:eastAsia="Times New Roman" w:hAnsi="Times New Roman"/>
          <w:sz w:val="17"/>
          <w:szCs w:val="17"/>
          <w:color w:val="auto"/>
        </w:rPr>
        <w:t>Name:</w:t>
        <w:tab/>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-123190</wp:posOffset>
            </wp:positionV>
            <wp:extent cx="19291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6" w:lineRule="exact"/>
        <w:rPr>
          <w:sz w:val="20"/>
          <w:szCs w:val="20"/>
          <w:color w:val="auto"/>
        </w:rPr>
      </w:pPr>
    </w:p>
    <w:p>
      <w:pPr>
        <w:ind w:left="592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Senior Vice President,</w:t>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Chief Financial Officer, and</w:t>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Treasurer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47" w:name="page48"/>
    <w:bookmarkEnd w:id="47"/>
    <w:p>
      <w:pPr>
        <w:ind w:left="4520"/>
        <w:spacing w:after="0"/>
        <w:rPr>
          <w:sz w:val="20"/>
          <w:szCs w:val="20"/>
          <w:color w:val="auto"/>
        </w:rPr>
      </w:pPr>
      <w:r>
        <w:rPr>
          <w:rFonts w:ascii="Times New Roman" w:cs="Times New Roman" w:eastAsia="Times New Roman" w:hAnsi="Times New Roman"/>
          <w:sz w:val="17"/>
          <w:szCs w:val="17"/>
          <w:color w:val="auto"/>
        </w:rPr>
        <w:t>9603 WESTHEIMER ROAD,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ACQUISITIONS VII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HOUSTON EAST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HOUSTON WEST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PINE21 SPORTS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PINE22 CAESAR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PINE22 MAPLE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PINE22 WASH MO LLC</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Alpine Income Property OP, LP,</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a Delaware limited partnership, its Manager</w:t>
      </w:r>
    </w:p>
    <w:p>
      <w:pPr>
        <w:spacing w:after="0" w:line="204"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color w:val="auto"/>
        </w:rPr>
        <w:t>By: Alpine Income Property GP, LLC, a Delaware</w:t>
      </w:r>
    </w:p>
    <w:p>
      <w:pPr>
        <w:spacing w:after="0" w:line="31"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7"/>
          <w:szCs w:val="17"/>
          <w:color w:val="auto"/>
        </w:rPr>
        <w:t>limited liability company, its General Partner,</w:t>
      </w: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By: Alpine Income Property Trust, Inc., a Maryland</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corporation, its sole member</w:t>
      </w: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By: /s/ Matthew M. Partridge</w:t>
      </w:r>
    </w:p>
    <w:p>
      <w:pPr>
        <w:spacing w:after="0" w:line="31" w:lineRule="exact"/>
        <w:rPr>
          <w:sz w:val="20"/>
          <w:szCs w:val="20"/>
          <w:color w:val="auto"/>
        </w:rPr>
      </w:pPr>
    </w:p>
    <w:p>
      <w:pPr>
        <w:ind w:left="5940"/>
        <w:spacing w:after="0"/>
        <w:tabs>
          <w:tab w:leader="none" w:pos="6520" w:val="left"/>
        </w:tabs>
        <w:rPr>
          <w:sz w:val="20"/>
          <w:szCs w:val="20"/>
          <w:color w:val="auto"/>
        </w:rPr>
      </w:pPr>
      <w:r>
        <w:rPr>
          <w:rFonts w:ascii="Times New Roman" w:cs="Times New Roman" w:eastAsia="Times New Roman" w:hAnsi="Times New Roman"/>
          <w:sz w:val="17"/>
          <w:szCs w:val="17"/>
          <w:color w:val="auto"/>
        </w:rPr>
        <w:t>Name:</w:t>
        <w:tab/>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-123190</wp:posOffset>
            </wp:positionV>
            <wp:extent cx="19208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920875" cy="8255"/>
                    </a:xfrm>
                    <a:prstGeom prst="rect">
                      <a:avLst/>
                    </a:prstGeom>
                    <a:noFill/>
                  </pic:spPr>
                </pic:pic>
              </a:graphicData>
            </a:graphic>
          </wp:anchor>
        </w:drawing>
      </w:r>
    </w:p>
    <w:p>
      <w:pPr>
        <w:spacing w:after="0" w:line="6" w:lineRule="exact"/>
        <w:rPr>
          <w:sz w:val="20"/>
          <w:szCs w:val="20"/>
          <w:color w:val="auto"/>
        </w:rPr>
      </w:pPr>
    </w:p>
    <w:p>
      <w:pPr>
        <w:ind w:left="594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Senior Vice President,</w:t>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Chief Financial Officer, and</w:t>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Treasurer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48" w:name="page49"/>
    <w:bookmarkEnd w:id="48"/>
    <w:p>
      <w:pPr>
        <w:ind w:left="4520"/>
        <w:spacing w:after="0"/>
        <w:rPr>
          <w:sz w:val="20"/>
          <w:szCs w:val="20"/>
          <w:color w:val="auto"/>
        </w:rPr>
      </w:pPr>
      <w:r>
        <w:rPr>
          <w:rFonts w:ascii="Times New Roman" w:cs="Times New Roman" w:eastAsia="Times New Roman" w:hAnsi="Times New Roman"/>
          <w:sz w:val="17"/>
          <w:szCs w:val="17"/>
          <w:b w:val="1"/>
          <w:bCs w:val="1"/>
          <w:color w:val="auto"/>
        </w:rPr>
        <w:t>ADMINISTRATIVE AGENT:</w:t>
      </w:r>
    </w:p>
    <w:p>
      <w:pPr>
        <w:spacing w:after="0" w:line="2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TRUIST BANK,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Administrative Agent</w:t>
      </w:r>
    </w:p>
    <w:p>
      <w:pPr>
        <w:spacing w:after="0" w:line="200" w:lineRule="exact"/>
        <w:rPr>
          <w:sz w:val="20"/>
          <w:szCs w:val="20"/>
          <w:color w:val="auto"/>
        </w:rPr>
      </w:pP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Ryan Almond</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Ryan Almond</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49" w:name="page50"/>
    <w:bookmarkEnd w:id="49"/>
    <w:p>
      <w:pPr>
        <w:ind w:left="4520"/>
        <w:spacing w:after="0"/>
        <w:rPr>
          <w:sz w:val="20"/>
          <w:szCs w:val="20"/>
          <w:color w:val="auto"/>
        </w:rPr>
      </w:pPr>
      <w:r>
        <w:rPr>
          <w:rFonts w:ascii="Times New Roman" w:cs="Times New Roman" w:eastAsia="Times New Roman" w:hAnsi="Times New Roman"/>
          <w:sz w:val="17"/>
          <w:szCs w:val="17"/>
          <w:b w:val="1"/>
          <w:bCs w:val="1"/>
          <w:color w:val="auto"/>
        </w:rPr>
        <w:t>LENDERS:</w:t>
      </w:r>
    </w:p>
    <w:p>
      <w:pPr>
        <w:spacing w:after="0" w:line="2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TRUIST BANK,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Ryan Almond</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Ryan Almond</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71" w:right="1440" w:bottom="1440" w:gutter="0" w:footer="0" w:header="0"/>
        </w:sectPr>
      </w:pPr>
    </w:p>
    <w:bookmarkStart w:id="50" w:name="page51"/>
    <w:bookmarkEnd w:id="50"/>
    <w:p>
      <w:pPr>
        <w:ind w:left="4520"/>
        <w:spacing w:after="0"/>
        <w:rPr>
          <w:sz w:val="20"/>
          <w:szCs w:val="20"/>
          <w:color w:val="auto"/>
        </w:rPr>
      </w:pPr>
      <w:r>
        <w:rPr>
          <w:rFonts w:ascii="Times New Roman" w:cs="Times New Roman" w:eastAsia="Times New Roman" w:hAnsi="Times New Roman"/>
          <w:sz w:val="17"/>
          <w:szCs w:val="17"/>
          <w:color w:val="auto"/>
        </w:rPr>
        <w:t>STIFEL BANK &amp; TRUST,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Joseph L. Sooter, Jr.</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Joseph L. Sooter, Jr.</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51" w:name="page52"/>
    <w:bookmarkEnd w:id="51"/>
    <w:p>
      <w:pPr>
        <w:ind w:left="4520"/>
        <w:spacing w:after="0"/>
        <w:rPr>
          <w:sz w:val="20"/>
          <w:szCs w:val="20"/>
          <w:color w:val="auto"/>
        </w:rPr>
      </w:pPr>
      <w:r>
        <w:rPr>
          <w:rFonts w:ascii="Times New Roman" w:cs="Times New Roman" w:eastAsia="Times New Roman" w:hAnsi="Times New Roman"/>
          <w:sz w:val="17"/>
          <w:szCs w:val="17"/>
          <w:color w:val="auto"/>
        </w:rPr>
        <w:t>RAYMOND JAMES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Alex Sierra</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Alex Sierra</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52" w:name="page53"/>
    <w:bookmarkEnd w:id="52"/>
    <w:p>
      <w:pPr>
        <w:ind w:left="4520"/>
        <w:spacing w:after="0"/>
        <w:rPr>
          <w:sz w:val="20"/>
          <w:szCs w:val="20"/>
          <w:color w:val="auto"/>
        </w:rPr>
      </w:pPr>
      <w:r>
        <w:rPr>
          <w:rFonts w:ascii="Times New Roman" w:cs="Times New Roman" w:eastAsia="Times New Roman" w:hAnsi="Times New Roman"/>
          <w:sz w:val="17"/>
          <w:szCs w:val="17"/>
          <w:color w:val="auto"/>
        </w:rPr>
        <w:t>BANK OF MONTREAL,</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Jonas L. Robinson</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Jonas L/ Robinson</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53" w:name="page54"/>
    <w:bookmarkEnd w:id="53"/>
    <w:p>
      <w:pPr>
        <w:ind w:left="4520"/>
        <w:spacing w:after="0"/>
        <w:rPr>
          <w:sz w:val="20"/>
          <w:szCs w:val="20"/>
          <w:color w:val="auto"/>
        </w:rPr>
      </w:pPr>
      <w:r>
        <w:rPr>
          <w:rFonts w:ascii="Times New Roman" w:cs="Times New Roman" w:eastAsia="Times New Roman" w:hAnsi="Times New Roman"/>
          <w:sz w:val="17"/>
          <w:szCs w:val="17"/>
          <w:color w:val="auto"/>
        </w:rPr>
        <w:t>The Huntington National Bank,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Erin L. Mahon</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Erin L. Mahon</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54" w:name="page55"/>
    <w:bookmarkEnd w:id="54"/>
    <w:p>
      <w:pPr>
        <w:ind w:left="4520"/>
        <w:spacing w:after="0"/>
        <w:rPr>
          <w:sz w:val="20"/>
          <w:szCs w:val="20"/>
          <w:color w:val="auto"/>
        </w:rPr>
      </w:pPr>
      <w:r>
        <w:rPr>
          <w:rFonts w:ascii="Times New Roman" w:cs="Times New Roman" w:eastAsia="Times New Roman" w:hAnsi="Times New Roman"/>
          <w:sz w:val="17"/>
          <w:szCs w:val="17"/>
          <w:color w:val="auto"/>
        </w:rPr>
        <w:t>KeyBank National Association,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Thomas Z. Schmitt</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Thomas Z. Schmitt</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Senior Relationship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55" w:name="page56"/>
    <w:bookmarkEnd w:id="55"/>
    <w:p>
      <w:pPr>
        <w:ind w:left="4520"/>
        <w:spacing w:after="0"/>
        <w:rPr>
          <w:sz w:val="20"/>
          <w:szCs w:val="20"/>
          <w:color w:val="auto"/>
        </w:rPr>
      </w:pPr>
      <w:r>
        <w:rPr>
          <w:rFonts w:ascii="Times New Roman" w:cs="Times New Roman" w:eastAsia="Times New Roman" w:hAnsi="Times New Roman"/>
          <w:sz w:val="17"/>
          <w:szCs w:val="17"/>
          <w:color w:val="auto"/>
        </w:rPr>
        <w:t>REGIONS BANK,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Ghi S. Gavin</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Ghi S. Gavin</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56" w:name="page57"/>
    <w:bookmarkEnd w:id="56"/>
    <w:p>
      <w:pPr>
        <w:ind w:left="4520"/>
        <w:spacing w:after="0"/>
        <w:rPr>
          <w:sz w:val="20"/>
          <w:szCs w:val="20"/>
          <w:color w:val="auto"/>
        </w:rPr>
      </w:pPr>
      <w:r>
        <w:rPr>
          <w:rFonts w:ascii="Times New Roman" w:cs="Times New Roman" w:eastAsia="Times New Roman" w:hAnsi="Times New Roman"/>
          <w:sz w:val="17"/>
          <w:szCs w:val="17"/>
          <w:color w:val="auto"/>
        </w:rPr>
        <w:t>U.S. Bank National Association,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Germaine R. Korhone</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Germaine R. Korhone</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57" w:name="page58"/>
    <w:bookmarkEnd w:id="57"/>
    <w:p>
      <w:pPr>
        <w:ind w:left="4520"/>
        <w:spacing w:after="0"/>
        <w:rPr>
          <w:sz w:val="20"/>
          <w:szCs w:val="20"/>
          <w:color w:val="auto"/>
        </w:rPr>
      </w:pPr>
      <w:r>
        <w:rPr>
          <w:rFonts w:ascii="Times New Roman" w:cs="Times New Roman" w:eastAsia="Times New Roman" w:hAnsi="Times New Roman"/>
          <w:sz w:val="17"/>
          <w:szCs w:val="17"/>
          <w:color w:val="auto"/>
        </w:rPr>
        <w:t>SYNOVUS FINANCIAL CORPORATION,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Tejas Patel</w:t>
            </w:r>
          </w:p>
        </w:tc>
      </w:tr>
      <w:tr>
        <w:trPr>
          <w:trHeight w:val="183"/>
        </w:trPr>
        <w:tc>
          <w:tcPr>
            <w:tcW w:w="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Tejas Patel</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ANNEX A</w:t>
      </w:r>
    </w:p>
    <w:p>
      <w:pPr>
        <w:sectPr>
          <w:pgSz w:w="11900" w:h="16838" w:orient="portrait"/>
          <w:cols w:equalWidth="0" w:num="1">
            <w:col w:w="9019"/>
          </w:cols>
          <w:pgMar w:left="1440" w:top="10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ANNEX B</w:t>
      </w:r>
    </w:p>
    <w:p>
      <w:pPr>
        <w:sectPr>
          <w:pgSz w:w="11900" w:h="16838" w:orient="portrait"/>
          <w:cols w:equalWidth="0" w:num="1">
            <w:col w:w="9019"/>
          </w:cols>
          <w:pgMar w:left="1440" w:top="10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351155</wp:posOffset>
            </wp:positionV>
            <wp:extent cx="566293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type w:val="continuous"/>
        </w:sectPr>
      </w:pPr>
    </w:p>
    <w:bookmarkStart w:id="60" w:name="page61"/>
    <w:bookmarkEnd w:id="60"/>
    <w:p>
      <w:pPr>
        <w:ind w:left="7640"/>
        <w:spacing w:after="0"/>
        <w:rPr>
          <w:sz w:val="20"/>
          <w:szCs w:val="20"/>
          <w:color w:val="auto"/>
        </w:rPr>
      </w:pPr>
      <w:r>
        <w:rPr>
          <w:rFonts w:ascii="Times New Roman" w:cs="Times New Roman" w:eastAsia="Times New Roman" w:hAnsi="Times New Roman"/>
          <w:sz w:val="17"/>
          <w:szCs w:val="17"/>
          <w:b w:val="1"/>
          <w:bCs w:val="1"/>
          <w:i w:val="1"/>
          <w:iCs w:val="1"/>
          <w:color w:val="FF0000"/>
          <w:strike w:val="1"/>
        </w:rPr>
        <w:t>EXECUTION VERSION</w:t>
      </w:r>
    </w:p>
    <w:p>
      <w:pPr>
        <w:spacing w:after="0" w:line="3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b w:val="1"/>
          <w:bCs w:val="1"/>
          <w:i w:val="1"/>
          <w:iCs w:val="1"/>
          <w:u w:val="single" w:color="auto"/>
          <w:color w:val="4472C4"/>
        </w:rPr>
        <w:t>CONFORMED THROUGH SECOND AMENDMENT</w:t>
      </w:r>
    </w:p>
    <w:p>
      <w:pPr>
        <w:spacing w:after="0" w:line="1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b w:val="1"/>
          <w:bCs w:val="1"/>
          <w:i w:val="1"/>
          <w:iCs w:val="1"/>
          <w:u w:val="single" w:color="auto"/>
          <w:color w:val="4472C4"/>
        </w:rPr>
        <w:t>TO CREDIT AGREEMENT DATED OCTOBER 5, 2022</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PUBLISHED CUSIP NUMBER: 02084AAA0</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ISIN NUMBER: US02084AAA07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1010285</wp:posOffset>
            </wp:positionV>
            <wp:extent cx="62922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1026795</wp:posOffset>
            </wp:positionV>
            <wp:extent cx="62922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CREDIT AGREEMENT</w:t>
      </w: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DATED AS OF MAY 21, 2021</w:t>
      </w: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AMONG</w:t>
      </w: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ALPINE INCOME PROPERTY OP, LP,</w:t>
      </w: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ALPINE INCOME PROPERTY TRUST, INC., AS GUARANTOR</w:t>
      </w: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THE OTHER GUARANTORS FROM TIME TO TIME PARTIES HERETO,</w:t>
      </w: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THE LENDERS FROM TIME TO TIME PARTIES HERETO,</w:t>
      </w: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TRUIST BANK, N.A.</w:t>
      </w:r>
    </w:p>
    <w:p>
      <w:pPr>
        <w:spacing w:after="0" w:line="2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285115</wp:posOffset>
            </wp:positionV>
            <wp:extent cx="62922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301625</wp:posOffset>
            </wp:positionV>
            <wp:extent cx="62922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TRUIST SECURITIES, INC.</w:t>
      </w:r>
    </w:p>
    <w:p>
      <w:pPr>
        <w:spacing w:after="0" w:line="1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AS SOLE LEAD ARRANGER AND SOLE BOOK 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1013460</wp:posOffset>
            </wp:positionV>
            <wp:extent cx="6292215"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60"/>
          </w:cols>
          <w:pgMar w:left="1440" w:top="1056" w:right="999" w:bottom="1440" w:gutter="0" w:footer="0" w:header="0"/>
        </w:sectPr>
      </w:pPr>
    </w:p>
    <w:bookmarkStart w:id="61" w:name="page62"/>
    <w:bookmarkEnd w:id="61"/>
    <w:p>
      <w:pPr>
        <w:ind w:left="40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w:t>
      </w:r>
      <w:r>
        <w:rPr>
          <w:sz w:val="20"/>
          <w:szCs w:val="20"/>
          <w:color w:val="auto"/>
        </w:rPr>
        <w:tab/>
      </w:r>
      <w:r>
        <w:rPr>
          <w:rFonts w:ascii="Times New Roman" w:cs="Times New Roman" w:eastAsia="Times New Roman" w:hAnsi="Times New Roman"/>
          <w:sz w:val="17"/>
          <w:szCs w:val="17"/>
          <w:color w:val="auto"/>
        </w:rPr>
        <w:t>The Credit Facility</w:t>
      </w:r>
    </w:p>
    <w:p>
      <w:pPr>
        <w:spacing w:after="0" w:line="130"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color w:val="auto"/>
        </w:rPr>
        <w:t>The Closing Date Borrowing</w:t>
      </w:r>
    </w:p>
    <w:p>
      <w:pPr>
        <w:spacing w:after="0" w:line="31"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7"/>
          <w:szCs w:val="17"/>
          <w:color w:val="auto"/>
        </w:rPr>
        <w:t>Reserved</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1.3.</w:t>
      </w:r>
      <w:r>
        <w:rPr>
          <w:sz w:val="20"/>
          <w:szCs w:val="20"/>
          <w:color w:val="auto"/>
        </w:rPr>
        <w:tab/>
      </w:r>
      <w:r>
        <w:rPr>
          <w:rFonts w:ascii="Times New Roman" w:cs="Times New Roman" w:eastAsia="Times New Roman" w:hAnsi="Times New Roman"/>
          <w:sz w:val="17"/>
          <w:szCs w:val="17"/>
          <w:color w:val="auto"/>
        </w:rPr>
        <w:t>Reserved</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1.4.</w:t>
      </w:r>
      <w:r>
        <w:rPr>
          <w:sz w:val="20"/>
          <w:szCs w:val="20"/>
          <w:color w:val="auto"/>
        </w:rPr>
        <w:tab/>
      </w:r>
      <w:r>
        <w:rPr>
          <w:rFonts w:ascii="Times New Roman" w:cs="Times New Roman" w:eastAsia="Times New Roman" w:hAnsi="Times New Roman"/>
          <w:sz w:val="17"/>
          <w:szCs w:val="17"/>
          <w:color w:val="auto"/>
        </w:rPr>
        <w:t>Applicable Interest Rates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1.5.</w:t>
      </w:r>
      <w:r>
        <w:rPr>
          <w:sz w:val="20"/>
          <w:szCs w:val="20"/>
          <w:color w:val="auto"/>
        </w:rPr>
        <w:tab/>
      </w:r>
      <w:r>
        <w:rPr>
          <w:rFonts w:ascii="Times New Roman" w:cs="Times New Roman" w:eastAsia="Times New Roman" w:hAnsi="Times New Roman"/>
          <w:sz w:val="17"/>
          <w:szCs w:val="17"/>
          <w:color w:val="auto"/>
        </w:rPr>
        <w:t>Minimum Borrowing Amounts; Maximum Term SOFR Loans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1.6.</w:t>
      </w:r>
      <w:r>
        <w:rPr>
          <w:sz w:val="20"/>
          <w:szCs w:val="20"/>
          <w:color w:val="auto"/>
        </w:rPr>
        <w:tab/>
      </w:r>
      <w:r>
        <w:rPr>
          <w:rFonts w:ascii="Times New Roman" w:cs="Times New Roman" w:eastAsia="Times New Roman" w:hAnsi="Times New Roman"/>
          <w:sz w:val="17"/>
          <w:szCs w:val="17"/>
          <w:color w:val="auto"/>
        </w:rPr>
        <w:t>Manner of Borrowing Loans and Designating Applicable Interest Rates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1.7.</w:t>
      </w:r>
      <w:r>
        <w:rPr>
          <w:sz w:val="20"/>
          <w:szCs w:val="20"/>
          <w:color w:val="auto"/>
        </w:rPr>
        <w:tab/>
      </w:r>
      <w:r>
        <w:rPr>
          <w:rFonts w:ascii="Times New Roman" w:cs="Times New Roman" w:eastAsia="Times New Roman" w:hAnsi="Times New Roman"/>
          <w:sz w:val="17"/>
          <w:szCs w:val="17"/>
          <w:color w:val="auto"/>
        </w:rPr>
        <w:t>Maturity of Loans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1.8.</w:t>
      </w:r>
      <w:r>
        <w:rPr>
          <w:sz w:val="20"/>
          <w:szCs w:val="20"/>
          <w:color w:val="auto"/>
        </w:rPr>
        <w:tab/>
      </w:r>
      <w:r>
        <w:rPr>
          <w:rFonts w:ascii="Times New Roman" w:cs="Times New Roman" w:eastAsia="Times New Roman" w:hAnsi="Times New Roman"/>
          <w:sz w:val="17"/>
          <w:szCs w:val="17"/>
          <w:color w:val="auto"/>
        </w:rPr>
        <w:t>Prepayments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1.9.</w:t>
      </w:r>
      <w:r>
        <w:rPr>
          <w:sz w:val="20"/>
          <w:szCs w:val="20"/>
          <w:color w:val="auto"/>
        </w:rPr>
        <w:tab/>
      </w:r>
      <w:r>
        <w:rPr>
          <w:rFonts w:ascii="Times New Roman" w:cs="Times New Roman" w:eastAsia="Times New Roman" w:hAnsi="Times New Roman"/>
          <w:sz w:val="17"/>
          <w:szCs w:val="17"/>
          <w:color w:val="auto"/>
        </w:rPr>
        <w:t>Default Rate</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1.10.</w:t>
      </w:r>
      <w:r>
        <w:rPr>
          <w:sz w:val="20"/>
          <w:szCs w:val="20"/>
          <w:color w:val="auto"/>
        </w:rPr>
        <w:tab/>
      </w:r>
      <w:r>
        <w:rPr>
          <w:rFonts w:ascii="Times New Roman" w:cs="Times New Roman" w:eastAsia="Times New Roman" w:hAnsi="Times New Roman"/>
          <w:sz w:val="17"/>
          <w:szCs w:val="17"/>
          <w:color w:val="auto"/>
        </w:rPr>
        <w:t>Evidence of Indebtedness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1.11.</w:t>
      </w:r>
      <w:r>
        <w:rPr>
          <w:sz w:val="20"/>
          <w:szCs w:val="20"/>
          <w:color w:val="auto"/>
        </w:rPr>
        <w:tab/>
      </w:r>
      <w:r>
        <w:rPr>
          <w:rFonts w:ascii="Times New Roman" w:cs="Times New Roman" w:eastAsia="Times New Roman" w:hAnsi="Times New Roman"/>
          <w:sz w:val="17"/>
          <w:szCs w:val="17"/>
          <w:color w:val="auto"/>
        </w:rPr>
        <w:t>Funding Indemnity</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1.12.</w:t>
      </w:r>
      <w:r>
        <w:rPr>
          <w:sz w:val="20"/>
          <w:szCs w:val="20"/>
          <w:color w:val="auto"/>
        </w:rPr>
        <w:tab/>
      </w:r>
      <w:r>
        <w:rPr>
          <w:rFonts w:ascii="Times New Roman" w:cs="Times New Roman" w:eastAsia="Times New Roman" w:hAnsi="Times New Roman"/>
          <w:sz w:val="17"/>
          <w:szCs w:val="17"/>
          <w:color w:val="auto"/>
        </w:rPr>
        <w:t>Reserved.</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1.13.</w:t>
      </w:r>
      <w:r>
        <w:rPr>
          <w:sz w:val="20"/>
          <w:szCs w:val="20"/>
          <w:color w:val="auto"/>
        </w:rPr>
        <w:tab/>
      </w:r>
      <w:r>
        <w:rPr>
          <w:rFonts w:ascii="Times New Roman" w:cs="Times New Roman" w:eastAsia="Times New Roman" w:hAnsi="Times New Roman"/>
          <w:sz w:val="17"/>
          <w:szCs w:val="17"/>
          <w:color w:val="auto"/>
        </w:rPr>
        <w:t>Substitution of Lenders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1.14.</w:t>
      </w:r>
      <w:r>
        <w:rPr>
          <w:sz w:val="20"/>
          <w:szCs w:val="20"/>
          <w:color w:val="auto"/>
        </w:rPr>
        <w:tab/>
      </w:r>
      <w:r>
        <w:rPr>
          <w:rFonts w:ascii="Times New Roman" w:cs="Times New Roman" w:eastAsia="Times New Roman" w:hAnsi="Times New Roman"/>
          <w:sz w:val="17"/>
          <w:szCs w:val="17"/>
          <w:color w:val="auto"/>
        </w:rPr>
        <w:t>Defaulting Lenders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1.15.</w:t>
      </w:r>
      <w:r>
        <w:rPr>
          <w:sz w:val="20"/>
          <w:szCs w:val="20"/>
          <w:color w:val="auto"/>
        </w:rPr>
        <w:tab/>
      </w:r>
      <w:r>
        <w:rPr>
          <w:rFonts w:ascii="Times New Roman" w:cs="Times New Roman" w:eastAsia="Times New Roman" w:hAnsi="Times New Roman"/>
          <w:sz w:val="17"/>
          <w:szCs w:val="17"/>
          <w:color w:val="auto"/>
        </w:rPr>
        <w:t>Increase in Commitments.</w:t>
      </w:r>
    </w:p>
    <w:p>
      <w:pPr>
        <w:spacing w:after="0" w:line="99"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color w:val="auto"/>
        </w:rPr>
        <w:t>Fees.</w:t>
      </w:r>
    </w:p>
    <w:p>
      <w:pPr>
        <w:spacing w:after="0" w:line="117"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2.1.</w:t>
      </w:r>
      <w:r>
        <w:rPr>
          <w:sz w:val="20"/>
          <w:szCs w:val="20"/>
          <w:color w:val="auto"/>
        </w:rPr>
        <w:tab/>
      </w:r>
      <w:r>
        <w:rPr>
          <w:rFonts w:ascii="Times New Roman" w:cs="Times New Roman" w:eastAsia="Times New Roman" w:hAnsi="Times New Roman"/>
          <w:sz w:val="17"/>
          <w:szCs w:val="17"/>
          <w:color w:val="auto"/>
        </w:rPr>
        <w:t>Administrative Agent and Other Fees</w:t>
      </w:r>
    </w:p>
    <w:p>
      <w:pPr>
        <w:spacing w:after="0" w:line="117"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color w:val="auto"/>
        </w:rPr>
        <w:t>SECTION 3.</w:t>
      </w:r>
      <w:r>
        <w:rPr>
          <w:sz w:val="20"/>
          <w:szCs w:val="20"/>
          <w:color w:val="auto"/>
        </w:rPr>
        <w:tab/>
      </w:r>
      <w:r>
        <w:rPr>
          <w:rFonts w:ascii="Times New Roman" w:cs="Times New Roman" w:eastAsia="Times New Roman" w:hAnsi="Times New Roman"/>
          <w:sz w:val="17"/>
          <w:szCs w:val="17"/>
          <w:color w:val="auto"/>
        </w:rPr>
        <w:t>Place and Application of Payments.</w:t>
      </w:r>
    </w:p>
    <w:p>
      <w:pPr>
        <w:spacing w:after="0" w:line="117"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3.1.</w:t>
      </w:r>
      <w:r>
        <w:rPr>
          <w:sz w:val="20"/>
          <w:szCs w:val="20"/>
          <w:color w:val="auto"/>
        </w:rPr>
        <w:tab/>
      </w:r>
      <w:r>
        <w:rPr>
          <w:rFonts w:ascii="Times New Roman" w:cs="Times New Roman" w:eastAsia="Times New Roman" w:hAnsi="Times New Roman"/>
          <w:sz w:val="17"/>
          <w:szCs w:val="17"/>
          <w:color w:val="auto"/>
        </w:rPr>
        <w:t>Place and Application of Payments.</w:t>
      </w:r>
    </w:p>
    <w:p>
      <w:pPr>
        <w:spacing w:after="0" w:line="117"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color w:val="auto"/>
        </w:rPr>
        <w:t>SECTION 4.</w:t>
      </w:r>
      <w:r>
        <w:rPr>
          <w:sz w:val="20"/>
          <w:szCs w:val="20"/>
          <w:color w:val="auto"/>
        </w:rPr>
        <w:tab/>
      </w:r>
      <w:r>
        <w:rPr>
          <w:rFonts w:ascii="Times New Roman" w:cs="Times New Roman" w:eastAsia="Times New Roman" w:hAnsi="Times New Roman"/>
          <w:sz w:val="17"/>
          <w:szCs w:val="17"/>
          <w:color w:val="auto"/>
        </w:rPr>
        <w:t>Guaranties</w:t>
      </w:r>
    </w:p>
    <w:p>
      <w:pPr>
        <w:spacing w:after="0" w:line="117"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4.1.</w:t>
      </w:r>
      <w:r>
        <w:rPr>
          <w:sz w:val="20"/>
          <w:szCs w:val="20"/>
          <w:color w:val="auto"/>
        </w:rPr>
        <w:tab/>
      </w:r>
      <w:r>
        <w:rPr>
          <w:rFonts w:ascii="Times New Roman" w:cs="Times New Roman" w:eastAsia="Times New Roman" w:hAnsi="Times New Roman"/>
          <w:sz w:val="17"/>
          <w:szCs w:val="17"/>
          <w:color w:val="auto"/>
        </w:rPr>
        <w:t>Guaranties.</w:t>
      </w:r>
    </w:p>
    <w:p>
      <w:pPr>
        <w:spacing w:after="0" w:line="31"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4.2.</w:t>
      </w:r>
      <w:r>
        <w:rPr>
          <w:sz w:val="20"/>
          <w:szCs w:val="20"/>
          <w:color w:val="auto"/>
        </w:rPr>
        <w:tab/>
      </w:r>
      <w:r>
        <w:rPr>
          <w:rFonts w:ascii="Times New Roman" w:cs="Times New Roman" w:eastAsia="Times New Roman" w:hAnsi="Times New Roman"/>
          <w:sz w:val="17"/>
          <w:szCs w:val="17"/>
          <w:color w:val="auto"/>
        </w:rPr>
        <w:t>Further Assurances.</w:t>
      </w:r>
    </w:p>
    <w:p>
      <w:pPr>
        <w:spacing w:after="0" w:line="99"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color w:val="auto"/>
        </w:rPr>
        <w:t>SECTION 5.</w:t>
      </w:r>
      <w:r>
        <w:rPr>
          <w:sz w:val="20"/>
          <w:szCs w:val="20"/>
          <w:color w:val="auto"/>
        </w:rPr>
        <w:tab/>
      </w:r>
      <w:r>
        <w:rPr>
          <w:rFonts w:ascii="Times New Roman" w:cs="Times New Roman" w:eastAsia="Times New Roman" w:hAnsi="Times New Roman"/>
          <w:sz w:val="17"/>
          <w:szCs w:val="17"/>
          <w:color w:val="auto"/>
        </w:rPr>
        <w:t>Definitions; Interpretation.</w:t>
      </w:r>
    </w:p>
    <w:p>
      <w:pPr>
        <w:spacing w:after="0" w:line="117"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5.1.</w:t>
      </w:r>
      <w:r>
        <w:rPr>
          <w:sz w:val="20"/>
          <w:szCs w:val="20"/>
          <w:color w:val="auto"/>
        </w:rPr>
        <w:tab/>
      </w:r>
      <w:r>
        <w:rPr>
          <w:rFonts w:ascii="Times New Roman" w:cs="Times New Roman" w:eastAsia="Times New Roman" w:hAnsi="Times New Roman"/>
          <w:sz w:val="17"/>
          <w:szCs w:val="17"/>
          <w:color w:val="auto"/>
        </w:rPr>
        <w:t>Definitions.</w:t>
      </w:r>
    </w:p>
    <w:p>
      <w:pPr>
        <w:spacing w:after="0" w:line="31"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5.2.</w:t>
      </w:r>
      <w:r>
        <w:rPr>
          <w:sz w:val="20"/>
          <w:szCs w:val="20"/>
          <w:color w:val="auto"/>
        </w:rPr>
        <w:tab/>
      </w:r>
      <w:r>
        <w:rPr>
          <w:rFonts w:ascii="Times New Roman" w:cs="Times New Roman" w:eastAsia="Times New Roman" w:hAnsi="Times New Roman"/>
          <w:sz w:val="17"/>
          <w:szCs w:val="17"/>
          <w:color w:val="auto"/>
        </w:rPr>
        <w:t>Interpretation.</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5.3.</w:t>
      </w:r>
      <w:r>
        <w:rPr>
          <w:sz w:val="20"/>
          <w:szCs w:val="20"/>
          <w:color w:val="auto"/>
        </w:rPr>
        <w:tab/>
      </w:r>
      <w:r>
        <w:rPr>
          <w:rFonts w:ascii="Times New Roman" w:cs="Times New Roman" w:eastAsia="Times New Roman" w:hAnsi="Times New Roman"/>
          <w:sz w:val="17"/>
          <w:szCs w:val="17"/>
          <w:color w:val="auto"/>
        </w:rPr>
        <w:t>Change in Accounting Principles.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5.4.</w:t>
      </w:r>
      <w:r>
        <w:rPr>
          <w:sz w:val="20"/>
          <w:szCs w:val="20"/>
          <w:color w:val="auto"/>
        </w:rPr>
        <w:tab/>
      </w:r>
      <w:r>
        <w:rPr>
          <w:rFonts w:ascii="Times New Roman" w:cs="Times New Roman" w:eastAsia="Times New Roman" w:hAnsi="Times New Roman"/>
          <w:sz w:val="17"/>
          <w:szCs w:val="17"/>
          <w:color w:val="auto"/>
        </w:rPr>
        <w:t>Rates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5.5.</w:t>
      </w:r>
      <w:r>
        <w:rPr>
          <w:sz w:val="20"/>
          <w:szCs w:val="20"/>
          <w:color w:val="auto"/>
        </w:rPr>
        <w:tab/>
      </w:r>
      <w:r>
        <w:rPr>
          <w:rFonts w:ascii="Times New Roman" w:cs="Times New Roman" w:eastAsia="Times New Roman" w:hAnsi="Times New Roman"/>
          <w:sz w:val="17"/>
          <w:szCs w:val="17"/>
          <w:color w:val="auto"/>
        </w:rPr>
        <w:t>Divisions</w:t>
      </w:r>
    </w:p>
    <w:p>
      <w:pPr>
        <w:spacing w:after="0" w:line="99"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color w:val="auto"/>
        </w:rPr>
        <w:t>SECTION 6.</w:t>
      </w:r>
      <w:r>
        <w:rPr>
          <w:sz w:val="20"/>
          <w:szCs w:val="20"/>
          <w:color w:val="auto"/>
        </w:rPr>
        <w:tab/>
      </w:r>
      <w:r>
        <w:rPr>
          <w:rFonts w:ascii="Times New Roman" w:cs="Times New Roman" w:eastAsia="Times New Roman" w:hAnsi="Times New Roman"/>
          <w:sz w:val="17"/>
          <w:szCs w:val="17"/>
          <w:color w:val="auto"/>
        </w:rPr>
        <w:t>Representations and Warranties.</w:t>
      </w:r>
    </w:p>
    <w:p>
      <w:pPr>
        <w:spacing w:after="0" w:line="117"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6.1.</w:t>
      </w:r>
      <w:r>
        <w:rPr>
          <w:sz w:val="20"/>
          <w:szCs w:val="20"/>
          <w:color w:val="auto"/>
        </w:rPr>
        <w:tab/>
      </w:r>
      <w:r>
        <w:rPr>
          <w:rFonts w:ascii="Times New Roman" w:cs="Times New Roman" w:eastAsia="Times New Roman" w:hAnsi="Times New Roman"/>
          <w:sz w:val="17"/>
          <w:szCs w:val="17"/>
          <w:color w:val="auto"/>
        </w:rPr>
        <w:t>Organization and Qualification; Limited Operations.</w:t>
      </w:r>
    </w:p>
    <w:p>
      <w:pPr>
        <w:spacing w:after="0" w:line="31"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6.2.</w:t>
      </w:r>
      <w:r>
        <w:rPr>
          <w:sz w:val="20"/>
          <w:szCs w:val="20"/>
          <w:color w:val="auto"/>
        </w:rPr>
        <w:tab/>
      </w:r>
      <w:r>
        <w:rPr>
          <w:rFonts w:ascii="Times New Roman" w:cs="Times New Roman" w:eastAsia="Times New Roman" w:hAnsi="Times New Roman"/>
          <w:sz w:val="17"/>
          <w:szCs w:val="17"/>
          <w:color w:val="auto"/>
        </w:rPr>
        <w:t>Subsidiaries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6.3.</w:t>
      </w:r>
      <w:r>
        <w:rPr>
          <w:sz w:val="20"/>
          <w:szCs w:val="20"/>
          <w:color w:val="auto"/>
        </w:rPr>
        <w:tab/>
      </w:r>
      <w:r>
        <w:rPr>
          <w:rFonts w:ascii="Times New Roman" w:cs="Times New Roman" w:eastAsia="Times New Roman" w:hAnsi="Times New Roman"/>
          <w:sz w:val="17"/>
          <w:szCs w:val="17"/>
          <w:color w:val="auto"/>
        </w:rPr>
        <w:t>Authority and Validity of Obligations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6.4.</w:t>
      </w:r>
      <w:r>
        <w:rPr>
          <w:sz w:val="20"/>
          <w:szCs w:val="20"/>
          <w:color w:val="auto"/>
        </w:rPr>
        <w:tab/>
      </w:r>
      <w:r>
        <w:rPr>
          <w:rFonts w:ascii="Times New Roman" w:cs="Times New Roman" w:eastAsia="Times New Roman" w:hAnsi="Times New Roman"/>
          <w:sz w:val="17"/>
          <w:szCs w:val="17"/>
          <w:color w:val="auto"/>
        </w:rPr>
        <w:t>Use of Proceeds; Margin Stock</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6.5.</w:t>
      </w:r>
      <w:r>
        <w:rPr>
          <w:sz w:val="20"/>
          <w:szCs w:val="20"/>
          <w:color w:val="auto"/>
        </w:rPr>
        <w:tab/>
      </w:r>
      <w:r>
        <w:rPr>
          <w:rFonts w:ascii="Times New Roman" w:cs="Times New Roman" w:eastAsia="Times New Roman" w:hAnsi="Times New Roman"/>
          <w:sz w:val="17"/>
          <w:szCs w:val="17"/>
          <w:color w:val="auto"/>
        </w:rPr>
        <w:t>Financial Reports</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6.6.</w:t>
      </w:r>
      <w:r>
        <w:rPr>
          <w:sz w:val="20"/>
          <w:szCs w:val="20"/>
          <w:color w:val="auto"/>
        </w:rPr>
        <w:tab/>
      </w:r>
      <w:r>
        <w:rPr>
          <w:rFonts w:ascii="Times New Roman" w:cs="Times New Roman" w:eastAsia="Times New Roman" w:hAnsi="Times New Roman"/>
          <w:sz w:val="17"/>
          <w:szCs w:val="17"/>
          <w:color w:val="auto"/>
        </w:rPr>
        <w:t>No Material Adverse Effect</w:t>
      </w:r>
    </w:p>
    <w:p>
      <w:pPr>
        <w:spacing w:after="0" w:line="13" w:lineRule="exact"/>
        <w:rPr>
          <w:sz w:val="20"/>
          <w:szCs w:val="20"/>
          <w:color w:val="auto"/>
        </w:rPr>
      </w:pPr>
    </w:p>
    <w:p>
      <w:pPr>
        <w:ind w:left="200"/>
        <w:spacing w:after="0"/>
        <w:tabs>
          <w:tab w:leader="none" w:pos="2480" w:val="left"/>
        </w:tabs>
        <w:rPr>
          <w:sz w:val="20"/>
          <w:szCs w:val="20"/>
          <w:color w:val="auto"/>
        </w:rPr>
      </w:pPr>
      <w:r>
        <w:rPr>
          <w:rFonts w:ascii="Times New Roman" w:cs="Times New Roman" w:eastAsia="Times New Roman" w:hAnsi="Times New Roman"/>
          <w:sz w:val="17"/>
          <w:szCs w:val="17"/>
          <w:color w:val="auto"/>
        </w:rPr>
        <w:t>Section 6.7.</w:t>
      </w:r>
      <w:r>
        <w:rPr>
          <w:sz w:val="20"/>
          <w:szCs w:val="20"/>
          <w:color w:val="auto"/>
        </w:rPr>
        <w:tab/>
      </w:r>
      <w:r>
        <w:rPr>
          <w:rFonts w:ascii="Times New Roman" w:cs="Times New Roman" w:eastAsia="Times New Roman" w:hAnsi="Times New Roman"/>
          <w:sz w:val="17"/>
          <w:szCs w:val="17"/>
          <w:color w:val="auto"/>
        </w:rPr>
        <w:t>Full Disclosure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11</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12</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12</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12</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41</w:t>
      </w:r>
      <w:r>
        <w:rPr>
          <w:rFonts w:ascii="Times New Roman" w:cs="Times New Roman" w:eastAsia="Times New Roman" w:hAnsi="Times New Roman"/>
          <w:sz w:val="17"/>
          <w:szCs w:val="17"/>
          <w:u w:val="single" w:color="auto"/>
          <w:color w:val="4472C4"/>
          <w:strike w:val="1"/>
        </w:rPr>
        <w:t>43</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42</w:t>
      </w:r>
      <w:r>
        <w:rPr>
          <w:rFonts w:ascii="Times New Roman" w:cs="Times New Roman" w:eastAsia="Times New Roman" w:hAnsi="Times New Roman"/>
          <w:sz w:val="17"/>
          <w:szCs w:val="17"/>
          <w:u w:val="single" w:color="auto"/>
          <w:color w:val="4472C4"/>
          <w:strike w:val="1"/>
        </w:rPr>
        <w:t>43</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42</w:t>
      </w:r>
      <w:r>
        <w:rPr>
          <w:rFonts w:ascii="Times New Roman" w:cs="Times New Roman" w:eastAsia="Times New Roman" w:hAnsi="Times New Roman"/>
          <w:sz w:val="17"/>
          <w:szCs w:val="17"/>
          <w:u w:val="single" w:color="auto"/>
          <w:color w:val="4472C4"/>
          <w:strike w:val="1"/>
        </w:rPr>
        <w:t>43</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43</w:t>
      </w:r>
      <w:r>
        <w:rPr>
          <w:rFonts w:ascii="Times New Roman" w:cs="Times New Roman" w:eastAsia="Times New Roman" w:hAnsi="Times New Roman"/>
          <w:sz w:val="17"/>
          <w:szCs w:val="17"/>
          <w:u w:val="single" w:color="auto"/>
          <w:color w:val="4472C4"/>
          <w:strike w:val="1"/>
        </w:rPr>
        <w:t>44</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43</w:t>
      </w:r>
      <w:r>
        <w:rPr>
          <w:rFonts w:ascii="Times New Roman" w:cs="Times New Roman" w:eastAsia="Times New Roman" w:hAnsi="Times New Roman"/>
          <w:sz w:val="17"/>
          <w:szCs w:val="17"/>
          <w:u w:val="single" w:color="auto"/>
          <w:color w:val="4472C4"/>
          <w:strike w:val="1"/>
        </w:rPr>
        <w:t>44</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43</w:t>
      </w:r>
      <w:r>
        <w:rPr>
          <w:rFonts w:ascii="Times New Roman" w:cs="Times New Roman" w:eastAsia="Times New Roman" w:hAnsi="Times New Roman"/>
          <w:sz w:val="17"/>
          <w:szCs w:val="17"/>
          <w:u w:val="single" w:color="auto"/>
          <w:color w:val="4472C4"/>
          <w:strike w:val="1"/>
        </w:rPr>
        <w:t>44</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43</w:t>
      </w:r>
      <w:r>
        <w:rPr>
          <w:rFonts w:ascii="Times New Roman" w:cs="Times New Roman" w:eastAsia="Times New Roman" w:hAnsi="Times New Roman"/>
          <w:sz w:val="17"/>
          <w:szCs w:val="17"/>
          <w:u w:val="single" w:color="auto"/>
          <w:color w:val="4472C4"/>
          <w:strike w:val="1"/>
        </w:rPr>
        <w:t>44</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44</w:t>
      </w:r>
      <w:r>
        <w:rPr>
          <w:rFonts w:ascii="Times New Roman" w:cs="Times New Roman" w:eastAsia="Times New Roman" w:hAnsi="Times New Roman"/>
          <w:sz w:val="17"/>
          <w:szCs w:val="17"/>
          <w:u w:val="single" w:color="auto"/>
          <w:color w:val="4472C4"/>
          <w:strike w:val="1"/>
        </w:rPr>
        <w:t>45</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44</w:t>
      </w:r>
      <w:r>
        <w:rPr>
          <w:rFonts w:ascii="Times New Roman" w:cs="Times New Roman" w:eastAsia="Times New Roman" w:hAnsi="Times New Roman"/>
          <w:sz w:val="17"/>
          <w:szCs w:val="17"/>
          <w:u w:val="single" w:color="auto"/>
          <w:color w:val="4472C4"/>
          <w:strike w:val="1"/>
        </w:rPr>
        <w:t>45</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45</w:t>
      </w:r>
      <w:r>
        <w:rPr>
          <w:rFonts w:ascii="Times New Roman" w:cs="Times New Roman" w:eastAsia="Times New Roman" w:hAnsi="Times New Roman"/>
          <w:sz w:val="17"/>
          <w:szCs w:val="17"/>
          <w:u w:val="single" w:color="auto"/>
          <w:color w:val="4472C4"/>
          <w:strike w:val="1"/>
        </w:rPr>
        <w:t>46</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45</w:t>
      </w:r>
      <w:r>
        <w:rPr>
          <w:rFonts w:ascii="Times New Roman" w:cs="Times New Roman" w:eastAsia="Times New Roman" w:hAnsi="Times New Roman"/>
          <w:sz w:val="17"/>
          <w:szCs w:val="17"/>
          <w:u w:val="single" w:color="auto"/>
          <w:color w:val="4472C4"/>
          <w:strike w:val="1"/>
        </w:rPr>
        <w:t>46</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FF0000"/>
          <w:strike w:val="1"/>
        </w:rPr>
        <w:t>45</w:t>
      </w:r>
      <w:r>
        <w:rPr>
          <w:rFonts w:ascii="Times New Roman" w:cs="Times New Roman" w:eastAsia="Times New Roman" w:hAnsi="Times New Roman"/>
          <w:sz w:val="17"/>
          <w:szCs w:val="17"/>
          <w:u w:val="single" w:color="auto"/>
          <w:color w:val="4472C4"/>
          <w:strike w:val="1"/>
        </w:rPr>
        <w:t>46</w:t>
      </w:r>
    </w:p>
    <w:p>
      <w:pPr>
        <w:sectPr>
          <w:pgSz w:w="11900" w:h="16838" w:orient="portrait"/>
          <w:cols w:equalWidth="0" w:num="2">
            <w:col w:w="8600" w:space="720"/>
            <w:col w:w="600"/>
          </w:cols>
          <w:pgMar w:left="980" w:top="1058" w:right="999" w:bottom="1440" w:gutter="0" w:footer="0" w:header="0"/>
        </w:sectPr>
      </w:pPr>
    </w:p>
    <w:bookmarkStart w:id="62" w:name="page63"/>
    <w:bookmarkEnd w:id="62"/>
    <w:tbl>
      <w:tblPr>
        <w:tblLayout w:type="fixed"/>
        <w:tblInd w:w="200" w:type="dxa"/>
        <w:tblCellMar>
          <w:top w:w="0" w:type="dxa"/>
          <w:left w:w="0" w:type="dxa"/>
          <w:bottom w:w="0" w:type="dxa"/>
          <w:right w:w="0" w:type="dxa"/>
        </w:tblCellMar>
      </w:tblPr>
      <w:tr>
        <w:trPr>
          <w:trHeight w:val="28"/>
        </w:trPr>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Section 6.8.</w:t>
            </w:r>
          </w:p>
        </w:tc>
        <w:tc>
          <w:tcPr>
            <w:tcW w:w="776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auto"/>
              </w:rPr>
              <w:t>Trademarks, Franchises, and Licenses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93"/>
              </w:rPr>
              <w:t>45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4472C4"/>
                <w:w w:val="93"/>
              </w:rPr>
              <w:t>46</w:t>
            </w:r>
          </w:p>
        </w:tc>
        <w:tc>
          <w:tcPr>
            <w:tcW w:w="0" w:type="dxa"/>
            <w:vAlign w:val="bottom"/>
          </w:tcPr>
          <w:p>
            <w:pPr>
              <w:spacing w:after="0" w:line="20" w:lineRule="exact"/>
              <w:rPr>
                <w:sz w:val="1"/>
                <w:szCs w:val="1"/>
                <w:color w:val="auto"/>
              </w:rPr>
            </w:pPr>
          </w:p>
        </w:tc>
      </w:tr>
      <w:tr>
        <w:trPr>
          <w:trHeight w:val="173"/>
        </w:trPr>
        <w:tc>
          <w:tcPr>
            <w:tcW w:w="1600" w:type="dxa"/>
            <w:vAlign w:val="bottom"/>
            <w:vMerge w:val="continue"/>
          </w:tcPr>
          <w:p>
            <w:pPr>
              <w:spacing w:after="0"/>
              <w:rPr>
                <w:sz w:val="14"/>
                <w:szCs w:val="14"/>
                <w:color w:val="auto"/>
              </w:rPr>
            </w:pPr>
          </w:p>
        </w:tc>
        <w:tc>
          <w:tcPr>
            <w:tcW w:w="77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80" w:type="dxa"/>
            <w:vAlign w:val="bottom"/>
            <w:tcBorders>
              <w:bottom w:val="single" w:sz="8" w:color="4472C4"/>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6.9.</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Governmental Authority and Licensing</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45</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47</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6.10.</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Good Title</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46</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47</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6.11.</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Litigation and Other Controversies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46</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47</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6.12.</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Taxes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46</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47</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6.13.</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Approvals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46</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47</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6.14.</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Affiliate Transactions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46</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47</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6.15.</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Investment Company</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46</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48</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6.16.</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ERISA</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46</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48</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6.17.</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Compliance with Laws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47</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48</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6.18.</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OFAC</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48</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49</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6.19.</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Other Agreements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48</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49</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6.20.</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Solvency</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50</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6.21.</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No Default</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50</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6.22.</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No Broker Fees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50</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6.23.</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Condition of Property; Casualties; Condemnation</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50</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6.24.</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Legal Requirements and Zoning</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49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51</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6.25.</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No Defaults; Landlord is in Compliance with Leases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50</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51</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6.26.</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Affected Financial Institution</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50</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51</w:t>
            </w:r>
          </w:p>
        </w:tc>
        <w:tc>
          <w:tcPr>
            <w:tcW w:w="0" w:type="dxa"/>
            <w:vAlign w:val="bottom"/>
          </w:tcPr>
          <w:p>
            <w:pPr>
              <w:spacing w:after="0"/>
              <w:rPr>
                <w:sz w:val="1"/>
                <w:szCs w:val="1"/>
                <w:color w:val="auto"/>
              </w:rPr>
            </w:pPr>
          </w:p>
        </w:tc>
      </w:tr>
      <w:tr>
        <w:trPr>
          <w:trHeight w:val="189"/>
        </w:trPr>
        <w:tc>
          <w:tcPr>
            <w:tcW w:w="1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Section 6.27.</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REIT Status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50</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51</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Section 6.28.</w:t>
            </w:r>
          </w:p>
        </w:tc>
        <w:tc>
          <w:tcPr>
            <w:tcW w:w="77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Covered Entities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93"/>
              </w:rPr>
              <w:t>50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4472C4"/>
                <w:w w:val="93"/>
              </w:rPr>
              <w:t>51</w:t>
            </w:r>
          </w:p>
        </w:tc>
        <w:tc>
          <w:tcPr>
            <w:tcW w:w="0" w:type="dxa"/>
            <w:vAlign w:val="bottom"/>
          </w:tcPr>
          <w:p>
            <w:pPr>
              <w:spacing w:after="0"/>
              <w:rPr>
                <w:sz w:val="1"/>
                <w:szCs w:val="1"/>
                <w:color w:val="auto"/>
              </w:rPr>
            </w:pPr>
          </w:p>
        </w:tc>
      </w:tr>
      <w:tr>
        <w:trPr>
          <w:trHeight w:val="83"/>
        </w:trPr>
        <w:tc>
          <w:tcPr>
            <w:tcW w:w="1600" w:type="dxa"/>
            <w:vAlign w:val="bottom"/>
          </w:tcPr>
          <w:p>
            <w:pPr>
              <w:spacing w:after="0"/>
              <w:rPr>
                <w:sz w:val="6"/>
                <w:szCs w:val="6"/>
                <w:color w:val="auto"/>
              </w:rPr>
            </w:pPr>
          </w:p>
        </w:tc>
        <w:tc>
          <w:tcPr>
            <w:tcW w:w="776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tcBorders>
              <w:bottom w:val="single" w:sz="8" w:color="4472C4"/>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9920"/>
          </w:cols>
          <w:pgMar w:left="980" w:top="857" w:right="999" w:bottom="1440" w:gutter="0" w:footer="0" w:header="0"/>
        </w:sectPr>
      </w:pPr>
    </w:p>
    <w:tbl>
      <w:tblPr>
        <w:tblLayout w:type="fixed"/>
        <w:tblInd w:w="0" w:type="dxa"/>
        <w:tblCellMar>
          <w:top w:w="0" w:type="dxa"/>
          <w:left w:w="0" w:type="dxa"/>
          <w:bottom w:w="0" w:type="dxa"/>
          <w:right w:w="0" w:type="dxa"/>
        </w:tblCellMar>
      </w:tblPr>
      <w:tr>
        <w:trPr>
          <w:trHeight w:val="227"/>
        </w:trPr>
        <w:tc>
          <w:tcPr>
            <w:tcW w:w="2500" w:type="dxa"/>
            <w:vAlign w:val="bottom"/>
          </w:tcPr>
          <w:p>
            <w:pPr>
              <w:spacing w:after="0"/>
              <w:rPr>
                <w:sz w:val="20"/>
                <w:szCs w:val="20"/>
                <w:color w:val="auto"/>
              </w:rPr>
            </w:pPr>
            <w:r>
              <w:rPr>
                <w:rFonts w:ascii="Times New Roman" w:cs="Times New Roman" w:eastAsia="Times New Roman" w:hAnsi="Times New Roman"/>
                <w:sz w:val="17"/>
                <w:szCs w:val="17"/>
                <w:color w:val="auto"/>
              </w:rPr>
              <w:t>SECTION 7.</w:t>
            </w:r>
          </w:p>
        </w:tc>
        <w:tc>
          <w:tcPr>
            <w:tcW w:w="57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Conditions Precedent.</w:t>
            </w:r>
          </w:p>
        </w:tc>
        <w:tc>
          <w:tcPr>
            <w:tcW w:w="0" w:type="dxa"/>
            <w:vAlign w:val="bottom"/>
          </w:tcPr>
          <w:p>
            <w:pPr>
              <w:spacing w:after="0"/>
              <w:rPr>
                <w:sz w:val="1"/>
                <w:szCs w:val="1"/>
                <w:color w:val="auto"/>
              </w:rPr>
            </w:pPr>
          </w:p>
        </w:tc>
      </w:tr>
      <w:tr>
        <w:trPr>
          <w:trHeight w:val="295"/>
        </w:trPr>
        <w:tc>
          <w:tcPr>
            <w:tcW w:w="2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Section 7.1.</w:t>
            </w:r>
          </w:p>
        </w:tc>
        <w:tc>
          <w:tcPr>
            <w:tcW w:w="57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All Borrowings</w:t>
            </w:r>
          </w:p>
        </w:tc>
        <w:tc>
          <w:tcPr>
            <w:tcW w:w="0" w:type="dxa"/>
            <w:vAlign w:val="bottom"/>
          </w:tcPr>
          <w:p>
            <w:pPr>
              <w:spacing w:after="0"/>
              <w:rPr>
                <w:sz w:val="1"/>
                <w:szCs w:val="1"/>
                <w:color w:val="auto"/>
              </w:rPr>
            </w:pPr>
          </w:p>
        </w:tc>
      </w:tr>
      <w:tr>
        <w:trPr>
          <w:trHeight w:val="209"/>
        </w:trPr>
        <w:tc>
          <w:tcPr>
            <w:tcW w:w="2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Section 7.2.</w:t>
            </w:r>
          </w:p>
        </w:tc>
        <w:tc>
          <w:tcPr>
            <w:tcW w:w="57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Closing Date Term Loan</w:t>
            </w:r>
          </w:p>
        </w:tc>
        <w:tc>
          <w:tcPr>
            <w:tcW w:w="0" w:type="dxa"/>
            <w:vAlign w:val="bottom"/>
          </w:tcPr>
          <w:p>
            <w:pPr>
              <w:spacing w:after="0"/>
              <w:rPr>
                <w:sz w:val="1"/>
                <w:szCs w:val="1"/>
                <w:color w:val="auto"/>
              </w:rPr>
            </w:pPr>
          </w:p>
        </w:tc>
      </w:tr>
      <w:tr>
        <w:trPr>
          <w:trHeight w:val="188"/>
        </w:trPr>
        <w:tc>
          <w:tcPr>
            <w:tcW w:w="2500" w:type="dxa"/>
            <w:vAlign w:val="bottom"/>
          </w:tcPr>
          <w:p>
            <w:pPr>
              <w:ind w:left="200"/>
              <w:spacing w:after="0" w:line="188" w:lineRule="exact"/>
              <w:rPr>
                <w:sz w:val="20"/>
                <w:szCs w:val="20"/>
                <w:color w:val="auto"/>
              </w:rPr>
            </w:pPr>
            <w:r>
              <w:rPr>
                <w:rFonts w:ascii="Times New Roman" w:cs="Times New Roman" w:eastAsia="Times New Roman" w:hAnsi="Times New Roman"/>
                <w:sz w:val="17"/>
                <w:szCs w:val="17"/>
                <w:color w:val="auto"/>
              </w:rPr>
              <w:t>Section 7.3.</w:t>
            </w:r>
          </w:p>
        </w:tc>
        <w:tc>
          <w:tcPr>
            <w:tcW w:w="118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FF0000"/>
                <w:strike w:val="1"/>
                <w:w w:val="99"/>
              </w:rPr>
              <w:t>Eligible Property</w:t>
            </w:r>
          </w:p>
        </w:tc>
        <w:tc>
          <w:tcPr>
            <w:tcW w:w="3780" w:type="dxa"/>
            <w:vAlign w:val="bottom"/>
            <w:gridSpan w:val="4"/>
          </w:tcPr>
          <w:p>
            <w:pPr>
              <w:spacing w:after="0" w:line="188" w:lineRule="exact"/>
              <w:rPr>
                <w:sz w:val="20"/>
                <w:szCs w:val="20"/>
                <w:color w:val="auto"/>
              </w:rPr>
            </w:pPr>
            <w:r>
              <w:rPr>
                <w:rFonts w:ascii="Times New Roman" w:cs="Times New Roman" w:eastAsia="Times New Roman" w:hAnsi="Times New Roman"/>
                <w:sz w:val="17"/>
                <w:szCs w:val="17"/>
                <w:color w:val="4472C4"/>
              </w:rPr>
              <w:t xml:space="preserve">Unencumbered Assets </w:t>
            </w:r>
            <w:r>
              <w:rPr>
                <w:rFonts w:ascii="Times New Roman" w:cs="Times New Roman" w:eastAsia="Times New Roman" w:hAnsi="Times New Roman"/>
                <w:sz w:val="17"/>
                <w:szCs w:val="17"/>
                <w:color w:val="000000"/>
              </w:rPr>
              <w:t>Additions and Deletions to the</w:t>
            </w:r>
          </w:p>
        </w:tc>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FF0000"/>
                <w:strike w:val="1"/>
                <w:w w:val="97"/>
              </w:rPr>
              <w:t>Borrowing</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FF0000"/>
                <w:strike w:val="1"/>
                <w:w w:val="96"/>
              </w:rPr>
              <w:t>Base</w:t>
            </w:r>
          </w:p>
        </w:tc>
        <w:tc>
          <w:tcPr>
            <w:tcW w:w="8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4472C4"/>
                <w:w w:val="78"/>
              </w:rPr>
              <w:t>Unencumbered</w:t>
            </w:r>
          </w:p>
        </w:tc>
        <w:tc>
          <w:tcPr>
            <w:tcW w:w="580" w:type="dxa"/>
            <w:vAlign w:val="bottom"/>
            <w:tcBorders>
              <w:top w:val="single" w:sz="8" w:color="4472C4"/>
              <w:bottom w:val="single" w:sz="8" w:color="4472C4"/>
            </w:tcBorders>
          </w:tcPr>
          <w:p>
            <w:pPr>
              <w:spacing w:after="0" w:line="20" w:lineRule="exact"/>
              <w:rPr>
                <w:sz w:val="1"/>
                <w:szCs w:val="1"/>
                <w:color w:val="auto"/>
              </w:rPr>
            </w:pPr>
          </w:p>
        </w:tc>
        <w:tc>
          <w:tcPr>
            <w:tcW w:w="9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5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58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7"/>
                <w:szCs w:val="17"/>
                <w:color w:val="4472C4"/>
              </w:rPr>
              <w:t>Pool</w:t>
            </w:r>
          </w:p>
        </w:tc>
        <w:tc>
          <w:tcPr>
            <w:tcW w:w="2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4472C4"/>
              <w:bottom w:val="single" w:sz="8" w:color="4472C4"/>
            </w:tcBorders>
          </w:tcPr>
          <w:p>
            <w:pPr>
              <w:spacing w:after="0" w:line="20" w:lineRule="exact"/>
              <w:rPr>
                <w:sz w:val="1"/>
                <w:szCs w:val="1"/>
                <w:color w:val="auto"/>
              </w:rPr>
            </w:pPr>
          </w:p>
        </w:tc>
        <w:tc>
          <w:tcPr>
            <w:tcW w:w="580" w:type="dxa"/>
            <w:vAlign w:val="bottom"/>
            <w:tcBorders>
              <w:top w:val="single" w:sz="8" w:color="4472C4"/>
              <w:bottom w:val="single" w:sz="8" w:color="4472C4"/>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50</w:t>
      </w:r>
      <w:r>
        <w:rPr>
          <w:rFonts w:ascii="Times New Roman" w:cs="Times New Roman" w:eastAsia="Times New Roman" w:hAnsi="Times New Roman"/>
          <w:sz w:val="17"/>
          <w:szCs w:val="17"/>
          <w:u w:val="single" w:color="auto"/>
          <w:color w:val="4472C4"/>
          <w:strike w:val="1"/>
        </w:rPr>
        <w:t>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50</w:t>
      </w:r>
      <w:r>
        <w:rPr>
          <w:rFonts w:ascii="Times New Roman" w:cs="Times New Roman" w:eastAsia="Times New Roman" w:hAnsi="Times New Roman"/>
          <w:sz w:val="17"/>
          <w:szCs w:val="17"/>
          <w:u w:val="single" w:color="auto"/>
          <w:color w:val="4472C4"/>
          <w:strike w:val="1"/>
        </w:rPr>
        <w:t>51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51</w:t>
      </w:r>
      <w:r>
        <w:rPr>
          <w:rFonts w:ascii="Times New Roman" w:cs="Times New Roman" w:eastAsia="Times New Roman" w:hAnsi="Times New Roman"/>
          <w:sz w:val="17"/>
          <w:szCs w:val="17"/>
          <w:u w:val="single" w:color="auto"/>
          <w:color w:val="4472C4"/>
          <w:strike w:val="1"/>
        </w:rPr>
        <w:t>52</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52</w:t>
      </w:r>
      <w:r>
        <w:rPr>
          <w:rFonts w:ascii="Times New Roman" w:cs="Times New Roman" w:eastAsia="Times New Roman" w:hAnsi="Times New Roman"/>
          <w:sz w:val="17"/>
          <w:szCs w:val="17"/>
          <w:u w:val="single" w:color="auto"/>
          <w:color w:val="4472C4"/>
          <w:strike w:val="1"/>
        </w:rPr>
        <w:t>54</w:t>
      </w:r>
    </w:p>
    <w:p>
      <w:pPr>
        <w:spacing w:after="0" w:line="31" w:lineRule="exact"/>
        <w:rPr>
          <w:sz w:val="20"/>
          <w:szCs w:val="20"/>
          <w:color w:val="auto"/>
        </w:rPr>
      </w:pPr>
    </w:p>
    <w:p>
      <w:pPr>
        <w:sectPr>
          <w:pgSz w:w="11900" w:h="16838" w:orient="portrait"/>
          <w:cols w:equalWidth="0" w:num="2">
            <w:col w:w="8840" w:space="720"/>
            <w:col w:w="360"/>
          </w:cols>
          <w:pgMar w:left="980" w:top="857" w:right="99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SECTION 8.</w:t>
            </w:r>
          </w:p>
        </w:tc>
        <w:tc>
          <w:tcPr>
            <w:tcW w:w="77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Covenants.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93"/>
              </w:rPr>
              <w:t>53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4472C4"/>
                <w:w w:val="93"/>
              </w:rPr>
              <w:t>54</w:t>
            </w:r>
          </w:p>
        </w:tc>
        <w:tc>
          <w:tcPr>
            <w:tcW w:w="0" w:type="dxa"/>
            <w:vAlign w:val="bottom"/>
          </w:tcPr>
          <w:p>
            <w:pPr>
              <w:spacing w:after="0"/>
              <w:rPr>
                <w:sz w:val="1"/>
                <w:szCs w:val="1"/>
                <w:color w:val="auto"/>
              </w:rPr>
            </w:pPr>
          </w:p>
        </w:tc>
      </w:tr>
      <w:tr>
        <w:trPr>
          <w:trHeight w:val="83"/>
        </w:trPr>
        <w:tc>
          <w:tcPr>
            <w:tcW w:w="1800" w:type="dxa"/>
            <w:vAlign w:val="bottom"/>
          </w:tcPr>
          <w:p>
            <w:pPr>
              <w:spacing w:after="0"/>
              <w:rPr>
                <w:sz w:val="6"/>
                <w:szCs w:val="6"/>
                <w:color w:val="auto"/>
              </w:rPr>
            </w:pPr>
          </w:p>
        </w:tc>
        <w:tc>
          <w:tcPr>
            <w:tcW w:w="776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tcBorders>
              <w:bottom w:val="single" w:sz="8" w:color="4472C4"/>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8.1.</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Maintenance of Existence</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53</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54</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8.2.</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Maintenance of Properties, Agreements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54</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55</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8.3.</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Taxes and Assessments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54</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55</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8.4.</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Insurance</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54</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55</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8.5.</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Financial Reports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54</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55</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8.6.</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Inspection</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57</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58</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8.7.</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Liens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57</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58</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8.8.</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Investments, Acquisitions, Loans and Advances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57</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58</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8.9.</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Mergers, Consolidations and Sales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58</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59</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8.10.</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Maintenance of Subsidiaries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60</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8.11.</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ERISA</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59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60</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8.12.</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Compliance with Laws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60</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61</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8.13.</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Compliance with OFAC Sanctions Programs and Anti-Corruption Laws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60</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62</w:t>
            </w:r>
          </w:p>
        </w:tc>
        <w:tc>
          <w:tcPr>
            <w:tcW w:w="0" w:type="dxa"/>
            <w:vAlign w:val="bottom"/>
          </w:tcPr>
          <w:p>
            <w:pPr>
              <w:spacing w:after="0"/>
              <w:rPr>
                <w:sz w:val="1"/>
                <w:szCs w:val="1"/>
                <w:color w:val="auto"/>
              </w:rPr>
            </w:pPr>
          </w:p>
        </w:tc>
      </w:tr>
      <w:tr>
        <w:trPr>
          <w:trHeight w:val="209"/>
        </w:trPr>
        <w:tc>
          <w:tcPr>
            <w:tcW w:w="18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Section 8.14.</w:t>
            </w:r>
          </w:p>
        </w:tc>
        <w:tc>
          <w:tcPr>
            <w:tcW w:w="77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Burdensome Contracts With Affiliates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188"/>
        </w:trPr>
        <w:tc>
          <w:tcPr>
            <w:tcW w:w="1800" w:type="dxa"/>
            <w:vAlign w:val="bottom"/>
          </w:tcPr>
          <w:p>
            <w:pPr>
              <w:ind w:left="200"/>
              <w:spacing w:after="0" w:line="188" w:lineRule="exact"/>
              <w:rPr>
                <w:sz w:val="20"/>
                <w:szCs w:val="20"/>
                <w:color w:val="auto"/>
              </w:rPr>
            </w:pPr>
            <w:r>
              <w:rPr>
                <w:rFonts w:ascii="Times New Roman" w:cs="Times New Roman" w:eastAsia="Times New Roman" w:hAnsi="Times New Roman"/>
                <w:sz w:val="17"/>
                <w:szCs w:val="17"/>
                <w:color w:val="auto"/>
              </w:rPr>
              <w:t>Section 8.15.</w:t>
            </w:r>
          </w:p>
        </w:tc>
        <w:tc>
          <w:tcPr>
            <w:tcW w:w="7760" w:type="dxa"/>
            <w:vAlign w:val="bottom"/>
          </w:tcPr>
          <w:p>
            <w:pPr>
              <w:ind w:left="700"/>
              <w:spacing w:after="0" w:line="188" w:lineRule="exact"/>
              <w:rPr>
                <w:sz w:val="20"/>
                <w:szCs w:val="20"/>
                <w:color w:val="auto"/>
              </w:rPr>
            </w:pPr>
            <w:r>
              <w:rPr>
                <w:rFonts w:ascii="Times New Roman" w:cs="Times New Roman" w:eastAsia="Times New Roman" w:hAnsi="Times New Roman"/>
                <w:sz w:val="17"/>
                <w:szCs w:val="17"/>
                <w:color w:val="auto"/>
              </w:rPr>
              <w:t>No Changes in Fiscal Year</w:t>
            </w:r>
          </w:p>
        </w:tc>
        <w:tc>
          <w:tcPr>
            <w:tcW w:w="1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FF0000"/>
                <w:strike w:val="1"/>
                <w:w w:val="93"/>
              </w:rPr>
              <w:t>62</w:t>
            </w:r>
          </w:p>
        </w:tc>
        <w:tc>
          <w:tcPr>
            <w:tcW w:w="180" w:type="dxa"/>
            <w:vAlign w:val="bottom"/>
            <w:tcBorders>
              <w:bottom w:val="single" w:sz="8" w:color="4472C4"/>
            </w:tcBorders>
          </w:tcPr>
          <w:p>
            <w:pPr>
              <w:jc w:val="right"/>
              <w:spacing w:after="0" w:line="188" w:lineRule="exact"/>
              <w:rPr>
                <w:sz w:val="20"/>
                <w:szCs w:val="20"/>
                <w:color w:val="auto"/>
              </w:rPr>
            </w:pPr>
            <w:r>
              <w:rPr>
                <w:rFonts w:ascii="Times New Roman" w:cs="Times New Roman" w:eastAsia="Times New Roman" w:hAnsi="Times New Roman"/>
                <w:sz w:val="17"/>
                <w:szCs w:val="17"/>
                <w:color w:val="4472C4"/>
                <w:w w:val="93"/>
              </w:rPr>
              <w:t>63</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8.16.</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Formation of Subsidiaries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62</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63</w:t>
            </w:r>
          </w:p>
        </w:tc>
        <w:tc>
          <w:tcPr>
            <w:tcW w:w="0" w:type="dxa"/>
            <w:vAlign w:val="bottom"/>
          </w:tcPr>
          <w:p>
            <w:pPr>
              <w:spacing w:after="0"/>
              <w:rPr>
                <w:sz w:val="1"/>
                <w:szCs w:val="1"/>
                <w:color w:val="auto"/>
              </w:rPr>
            </w:pPr>
          </w:p>
        </w:tc>
      </w:tr>
      <w:tr>
        <w:trPr>
          <w:trHeight w:val="189"/>
        </w:trPr>
        <w:tc>
          <w:tcPr>
            <w:tcW w:w="180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8.17.</w:t>
            </w:r>
          </w:p>
        </w:tc>
        <w:tc>
          <w:tcPr>
            <w:tcW w:w="7760" w:type="dxa"/>
            <w:vAlign w:val="bottom"/>
          </w:tcPr>
          <w:p>
            <w:pPr>
              <w:ind w:left="700"/>
              <w:spacing w:after="0" w:line="189" w:lineRule="exact"/>
              <w:rPr>
                <w:sz w:val="20"/>
                <w:szCs w:val="20"/>
                <w:color w:val="auto"/>
              </w:rPr>
            </w:pPr>
            <w:r>
              <w:rPr>
                <w:rFonts w:ascii="Times New Roman" w:cs="Times New Roman" w:eastAsia="Times New Roman" w:hAnsi="Times New Roman"/>
                <w:sz w:val="17"/>
                <w:szCs w:val="17"/>
                <w:color w:val="auto"/>
              </w:rPr>
              <w:t>Change in the Nature of Business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62</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7" w:right="99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8.18.</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Use of Proceeds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8.19.</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No Restrictions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8.20.</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Financial Covenants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98"/>
              </w:rPr>
              <w:t>Section 8.21.</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color w:val="FF0000"/>
                <w:strike w:val="1"/>
              </w:rPr>
              <w:t>Borrowing Base Covenant</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92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4472C4"/>
              </w:rPr>
              <w:t>Section 8.21.</w:t>
            </w:r>
          </w:p>
        </w:tc>
        <w:tc>
          <w:tcPr>
            <w:tcW w:w="720" w:type="dxa"/>
            <w:vAlign w:val="bottom"/>
          </w:tcPr>
          <w:p>
            <w:pPr>
              <w:spacing w:after="0"/>
              <w:rPr>
                <w:sz w:val="16"/>
                <w:szCs w:val="16"/>
                <w:color w:val="auto"/>
              </w:rPr>
            </w:pPr>
          </w:p>
        </w:tc>
        <w:tc>
          <w:tcPr>
            <w:tcW w:w="5680" w:type="dxa"/>
            <w:vAlign w:val="bottom"/>
            <w:gridSpan w:val="3"/>
          </w:tcPr>
          <w:p>
            <w:pPr>
              <w:ind w:left="660"/>
              <w:spacing w:after="0" w:line="188" w:lineRule="exact"/>
              <w:rPr>
                <w:sz w:val="20"/>
                <w:szCs w:val="20"/>
                <w:color w:val="auto"/>
              </w:rPr>
            </w:pPr>
            <w:r>
              <w:rPr>
                <w:rFonts w:ascii="Times New Roman" w:cs="Times New Roman" w:eastAsia="Times New Roman" w:hAnsi="Times New Roman"/>
                <w:sz w:val="17"/>
                <w:szCs w:val="17"/>
                <w:color w:val="4472C4"/>
              </w:rPr>
              <w:t>Pool Covenants</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100" w:type="dxa"/>
            <w:vAlign w:val="bottom"/>
            <w:tcBorders>
              <w:top w:val="single" w:sz="8" w:color="4472C4"/>
              <w:bottom w:val="single" w:sz="8" w:color="4472C4"/>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90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w w:val="98"/>
              </w:rPr>
              <w:t>Section 8.22.</w:t>
            </w:r>
          </w:p>
        </w:tc>
        <w:tc>
          <w:tcPr>
            <w:tcW w:w="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20" w:type="dxa"/>
            <w:vAlign w:val="bottom"/>
            <w:gridSpan w:val="2"/>
          </w:tcPr>
          <w:p>
            <w:pPr>
              <w:spacing w:after="0" w:line="169" w:lineRule="exact"/>
              <w:rPr>
                <w:sz w:val="20"/>
                <w:szCs w:val="20"/>
                <w:color w:val="auto"/>
              </w:rPr>
            </w:pPr>
            <w:r>
              <w:rPr>
                <w:rFonts w:ascii="Times New Roman" w:cs="Times New Roman" w:eastAsia="Times New Roman" w:hAnsi="Times New Roman"/>
                <w:sz w:val="17"/>
                <w:szCs w:val="17"/>
                <w:color w:val="auto"/>
              </w:rPr>
              <w:t>Electronic Delivery of Certain Information</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8.23.</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Evidence of Payment of Florida Intangibles Tax</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8.24.</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REIT Status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8.25.</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Restricted Payments</w:t>
            </w: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8.26.</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Other Unsecured Indebtedness Guarantees</w:t>
            </w:r>
          </w:p>
        </w:tc>
        <w:tc>
          <w:tcPr>
            <w:tcW w:w="0" w:type="dxa"/>
            <w:vAlign w:val="bottom"/>
          </w:tcPr>
          <w:p>
            <w:pPr>
              <w:spacing w:after="0"/>
              <w:rPr>
                <w:sz w:val="1"/>
                <w:szCs w:val="1"/>
                <w:color w:val="auto"/>
              </w:rPr>
            </w:pPr>
          </w:p>
        </w:tc>
      </w:tr>
      <w:tr>
        <w:trPr>
          <w:trHeight w:val="313"/>
        </w:trPr>
        <w:tc>
          <w:tcPr>
            <w:tcW w:w="18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9.</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Events of Default and Remedies</w:t>
            </w:r>
          </w:p>
        </w:tc>
        <w:tc>
          <w:tcPr>
            <w:tcW w:w="0" w:type="dxa"/>
            <w:vAlign w:val="bottom"/>
          </w:tcPr>
          <w:p>
            <w:pPr>
              <w:spacing w:after="0"/>
              <w:rPr>
                <w:sz w:val="1"/>
                <w:szCs w:val="1"/>
                <w:color w:val="auto"/>
              </w:rPr>
            </w:pPr>
          </w:p>
        </w:tc>
      </w:tr>
      <w:tr>
        <w:trPr>
          <w:trHeight w:val="295"/>
        </w:trPr>
        <w:tc>
          <w:tcPr>
            <w:tcW w:w="20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9.1.</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Events of Default</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9.2.</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Non-Bankruptcy Defaults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9.3.</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Bankruptcy Defaults</w:t>
            </w: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9.4.</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Notice of Default</w:t>
            </w:r>
          </w:p>
        </w:tc>
        <w:tc>
          <w:tcPr>
            <w:tcW w:w="0" w:type="dxa"/>
            <w:vAlign w:val="bottom"/>
          </w:tcPr>
          <w:p>
            <w:pPr>
              <w:spacing w:after="0"/>
              <w:rPr>
                <w:sz w:val="1"/>
                <w:szCs w:val="1"/>
                <w:color w:val="auto"/>
              </w:rPr>
            </w:pPr>
          </w:p>
        </w:tc>
      </w:tr>
      <w:tr>
        <w:trPr>
          <w:trHeight w:val="313"/>
        </w:trPr>
        <w:tc>
          <w:tcPr>
            <w:tcW w:w="18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10.</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Change in Circumstances.</w:t>
            </w:r>
          </w:p>
        </w:tc>
        <w:tc>
          <w:tcPr>
            <w:tcW w:w="0" w:type="dxa"/>
            <w:vAlign w:val="bottom"/>
          </w:tcPr>
          <w:p>
            <w:pPr>
              <w:spacing w:after="0"/>
              <w:rPr>
                <w:sz w:val="1"/>
                <w:szCs w:val="1"/>
                <w:color w:val="auto"/>
              </w:rPr>
            </w:pPr>
          </w:p>
        </w:tc>
      </w:tr>
      <w:tr>
        <w:trPr>
          <w:trHeight w:val="295"/>
        </w:trPr>
        <w:tc>
          <w:tcPr>
            <w:tcW w:w="20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10.1.</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Change of Law</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10.2.</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Temporary Inability to Determine Rates Alternate Rate of Interest</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10.3.</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Increased Cost and Reduced Return</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10.4.</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Lending Offices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10.5.</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Discretion of Lender as to Manner of Funding</w:t>
            </w: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10.6.</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Permanent Inability to Determine Rate; Benchmark Replacement</w:t>
            </w:r>
          </w:p>
        </w:tc>
        <w:tc>
          <w:tcPr>
            <w:tcW w:w="0" w:type="dxa"/>
            <w:vAlign w:val="bottom"/>
          </w:tcPr>
          <w:p>
            <w:pPr>
              <w:spacing w:after="0"/>
              <w:rPr>
                <w:sz w:val="1"/>
                <w:szCs w:val="1"/>
                <w:color w:val="auto"/>
              </w:rPr>
            </w:pPr>
          </w:p>
        </w:tc>
      </w:tr>
      <w:tr>
        <w:trPr>
          <w:trHeight w:val="313"/>
        </w:trPr>
        <w:tc>
          <w:tcPr>
            <w:tcW w:w="18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11.</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The Administrative Agent.</w:t>
            </w:r>
          </w:p>
        </w:tc>
        <w:tc>
          <w:tcPr>
            <w:tcW w:w="0" w:type="dxa"/>
            <w:vAlign w:val="bottom"/>
          </w:tcPr>
          <w:p>
            <w:pPr>
              <w:spacing w:after="0"/>
              <w:rPr>
                <w:sz w:val="1"/>
                <w:szCs w:val="1"/>
                <w:color w:val="auto"/>
              </w:rPr>
            </w:pPr>
          </w:p>
        </w:tc>
      </w:tr>
      <w:tr>
        <w:trPr>
          <w:trHeight w:val="295"/>
        </w:trPr>
        <w:tc>
          <w:tcPr>
            <w:tcW w:w="20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11.1.</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Appointment and Authority</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11.2.</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Rights as a Lender</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11.3.</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Action by Administrative Agent; Exculpatory Provisions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11.4.</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Reliance by Administrative Agent</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11.5.</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Delegation of Duties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11.6.</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Resignation of Administrative Agent; Removal of Administrative Agent</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11.7.</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Non-Reliance on Administrative Agent and Other Lenders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11.8.</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Reserved</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11.9.</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Hedging Liability and Funds Transfer and Deposit Account Liability</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11.10.</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Designation of Additional Agents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11.11.</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Reserved</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11.12.</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Authorization to Release Guaranties</w:t>
            </w: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11.13.</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Authorization of Administrative Agent to File Proofs of Claim</w:t>
            </w:r>
          </w:p>
        </w:tc>
        <w:tc>
          <w:tcPr>
            <w:tcW w:w="0" w:type="dxa"/>
            <w:vAlign w:val="bottom"/>
          </w:tcPr>
          <w:p>
            <w:pPr>
              <w:spacing w:after="0"/>
              <w:rPr>
                <w:sz w:val="1"/>
                <w:szCs w:val="1"/>
                <w:color w:val="auto"/>
              </w:rPr>
            </w:pPr>
          </w:p>
        </w:tc>
      </w:tr>
      <w:tr>
        <w:trPr>
          <w:trHeight w:val="313"/>
        </w:trPr>
        <w:tc>
          <w:tcPr>
            <w:tcW w:w="18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12.</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MISCELLANEOUS.</w:t>
            </w:r>
          </w:p>
        </w:tc>
        <w:tc>
          <w:tcPr>
            <w:tcW w:w="0" w:type="dxa"/>
            <w:vAlign w:val="bottom"/>
          </w:tcPr>
          <w:p>
            <w:pPr>
              <w:spacing w:after="0"/>
              <w:rPr>
                <w:sz w:val="1"/>
                <w:szCs w:val="1"/>
                <w:color w:val="auto"/>
              </w:rPr>
            </w:pPr>
          </w:p>
        </w:tc>
      </w:tr>
      <w:tr>
        <w:trPr>
          <w:trHeight w:val="295"/>
        </w:trPr>
        <w:tc>
          <w:tcPr>
            <w:tcW w:w="20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12.1.</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Withholding Taxes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12.2.</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No Waiver, Cumulative Remedies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12.3.</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Non-Business Days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12.4.</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Documentary Taxes</w:t>
            </w: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12.5.</w:t>
            </w:r>
          </w:p>
        </w:tc>
        <w:tc>
          <w:tcPr>
            <w:tcW w:w="56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Survival of Representations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7"/>
          <w:szCs w:val="17"/>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7"/>
          <w:szCs w:val="17"/>
          <w:color w:val="FF0000"/>
          <w:strike w:val="1"/>
        </w:rPr>
        <w:t>62</w:t>
      </w:r>
      <w:r>
        <w:rPr>
          <w:rFonts w:ascii="Times New Roman" w:cs="Times New Roman" w:eastAsia="Times New Roman" w:hAnsi="Times New Roman"/>
          <w:sz w:val="17"/>
          <w:szCs w:val="17"/>
          <w:u w:val="single" w:color="auto"/>
          <w:color w:val="4472C4"/>
          <w:strike w:val="1"/>
        </w:rPr>
        <w:t>63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FF0000"/>
          <w:strike w:val="1"/>
        </w:rPr>
        <w:t>62</w:t>
      </w:r>
      <w:r>
        <w:rPr>
          <w:rFonts w:ascii="Times New Roman" w:cs="Times New Roman" w:eastAsia="Times New Roman" w:hAnsi="Times New Roman"/>
          <w:sz w:val="17"/>
          <w:szCs w:val="17"/>
          <w:u w:val="single" w:color="auto"/>
          <w:color w:val="4472C4"/>
          <w:strike w:val="1"/>
        </w:rPr>
        <w:t>63</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FF0000"/>
          <w:strike w:val="1"/>
        </w:rPr>
        <w:t>62</w:t>
      </w:r>
      <w:r>
        <w:rPr>
          <w:rFonts w:ascii="Times New Roman" w:cs="Times New Roman" w:eastAsia="Times New Roman" w:hAnsi="Times New Roman"/>
          <w:sz w:val="17"/>
          <w:szCs w:val="17"/>
          <w:u w:val="single" w:color="auto"/>
          <w:color w:val="4472C4"/>
          <w:strike w:val="1"/>
        </w:rPr>
        <w:t>63</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FF0000"/>
          <w:strike w:val="1"/>
        </w:rPr>
        <w:t>63</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4472C4"/>
        </w:rPr>
        <w:t>64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63</w:t>
      </w:r>
      <w:r>
        <w:rPr>
          <w:rFonts w:ascii="Times New Roman" w:cs="Times New Roman" w:eastAsia="Times New Roman" w:hAnsi="Times New Roman"/>
          <w:sz w:val="17"/>
          <w:szCs w:val="17"/>
          <w:u w:val="single" w:color="auto"/>
          <w:color w:val="4472C4"/>
          <w:strike w:val="1"/>
        </w:rPr>
        <w:t>65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65</w:t>
      </w:r>
      <w:r>
        <w:rPr>
          <w:rFonts w:ascii="Times New Roman" w:cs="Times New Roman" w:eastAsia="Times New Roman" w:hAnsi="Times New Roman"/>
          <w:sz w:val="17"/>
          <w:szCs w:val="17"/>
          <w:u w:val="single" w:color="auto"/>
          <w:color w:val="4472C4"/>
          <w:strike w:val="1"/>
        </w:rPr>
        <w:t>66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65</w:t>
      </w:r>
      <w:r>
        <w:rPr>
          <w:rFonts w:ascii="Times New Roman" w:cs="Times New Roman" w:eastAsia="Times New Roman" w:hAnsi="Times New Roman"/>
          <w:sz w:val="17"/>
          <w:szCs w:val="17"/>
          <w:u w:val="single" w:color="auto"/>
          <w:color w:val="4472C4"/>
          <w:strike w:val="1"/>
        </w:rPr>
        <w:t>66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65</w:t>
      </w:r>
      <w:r>
        <w:rPr>
          <w:rFonts w:ascii="Times New Roman" w:cs="Times New Roman" w:eastAsia="Times New Roman" w:hAnsi="Times New Roman"/>
          <w:sz w:val="17"/>
          <w:szCs w:val="17"/>
          <w:u w:val="single" w:color="auto"/>
          <w:color w:val="4472C4"/>
          <w:strike w:val="1"/>
        </w:rPr>
        <w:t>66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66</w:t>
      </w:r>
      <w:r>
        <w:rPr>
          <w:rFonts w:ascii="Times New Roman" w:cs="Times New Roman" w:eastAsia="Times New Roman" w:hAnsi="Times New Roman"/>
          <w:sz w:val="17"/>
          <w:szCs w:val="17"/>
          <w:u w:val="single" w:color="auto"/>
          <w:color w:val="4472C4"/>
          <w:strike w:val="1"/>
        </w:rPr>
        <w:t>67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66</w:t>
      </w:r>
      <w:r>
        <w:rPr>
          <w:rFonts w:ascii="Times New Roman" w:cs="Times New Roman" w:eastAsia="Times New Roman" w:hAnsi="Times New Roman"/>
          <w:sz w:val="17"/>
          <w:szCs w:val="17"/>
          <w:u w:val="single" w:color="auto"/>
          <w:color w:val="4472C4"/>
          <w:strike w:val="1"/>
        </w:rPr>
        <w:t>67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66</w:t>
      </w:r>
      <w:r>
        <w:rPr>
          <w:rFonts w:ascii="Times New Roman" w:cs="Times New Roman" w:eastAsia="Times New Roman" w:hAnsi="Times New Roman"/>
          <w:sz w:val="17"/>
          <w:szCs w:val="17"/>
          <w:u w:val="single" w:color="auto"/>
          <w:color w:val="4472C4"/>
          <w:strike w:val="1"/>
        </w:rPr>
        <w:t>67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68</w:t>
      </w:r>
      <w:r>
        <w:rPr>
          <w:rFonts w:ascii="Times New Roman" w:cs="Times New Roman" w:eastAsia="Times New Roman" w:hAnsi="Times New Roman"/>
          <w:sz w:val="17"/>
          <w:szCs w:val="17"/>
          <w:u w:val="single" w:color="auto"/>
          <w:color w:val="4472C4"/>
          <w:strike w:val="1"/>
        </w:rPr>
        <w:t>70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69</w:t>
      </w:r>
      <w:r>
        <w:rPr>
          <w:rFonts w:ascii="Times New Roman" w:cs="Times New Roman" w:eastAsia="Times New Roman" w:hAnsi="Times New Roman"/>
          <w:sz w:val="17"/>
          <w:szCs w:val="17"/>
          <w:u w:val="single" w:color="auto"/>
          <w:color w:val="4472C4"/>
          <w:strike w:val="1"/>
        </w:rPr>
        <w:t>70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69</w:t>
      </w:r>
      <w:r>
        <w:rPr>
          <w:rFonts w:ascii="Times New Roman" w:cs="Times New Roman" w:eastAsia="Times New Roman" w:hAnsi="Times New Roman"/>
          <w:sz w:val="17"/>
          <w:szCs w:val="17"/>
          <w:u w:val="single" w:color="auto"/>
          <w:color w:val="4472C4"/>
          <w:strike w:val="1"/>
        </w:rPr>
        <w:t>70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69</w:t>
      </w:r>
      <w:r>
        <w:rPr>
          <w:rFonts w:ascii="Times New Roman" w:cs="Times New Roman" w:eastAsia="Times New Roman" w:hAnsi="Times New Roman"/>
          <w:sz w:val="17"/>
          <w:szCs w:val="17"/>
          <w:u w:val="single" w:color="auto"/>
          <w:color w:val="4472C4"/>
          <w:strike w:val="1"/>
        </w:rPr>
        <w:t>70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69</w:t>
      </w:r>
      <w:r>
        <w:rPr>
          <w:rFonts w:ascii="Times New Roman" w:cs="Times New Roman" w:eastAsia="Times New Roman" w:hAnsi="Times New Roman"/>
          <w:sz w:val="17"/>
          <w:szCs w:val="17"/>
          <w:u w:val="single" w:color="auto"/>
          <w:color w:val="4472C4"/>
          <w:strike w:val="1"/>
        </w:rPr>
        <w:t>70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69</w:t>
      </w:r>
      <w:r>
        <w:rPr>
          <w:rFonts w:ascii="Times New Roman" w:cs="Times New Roman" w:eastAsia="Times New Roman" w:hAnsi="Times New Roman"/>
          <w:sz w:val="17"/>
          <w:szCs w:val="17"/>
          <w:u w:val="single" w:color="auto"/>
          <w:color w:val="4472C4"/>
          <w:strike w:val="1"/>
        </w:rPr>
        <w:t>70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70</w:t>
      </w:r>
      <w:r>
        <w:rPr>
          <w:rFonts w:ascii="Times New Roman" w:cs="Times New Roman" w:eastAsia="Times New Roman" w:hAnsi="Times New Roman"/>
          <w:sz w:val="17"/>
          <w:szCs w:val="17"/>
          <w:u w:val="single" w:color="auto"/>
          <w:color w:val="4472C4"/>
          <w:strike w:val="1"/>
        </w:rPr>
        <w:t>71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71</w:t>
      </w:r>
      <w:r>
        <w:rPr>
          <w:rFonts w:ascii="Times New Roman" w:cs="Times New Roman" w:eastAsia="Times New Roman" w:hAnsi="Times New Roman"/>
          <w:sz w:val="17"/>
          <w:szCs w:val="17"/>
          <w:u w:val="single" w:color="auto"/>
          <w:color w:val="4472C4"/>
          <w:strike w:val="1"/>
        </w:rPr>
        <w:t>72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71</w:t>
      </w:r>
      <w:r>
        <w:rPr>
          <w:rFonts w:ascii="Times New Roman" w:cs="Times New Roman" w:eastAsia="Times New Roman" w:hAnsi="Times New Roman"/>
          <w:sz w:val="17"/>
          <w:szCs w:val="17"/>
          <w:u w:val="single" w:color="auto"/>
          <w:color w:val="4472C4"/>
          <w:strike w:val="1"/>
        </w:rPr>
        <w:t>72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71</w:t>
      </w:r>
      <w:r>
        <w:rPr>
          <w:rFonts w:ascii="Times New Roman" w:cs="Times New Roman" w:eastAsia="Times New Roman" w:hAnsi="Times New Roman"/>
          <w:sz w:val="17"/>
          <w:szCs w:val="17"/>
          <w:u w:val="single" w:color="auto"/>
          <w:color w:val="4472C4"/>
          <w:strike w:val="1"/>
        </w:rPr>
        <w:t>73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73</w:t>
      </w:r>
      <w:r>
        <w:rPr>
          <w:rFonts w:ascii="Times New Roman" w:cs="Times New Roman" w:eastAsia="Times New Roman" w:hAnsi="Times New Roman"/>
          <w:sz w:val="17"/>
          <w:szCs w:val="17"/>
          <w:u w:val="single" w:color="auto"/>
          <w:color w:val="4472C4"/>
          <w:strike w:val="1"/>
        </w:rPr>
        <w:t>74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73</w:t>
      </w:r>
      <w:r>
        <w:rPr>
          <w:rFonts w:ascii="Times New Roman" w:cs="Times New Roman" w:eastAsia="Times New Roman" w:hAnsi="Times New Roman"/>
          <w:sz w:val="17"/>
          <w:szCs w:val="17"/>
          <w:u w:val="single" w:color="auto"/>
          <w:color w:val="4472C4"/>
          <w:strike w:val="1"/>
        </w:rPr>
        <w:t>74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73</w:t>
      </w:r>
      <w:r>
        <w:rPr>
          <w:rFonts w:ascii="Times New Roman" w:cs="Times New Roman" w:eastAsia="Times New Roman" w:hAnsi="Times New Roman"/>
          <w:sz w:val="17"/>
          <w:szCs w:val="17"/>
          <w:u w:val="single" w:color="auto"/>
          <w:color w:val="4472C4"/>
          <w:strike w:val="1"/>
        </w:rPr>
        <w:t>74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73</w:t>
      </w:r>
      <w:r>
        <w:rPr>
          <w:rFonts w:ascii="Times New Roman" w:cs="Times New Roman" w:eastAsia="Times New Roman" w:hAnsi="Times New Roman"/>
          <w:sz w:val="17"/>
          <w:szCs w:val="17"/>
          <w:u w:val="single" w:color="auto"/>
          <w:color w:val="4472C4"/>
          <w:strike w:val="1"/>
        </w:rPr>
        <w:t>75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75</w:t>
      </w:r>
      <w:r>
        <w:rPr>
          <w:rFonts w:ascii="Times New Roman" w:cs="Times New Roman" w:eastAsia="Times New Roman" w:hAnsi="Times New Roman"/>
          <w:sz w:val="17"/>
          <w:szCs w:val="17"/>
          <w:u w:val="single" w:color="auto"/>
          <w:color w:val="4472C4"/>
          <w:strike w:val="1"/>
        </w:rPr>
        <w:t>76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75</w:t>
      </w:r>
      <w:r>
        <w:rPr>
          <w:rFonts w:ascii="Times New Roman" w:cs="Times New Roman" w:eastAsia="Times New Roman" w:hAnsi="Times New Roman"/>
          <w:sz w:val="17"/>
          <w:szCs w:val="17"/>
          <w:u w:val="single" w:color="auto"/>
          <w:color w:val="4472C4"/>
          <w:strike w:val="1"/>
        </w:rPr>
        <w:t>76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75</w:t>
      </w:r>
      <w:r>
        <w:rPr>
          <w:rFonts w:ascii="Times New Roman" w:cs="Times New Roman" w:eastAsia="Times New Roman" w:hAnsi="Times New Roman"/>
          <w:sz w:val="17"/>
          <w:szCs w:val="17"/>
          <w:u w:val="single" w:color="auto"/>
          <w:color w:val="4472C4"/>
          <w:strike w:val="1"/>
        </w:rPr>
        <w:t>76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76</w:t>
      </w:r>
      <w:r>
        <w:rPr>
          <w:rFonts w:ascii="Times New Roman" w:cs="Times New Roman" w:eastAsia="Times New Roman" w:hAnsi="Times New Roman"/>
          <w:sz w:val="17"/>
          <w:szCs w:val="17"/>
          <w:u w:val="single" w:color="auto"/>
          <w:color w:val="4472C4"/>
          <w:strike w:val="1"/>
        </w:rPr>
        <w:t>77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77</w:t>
      </w:r>
      <w:r>
        <w:rPr>
          <w:rFonts w:ascii="Times New Roman" w:cs="Times New Roman" w:eastAsia="Times New Roman" w:hAnsi="Times New Roman"/>
          <w:sz w:val="17"/>
          <w:szCs w:val="17"/>
          <w:u w:val="single" w:color="auto"/>
          <w:color w:val="4472C4"/>
          <w:strike w:val="1"/>
        </w:rPr>
        <w:t>78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77</w:t>
      </w:r>
      <w:r>
        <w:rPr>
          <w:rFonts w:ascii="Times New Roman" w:cs="Times New Roman" w:eastAsia="Times New Roman" w:hAnsi="Times New Roman"/>
          <w:sz w:val="17"/>
          <w:szCs w:val="17"/>
          <w:u w:val="single" w:color="auto"/>
          <w:color w:val="4472C4"/>
          <w:strike w:val="1"/>
        </w:rPr>
        <w:t>78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77</w:t>
      </w:r>
      <w:r>
        <w:rPr>
          <w:rFonts w:ascii="Times New Roman" w:cs="Times New Roman" w:eastAsia="Times New Roman" w:hAnsi="Times New Roman"/>
          <w:sz w:val="17"/>
          <w:szCs w:val="17"/>
          <w:u w:val="single" w:color="auto"/>
          <w:color w:val="4472C4"/>
          <w:strike w:val="1"/>
        </w:rPr>
        <w:t>79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77</w:t>
      </w:r>
      <w:r>
        <w:rPr>
          <w:rFonts w:ascii="Times New Roman" w:cs="Times New Roman" w:eastAsia="Times New Roman" w:hAnsi="Times New Roman"/>
          <w:sz w:val="17"/>
          <w:szCs w:val="17"/>
          <w:u w:val="single" w:color="auto"/>
          <w:color w:val="4472C4"/>
          <w:strike w:val="1"/>
        </w:rPr>
        <w:t>79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77</w:t>
      </w:r>
      <w:r>
        <w:rPr>
          <w:rFonts w:ascii="Times New Roman" w:cs="Times New Roman" w:eastAsia="Times New Roman" w:hAnsi="Times New Roman"/>
          <w:sz w:val="17"/>
          <w:szCs w:val="17"/>
          <w:u w:val="single" w:color="auto"/>
          <w:color w:val="4472C4"/>
          <w:strike w:val="1"/>
        </w:rPr>
        <w:t>79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78</w:t>
      </w:r>
      <w:r>
        <w:rPr>
          <w:rFonts w:ascii="Times New Roman" w:cs="Times New Roman" w:eastAsia="Times New Roman" w:hAnsi="Times New Roman"/>
          <w:sz w:val="17"/>
          <w:szCs w:val="17"/>
          <w:u w:val="single" w:color="auto"/>
          <w:color w:val="4472C4"/>
          <w:strike w:val="1"/>
        </w:rPr>
        <w:t>79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78</w:t>
      </w:r>
      <w:r>
        <w:rPr>
          <w:rFonts w:ascii="Times New Roman" w:cs="Times New Roman" w:eastAsia="Times New Roman" w:hAnsi="Times New Roman"/>
          <w:sz w:val="17"/>
          <w:szCs w:val="17"/>
          <w:u w:val="single" w:color="auto"/>
          <w:color w:val="4472C4"/>
          <w:strike w:val="1"/>
        </w:rPr>
        <w:t>80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78</w:t>
      </w:r>
      <w:r>
        <w:rPr>
          <w:rFonts w:ascii="Times New Roman" w:cs="Times New Roman" w:eastAsia="Times New Roman" w:hAnsi="Times New Roman"/>
          <w:sz w:val="17"/>
          <w:szCs w:val="17"/>
          <w:u w:val="single" w:color="auto"/>
          <w:color w:val="4472C4"/>
          <w:strike w:val="1"/>
        </w:rPr>
        <w:t>80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81</w:t>
      </w:r>
      <w:r>
        <w:rPr>
          <w:rFonts w:ascii="Times New Roman" w:cs="Times New Roman" w:eastAsia="Times New Roman" w:hAnsi="Times New Roman"/>
          <w:sz w:val="17"/>
          <w:szCs w:val="17"/>
          <w:u w:val="single" w:color="auto"/>
          <w:color w:val="4472C4"/>
          <w:strike w:val="1"/>
        </w:rPr>
        <w:t>82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81</w:t>
      </w:r>
      <w:r>
        <w:rPr>
          <w:rFonts w:ascii="Times New Roman" w:cs="Times New Roman" w:eastAsia="Times New Roman" w:hAnsi="Times New Roman"/>
          <w:sz w:val="17"/>
          <w:szCs w:val="17"/>
          <w:u w:val="single" w:color="auto"/>
          <w:color w:val="4472C4"/>
          <w:strike w:val="1"/>
        </w:rPr>
        <w:t>82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81</w:t>
      </w:r>
      <w:r>
        <w:rPr>
          <w:rFonts w:ascii="Times New Roman" w:cs="Times New Roman" w:eastAsia="Times New Roman" w:hAnsi="Times New Roman"/>
          <w:sz w:val="17"/>
          <w:szCs w:val="17"/>
          <w:u w:val="single" w:color="auto"/>
          <w:color w:val="4472C4"/>
          <w:strike w:val="1"/>
        </w:rPr>
        <w:t>82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81</w:t>
      </w:r>
      <w:r>
        <w:rPr>
          <w:rFonts w:ascii="Times New Roman" w:cs="Times New Roman" w:eastAsia="Times New Roman" w:hAnsi="Times New Roman"/>
          <w:sz w:val="17"/>
          <w:szCs w:val="17"/>
          <w:u w:val="single" w:color="auto"/>
          <w:color w:val="4472C4"/>
          <w:strike w:val="1"/>
        </w:rPr>
        <w:t>82</w:t>
      </w:r>
    </w:p>
    <w:p>
      <w:pPr>
        <w:sectPr>
          <w:pgSz w:w="11900" w:h="16838" w:orient="portrait"/>
          <w:cols w:equalWidth="0" w:num="2">
            <w:col w:w="8840" w:space="720"/>
            <w:col w:w="360"/>
          </w:cols>
          <w:pgMar w:left="980" w:top="864" w:right="9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8"/>
        </w:trPr>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Section 12.6.</w:t>
            </w:r>
          </w:p>
        </w:tc>
        <w:tc>
          <w:tcPr>
            <w:tcW w:w="76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auto"/>
              </w:rPr>
              <w:t>Survival of Indemnities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93"/>
              </w:rPr>
              <w:t>81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4472C4"/>
                <w:w w:val="93"/>
              </w:rPr>
              <w:t>83</w:t>
            </w:r>
          </w:p>
        </w:tc>
        <w:tc>
          <w:tcPr>
            <w:tcW w:w="0" w:type="dxa"/>
            <w:vAlign w:val="bottom"/>
          </w:tcPr>
          <w:p>
            <w:pPr>
              <w:spacing w:after="0" w:line="20" w:lineRule="exact"/>
              <w:rPr>
                <w:sz w:val="1"/>
                <w:szCs w:val="1"/>
                <w:color w:val="auto"/>
              </w:rPr>
            </w:pPr>
          </w:p>
        </w:tc>
      </w:tr>
      <w:tr>
        <w:trPr>
          <w:trHeight w:val="173"/>
        </w:trPr>
        <w:tc>
          <w:tcPr>
            <w:tcW w:w="1920" w:type="dxa"/>
            <w:vAlign w:val="bottom"/>
            <w:vMerge w:val="continue"/>
          </w:tcPr>
          <w:p>
            <w:pPr>
              <w:spacing w:after="0"/>
              <w:rPr>
                <w:sz w:val="14"/>
                <w:szCs w:val="14"/>
                <w:color w:val="auto"/>
              </w:rPr>
            </w:pPr>
          </w:p>
        </w:tc>
        <w:tc>
          <w:tcPr>
            <w:tcW w:w="764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80" w:type="dxa"/>
            <w:vAlign w:val="bottom"/>
            <w:tcBorders>
              <w:bottom w:val="single" w:sz="8" w:color="4472C4"/>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12.7.</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Sharing of Set-Off</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81</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83</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12.8.</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Notices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82</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83</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12.9.</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Counterparts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83</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84</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12.10.</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Successors and Assigns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84</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85</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12.11.</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Participants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84</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85</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12.12.</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Assignments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84</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85</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12.13.</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Amendments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87</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88</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12.14.</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Headings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87</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88</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12.15.</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Costs and Expenses; Indemnification</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87</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88</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12.16.</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Set-off</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88</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89</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12.17.</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Entire Agreement</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90</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12.18.</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Governing Law</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90</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12.19.</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Severability of Provisions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90</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12.20.</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Excess Interest</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89</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90</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12.21.</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Construction</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90</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91</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12.22.</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Lender’s Obligations Several</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90</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91</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12.23.</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Submission to Jurisdiction; Waiver of Jury Trial</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90</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91</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12.24.</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USA Patriot Act</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90</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91</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12.25.</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Confidentiality</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90</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91</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12.26.</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Limitation of Recourse</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92</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93</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12.27.</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Other Taxes.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92</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93</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12.28.</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Acknowledgement and Consent to Bail-In of Affected Financial Institutions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92</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93</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12.29.</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Acknowledgement Regarding Any Supported QFCs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92</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93</w:t>
            </w:r>
          </w:p>
        </w:tc>
        <w:tc>
          <w:tcPr>
            <w:tcW w:w="0" w:type="dxa"/>
            <w:vAlign w:val="bottom"/>
          </w:tcPr>
          <w:p>
            <w:pPr>
              <w:spacing w:after="0"/>
              <w:rPr>
                <w:sz w:val="1"/>
                <w:szCs w:val="1"/>
                <w:color w:val="auto"/>
              </w:rPr>
            </w:pPr>
          </w:p>
        </w:tc>
      </w:tr>
      <w:tr>
        <w:trPr>
          <w:trHeight w:val="215"/>
        </w:trPr>
        <w:tc>
          <w:tcPr>
            <w:tcW w:w="1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Section 12.30.</w:t>
            </w:r>
          </w:p>
        </w:tc>
        <w:tc>
          <w:tcPr>
            <w:tcW w:w="76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Erroneous Payment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93"/>
              </w:rPr>
              <w:t>94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4472C4"/>
                <w:w w:val="93"/>
              </w:rPr>
              <w:t>95</w:t>
            </w:r>
          </w:p>
        </w:tc>
        <w:tc>
          <w:tcPr>
            <w:tcW w:w="0" w:type="dxa"/>
            <w:vAlign w:val="bottom"/>
          </w:tcPr>
          <w:p>
            <w:pPr>
              <w:spacing w:after="0"/>
              <w:rPr>
                <w:sz w:val="1"/>
                <w:szCs w:val="1"/>
                <w:color w:val="auto"/>
              </w:rPr>
            </w:pPr>
          </w:p>
        </w:tc>
      </w:tr>
      <w:tr>
        <w:trPr>
          <w:trHeight w:val="83"/>
        </w:trPr>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SECTION 13.</w:t>
            </w:r>
          </w:p>
        </w:tc>
        <w:tc>
          <w:tcPr>
            <w:tcW w:w="76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auto"/>
              </w:rPr>
              <w:t>The Guarantees.</w:t>
            </w:r>
          </w:p>
        </w:tc>
        <w:tc>
          <w:tcPr>
            <w:tcW w:w="180" w:type="dxa"/>
            <w:vAlign w:val="bottom"/>
            <w:vMerge w:val="continue"/>
          </w:tcPr>
          <w:p>
            <w:pPr>
              <w:spacing w:after="0"/>
              <w:rPr>
                <w:sz w:val="6"/>
                <w:szCs w:val="6"/>
                <w:color w:val="auto"/>
              </w:rPr>
            </w:pPr>
          </w:p>
        </w:tc>
        <w:tc>
          <w:tcPr>
            <w:tcW w:w="180" w:type="dxa"/>
            <w:vAlign w:val="bottom"/>
            <w:tcBorders>
              <w:bottom w:val="single" w:sz="8" w:color="4472C4"/>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920" w:type="dxa"/>
            <w:vAlign w:val="bottom"/>
            <w:vMerge w:val="continue"/>
          </w:tcPr>
          <w:p>
            <w:pPr>
              <w:spacing w:after="0"/>
              <w:rPr>
                <w:sz w:val="18"/>
                <w:szCs w:val="18"/>
                <w:color w:val="auto"/>
              </w:rPr>
            </w:pPr>
          </w:p>
        </w:tc>
        <w:tc>
          <w:tcPr>
            <w:tcW w:w="7640" w:type="dxa"/>
            <w:vAlign w:val="bottom"/>
            <w:gridSpan w:val="2"/>
            <w:vMerge w:val="continue"/>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93"/>
              </w:rPr>
              <w:t>96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4472C4"/>
                <w:w w:val="93"/>
              </w:rPr>
              <w:t>97</w:t>
            </w:r>
          </w:p>
        </w:tc>
        <w:tc>
          <w:tcPr>
            <w:tcW w:w="0" w:type="dxa"/>
            <w:vAlign w:val="bottom"/>
          </w:tcPr>
          <w:p>
            <w:pPr>
              <w:spacing w:after="0"/>
              <w:rPr>
                <w:sz w:val="1"/>
                <w:szCs w:val="1"/>
                <w:color w:val="auto"/>
              </w:rPr>
            </w:pPr>
          </w:p>
        </w:tc>
      </w:tr>
      <w:tr>
        <w:trPr>
          <w:trHeight w:val="83"/>
        </w:trPr>
        <w:tc>
          <w:tcPr>
            <w:tcW w:w="1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tcBorders>
              <w:bottom w:val="single" w:sz="8" w:color="4472C4"/>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13.1.</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The Guarantees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96</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97</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13.2.</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Guarantee Unconditional</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96</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97</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13.3.</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Discharge Only upon Payment in Full; Reinstatement in Certain Circumstances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97</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98</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13.4.</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Subrogation</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97</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98</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13.5.</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Waivers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98</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99</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13.6.</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Limit on Recovery</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98</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99</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13.7.</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Stay of Acceleration</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98</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99</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13.8.</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Benefit to Guarantors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98</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99</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13.9.</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Guarantor Covenants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98</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99</w:t>
            </w: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Section 13.10.</w:t>
            </w:r>
          </w:p>
        </w:tc>
        <w:tc>
          <w:tcPr>
            <w:tcW w:w="7640" w:type="dxa"/>
            <w:vAlign w:val="bottom"/>
            <w:gridSpan w:val="2"/>
          </w:tcPr>
          <w:p>
            <w:pPr>
              <w:ind w:left="580"/>
              <w:spacing w:after="0" w:line="189" w:lineRule="exact"/>
              <w:rPr>
                <w:sz w:val="20"/>
                <w:szCs w:val="20"/>
                <w:color w:val="auto"/>
              </w:rPr>
            </w:pPr>
            <w:r>
              <w:rPr>
                <w:rFonts w:ascii="Times New Roman" w:cs="Times New Roman" w:eastAsia="Times New Roman" w:hAnsi="Times New Roman"/>
                <w:sz w:val="17"/>
                <w:szCs w:val="17"/>
                <w:color w:val="auto"/>
              </w:rPr>
              <w:t>Keepwell</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98</w:t>
            </w:r>
          </w:p>
        </w:tc>
        <w:tc>
          <w:tcPr>
            <w:tcW w:w="180" w:type="dxa"/>
            <w:vAlign w:val="bottom"/>
            <w:tcBorders>
              <w:bottom w:val="single" w:sz="8" w:color="4472C4"/>
            </w:tcBorders>
          </w:tcPr>
          <w:p>
            <w:pPr>
              <w:jc w:val="right"/>
              <w:spacing w:after="0" w:line="189" w:lineRule="exact"/>
              <w:rPr>
                <w:sz w:val="20"/>
                <w:szCs w:val="20"/>
                <w:color w:val="auto"/>
              </w:rPr>
            </w:pPr>
            <w:r>
              <w:rPr>
                <w:rFonts w:ascii="Times New Roman" w:cs="Times New Roman" w:eastAsia="Times New Roman" w:hAnsi="Times New Roman"/>
                <w:sz w:val="17"/>
                <w:szCs w:val="17"/>
                <w:color w:val="4472C4"/>
                <w:w w:val="93"/>
              </w:rPr>
              <w:t>99</w:t>
            </w:r>
          </w:p>
        </w:tc>
        <w:tc>
          <w:tcPr>
            <w:tcW w:w="0" w:type="dxa"/>
            <w:vAlign w:val="bottom"/>
          </w:tcPr>
          <w:p>
            <w:pPr>
              <w:spacing w:after="0"/>
              <w:rPr>
                <w:sz w:val="1"/>
                <w:szCs w:val="1"/>
                <w:color w:val="auto"/>
              </w:rPr>
            </w:pPr>
          </w:p>
        </w:tc>
      </w:tr>
      <w:tr>
        <w:trPr>
          <w:trHeight w:val="640"/>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EXHIBIT A</w:t>
            </w: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6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Reserved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EXHIBIT B</w:t>
            </w: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6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Notice of Borrowing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EXHIBIT C</w:t>
            </w: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6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Notice of Continuation/Conversion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EXHIBIT D</w:t>
            </w: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6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Term Note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EXHIBIT E</w:t>
            </w: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6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Compliance Certificate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EXHIBIT F</w:t>
            </w: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6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Assignment and Acceptance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7" w:right="9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EXHIBIT G</w:t>
            </w:r>
          </w:p>
        </w:tc>
        <w:tc>
          <w:tcPr>
            <w:tcW w:w="9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Additional Guarantor Supplement</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EXHIBIT H</w:t>
            </w:r>
          </w:p>
        </w:tc>
        <w:tc>
          <w:tcPr>
            <w:tcW w:w="3660" w:type="dxa"/>
            <w:vAlign w:val="bottom"/>
            <w:gridSpan w:val="4"/>
          </w:tcPr>
          <w:p>
            <w:pPr>
              <w:ind w:left="580"/>
              <w:spacing w:after="0"/>
              <w:rPr>
                <w:sz w:val="20"/>
                <w:szCs w:val="20"/>
                <w:color w:val="auto"/>
              </w:rPr>
            </w:pPr>
            <w:r>
              <w:rPr>
                <w:rFonts w:ascii="Times New Roman" w:cs="Times New Roman" w:eastAsia="Times New Roman" w:hAnsi="Times New Roman"/>
                <w:sz w:val="17"/>
                <w:szCs w:val="17"/>
                <w:color w:val="auto"/>
              </w:rPr>
              <w:t>—  Commitment Amount Increase Request</w:t>
            </w:r>
          </w:p>
        </w:tc>
        <w:tc>
          <w:tcPr>
            <w:tcW w:w="0" w:type="dxa"/>
            <w:vAlign w:val="bottom"/>
          </w:tcPr>
          <w:p>
            <w:pPr>
              <w:spacing w:after="0"/>
              <w:rPr>
                <w:sz w:val="1"/>
                <w:szCs w:val="1"/>
                <w:color w:val="auto"/>
              </w:rPr>
            </w:pPr>
          </w:p>
        </w:tc>
      </w:tr>
      <w:tr>
        <w:trPr>
          <w:trHeight w:val="188"/>
        </w:trPr>
        <w:tc>
          <w:tcPr>
            <w:tcW w:w="186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EXHIBIT I</w:t>
            </w:r>
          </w:p>
        </w:tc>
        <w:tc>
          <w:tcPr>
            <w:tcW w:w="900" w:type="dxa"/>
            <w:vAlign w:val="bottom"/>
          </w:tcPr>
          <w:p>
            <w:pPr>
              <w:ind w:left="580"/>
              <w:spacing w:after="0" w:line="188" w:lineRule="exact"/>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spacing w:after="0" w:line="188" w:lineRule="exact"/>
              <w:rPr>
                <w:sz w:val="20"/>
                <w:szCs w:val="20"/>
                <w:color w:val="auto"/>
              </w:rPr>
            </w:pPr>
            <w:r>
              <w:rPr>
                <w:rFonts w:ascii="Times New Roman" w:cs="Times New Roman" w:eastAsia="Times New Roman" w:hAnsi="Times New Roman"/>
                <w:sz w:val="17"/>
                <w:szCs w:val="17"/>
                <w:color w:val="FF0000"/>
                <w:strike w:val="1"/>
              </w:rPr>
              <w:t>Borrowing Base Certificate</w:t>
            </w:r>
          </w:p>
        </w:tc>
        <w:tc>
          <w:tcPr>
            <w:tcW w:w="8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4472C4"/>
              </w:rPr>
              <w:t>[Reserved]</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SCHEDULE 1</w:t>
            </w:r>
          </w:p>
        </w:tc>
        <w:tc>
          <w:tcPr>
            <w:tcW w:w="9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Term Loan Commitments</w:t>
            </w:r>
          </w:p>
        </w:tc>
        <w:tc>
          <w:tcPr>
            <w:tcW w:w="7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SCHEDULE 1.1</w:t>
            </w:r>
          </w:p>
        </w:tc>
        <w:tc>
          <w:tcPr>
            <w:tcW w:w="9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Initial Properties</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SCHEDULE 6.2</w:t>
            </w:r>
          </w:p>
        </w:tc>
        <w:tc>
          <w:tcPr>
            <w:tcW w:w="9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Subsidiaries</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SCHEDULE 6.6</w:t>
            </w:r>
          </w:p>
        </w:tc>
        <w:tc>
          <w:tcPr>
            <w:tcW w:w="9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Material Adverse Effect</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SCHEDULE 6.11</w:t>
            </w:r>
          </w:p>
        </w:tc>
        <w:tc>
          <w:tcPr>
            <w:tcW w:w="9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Litigation</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SCHEDULE 6.12</w:t>
            </w:r>
          </w:p>
        </w:tc>
        <w:tc>
          <w:tcPr>
            <w:tcW w:w="9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Tax Returns</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SCHEDULE 6.17</w:t>
            </w:r>
          </w:p>
        </w:tc>
        <w:tc>
          <w:tcPr>
            <w:tcW w:w="9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Environmental Issues</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SCHEDULE 6.23</w:t>
            </w:r>
          </w:p>
        </w:tc>
        <w:tc>
          <w:tcPr>
            <w:tcW w:w="9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Maintenance and Condition</w:t>
            </w:r>
          </w:p>
        </w:tc>
        <w:tc>
          <w:tcPr>
            <w:tcW w:w="0" w:type="dxa"/>
            <w:vAlign w:val="bottom"/>
          </w:tcPr>
          <w:p>
            <w:pPr>
              <w:spacing w:after="0"/>
              <w:rPr>
                <w:sz w:val="1"/>
                <w:szCs w:val="1"/>
                <w:color w:val="auto"/>
              </w:rPr>
            </w:pP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SCHEDULE 8.7</w:t>
            </w:r>
          </w:p>
        </w:tc>
        <w:tc>
          <w:tcPr>
            <w:tcW w:w="9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Existing Liens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864" w:right="1440" w:bottom="1440" w:gutter="0" w:footer="0" w:header="0"/>
        </w:sectPr>
      </w:pPr>
    </w:p>
    <w:bookmarkStart w:id="66" w:name="page67"/>
    <w:bookmarkEnd w:id="66"/>
    <w:p>
      <w:pPr>
        <w:jc w:val="both"/>
        <w:spacing w:after="0" w:line="276" w:lineRule="auto"/>
        <w:rPr>
          <w:sz w:val="20"/>
          <w:szCs w:val="20"/>
          <w:color w:val="auto"/>
        </w:rPr>
      </w:pPr>
      <w:r>
        <w:rPr>
          <w:rFonts w:ascii="Times New Roman" w:cs="Times New Roman" w:eastAsia="Times New Roman" w:hAnsi="Times New Roman"/>
          <w:sz w:val="17"/>
          <w:szCs w:val="17"/>
          <w:b w:val="1"/>
          <w:bCs w:val="1"/>
          <w:color w:val="auto"/>
        </w:rPr>
        <w:t>THE LOAN EVIDENCED BY THIS CREDIT AGREEMENT IS NOT SECURED BY AN INTEREST IN FLORIDA REAL PROPERTY AND HAS BEEN EXECUTED AND DELIVERED OUTSIDE OF THE STATE OF FLORIDA. CONSEQUENTLY, NO FLORIDA DOCUMENTARY STAMP TAX IS DUE AND PAYABLE WITH RESPECT TO THIS CREDIT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20"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color w:val="auto"/>
        </w:rPr>
        <w:t xml:space="preserve">This Credit Agreement (this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is entered into as of May 21, 2021, by and among </w:t>
      </w:r>
      <w:r>
        <w:rPr>
          <w:rFonts w:ascii="Times New Roman" w:cs="Times New Roman" w:eastAsia="Times New Roman" w:hAnsi="Times New Roman"/>
          <w:sz w:val="17"/>
          <w:szCs w:val="17"/>
          <w:b w:val="1"/>
          <w:bCs w:val="1"/>
          <w:color w:val="auto"/>
        </w:rPr>
        <w:t>ALPINE INCOME PROPERTY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OP, LP</w:t>
      </w:r>
      <w:r>
        <w:rPr>
          <w:rFonts w:ascii="Times New Roman" w:cs="Times New Roman" w:eastAsia="Times New Roman" w:hAnsi="Times New Roman"/>
          <w:sz w:val="17"/>
          <w:szCs w:val="17"/>
          <w:color w:val="auto"/>
        </w:rPr>
        <w:t>, a Delaware limited partnership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Borrower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ALPINE INCOME PROPERTY TRUST, INC.</w:t>
      </w:r>
      <w:r>
        <w:rPr>
          <w:rFonts w:ascii="Times New Roman" w:cs="Times New Roman" w:eastAsia="Times New Roman" w:hAnsi="Times New Roman"/>
          <w:sz w:val="17"/>
          <w:szCs w:val="17"/>
          <w:color w:val="auto"/>
        </w:rPr>
        <w:t>, a Maryland corporation,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Guarantor (“</w:t>
      </w:r>
      <w:r>
        <w:rPr>
          <w:rFonts w:ascii="Times New Roman" w:cs="Times New Roman" w:eastAsia="Times New Roman" w:hAnsi="Times New Roman"/>
          <w:sz w:val="17"/>
          <w:szCs w:val="17"/>
          <w:b w:val="1"/>
          <w:bCs w:val="1"/>
          <w:i w:val="1"/>
          <w:iCs w:val="1"/>
          <w:color w:val="auto"/>
        </w:rPr>
        <w:t>Parent</w:t>
      </w:r>
      <w:r>
        <w:rPr>
          <w:rFonts w:ascii="Times New Roman" w:cs="Times New Roman" w:eastAsia="Times New Roman" w:hAnsi="Times New Roman"/>
          <w:sz w:val="17"/>
          <w:szCs w:val="17"/>
          <w:color w:val="auto"/>
        </w:rPr>
        <w:t xml:space="preserve">”), and each Material Subsidiary from time to time party to this Agreement, as Guarantors, the several financial institutions from time to time party to this Agreement, as Lenders, and </w:t>
      </w:r>
      <w:r>
        <w:rPr>
          <w:rFonts w:ascii="Times New Roman" w:cs="Times New Roman" w:eastAsia="Times New Roman" w:hAnsi="Times New Roman"/>
          <w:sz w:val="17"/>
          <w:szCs w:val="17"/>
          <w:b w:val="1"/>
          <w:bCs w:val="1"/>
          <w:color w:val="auto"/>
        </w:rPr>
        <w:t>TRUIST BANK, N.A</w:t>
      </w:r>
      <w:r>
        <w:rPr>
          <w:rFonts w:ascii="Times New Roman" w:cs="Times New Roman" w:eastAsia="Times New Roman" w:hAnsi="Times New Roman"/>
          <w:sz w:val="17"/>
          <w:szCs w:val="17"/>
          <w:color w:val="auto"/>
        </w:rPr>
        <w:t>., as Administrative Agent as provided herein. All capitalized terms used herein without definition shall have the same meanings herein as such terms are defined in Section 5.1 hereof.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PRELIMINARY STATEMENT</w:t>
      </w:r>
    </w:p>
    <w:p>
      <w:pPr>
        <w:spacing w:after="0" w:line="224"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The Borrower has requested, and the Lenders have agreed to extend, certain credit facilities on the terms and conditions of this Agreement.</w:t>
      </w:r>
    </w:p>
    <w:p>
      <w:pPr>
        <w:spacing w:after="0" w:line="147"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NOW, THEREFORE, in consideration of the mutual agreements contained herein, and other good and valuable consideration, the receipt and sufficiency of which are hereby acknowledged, the parties hereto hereby agree as follows:</w:t>
      </w:r>
    </w:p>
    <w:p>
      <w:pPr>
        <w:spacing w:after="0" w:line="14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7"/>
          <w:szCs w:val="17"/>
          <w:color w:val="auto"/>
        </w:rPr>
        <w:t>SECTION 1.</w:t>
      </w:r>
      <w:r>
        <w:rPr>
          <w:sz w:val="20"/>
          <w:szCs w:val="20"/>
          <w:color w:val="auto"/>
        </w:rPr>
        <w:tab/>
      </w:r>
      <w:r>
        <w:rPr>
          <w:rFonts w:ascii="Times New Roman" w:cs="Times New Roman" w:eastAsia="Times New Roman" w:hAnsi="Times New Roman"/>
          <w:sz w:val="17"/>
          <w:szCs w:val="17"/>
          <w:color w:val="auto"/>
        </w:rPr>
        <w:t>THE CREDIT FACILITY</w:t>
      </w:r>
    </w:p>
    <w:p>
      <w:pPr>
        <w:spacing w:after="0" w:line="222"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u w:val="single" w:color="auto"/>
          <w:color w:val="auto"/>
        </w:rPr>
        <w:t>The Closing Date Borrowing</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57"/>
        <w:spacing w:after="0" w:line="260" w:lineRule="auto"/>
        <w:tabs>
          <w:tab w:leader="none" w:pos="187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Term Lenders made a term loan (each such loan, a “</w:t>
      </w:r>
      <w:r>
        <w:rPr>
          <w:rFonts w:ascii="Times New Roman" w:cs="Times New Roman" w:eastAsia="Times New Roman" w:hAnsi="Times New Roman"/>
          <w:sz w:val="17"/>
          <w:szCs w:val="17"/>
          <w:b w:val="1"/>
          <w:bCs w:val="1"/>
          <w:i w:val="1"/>
          <w:iCs w:val="1"/>
          <w:color w:val="auto"/>
        </w:rPr>
        <w:t>Closing Date Term Loan</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Closing Date Term Loans</w:t>
      </w:r>
      <w:r>
        <w:rPr>
          <w:rFonts w:ascii="Times New Roman" w:cs="Times New Roman" w:eastAsia="Times New Roman" w:hAnsi="Times New Roman"/>
          <w:sz w:val="17"/>
          <w:szCs w:val="17"/>
          <w:color w:val="auto"/>
        </w:rPr>
        <w:t>”) in U.S. Dollars to Borrower on the Closing Date. Subject to the terms and conditions set forth herein, certain Term Lenders severally agree to make an additional Closing Date Term Loan in U.S. Dollars to Borrower on the First Amendment Effective Date in an aggregate original principal amount not to exceed its Applicable Percentage of the Term Facility as of such date; provided that, after giving effect to such Closing Date Term Borrowing, (i) the aggregate principal amount of the Closing Date Term Loans shall not exceed the Aggregate Term Facility Amount, and (ii) each Term Lender’s Total Term Outstandings shall not exceed such Term Lender’s Applicable Percentage of the Term Facility and (iii) subject to Section 7.2(i), the aggregate principal amount of the Closing Date Term Loans shall not exceed the adjusted borrowing base</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4472C4"/>
        </w:rPr>
        <w:t>as in effect on the Closing Date.</w:t>
      </w:r>
      <w:r>
        <w:rPr>
          <w:rFonts w:ascii="Times New Roman" w:cs="Times New Roman" w:eastAsia="Times New Roman" w:hAnsi="Times New Roman"/>
          <w:sz w:val="17"/>
          <w:szCs w:val="17"/>
          <w:color w:val="auto"/>
        </w:rPr>
        <w:t xml:space="preserve"> The Borrowing shall consist of Closing Date Term Loans made simultaneously by the Term Lenders in accordance with their respective Applicable Percentage of the Term Facility; provided that, if for any reason the full amount of the Term Facility is not fully drawn by Borrower on the First Amendment Effective Date, the undrawn portion thereof shall automatically be cancelled. For the avoidance of doubt, the Closing Date Term Loans made on the Closing Date and on the First Amendment Effective Date shall be treated the same for all purposes under this Agreement.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ind w:left="4920" w:hanging="101"/>
        <w:spacing w:after="0"/>
        <w:tabs>
          <w:tab w:leader="none" w:pos="49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292215" cy="24765"/>
                    </a:xfrm>
                    <a:prstGeom prst="rect">
                      <a:avLst/>
                    </a:prstGeom>
                    <a:noFill/>
                  </pic:spPr>
                </pic:pic>
              </a:graphicData>
            </a:graphic>
          </wp:anchor>
        </w:drawing>
        <w:drawing>
          <wp:anchor simplePos="0" relativeHeight="251657728" behindDoc="1" locked="0" layoutInCell="0" allowOverlap="1">
            <wp:simplePos x="0" y="0"/>
            <wp:positionH relativeFrom="column">
              <wp:posOffset>1680210</wp:posOffset>
            </wp:positionH>
            <wp:positionV relativeFrom="paragraph">
              <wp:posOffset>-1196340</wp:posOffset>
            </wp:positionV>
            <wp:extent cx="15849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584960" cy="8255"/>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-1179830</wp:posOffset>
            </wp:positionV>
            <wp:extent cx="15894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1589405" cy="8255"/>
                    </a:xfrm>
                    <a:prstGeom prst="rect">
                      <a:avLst/>
                    </a:prstGeom>
                    <a:noFill/>
                  </pic:spPr>
                </pic:pic>
              </a:graphicData>
            </a:graphic>
          </wp:anchor>
        </w:drawing>
      </w:r>
    </w:p>
    <w:p>
      <w:pPr>
        <w:sectPr>
          <w:pgSz w:w="11900" w:h="16838" w:orient="portrait"/>
          <w:cols w:equalWidth="0" w:num="1">
            <w:col w:w="9920"/>
          </w:cols>
          <w:pgMar w:left="980" w:top="1058" w:right="999" w:bottom="1440" w:gutter="0" w:footer="0" w:header="0"/>
        </w:sectPr>
      </w:pPr>
    </w:p>
    <w:bookmarkStart w:id="67" w:name="page68"/>
    <w:bookmarkEnd w:id="67"/>
    <w:p>
      <w:pPr>
        <w:jc w:val="both"/>
        <w:ind w:firstLine="1257"/>
        <w:spacing w:after="0" w:line="275" w:lineRule="auto"/>
        <w:tabs>
          <w:tab w:leader="none" w:pos="18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Term Lender’s funding of its Closing Date Term Loan, such Term Lender’s unfunded Term Commitment shall be permanently reduced to zero and terminate. Amounts borrowed under this Section 1.1(a) and repaid or prepaid may not be reborrowed. The Term Loans may be Base Rate Loans, Daily Simple SOFR Loans, or Term SOFR Loans, as further provided herein.</w:t>
      </w:r>
    </w:p>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1.2.</w:t>
            </w:r>
          </w:p>
        </w:tc>
        <w:tc>
          <w:tcPr>
            <w:tcW w:w="1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Reserved.</w:t>
            </w:r>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1.3.</w:t>
            </w:r>
          </w:p>
        </w:tc>
        <w:tc>
          <w:tcPr>
            <w:tcW w:w="1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Reserved.</w:t>
            </w:r>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1.4.</w:t>
            </w:r>
          </w:p>
        </w:tc>
        <w:tc>
          <w:tcPr>
            <w:tcW w:w="1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Applicable Interest Rates.</w:t>
            </w:r>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firstLine="1257"/>
        <w:spacing w:after="0" w:line="266" w:lineRule="auto"/>
        <w:tabs>
          <w:tab w:leader="none" w:pos="187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Rate Loans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Base Rate Loan made or maintained by a Lender shall bear interest (computed on the basis of a year of 365 or 366 days, as the case may be, and the actual days elapsed) on the unpaid principal amount thereof from the date such Loan is advanced, or created by conversion from a Term SOFR Loan or a Daily Simple SOFR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spacing w:after="0" w:line="168"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“Base Rate” </w:t>
      </w:r>
      <w:r>
        <w:rPr>
          <w:rFonts w:ascii="Times New Roman" w:cs="Times New Roman" w:eastAsia="Times New Roman" w:hAnsi="Times New Roman"/>
          <w:sz w:val="17"/>
          <w:szCs w:val="17"/>
          <w:color w:val="auto"/>
        </w:rPr>
        <w:t>means, for any day, the rate per annum equal to the greatest of: (a) the rate of interest announced or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1/2 of 1%, and (c) Adjusted Term SOFR for an interest Period of one month for such day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1.00%. If the Base Rate is being used as an alternate rate of interest pursuant to Section 10.6 hereof, then the Base Rate shall be the greater of clauses (a) and (b) above and shall be determined without reference to clause (c) above.</w:t>
      </w:r>
    </w:p>
    <w:p>
      <w:pPr>
        <w:spacing w:after="0" w:line="384"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“Federal Funds Rate” </w:t>
      </w:r>
      <w:r>
        <w:rPr>
          <w:rFonts w:ascii="Times New Roman" w:cs="Times New Roman" w:eastAsia="Times New Roman" w:hAnsi="Times New Roman"/>
          <w:sz w:val="17"/>
          <w:szCs w:val="17"/>
          <w:color w:val="auto"/>
        </w:rPr>
        <w:t>means, for any day, the rate per annum equal to the weighted average of the rates on overnight federal funds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transactions with members of the Federal Reserve System, as published by the Federal Reserve Bank of New York on the Business Day next succeeding such day;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the Federal Funds Rate be less than 0.00%.</w:t>
      </w:r>
    </w:p>
    <w:p>
      <w:pPr>
        <w:spacing w:after="0" w:line="175" w:lineRule="exact"/>
        <w:rPr>
          <w:sz w:val="20"/>
          <w:szCs w:val="20"/>
          <w:color w:val="auto"/>
        </w:rPr>
      </w:pPr>
    </w:p>
    <w:p>
      <w:pPr>
        <w:jc w:val="both"/>
        <w:ind w:firstLine="1257"/>
        <w:spacing w:after="0" w:line="276" w:lineRule="auto"/>
        <w:tabs>
          <w:tab w:leader="none" w:pos="187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 SOFR Loans</w:t>
      </w:r>
      <w:r>
        <w:rPr>
          <w:rFonts w:ascii="Times New Roman" w:cs="Times New Roman" w:eastAsia="Times New Roman" w:hAnsi="Times New Roman"/>
          <w:sz w:val="17"/>
          <w:szCs w:val="17"/>
          <w:color w:val="auto"/>
        </w:rPr>
        <w:t>. Each Term SOFR Loan made or maintained by a Lender shall bear interest during each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it is outstanding (computed on the basis of a year of 360 days and actual days elapsed) on the unpaid principal amount thereof from the date such Loan is advanced or continued, or created by conversion from a Base Rate Loan or Daily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7" w:lineRule="exact"/>
        <w:rPr>
          <w:rFonts w:ascii="Times New Roman" w:cs="Times New Roman" w:eastAsia="Times New Roman" w:hAnsi="Times New Roman"/>
          <w:sz w:val="17"/>
          <w:szCs w:val="17"/>
          <w:color w:val="auto"/>
        </w:rPr>
      </w:pPr>
    </w:p>
    <w:p>
      <w:pPr>
        <w:ind w:left="4920" w:hanging="101"/>
        <w:spacing w:after="0"/>
        <w:tabs>
          <w:tab w:leader="none" w:pos="49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68" w:name="page69"/>
    <w:bookmarkEnd w:id="68"/>
    <w:p>
      <w:pPr>
        <w:jc w:val="both"/>
        <w:spacing w:after="0" w:line="275" w:lineRule="auto"/>
        <w:rPr>
          <w:sz w:val="20"/>
          <w:szCs w:val="20"/>
          <w:color w:val="auto"/>
        </w:rPr>
      </w:pPr>
      <w:r>
        <w:rPr>
          <w:rFonts w:ascii="Times New Roman" w:cs="Times New Roman" w:eastAsia="Times New Roman" w:hAnsi="Times New Roman"/>
          <w:sz w:val="17"/>
          <w:szCs w:val="17"/>
          <w:color w:val="auto"/>
        </w:rPr>
        <w:t>Simple SOFR Loan, until maturity (whether by acceleration or otherwise) at a rate per annum equal to the sum of the Applicable Margin plus the Adjusted Term SOFR applicable for such Interest Period, payable by the Borrower on each Interest Payment Date and at maturity (whether by acceleration or otherwise).</w:t>
      </w:r>
    </w:p>
    <w:p>
      <w:pPr>
        <w:spacing w:after="0" w:line="161" w:lineRule="exact"/>
        <w:rPr>
          <w:sz w:val="20"/>
          <w:szCs w:val="20"/>
          <w:color w:val="auto"/>
        </w:rPr>
      </w:pPr>
    </w:p>
    <w:p>
      <w:pPr>
        <w:jc w:val="both"/>
        <w:ind w:firstLine="1257"/>
        <w:spacing w:after="0" w:line="266" w:lineRule="auto"/>
        <w:tabs>
          <w:tab w:leader="none" w:pos="187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Daily Simple SOFR Loans</w:t>
      </w:r>
      <w:r>
        <w:rPr>
          <w:rFonts w:ascii="Times New Roman" w:cs="Times New Roman" w:eastAsia="Times New Roman" w:hAnsi="Times New Roman"/>
          <w:sz w:val="17"/>
          <w:szCs w:val="17"/>
          <w:color w:val="auto"/>
        </w:rPr>
        <w:t>. Each Daily Simple SOFR Loan made or maintained by a Lender shall bear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(computed on the basis of a year of 365 or 366 days, as the case may be, and the actual days elapsed) on the unpaid principal amount thereof from the date such Loan is advanced, or created by conversion from a Term SOFR Loan or Base Rate Loan, until maturity (whether by acceleration or otherwise) at a rate per annum equal to the sum of the Applicable Margin plus the Adjusted Daily Simple SOFR from time to time in effect, payable by the Borrower on each Interest Payment Date and at maturity (whether by acceleration or otherwise).</w:t>
      </w:r>
    </w:p>
    <w:p>
      <w:pPr>
        <w:spacing w:after="0" w:line="168" w:lineRule="exact"/>
        <w:rPr>
          <w:rFonts w:ascii="Times New Roman" w:cs="Times New Roman" w:eastAsia="Times New Roman" w:hAnsi="Times New Roman"/>
          <w:sz w:val="17"/>
          <w:szCs w:val="17"/>
          <w:color w:val="auto"/>
        </w:rPr>
      </w:pPr>
    </w:p>
    <w:p>
      <w:pPr>
        <w:ind w:firstLine="1257"/>
        <w:spacing w:after="0" w:line="297" w:lineRule="auto"/>
        <w:tabs>
          <w:tab w:leader="none" w:pos="187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Rate Determinations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Administrative Agent shall determine each interest rate applicable to the Loans and its determination thereof shall be conclusive and binding except in the case of manifest error.</w:t>
      </w:r>
    </w:p>
    <w:p>
      <w:pPr>
        <w:spacing w:after="0" w:line="142"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Minimum Borrowing Amounts; Maximum Term SOFR Loans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Borrowing of Base Rate Loans shall be in an amount not less than $100,000. Each Borrowing of Term SOFR Loans advanced, continued or converted to a Term SOFR Loan shall be in an amount equal to $100,000 or such greater amount which is an integral multiple of $100,000. Without the Administrative Agent’s consent, there shall not be more than three (3) Borrowings of Term SOFR Loans outstanding hereunder.</w:t>
      </w:r>
    </w:p>
    <w:p>
      <w:pPr>
        <w:spacing w:after="0" w:line="169"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1.6.</w:t>
      </w:r>
      <w:r>
        <w:rPr>
          <w:sz w:val="20"/>
          <w:szCs w:val="20"/>
          <w:color w:val="auto"/>
        </w:rPr>
        <w:tab/>
      </w:r>
      <w:r>
        <w:rPr>
          <w:rFonts w:ascii="Times New Roman" w:cs="Times New Roman" w:eastAsia="Times New Roman" w:hAnsi="Times New Roman"/>
          <w:sz w:val="17"/>
          <w:szCs w:val="17"/>
          <w:u w:val="single" w:color="auto"/>
          <w:color w:val="auto"/>
        </w:rPr>
        <w:t>Manner of Borrowing Loans and Designating Applicable Interest Rates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1880" w:hanging="623"/>
        <w:spacing w:after="0"/>
        <w:tabs>
          <w:tab w:leader="none" w:pos="18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the Administrative Agent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Borrower shall give notice to the Administrative Agent by no later than</w:t>
      </w:r>
    </w:p>
    <w:p>
      <w:pPr>
        <w:spacing w:after="0" w:line="33" w:lineRule="exact"/>
        <w:rPr>
          <w:rFonts w:ascii="Times New Roman" w:cs="Times New Roman" w:eastAsia="Times New Roman" w:hAnsi="Times New Roman"/>
          <w:sz w:val="17"/>
          <w:szCs w:val="17"/>
          <w:color w:val="auto"/>
        </w:rPr>
      </w:pPr>
    </w:p>
    <w:p>
      <w:pPr>
        <w:jc w:val="both"/>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10:00 a.m. (New York time): (i) at least three (3) Business Days before the Closing Date if Borrower requests the Lenders to advance a Borrowing of Term SOFR Loans and (ii) on the date the Borrower requests the Lenders to advance a Borrowing of Base Rate Loans or Daily Simple SOFR Loans. The Loans included in such Borrowing shall bear interest initially at the type of rate specified in such notice of a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Term SOFR Loans, on the last day of the Interest Period applicable thereto, the Borrower may continue part or all of such Borrowing as Term SOFR Loans or convert part or all of such Borrowing into Base Rate Loans or </w:t>
      </w:r>
      <w:r>
        <w:rPr>
          <w:rFonts w:ascii="Times New Roman" w:cs="Times New Roman" w:eastAsia="Times New Roman" w:hAnsi="Times New Roman"/>
          <w:sz w:val="17"/>
          <w:szCs w:val="17"/>
          <w:u w:val="single" w:color="auto"/>
          <w:color w:val="4472C4"/>
        </w:rPr>
        <w:t>Daily Simple SOFR Loans or</w:t>
      </w:r>
      <w:r>
        <w:rPr>
          <w:rFonts w:ascii="Times New Roman" w:cs="Times New Roman" w:eastAsia="Times New Roman" w:hAnsi="Times New Roman"/>
          <w:sz w:val="17"/>
          <w:szCs w:val="17"/>
          <w:color w:val="auto"/>
        </w:rPr>
        <w:t xml:space="preserve"> (ii) if such Borrowing is of Base Rate Loans or Daily Simple SOFR Loans, on any Business Day, the Borrower may convert all or part of such Borrowing into Term SOFR Loans for an Interest Period or Interest Periods specified by the Borrower. The Borrower shall give all such notices requesting the Borrowing on the Closing Date, continuation or conversion of a Borrowing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B (Notice of Borrowing) or Exhibit C (Notice of Continuation/Conversion), as applicable, or in such other form acceptable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7" w:lineRule="exact"/>
        <w:rPr>
          <w:rFonts w:ascii="Times New Roman" w:cs="Times New Roman" w:eastAsia="Times New Roman" w:hAnsi="Times New Roman"/>
          <w:sz w:val="17"/>
          <w:szCs w:val="17"/>
          <w:color w:val="auto"/>
        </w:rPr>
      </w:pPr>
    </w:p>
    <w:p>
      <w:pPr>
        <w:ind w:left="4920" w:hanging="101"/>
        <w:spacing w:after="0"/>
        <w:tabs>
          <w:tab w:leader="none" w:pos="49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69" w:name="page70"/>
    <w:bookmarkEnd w:id="69"/>
    <w:p>
      <w:pPr>
        <w:jc w:val="both"/>
        <w:spacing w:after="0" w:line="259" w:lineRule="auto"/>
        <w:rPr>
          <w:sz w:val="20"/>
          <w:szCs w:val="20"/>
          <w:color w:val="auto"/>
        </w:rPr>
      </w:pPr>
      <w:r>
        <w:rPr>
          <w:rFonts w:ascii="Times New Roman" w:cs="Times New Roman" w:eastAsia="Times New Roman" w:hAnsi="Times New Roman"/>
          <w:sz w:val="17"/>
          <w:szCs w:val="17"/>
          <w:color w:val="auto"/>
        </w:rPr>
        <w:t>to the Administrative Agent. Notice of the continuation of a Borrowing of Term SOFR Loans for an additional Interest Period or of the conversion of part or all of a Borrowing of Base Rate Loans or Daily Simple SOFR Loans into Term SOFR Loans must be given by no later than 10:00 a.m. (New York time) at least three (3) Business Days before the date of the requested continuation or conversion. All such notices concerning the Borrowing on the Closing Date, continuation or conversion of a Borrowing shall specify, as applicable, the date of the continuation or conversion of a Borrowing (which shall be a Business Day), the amount of requested Borrowing to be continued or converted, the type of Loans to comprise such continued or converted Borrowing and, if such Borrowing is to be comprised of Term SOFR Loans, the Interest Period applicable thereto. No Borrowing of Term SOFR Loans or Daily Simple SOFR Loans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spacing w:after="0" w:line="183" w:lineRule="exact"/>
        <w:rPr>
          <w:sz w:val="20"/>
          <w:szCs w:val="20"/>
          <w:color w:val="auto"/>
        </w:rPr>
      </w:pPr>
    </w:p>
    <w:p>
      <w:pPr>
        <w:jc w:val="both"/>
        <w:ind w:firstLine="1257"/>
        <w:spacing w:after="0" w:line="268" w:lineRule="auto"/>
        <w:tabs>
          <w:tab w:leader="none" w:pos="187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the Lenders</w:t>
      </w:r>
      <w:r>
        <w:rPr>
          <w:rFonts w:ascii="Times New Roman" w:cs="Times New Roman" w:eastAsia="Times New Roman" w:hAnsi="Times New Roman"/>
          <w:sz w:val="17"/>
          <w:szCs w:val="17"/>
          <w:color w:val="auto"/>
        </w:rPr>
        <w:t>. The Administrative Agent shall give prompt telephonic, telecopy or other telecommunication notice to each Lender of any notice from the Borrower received pursuant to Section 1.6(a) above and, if such notice requests the Lenders to make Term SOFR Loans, the Administrative Agent shall give notice to the Borrower and each Lender by like means of the interest rate applicable thereto promptly after the Administrative Agent has made such determination.</w:t>
      </w:r>
    </w:p>
    <w:p>
      <w:pPr>
        <w:spacing w:after="0" w:line="169" w:lineRule="exact"/>
        <w:rPr>
          <w:rFonts w:ascii="Times New Roman" w:cs="Times New Roman" w:eastAsia="Times New Roman" w:hAnsi="Times New Roman"/>
          <w:sz w:val="17"/>
          <w:szCs w:val="17"/>
          <w:color w:val="auto"/>
        </w:rPr>
      </w:pPr>
    </w:p>
    <w:p>
      <w:pPr>
        <w:jc w:val="both"/>
        <w:ind w:firstLine="1257"/>
        <w:spacing w:after="0" w:line="262" w:lineRule="auto"/>
        <w:tabs>
          <w:tab w:leader="none" w:pos="187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Borrower’s Failure to Notify</w:t>
      </w:r>
      <w:r>
        <w:rPr>
          <w:rFonts w:ascii="Times New Roman" w:cs="Times New Roman" w:eastAsia="Times New Roman" w:hAnsi="Times New Roman"/>
          <w:sz w:val="17"/>
          <w:szCs w:val="17"/>
          <w:color w:val="auto"/>
        </w:rPr>
        <w:t xml:space="preserve">. If the Borrower fails to give notice pursuant to Section 1.6(a) above of the continuation or conversion of any outstanding principal amount of a Borrowing of Term SOFR Loans before the last day of its then current Interest Period within the period required by Section 1.6(a) and such Borrowing is not prepaid in accordance with Section 1.8, the Borrower shall be deemed to have given the notice three (3) Business Days prior to the end of the then current Interest Period and such Borrowing shall automatically be continued as a Borrowing of a Term SOFR Loan with a one (1) month Interest Period;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Lenders are able to accommodate such one (1) month Interest Period and such Term SOFR Loan shall be subject to the funding indemnity set forth in Section 1.11 hereof in the event it is prepaid prior to the end of the Interest Period.</w:t>
      </w:r>
    </w:p>
    <w:p>
      <w:pPr>
        <w:spacing w:after="0" w:line="175"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Disbursement of Loans</w:t>
      </w:r>
      <w:r>
        <w:rPr>
          <w:rFonts w:ascii="Times New Roman" w:cs="Times New Roman" w:eastAsia="Times New Roman" w:hAnsi="Times New Roman"/>
          <w:sz w:val="17"/>
          <w:szCs w:val="17"/>
          <w:color w:val="auto"/>
        </w:rPr>
        <w:t>. Each Lender shall make available its Loan comprising part of such Borrowing in funds immediately available at the principal office of the Administrative Agent in New York New York (or at such other location as the Administrative Agent shall designate) on the Closing Date.</w:t>
      </w:r>
    </w:p>
    <w:p>
      <w:pPr>
        <w:spacing w:after="0" w:line="160" w:lineRule="exact"/>
        <w:rPr>
          <w:rFonts w:ascii="Times New Roman" w:cs="Times New Roman" w:eastAsia="Times New Roman" w:hAnsi="Times New Roman"/>
          <w:sz w:val="17"/>
          <w:szCs w:val="17"/>
          <w:color w:val="auto"/>
        </w:rPr>
      </w:pPr>
    </w:p>
    <w:p>
      <w:pPr>
        <w:jc w:val="both"/>
        <w:ind w:firstLine="1257"/>
        <w:spacing w:after="0" w:line="266" w:lineRule="auto"/>
        <w:tabs>
          <w:tab w:leader="none" w:pos="187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Administrative Agent Reliance on Lender Funding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Unless the Administrative Agent shall have been notified by a Lender prior to (or, in the case of a Borrowing of Base Rate Loans or Daily Simple SOFR Loans, by 1:00 p.m. (New York time) on) the Closing Date (which notice shall be effective upon receipt) that such Lender does not intend to make payment to the Administrative Agent of the proceeds of a Loan, the Administrative Agent may assume that such Lender has made such payment when due and the Administrative Agent may in reliance upon such assumption (but shall not be required to) make available to the Borrower the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6" w:lineRule="exact"/>
        <w:rPr>
          <w:rFonts w:ascii="Times New Roman" w:cs="Times New Roman" w:eastAsia="Times New Roman" w:hAnsi="Times New Roman"/>
          <w:sz w:val="17"/>
          <w:szCs w:val="17"/>
          <w:color w:val="auto"/>
        </w:rPr>
      </w:pPr>
    </w:p>
    <w:p>
      <w:pPr>
        <w:ind w:left="4920" w:hanging="101"/>
        <w:spacing w:after="0"/>
        <w:tabs>
          <w:tab w:leader="none" w:pos="49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70" w:name="page71"/>
    <w:bookmarkEnd w:id="70"/>
    <w:p>
      <w:pPr>
        <w:jc w:val="both"/>
        <w:spacing w:after="0" w:line="259" w:lineRule="auto"/>
        <w:rPr>
          <w:sz w:val="20"/>
          <w:szCs w:val="20"/>
          <w:color w:val="auto"/>
        </w:rPr>
      </w:pPr>
      <w:r>
        <w:rPr>
          <w:rFonts w:ascii="Times New Roman" w:cs="Times New Roman" w:eastAsia="Times New Roman" w:hAnsi="Times New Roman"/>
          <w:sz w:val="17"/>
          <w:szCs w:val="17"/>
          <w:color w:val="auto"/>
        </w:rPr>
        <w:t>proceeds of the Loan to be made by such Lender and, if any Lender has not in fact made such payment to the Administrative Agent, (1)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 and (2) the Administrative Agent shall notify the Borrower of such Lender’s failure to pay. If such amount is not received from such Lender by the Administrative Agent immediately upon demand, the Borrower will, on demand, promptly, and in no event later than 11:00 a.m. (New York time) on the date that is two (2) Business Days following such demand, repay to the Administrative Agent the proceeds of the Loan attributable to such Lender with interest thereon at a rate per annum equal to the interest rate applicable to the Loan, which payment may be in the form of a Base Rate Loan under this Agreement, but without such payment being considered a payment or prepayment of a Loan under Section 1.11 hereof so that the Borrower will have no liability under such Section with respect to such payment.</w:t>
      </w:r>
    </w:p>
    <w:p>
      <w:pPr>
        <w:spacing w:after="0" w:line="178"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1.7.</w:t>
      </w:r>
      <w:r>
        <w:rPr>
          <w:sz w:val="20"/>
          <w:szCs w:val="20"/>
          <w:color w:val="auto"/>
        </w:rPr>
        <w:tab/>
      </w:r>
      <w:r>
        <w:rPr>
          <w:rFonts w:ascii="Times New Roman" w:cs="Times New Roman" w:eastAsia="Times New Roman" w:hAnsi="Times New Roman"/>
          <w:sz w:val="17"/>
          <w:szCs w:val="17"/>
          <w:u w:val="single" w:color="auto"/>
          <w:color w:val="auto"/>
        </w:rPr>
        <w:t>Maturity of Loans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firstLine="1257"/>
        <w:spacing w:after="0" w:line="294" w:lineRule="auto"/>
        <w:tabs>
          <w:tab w:leader="none" w:pos="187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Loans</w:t>
      </w:r>
      <w:r>
        <w:rPr>
          <w:rFonts w:ascii="Times New Roman" w:cs="Times New Roman" w:eastAsia="Times New Roman" w:hAnsi="Times New Roman"/>
          <w:sz w:val="17"/>
          <w:szCs w:val="17"/>
          <w:color w:val="auto"/>
        </w:rPr>
        <w:t>. Borrower shall repay to the Term Lenders on the Maturity Date for the Term Facility the aggregate principal amount of all Term Loans outstanding on such date.</w:t>
      </w:r>
    </w:p>
    <w:p>
      <w:pPr>
        <w:spacing w:after="0" w:line="146"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Incremental Loans</w:t>
      </w:r>
      <w:r>
        <w:rPr>
          <w:rFonts w:ascii="Times New Roman" w:cs="Times New Roman" w:eastAsia="Times New Roman" w:hAnsi="Times New Roman"/>
          <w:sz w:val="17"/>
          <w:szCs w:val="17"/>
          <w:color w:val="auto"/>
        </w:rPr>
        <w:t>. Borrower shall repay to the applicable Incremental Term Lenders on the applicable Maturity Date for the Incremental Term Loan Facility, the aggregate principal amount of all Incremental Term Loans of the applicable tranche outstanding under such Incremental Term Loan Facility on such date.</w:t>
      </w:r>
    </w:p>
    <w:p>
      <w:pPr>
        <w:spacing w:after="0" w:line="16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1.8.</w:t>
      </w:r>
      <w:r>
        <w:rPr>
          <w:sz w:val="20"/>
          <w:szCs w:val="20"/>
          <w:color w:val="auto"/>
        </w:rPr>
        <w:tab/>
      </w:r>
      <w:r>
        <w:rPr>
          <w:rFonts w:ascii="Times New Roman" w:cs="Times New Roman" w:eastAsia="Times New Roman" w:hAnsi="Times New Roman"/>
          <w:sz w:val="17"/>
          <w:szCs w:val="17"/>
          <w:u w:val="single" w:color="auto"/>
          <w:color w:val="auto"/>
        </w:rPr>
        <w:t>Prepayments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1257"/>
        <w:spacing w:after="0" w:line="261" w:lineRule="auto"/>
        <w:tabs>
          <w:tab w:leader="none" w:pos="187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w:t>
      </w:r>
      <w:r>
        <w:rPr>
          <w:rFonts w:ascii="Times New Roman" w:cs="Times New Roman" w:eastAsia="Times New Roman" w:hAnsi="Times New Roman"/>
          <w:sz w:val="17"/>
          <w:szCs w:val="17"/>
          <w:color w:val="auto"/>
        </w:rPr>
        <w:t>. The Borrower may prepay in whole or in part (but, if in part, then: (i) if such Borrowing is of Base Rate Loans, in an amount not less than $100,000, (ii) if such Borrowing is of Term SOFR Loans or Daily Simple SOFR Loans, in an amount not less than $100,000, and (iii) in each case, in an amount such that the minimum amount required for a Borrowing pursuant to Section 1.5 hereof remains outstanding) any Borrowing of Term SOFR Loans at any time upon three (3) Business Days prior notice by the Borrower to the Administrative Agent or, in the case of a Borrowing of Base Rate Loans or Daily Simple SOFR Loans, notice delivered by the Borrower to the Administrative Agent no later than 10:00 a.m. (New York time) on the date of prepayment (or, in any case, such shorter period of time then agreed to by the Administrative Agent), such prepayment to be made by the payment of the principal amount to be prepaid and, in the case of any Term SOFR Loans, accrued interest thereon to the date fixed for prepayment plus any amounts due the Lenders under Section 1.11 hereof.</w:t>
      </w:r>
    </w:p>
    <w:p>
      <w:pPr>
        <w:spacing w:after="0" w:line="385"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7" w:lineRule="exact"/>
        <w:rPr>
          <w:rFonts w:ascii="Times New Roman" w:cs="Times New Roman" w:eastAsia="Times New Roman" w:hAnsi="Times New Roman"/>
          <w:sz w:val="17"/>
          <w:szCs w:val="17"/>
          <w:color w:val="auto"/>
        </w:rPr>
      </w:pPr>
    </w:p>
    <w:p>
      <w:pPr>
        <w:ind w:left="4920" w:hanging="101"/>
        <w:spacing w:after="0"/>
        <w:tabs>
          <w:tab w:leader="none" w:pos="49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71" w:name="page72"/>
    <w:bookmarkEnd w:id="71"/>
    <w:p>
      <w:pPr>
        <w:jc w:val="both"/>
        <w:ind w:left="640" w:firstLine="1243"/>
        <w:spacing w:after="0" w:line="263" w:lineRule="auto"/>
        <w:tabs>
          <w:tab w:leader="none" w:pos="251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the sum of the unpaid principal balance of the Loans then outstanding shall be in excess of the lesser of the aggregate Commitments and the Adjusted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Availability</w:t>
      </w:r>
      <w:r>
        <w:rPr>
          <w:rFonts w:ascii="Times New Roman" w:cs="Times New Roman" w:eastAsia="Times New Roman" w:hAnsi="Times New Roman"/>
          <w:sz w:val="17"/>
          <w:szCs w:val="17"/>
          <w:color w:val="auto"/>
        </w:rPr>
        <w:t xml:space="preserve"> as then determined and computed, as contained in the most recent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Compliance</w:t>
      </w:r>
      <w:r>
        <w:rPr>
          <w:rFonts w:ascii="Times New Roman" w:cs="Times New Roman" w:eastAsia="Times New Roman" w:hAnsi="Times New Roman"/>
          <w:sz w:val="17"/>
          <w:szCs w:val="17"/>
          <w:color w:val="auto"/>
        </w:rPr>
        <w:t xml:space="preserve"> Certificate delivered in accordance with Section 8.5(</w:t>
      </w:r>
      <w:r>
        <w:rPr>
          <w:rFonts w:ascii="Times New Roman" w:cs="Times New Roman" w:eastAsia="Times New Roman" w:hAnsi="Times New Roman"/>
          <w:sz w:val="17"/>
          <w:szCs w:val="17"/>
          <w:color w:val="FF0000"/>
          <w:strike w:val="1"/>
        </w:rPr>
        <w:t>d</w:t>
      </w:r>
      <w:r>
        <w:rPr>
          <w:rFonts w:ascii="Times New Roman" w:cs="Times New Roman" w:eastAsia="Times New Roman" w:hAnsi="Times New Roman"/>
          <w:sz w:val="17"/>
          <w:szCs w:val="17"/>
          <w:u w:val="single" w:color="auto"/>
          <w:color w:val="4472C4"/>
        </w:rPr>
        <w:t>e</w:t>
      </w:r>
      <w:r>
        <w:rPr>
          <w:rFonts w:ascii="Times New Roman" w:cs="Times New Roman" w:eastAsia="Times New Roman" w:hAnsi="Times New Roman"/>
          <w:sz w:val="17"/>
          <w:szCs w:val="17"/>
          <w:color w:val="auto"/>
        </w:rPr>
        <w:t>) hereof, the Borrower shall promptly, and in no event later than 11:00 a.m. (New York time) on the date that is two (2) Business Days following such delivery, and without notice or demand pay the amount of the excess to the Administrative Agent for the account of the Lenders as a mandatory prepayment on such Obligations.</w:t>
      </w:r>
    </w:p>
    <w:p>
      <w:pPr>
        <w:spacing w:after="0" w:line="175" w:lineRule="exact"/>
        <w:rPr>
          <w:rFonts w:ascii="Times New Roman" w:cs="Times New Roman" w:eastAsia="Times New Roman" w:hAnsi="Times New Roman"/>
          <w:sz w:val="17"/>
          <w:szCs w:val="17"/>
          <w:color w:val="auto"/>
        </w:rPr>
      </w:pPr>
    </w:p>
    <w:p>
      <w:pPr>
        <w:jc w:val="both"/>
        <w:ind w:left="640" w:firstLine="1243"/>
        <w:spacing w:after="0" w:line="264" w:lineRule="auto"/>
        <w:tabs>
          <w:tab w:leader="none" w:pos="251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Borrower otherwise directs, prepayments of Loans under this Section 1.8(b) shall be applied first to Borrowings of Base Rate Loans until payment in full thereof, second to Daily Simple SOFR Loans until payment in full thereof, with any balance applied to Borrowings of Term SOFR Loans in the order in which their Interest Periods expire. Each prepayment of Loans under this Section 1.8(b) shall be made by the payment of the principal amount to be prepaid and, in the case of any Term SOFR Loans, accrued interest thereon to the date of prepayment together with any amounts due the Lenders under Section 1.11 hereof.</w:t>
      </w:r>
    </w:p>
    <w:p>
      <w:pPr>
        <w:spacing w:after="0" w:line="383"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Reborrowing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Any Loans repaid or prepaid may not be reborrowed.</w:t>
      </w:r>
    </w:p>
    <w:p>
      <w:pPr>
        <w:spacing w:after="0" w:line="224"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 xml:space="preserve">Section 1.9. </w:t>
      </w: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Notwithstanding anything to the contrary contained herein, while any Event of Default exists or after acceleration, if so directed by the Required Lenders, the Borrower shall pay interest (after as well as before entry of judgment thereon to the extent permitted by law) on the principal amount of all Loans at a rate per annum equal to:</w:t>
      </w:r>
    </w:p>
    <w:p>
      <w:pPr>
        <w:spacing w:after="0" w:line="161" w:lineRule="exact"/>
        <w:rPr>
          <w:sz w:val="20"/>
          <w:szCs w:val="20"/>
          <w:color w:val="auto"/>
        </w:rPr>
      </w:pPr>
    </w:p>
    <w:p>
      <w:pPr>
        <w:ind w:left="1880" w:hanging="623"/>
        <w:spacing w:after="0"/>
        <w:tabs>
          <w:tab w:leader="none" w:pos="18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any Base Rate Loan, the sum of 2.0%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Applicable Margin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Base Rate from time to time 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w:t>
      </w:r>
    </w:p>
    <w:p>
      <w:pPr>
        <w:spacing w:after="0" w:line="204" w:lineRule="exact"/>
        <w:rPr>
          <w:sz w:val="20"/>
          <w:szCs w:val="20"/>
          <w:color w:val="auto"/>
        </w:rPr>
      </w:pPr>
    </w:p>
    <w:p>
      <w:pPr>
        <w:ind w:firstLine="1257"/>
        <w:spacing w:after="0" w:line="294" w:lineRule="auto"/>
        <w:tabs>
          <w:tab w:leader="none" w:pos="187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Daily Simple SOFR Loan, the sum of 2.0% plus the Applicable Margin plus the Adjusted Daily Simple SOFR from time to time in effect; and</w:t>
      </w:r>
    </w:p>
    <w:p>
      <w:pPr>
        <w:spacing w:after="0" w:line="144" w:lineRule="exact"/>
        <w:rPr>
          <w:rFonts w:ascii="Times New Roman" w:cs="Times New Roman" w:eastAsia="Times New Roman" w:hAnsi="Times New Roman"/>
          <w:sz w:val="17"/>
          <w:szCs w:val="17"/>
          <w:color w:val="auto"/>
        </w:rPr>
      </w:pPr>
    </w:p>
    <w:p>
      <w:pPr>
        <w:jc w:val="both"/>
        <w:ind w:firstLine="1257"/>
        <w:spacing w:after="0" w:line="276" w:lineRule="auto"/>
        <w:tabs>
          <w:tab w:leader="none" w:pos="187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any Term SOFR Loan, the sum of 2.0%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rate of interest in effect thereon at the time of such default until the end of the Interest Period applicable thereto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Applicable Margin and, thereafter, at a rate per annum equal to the sum of 2.0%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Applicable Margin for Base Rate Loans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Base Rate from time to time in effect;</w:t>
      </w:r>
    </w:p>
    <w:p>
      <w:pPr>
        <w:spacing w:after="0" w:line="16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in the absence of acceleration, any adjustments pursuant to this Section 1.9 shall be made by the Administrative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w:t>
      </w:r>
    </w:p>
    <w:p>
      <w:pPr>
        <w:spacing w:after="0" w:line="378"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1.10.</w:t>
      </w:r>
      <w:r>
        <w:rPr>
          <w:sz w:val="20"/>
          <w:szCs w:val="20"/>
          <w:color w:val="auto"/>
        </w:rPr>
        <w:tab/>
      </w:r>
      <w:r>
        <w:rPr>
          <w:rFonts w:ascii="Times New Roman" w:cs="Times New Roman" w:eastAsia="Times New Roman" w:hAnsi="Times New Roman"/>
          <w:sz w:val="17"/>
          <w:szCs w:val="17"/>
          <w:u w:val="single" w:color="auto"/>
          <w:color w:val="auto"/>
        </w:rPr>
        <w:t>Evidence of Indebtedness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1257"/>
        <w:spacing w:after="0" w:line="275" w:lineRule="auto"/>
        <w:tabs>
          <w:tab w:leader="none" w:pos="187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8" w:lineRule="exact"/>
        <w:rPr>
          <w:rFonts w:ascii="Times New Roman" w:cs="Times New Roman" w:eastAsia="Times New Roman" w:hAnsi="Times New Roman"/>
          <w:sz w:val="17"/>
          <w:szCs w:val="17"/>
          <w:color w:val="auto"/>
        </w:rPr>
      </w:pPr>
    </w:p>
    <w:p>
      <w:pPr>
        <w:ind w:left="4920" w:hanging="101"/>
        <w:spacing w:after="0"/>
        <w:tabs>
          <w:tab w:leader="none" w:pos="492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72" w:name="page73"/>
    <w:bookmarkEnd w:id="72"/>
    <w:p>
      <w:pPr>
        <w:jc w:val="both"/>
        <w:ind w:firstLine="1257"/>
        <w:spacing w:after="0" w:line="268" w:lineRule="auto"/>
        <w:tabs>
          <w:tab w:leader="none" w:pos="187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67" w:lineRule="exact"/>
        <w:rPr>
          <w:rFonts w:ascii="Times New Roman" w:cs="Times New Roman" w:eastAsia="Times New Roman" w:hAnsi="Times New Roman"/>
          <w:sz w:val="17"/>
          <w:szCs w:val="17"/>
          <w:color w:val="auto"/>
        </w:rPr>
      </w:pPr>
    </w:p>
    <w:p>
      <w:pPr>
        <w:jc w:val="both"/>
        <w:ind w:firstLine="1257"/>
        <w:spacing w:after="0" w:line="269" w:lineRule="auto"/>
        <w:tabs>
          <w:tab w:leader="none" w:pos="187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entries maintained in the accounts maintained pursuant to paragraphs (a) and (b) above shall be </w:t>
      </w:r>
      <w:r>
        <w:rPr>
          <w:rFonts w:ascii="Times New Roman" w:cs="Times New Roman" w:eastAsia="Times New Roman" w:hAnsi="Times New Roman"/>
          <w:sz w:val="17"/>
          <w:szCs w:val="17"/>
          <w:i w:val="1"/>
          <w:iCs w:val="1"/>
          <w:color w:val="auto"/>
        </w:rPr>
        <w:t>prima facie</w:t>
      </w:r>
      <w:r>
        <w:rPr>
          <w:rFonts w:ascii="Times New Roman" w:cs="Times New Roman" w:eastAsia="Times New Roman" w:hAnsi="Times New Roman"/>
          <w:sz w:val="17"/>
          <w:szCs w:val="17"/>
          <w:color w:val="auto"/>
        </w:rPr>
        <w:t xml:space="preserve"> evidence of the existence and amounts of the Obligations therein recorded absent manifest error;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failure of the Administrative Agent or any Lender to maintain such accounts or any error therein shall not in any manner affect the obligation of the Borrower to repay the Obligations in accordance with their terms.</w:t>
      </w:r>
    </w:p>
    <w:p>
      <w:pPr>
        <w:spacing w:after="0" w:line="168" w:lineRule="exact"/>
        <w:rPr>
          <w:rFonts w:ascii="Times New Roman" w:cs="Times New Roman" w:eastAsia="Times New Roman" w:hAnsi="Times New Roman"/>
          <w:sz w:val="17"/>
          <w:szCs w:val="17"/>
          <w:color w:val="auto"/>
        </w:rPr>
      </w:pPr>
    </w:p>
    <w:p>
      <w:pPr>
        <w:jc w:val="both"/>
        <w:ind w:firstLine="1257"/>
        <w:spacing w:after="0" w:line="262" w:lineRule="auto"/>
        <w:tabs>
          <w:tab w:leader="none" w:pos="187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Term Lender or Incremental Term Lender may request that its Loans be evidenced by a promissory note or notes in the forms of Exhibit D being herein referred to collectively as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Notes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individually as a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Note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In such event, the Borrower shall prepare, execute and deliver to such Term Lender or Incremental Term Lender a Note payable to such Lender or its registered assigns in the amount of the Term Loan Commitment or Incremental Term Loan Commitment, as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or assignee subsequently returns any such Note for cancellation and requests that such Loans once again be evidenced as described above.</w:t>
      </w:r>
    </w:p>
    <w:p>
      <w:pPr>
        <w:spacing w:after="0" w:line="384" w:lineRule="exact"/>
        <w:rPr>
          <w:sz w:val="20"/>
          <w:szCs w:val="20"/>
          <w:color w:val="auto"/>
        </w:rPr>
      </w:pPr>
    </w:p>
    <w:p>
      <w:pPr>
        <w:jc w:val="both"/>
        <w:ind w:firstLine="626"/>
        <w:spacing w:after="0" w:line="272" w:lineRule="auto"/>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u w:val="single" w:color="auto"/>
          <w:color w:val="auto"/>
        </w:rPr>
        <w:t>Funding Indemnity</w:t>
      </w:r>
      <w:r>
        <w:rPr>
          <w:rFonts w:ascii="Times New Roman" w:cs="Times New Roman" w:eastAsia="Times New Roman" w:hAnsi="Times New Roman"/>
          <w:sz w:val="17"/>
          <w:szCs w:val="17"/>
          <w:color w:val="auto"/>
        </w:rPr>
        <w:t>. If any Lender shall incur any loss, cost or reasonable expense (including, without limitation, any loss, cost or reasonable expense incurred by reason of the liquidation or re-employment of deposits or other funds acquired by such Lender to fund or maintain any Term SOFR Loan or the relending or reinvesting of such deposits or amounts paid or prepaid to such Lender) as a result of:</w:t>
      </w:r>
    </w:p>
    <w:p>
      <w:pPr>
        <w:spacing w:after="0" w:line="378" w:lineRule="exact"/>
        <w:rPr>
          <w:sz w:val="20"/>
          <w:szCs w:val="20"/>
          <w:color w:val="auto"/>
        </w:rPr>
      </w:pPr>
    </w:p>
    <w:p>
      <w:pPr>
        <w:ind w:left="1880" w:hanging="623"/>
        <w:spacing w:after="0"/>
        <w:tabs>
          <w:tab w:leader="none" w:pos="18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prepayment or conversion of a Term SOFR Loan on a date other than the last day of its Interest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w:t>
      </w:r>
    </w:p>
    <w:p>
      <w:pPr>
        <w:spacing w:after="0" w:line="204" w:lineRule="exact"/>
        <w:rPr>
          <w:sz w:val="20"/>
          <w:szCs w:val="20"/>
          <w:color w:val="auto"/>
        </w:rPr>
      </w:pPr>
    </w:p>
    <w:p>
      <w:pPr>
        <w:jc w:val="both"/>
        <w:ind w:firstLine="1257"/>
        <w:spacing w:after="0" w:line="275" w:lineRule="auto"/>
        <w:tabs>
          <w:tab w:leader="none" w:pos="187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(because of a failure to meet the conditions of Section 7 or otherwise) by the Borrower to borrow or continue a Term SOFR Loan, or to convert a Base Rate Loan into a Term SOFR Loan, on the date specified in a notice given pursuant to Section 1.6(a) hereof,</w:t>
      </w:r>
    </w:p>
    <w:p>
      <w:pPr>
        <w:spacing w:after="0" w:line="162"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the Borrower to make any payment of principal on any Term SOFR Loan when due (whether by</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acceleration or otherwise),</w:t>
      </w:r>
    </w:p>
    <w:p>
      <w:pPr>
        <w:spacing w:after="0" w:line="203"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acceleration of the maturity of a Term SOFR Loan as a result of the occurrence of any Event of Default</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hereunder, or</w:t>
      </w:r>
    </w:p>
    <w:p>
      <w:pPr>
        <w:spacing w:after="0" w:line="203"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assignment of any </w:t>
      </w:r>
      <w:r>
        <w:rPr>
          <w:rFonts w:ascii="Times New Roman" w:cs="Times New Roman" w:eastAsia="Times New Roman" w:hAnsi="Times New Roman"/>
          <w:sz w:val="17"/>
          <w:szCs w:val="17"/>
          <w:u w:val="single" w:color="auto"/>
          <w:color w:val="4472C4"/>
        </w:rPr>
        <w:t>Term</w:t>
      </w:r>
      <w:r>
        <w:rPr>
          <w:rFonts w:ascii="Times New Roman" w:cs="Times New Roman" w:eastAsia="Times New Roman" w:hAnsi="Times New Roman"/>
          <w:sz w:val="17"/>
          <w:szCs w:val="17"/>
          <w:color w:val="auto"/>
        </w:rPr>
        <w:t xml:space="preserve"> SOFR Loan on a date other than the last day of the Interest Period applicable thereto as a result of a request by the Borrower pursuant to </w:t>
      </w:r>
      <w:r>
        <w:rPr>
          <w:rFonts w:ascii="Times New Roman" w:cs="Times New Roman" w:eastAsia="Times New Roman" w:hAnsi="Times New Roman"/>
          <w:sz w:val="17"/>
          <w:szCs w:val="17"/>
          <w:u w:val="single" w:color="auto"/>
          <w:color w:val="auto"/>
        </w:rPr>
        <w:t>Section 1.13</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ind w:left="4920" w:hanging="101"/>
        <w:spacing w:after="0"/>
        <w:tabs>
          <w:tab w:leader="none" w:pos="492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73" w:name="page74"/>
    <w:bookmarkEnd w:id="73"/>
    <w:p>
      <w:pPr>
        <w:jc w:val="both"/>
        <w:spacing w:after="0" w:line="268" w:lineRule="auto"/>
        <w:rPr>
          <w:sz w:val="20"/>
          <w:szCs w:val="20"/>
          <w:color w:val="auto"/>
        </w:rPr>
      </w:pPr>
      <w:r>
        <w:rPr>
          <w:rFonts w:ascii="Times New Roman" w:cs="Times New Roman" w:eastAsia="Times New Roman" w:hAnsi="Times New Roman"/>
          <w:sz w:val="17"/>
          <w:szCs w:val="17"/>
          <w:color w:val="auto"/>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 and the amounts shown on such certificate shall be conclusive if reasonably determined absent manifest error.</w:t>
      </w:r>
    </w:p>
    <w:p>
      <w:pPr>
        <w:spacing w:after="0" w:line="170"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1.12.</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22" w:lineRule="exact"/>
        <w:rPr>
          <w:sz w:val="20"/>
          <w:szCs w:val="20"/>
          <w:color w:val="auto"/>
        </w:rPr>
      </w:pPr>
    </w:p>
    <w:p>
      <w:pPr>
        <w:jc w:val="both"/>
        <w:ind w:firstLine="626"/>
        <w:spacing w:after="0" w:line="258" w:lineRule="auto"/>
        <w:rPr>
          <w:sz w:val="20"/>
          <w:szCs w:val="20"/>
          <w:color w:val="auto"/>
        </w:rPr>
      </w:pPr>
      <w:r>
        <w:rPr>
          <w:rFonts w:ascii="Times New Roman" w:cs="Times New Roman" w:eastAsia="Times New Roman" w:hAnsi="Times New Roman"/>
          <w:sz w:val="17"/>
          <w:szCs w:val="17"/>
          <w:color w:val="auto"/>
        </w:rPr>
        <w:t xml:space="preserve">Section 1.13. </w:t>
      </w:r>
      <w:r>
        <w:rPr>
          <w:rFonts w:ascii="Times New Roman" w:cs="Times New Roman" w:eastAsia="Times New Roman" w:hAnsi="Times New Roman"/>
          <w:sz w:val="17"/>
          <w:szCs w:val="17"/>
          <w:u w:val="single" w:color="auto"/>
          <w:color w:val="auto"/>
        </w:rPr>
        <w:t>Substitution of Lenders</w:t>
      </w:r>
      <w:r>
        <w:rPr>
          <w:rFonts w:ascii="Times New Roman" w:cs="Times New Roman" w:eastAsia="Times New Roman" w:hAnsi="Times New Roman"/>
          <w:sz w:val="17"/>
          <w:szCs w:val="17"/>
          <w:color w:val="auto"/>
        </w:rPr>
        <w:t xml:space="preserve">. In the event (a) the Borrower receives a claim from any Lender for compensation under Section 10.3 or 12.1 hereof, (b) the Borrower receives notice from any Lender of any illegality pursuant to Section 10.1 hereof, (c) any Lender is then a Defaulting Lender or such Lender is a Subsidiary or Affiliate of a Person who has been deemed insolvent or becomes the subject of a bankruptcy or insolvency proceeding or a receiver or conservator has been appointed for any such Person, or (d) a Lender fails to consent to an amendment or waiver requested under Section 12.13 hereof at a time when the Required Lenders have approved such amendment or waiver (any such Lender referred to in clause (a), (b), (c), or (d) above being hereinafter referred to as an </w:t>
      </w:r>
      <w:r>
        <w:rPr>
          <w:rFonts w:ascii="Times New Roman" w:cs="Times New Roman" w:eastAsia="Times New Roman" w:hAnsi="Times New Roman"/>
          <w:sz w:val="17"/>
          <w:szCs w:val="17"/>
          <w:i w:val="1"/>
          <w:iCs w:val="1"/>
          <w:color w:val="auto"/>
        </w:rPr>
        <w:t>“Affected Lender”</w:t>
      </w:r>
      <w:r>
        <w:rPr>
          <w:rFonts w:ascii="Times New Roman" w:cs="Times New Roman" w:eastAsia="Times New Roman" w:hAnsi="Times New Roman"/>
          <w:sz w:val="17"/>
          <w:szCs w:val="17"/>
          <w:color w:val="auto"/>
        </w:rPr>
        <w:t xml:space="preserve">), the Borrower may, in addition to any other rights the Borrower may have hereunder or under applicable law, require, at its expense, any such Affected Lender to assign, at par, without recourse (other than with respect to claims or Liens arising by, through or under such Affected Lender), all of its interest, rights, and obligations hereunder (including all of its Commitments, Loans and other amounts at any time owing to it hereunder and the other Loan Documents) to an Eligible Assignee specified by the Borrower,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assignment shall not conflict with or violate any law, rule or regulation or order of any court or other governmental authority, (ii) 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spacing w:after="0" w:line="394"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 xml:space="preserve">Section 1.14. </w:t>
      </w:r>
      <w:r>
        <w:rPr>
          <w:rFonts w:ascii="Times New Roman" w:cs="Times New Roman" w:eastAsia="Times New Roman" w:hAnsi="Times New Roman"/>
          <w:sz w:val="17"/>
          <w:szCs w:val="17"/>
          <w:u w:val="single" w:color="auto"/>
          <w:color w:val="auto"/>
        </w:rPr>
        <w:t>Defaulting Lenders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Anything contained herein to the contrary notwithstanding, in the event that any Lender at any time is a Defaulting Lender, then (a) during any Defaulting Lender Period with respect to such Defaulting Lender, such Defaulting Lender shall be deemed not to be a </w:t>
      </w:r>
      <w:r>
        <w:rPr>
          <w:rFonts w:ascii="Times New Roman" w:cs="Times New Roman" w:eastAsia="Times New Roman" w:hAnsi="Times New Roman"/>
          <w:sz w:val="17"/>
          <w:szCs w:val="17"/>
          <w:i w:val="1"/>
          <w:iCs w:val="1"/>
          <w:color w:val="auto"/>
        </w:rPr>
        <w:t>“Lender”</w:t>
      </w:r>
      <w:r>
        <w:rPr>
          <w:rFonts w:ascii="Times New Roman" w:cs="Times New Roman" w:eastAsia="Times New Roman" w:hAnsi="Times New Roman"/>
          <w:sz w:val="17"/>
          <w:szCs w:val="17"/>
          <w:color w:val="auto"/>
        </w:rPr>
        <w:t xml:space="preserve"> for purposes of voting on any matters (including the granting of any consents or waivers) with respect to any of the Loan Documents and such Defaulting Lender’s Commitments shall be excluded for purposes of determining </w:t>
      </w:r>
      <w:r>
        <w:rPr>
          <w:rFonts w:ascii="Times New Roman" w:cs="Times New Roman" w:eastAsia="Times New Roman" w:hAnsi="Times New Roman"/>
          <w:sz w:val="17"/>
          <w:szCs w:val="17"/>
          <w:i w:val="1"/>
          <w:iCs w:val="1"/>
          <w:color w:val="auto"/>
        </w:rPr>
        <w:t>“Required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Lenders” </w:t>
      </w:r>
      <w:r>
        <w:rPr>
          <w:rFonts w:ascii="Times New Roman" w:cs="Times New Roman" w:eastAsia="Times New Roman" w:hAnsi="Times New Roman"/>
          <w:sz w:val="17"/>
          <w:szCs w:val="17"/>
          <w:color w:val="auto"/>
        </w:rPr>
        <w:t>(provided that the foregoing shall not permit an increase in such Lender’s Commitments or an extension of the maturity date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Lender’s Loans or other Obligations without such Lender’s consent); (b) to the extent permitted by applicable law, until such time as the Defaulting Lender Excess with respect to such Defaulting Lender shall have been reduced to zero, any voluntary prepayment of the Loans shall, if the Administrative Agent so directs at the time of making such voluntary prepayment, be applied to the Loans of other Lenders as if such Defaulting Lender had no Loans outstanding; and (c) the utilization of Commitments as at any date of determination shall be calculated as if such Defaulting Lender had funded all Loans of such Defaulting Lender. No Commitment of any Lender shall be increased or otherwise affected, and, except as otherwise expressly provided in this Section 1.14, performance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74" w:name="page75"/>
    <w:bookmarkEnd w:id="74"/>
    <w:p>
      <w:pPr>
        <w:jc w:val="both"/>
        <w:spacing w:after="0" w:line="268" w:lineRule="auto"/>
        <w:rPr>
          <w:sz w:val="20"/>
          <w:szCs w:val="20"/>
          <w:color w:val="auto"/>
        </w:rPr>
      </w:pPr>
      <w:r>
        <w:rPr>
          <w:rFonts w:ascii="Times New Roman" w:cs="Times New Roman" w:eastAsia="Times New Roman" w:hAnsi="Times New Roman"/>
          <w:sz w:val="17"/>
          <w:szCs w:val="17"/>
          <w:color w:val="auto"/>
        </w:rPr>
        <w:t>Borrower of its obligations hereunder and the other Loan Documents shall not be excused or otherwise modified as a result of the operation of this Section 1.14. The rights and remedies against a Defaulting Lender under this Section 1.14 are in addition to other rights and remedies which the Borrower may have against such Defaulting Lender and which the Administrative Agent or any Lender may have against such Defaulting Lender.</w:t>
      </w:r>
    </w:p>
    <w:p>
      <w:pPr>
        <w:spacing w:after="0" w:line="170"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1.15.</w:t>
      </w:r>
      <w:r>
        <w:rPr>
          <w:sz w:val="20"/>
          <w:szCs w:val="20"/>
          <w:color w:val="auto"/>
        </w:rPr>
        <w:tab/>
      </w:r>
      <w:r>
        <w:rPr>
          <w:rFonts w:ascii="Times New Roman" w:cs="Times New Roman" w:eastAsia="Times New Roman" w:hAnsi="Times New Roman"/>
          <w:sz w:val="17"/>
          <w:szCs w:val="17"/>
          <w:u w:val="single" w:color="auto"/>
          <w:color w:val="auto"/>
        </w:rPr>
        <w:t>Increase in Commitments.</w:t>
      </w:r>
    </w:p>
    <w:p>
      <w:pPr>
        <w:spacing w:after="0" w:line="222" w:lineRule="exact"/>
        <w:rPr>
          <w:sz w:val="20"/>
          <w:szCs w:val="20"/>
          <w:color w:val="auto"/>
        </w:rPr>
      </w:pPr>
    </w:p>
    <w:p>
      <w:pPr>
        <w:jc w:val="both"/>
        <w:ind w:firstLine="1257"/>
        <w:spacing w:after="0" w:line="257" w:lineRule="auto"/>
        <w:tabs>
          <w:tab w:leader="none" w:pos="187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to Effective of Increase</w:t>
      </w:r>
      <w:r>
        <w:rPr>
          <w:rFonts w:ascii="Times New Roman" w:cs="Times New Roman" w:eastAsia="Times New Roman" w:hAnsi="Times New Roman"/>
          <w:sz w:val="17"/>
          <w:szCs w:val="17"/>
          <w:color w:val="auto"/>
        </w:rPr>
        <w:t>. Upon notice to Administrative Agent (which shall promptly notify the Lenders), Borrower may from time to time, request to incur additional indebtedness under this Agreement pursuant to one or more tranches of term loans (each an “</w:t>
      </w:r>
      <w:r>
        <w:rPr>
          <w:rFonts w:ascii="Times New Roman" w:cs="Times New Roman" w:eastAsia="Times New Roman" w:hAnsi="Times New Roman"/>
          <w:sz w:val="17"/>
          <w:szCs w:val="17"/>
          <w:i w:val="1"/>
          <w:iCs w:val="1"/>
          <w:color w:val="auto"/>
        </w:rPr>
        <w:t>Incremental Term Loan Facility</w:t>
      </w:r>
      <w:r>
        <w:rPr>
          <w:rFonts w:ascii="Times New Roman" w:cs="Times New Roman" w:eastAsia="Times New Roman" w:hAnsi="Times New Roman"/>
          <w:sz w:val="17"/>
          <w:szCs w:val="17"/>
          <w:color w:val="auto"/>
        </w:rPr>
        <w:t>”; and the term loans made pursuant thereto, each an “</w:t>
      </w:r>
      <w:r>
        <w:rPr>
          <w:rFonts w:ascii="Times New Roman" w:cs="Times New Roman" w:eastAsia="Times New Roman" w:hAnsi="Times New Roman"/>
          <w:sz w:val="17"/>
          <w:szCs w:val="17"/>
          <w:i w:val="1"/>
          <w:iCs w:val="1"/>
          <w:color w:val="auto"/>
        </w:rPr>
        <w:t>Incremental Term Loan</w:t>
      </w:r>
      <w:r>
        <w:rPr>
          <w:rFonts w:ascii="Times New Roman" w:cs="Times New Roman" w:eastAsia="Times New Roman" w:hAnsi="Times New Roman"/>
          <w:sz w:val="17"/>
          <w:szCs w:val="17"/>
          <w:color w:val="auto"/>
        </w:rPr>
        <w:t>” and the commitment made pursuant thereto, an “</w:t>
      </w:r>
      <w:r>
        <w:rPr>
          <w:rFonts w:ascii="Times New Roman" w:cs="Times New Roman" w:eastAsia="Times New Roman" w:hAnsi="Times New Roman"/>
          <w:sz w:val="17"/>
          <w:szCs w:val="17"/>
          <w:i w:val="1"/>
          <w:iCs w:val="1"/>
          <w:color w:val="auto"/>
        </w:rPr>
        <w:t>Incremental Term Loan Commitment</w:t>
      </w:r>
      <w:r>
        <w:rPr>
          <w:rFonts w:ascii="Times New Roman" w:cs="Times New Roman" w:eastAsia="Times New Roman" w:hAnsi="Times New Roman"/>
          <w:sz w:val="17"/>
          <w:szCs w:val="17"/>
          <w:color w:val="auto"/>
        </w:rPr>
        <w:t>”) in an aggregate amount not exceeding $100,000,000 (each such increase or additional tranche, a “</w:t>
      </w:r>
      <w:r>
        <w:rPr>
          <w:rFonts w:ascii="Times New Roman" w:cs="Times New Roman" w:eastAsia="Times New Roman" w:hAnsi="Times New Roman"/>
          <w:sz w:val="17"/>
          <w:szCs w:val="17"/>
          <w:i w:val="1"/>
          <w:iCs w:val="1"/>
          <w:color w:val="auto"/>
        </w:rPr>
        <w:t>Commitment Increase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 the aggregate amount of the Commitments shall not be increased to an amount in excess of $160,000,000, (ii) Borrower may request a maximum of three (3) such Commitment Increases during the term of the Loan, each in a minimum amount of $25,000,000 or such lesser amount as approved by the Administrative Agent, (iii) no Default or Event of Default shall have occurred and be continuing at the time of the request or the effective date of the Commitment Increase, (iv)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at the time of such request and on the effective date of such Commitment Increase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(v) upon the reasonable request of any additional Lender made at least seven (7) days prior to the effective date of such Commitment Increase, Borrower shall have provided to such additional Lender, and such additional Lender shall be reasonably satisfied with, the documentation and other information so requested in connection with applicable “know your customer” and anti-money-laundering rules and regulations, including the Act, in each case at least three (3) days prior to the effective date of such Commitment Increase and, at least three (3) days prior to the effective date of such Commitment Increase, if Borrower qualifies as a “legal entity customer” under the Beneficial Ownership Regulation shall have delivered, to each Lender that so requests, a Beneficial Ownership Certification. The effective date of the Commitment Increase shall be agreed upon by the Borrower and the Administrative Agent. Upon the effectiveness thereof, the new Lender(s) (or, if applicable, existing Lender(s)) shall advance Loans in an amount sufficient such that after giving effect to its advance each Lender shall have outstanding its Applicable Percentage of Loans. The Borrower agrees to pay any reasonable expenses of the Administrative Agent relating to any Commitment Increase and arrangement fees related thereto as agreed upon in writing between Administrative Agent and the Borrower, if any. Notwithstanding anything herein to the contrary, no Lender shall have any obligation to increase its Commitment and no Lender’s Commitment shall be increased without its consent thereto.</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Incremental Term Loan Amendment</w:t>
      </w:r>
      <w:r>
        <w:rPr>
          <w:rFonts w:ascii="Times New Roman" w:cs="Times New Roman" w:eastAsia="Times New Roman" w:hAnsi="Times New Roman"/>
          <w:sz w:val="17"/>
          <w:szCs w:val="17"/>
          <w:color w:val="auto"/>
        </w:rPr>
        <w:t>. Each Commitment Increase may be made hereunder pursuant to an amendment or restatement (each, an “</w:t>
      </w:r>
      <w:r>
        <w:rPr>
          <w:rFonts w:ascii="Times New Roman" w:cs="Times New Roman" w:eastAsia="Times New Roman" w:hAnsi="Times New Roman"/>
          <w:sz w:val="17"/>
          <w:szCs w:val="17"/>
          <w:i w:val="1"/>
          <w:iCs w:val="1"/>
          <w:color w:val="auto"/>
        </w:rPr>
        <w:t>Incremental Term Loan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ind w:left="4920" w:hanging="101"/>
        <w:spacing w:after="0"/>
        <w:tabs>
          <w:tab w:leader="none" w:pos="49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75" w:name="page76"/>
    <w:bookmarkEnd w:id="75"/>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Amendment</w:t>
      </w:r>
      <w:r>
        <w:rPr>
          <w:rFonts w:ascii="Times New Roman" w:cs="Times New Roman" w:eastAsia="Times New Roman" w:hAnsi="Times New Roman"/>
          <w:sz w:val="17"/>
          <w:szCs w:val="17"/>
          <w:color w:val="auto"/>
        </w:rPr>
        <w:t>”) of this Agreement and, as appropriate, the other Loan Documents, executed by Borrower, each Incremental Term Lender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participating in such tranche and the Administrative Agent. Each Incremental Term Loan Amendment may, without the consent of any other Lenders, effect such amendments to this Agreement and the other Loan Documents as may be necessary or appropriate, in the reasonable opinion of the Administrative Agent, to effect the provisions of this Section 1.15. All Incremental Term Loans (i) shall rank pari passu in right of payment with the Term Loans, (ii) shall not mature earlier than the latest Maturity Date for any then-existing Facility (but may have amortization prior to such date), and (iii) shall be treated substantially the same as (and in any event no more favorably than) the Term Loans and each other tranche of Incremental Term Loans; provided that (I) the terms and conditions applicable to any tranche of Incremental Term Loans maturing after the Maturity Date for the Term Facility may provide for material additional or different financial or other covenants or prepayment requirements applicable only during periods after the Maturity Date for the Term Facility and (II) each tranche of Incremental Term Loans may be priced differently than the Term Loans and any other tranche of Incremental Term Loans. Each applicable Incremental Term Lender shall fund the applicable Incremental Term Loans in accordance with the requirements of the applicable Incremental Term Loan Amendment.</w:t>
      </w:r>
    </w:p>
    <w:p>
      <w:pPr>
        <w:spacing w:after="0" w:line="385"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u w:val="single" w:color="auto"/>
          <w:color w:val="4472C4"/>
        </w:rPr>
        <w:t>Section 1.16.</w:t>
      </w:r>
      <w:r>
        <w:rPr>
          <w:sz w:val="20"/>
          <w:szCs w:val="20"/>
          <w:color w:val="auto"/>
        </w:rPr>
        <w:tab/>
      </w:r>
      <w:r>
        <w:rPr>
          <w:rFonts w:ascii="Times New Roman" w:cs="Times New Roman" w:eastAsia="Times New Roman" w:hAnsi="Times New Roman"/>
          <w:sz w:val="17"/>
          <w:szCs w:val="17"/>
          <w:u w:val="single" w:color="auto"/>
          <w:color w:val="4472C4"/>
        </w:rPr>
        <w:t>ESG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11430</wp:posOffset>
            </wp:positionV>
            <wp:extent cx="16173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1617345"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-4445</wp:posOffset>
            </wp:positionV>
            <wp:extent cx="2063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206375" cy="8255"/>
                    </a:xfrm>
                    <a:prstGeom prst="rect">
                      <a:avLst/>
                    </a:prstGeom>
                    <a:noFill/>
                  </pic:spPr>
                </pic:pic>
              </a:graphicData>
            </a:graphic>
          </wp:anchor>
        </w:drawing>
      </w:r>
    </w:p>
    <w:p>
      <w:pPr>
        <w:spacing w:after="0" w:line="202" w:lineRule="exact"/>
        <w:rPr>
          <w:sz w:val="20"/>
          <w:szCs w:val="20"/>
          <w:color w:val="auto"/>
        </w:rPr>
      </w:pPr>
    </w:p>
    <w:p>
      <w:pPr>
        <w:jc w:val="both"/>
        <w:ind w:left="160" w:firstLine="626"/>
        <w:spacing w:after="0" w:line="258" w:lineRule="auto"/>
        <w:rPr>
          <w:sz w:val="20"/>
          <w:szCs w:val="20"/>
          <w:color w:val="auto"/>
        </w:rPr>
      </w:pPr>
      <w:r>
        <w:rPr>
          <w:rFonts w:ascii="Times New Roman" w:cs="Times New Roman" w:eastAsia="Times New Roman" w:hAnsi="Times New Roman"/>
          <w:sz w:val="17"/>
          <w:szCs w:val="17"/>
          <w:u w:val="single" w:color="auto"/>
          <w:color w:val="4472C4"/>
        </w:rPr>
        <w:t>(a)​ The Borrower, in consultation with the Sustainability Structuring Agent, shall be entitled to establish specified Key Performance Indicators (“</w:t>
      </w:r>
      <w:r>
        <w:rPr>
          <w:rFonts w:ascii="Times New Roman" w:cs="Times New Roman" w:eastAsia="Times New Roman" w:hAnsi="Times New Roman"/>
          <w:sz w:val="17"/>
          <w:szCs w:val="17"/>
          <w:i w:val="1"/>
          <w:iCs w:val="1"/>
          <w:u w:val="single" w:color="auto"/>
          <w:color w:val="4472C4"/>
        </w:rPr>
        <w:t>KPIs</w:t>
      </w:r>
      <w:r>
        <w:rPr>
          <w:rFonts w:ascii="Times New Roman" w:cs="Times New Roman" w:eastAsia="Times New Roman" w:hAnsi="Times New Roman"/>
          <w:sz w:val="17"/>
          <w:szCs w:val="17"/>
          <w:u w:val="single" w:color="auto"/>
          <w:color w:val="4472C4"/>
        </w:rPr>
        <w:t>”) with respect to certain Environmental, Social and Governance (“</w:t>
      </w:r>
      <w:r>
        <w:rPr>
          <w:rFonts w:ascii="Times New Roman" w:cs="Times New Roman" w:eastAsia="Times New Roman" w:hAnsi="Times New Roman"/>
          <w:sz w:val="17"/>
          <w:szCs w:val="17"/>
          <w:i w:val="1"/>
          <w:iCs w:val="1"/>
          <w:u w:val="single" w:color="auto"/>
          <w:color w:val="4472C4"/>
        </w:rPr>
        <w:t>ESG</w:t>
      </w:r>
      <w:r>
        <w:rPr>
          <w:rFonts w:ascii="Times New Roman" w:cs="Times New Roman" w:eastAsia="Times New Roman" w:hAnsi="Times New Roman"/>
          <w:sz w:val="17"/>
          <w:szCs w:val="17"/>
          <w:u w:val="single" w:color="auto"/>
          <w:color w:val="4472C4"/>
        </w:rPr>
        <w:t>”) targets of the Borrower and its Subsidiaries. The Sustainability Structuring Agent and the Borrower may amend this Agreement (such amendment, the “</w:t>
      </w:r>
      <w:r>
        <w:rPr>
          <w:rFonts w:ascii="Times New Roman" w:cs="Times New Roman" w:eastAsia="Times New Roman" w:hAnsi="Times New Roman"/>
          <w:sz w:val="17"/>
          <w:szCs w:val="17"/>
          <w:i w:val="1"/>
          <w:iCs w:val="1"/>
          <w:u w:val="single" w:color="auto"/>
          <w:color w:val="4472C4"/>
        </w:rPr>
        <w:t>ESG Amendment</w:t>
      </w:r>
      <w:r>
        <w:rPr>
          <w:rFonts w:ascii="Times New Roman" w:cs="Times New Roman" w:eastAsia="Times New Roman" w:hAnsi="Times New Roman"/>
          <w:sz w:val="17"/>
          <w:szCs w:val="17"/>
          <w:u w:val="single" w:color="auto"/>
          <w:color w:val="4472C4"/>
        </w:rPr>
        <w:t>”) solely for the purpose of incorporating the KPIs and other related provisions (the “</w:t>
      </w:r>
      <w:r>
        <w:rPr>
          <w:rFonts w:ascii="Times New Roman" w:cs="Times New Roman" w:eastAsia="Times New Roman" w:hAnsi="Times New Roman"/>
          <w:sz w:val="17"/>
          <w:szCs w:val="17"/>
          <w:i w:val="1"/>
          <w:iCs w:val="1"/>
          <w:u w:val="single" w:color="auto"/>
          <w:color w:val="4472C4"/>
        </w:rPr>
        <w:t>ESG Pricing Provisions</w:t>
      </w:r>
      <w:r>
        <w:rPr>
          <w:rFonts w:ascii="Times New Roman" w:cs="Times New Roman" w:eastAsia="Times New Roman" w:hAnsi="Times New Roman"/>
          <w:sz w:val="17"/>
          <w:szCs w:val="17"/>
          <w:u w:val="single" w:color="auto"/>
          <w:color w:val="4472C4"/>
        </w:rPr>
        <w:t>”) into this Agreement,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(who shall promptly notify the Borrower) written notice that such Required Lenders object to such ESG Amendment. In the event that Required Lenders deliver a written notice objecting to any such ESG Amendment, an alternative ESG Amendment may be effectuated with the consent of the Required Lenders, the Borrower and the Sustainability Structuring Agent. Upon effectiveness of any such ESG Amendment, based on the Borrower’s performance against the KPIs, certain adjustments (increase, decrease, or no adjustment) to the Applicable Margin may be made; provided that the amount of any such adjustments made pursuant to an ESG Amendment shall not result in an increase or decrease of more than 2.5 basis points in the Applicable Margin; provided, further, that in no event shall such adjustments increase the Applicable Margin above that in effect on the Closing Date or decrease the Applicable Margin below zero. The pricing adjustments pursuant to the KPIs will require, among other things, reporting and validation of the measurement of the KPIs in a manner that is aligned with the Sustainability Linked Loan Principles at the time of the ESG Amendment and is to be mutually agreed between the Borrower and the Sustainability Structuring Agent (each acting reasonably). Following the effectiveness of the ESG Amendment, any modification to the ESG Pricing Provisions which does not have the effect of reducing the Applicable Margin to a level not otherwise permitted by this Section shall be subject only to the consent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-2282190</wp:posOffset>
            </wp:positionV>
            <wp:extent cx="1720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72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76" w:name="page77"/>
    <w:bookmarkEnd w:id="76"/>
    <w:p>
      <w:pPr>
        <w:jc w:val="both"/>
        <w:ind w:left="160" w:firstLine="626"/>
        <w:spacing w:after="0" w:line="275" w:lineRule="auto"/>
        <w:rPr>
          <w:sz w:val="20"/>
          <w:szCs w:val="20"/>
          <w:color w:val="auto"/>
        </w:rPr>
      </w:pPr>
      <w:r>
        <w:rPr>
          <w:rFonts w:ascii="Times New Roman" w:cs="Times New Roman" w:eastAsia="Times New Roman" w:hAnsi="Times New Roman"/>
          <w:sz w:val="17"/>
          <w:szCs w:val="17"/>
          <w:u w:val="single" w:color="auto"/>
          <w:color w:val="4472C4"/>
        </w:rPr>
        <w:t>(b)​ The Sustainability Structuring Agent will (i) assist the Borrower in determining the ESG Pricing Provisions in connection with the ESG Amendment and (ii) assist the Borrower in preparing informational materials focused on ESG to be used in connection with the ESG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-306705</wp:posOffset>
            </wp:positionV>
            <wp:extent cx="170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14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color w:val="auto"/>
        </w:rPr>
        <w:t>FEES.</w:t>
      </w:r>
    </w:p>
    <w:p>
      <w:pPr>
        <w:spacing w:after="0" w:line="222"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Administrative Agent and Other Fees</w:t>
      </w:r>
      <w:r>
        <w:rPr>
          <w:rFonts w:ascii="Times New Roman" w:cs="Times New Roman" w:eastAsia="Times New Roman" w:hAnsi="Times New Roman"/>
          <w:sz w:val="17"/>
          <w:szCs w:val="17"/>
          <w:color w:val="auto"/>
        </w:rPr>
        <w:t>. The Borrower shall pay to the Administrative Agent, for its own use and benefit and for the benefit of the Lenders, as applicable, the fees agreed to between the Administrative Agent and the Borrower in the Fee Letter, or as otherwise agreed to in writing between them.</w:t>
      </w:r>
    </w:p>
    <w:p>
      <w:pPr>
        <w:spacing w:after="0" w:line="16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3.</w:t>
      </w:r>
      <w:r>
        <w:rPr>
          <w:sz w:val="20"/>
          <w:szCs w:val="20"/>
          <w:color w:val="auto"/>
        </w:rPr>
        <w:tab/>
      </w:r>
      <w:r>
        <w:rPr>
          <w:rFonts w:ascii="Times New Roman" w:cs="Times New Roman" w:eastAsia="Times New Roman" w:hAnsi="Times New Roman"/>
          <w:sz w:val="17"/>
          <w:szCs w:val="17"/>
          <w:color w:val="auto"/>
        </w:rPr>
        <w:t>PLACE AND APPLICATION OF PAYMENTS.</w:t>
      </w:r>
    </w:p>
    <w:p>
      <w:pPr>
        <w:spacing w:after="0" w:line="222" w:lineRule="exact"/>
        <w:rPr>
          <w:sz w:val="20"/>
          <w:szCs w:val="20"/>
          <w:color w:val="auto"/>
        </w:rPr>
      </w:pPr>
    </w:p>
    <w:p>
      <w:pPr>
        <w:jc w:val="both"/>
        <w:ind w:firstLine="626"/>
        <w:spacing w:after="0" w:line="257"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Place and Application of Payments.</w:t>
      </w:r>
      <w:r>
        <w:rPr>
          <w:rFonts w:ascii="Times New Roman" w:cs="Times New Roman" w:eastAsia="Times New Roman" w:hAnsi="Times New Roman"/>
          <w:sz w:val="17"/>
          <w:szCs w:val="17"/>
          <w:color w:val="auto"/>
        </w:rPr>
        <w:t xml:space="preserve"> All payments of principal of and interest on the Loans, and of all other Obligations payable by the Borrower under this Agreement and the other Loan Documents, shall be made by the Borrower to the Administrative Agent by no later than 12:00 Noon (New York time) on the due date thereof at the office of the Administrative Agent in New York, New York (or such other location as the Administrative Agent may designate to the Borrower) for the benefit of the Lender(s)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the Loans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w:t>
      </w:r>
    </w:p>
    <w:p>
      <w:pPr>
        <w:spacing w:after="0" w:line="8" w:lineRule="exact"/>
        <w:rPr>
          <w:sz w:val="20"/>
          <w:szCs w:val="20"/>
          <w:color w:val="auto"/>
        </w:rPr>
      </w:pPr>
    </w:p>
    <w:p>
      <w:pPr>
        <w:ind w:firstLine="5"/>
        <w:spacing w:after="0" w:line="272" w:lineRule="auto"/>
        <w:tabs>
          <w:tab w:leader="none" w:pos="25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the date such payment is due from such Lender to the date such payment is made by such Lender, the Base Rate in effect for each such day.</w:t>
      </w:r>
    </w:p>
    <w:p>
      <w:pPr>
        <w:spacing w:after="0" w:line="165"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Anything contained herein to the contrary notwithstanding (including, without limitation, Section 1.8(b) hereof), all payments and collections received in respect of the Obligations by the Administrative Agent or any of the Lenders after acceleration or the final maturity of the Obligations or termination of the Commitments as a result of an Event of Default shall be remitted to the Administrative Agent and distributed as follows:</w:t>
      </w:r>
    </w:p>
    <w:p>
      <w:pPr>
        <w:spacing w:after="0" w:line="170" w:lineRule="exact"/>
        <w:rPr>
          <w:sz w:val="20"/>
          <w:szCs w:val="20"/>
          <w:color w:val="auto"/>
        </w:rPr>
      </w:pPr>
    </w:p>
    <w:p>
      <w:pPr>
        <w:jc w:val="both"/>
        <w:ind w:firstLine="1257"/>
        <w:spacing w:after="0" w:line="275" w:lineRule="auto"/>
        <w:tabs>
          <w:tab w:leader="none" w:pos="187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to the payment of any outstanding costs and expenses incurred by the Administrative Agent in protecting, preserving or enforcing rights under the Loan Documents, and in any event including all costs and expenses of a character which the Borrower has agreed to pay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8" w:lineRule="exact"/>
        <w:rPr>
          <w:rFonts w:ascii="Times New Roman" w:cs="Times New Roman" w:eastAsia="Times New Roman" w:hAnsi="Times New Roman"/>
          <w:sz w:val="17"/>
          <w:szCs w:val="17"/>
          <w:color w:val="auto"/>
        </w:rPr>
      </w:pPr>
    </w:p>
    <w:p>
      <w:pPr>
        <w:ind w:left="4880" w:hanging="101"/>
        <w:spacing w:after="0"/>
        <w:tabs>
          <w:tab w:leader="none" w:pos="488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77" w:name="page78"/>
    <w:bookmarkEnd w:id="77"/>
    <w:p>
      <w:pPr>
        <w:jc w:val="both"/>
        <w:spacing w:after="0" w:line="275" w:lineRule="auto"/>
        <w:rPr>
          <w:sz w:val="20"/>
          <w:szCs w:val="20"/>
          <w:color w:val="auto"/>
        </w:rPr>
      </w:pPr>
      <w:r>
        <w:rPr>
          <w:rFonts w:ascii="Times New Roman" w:cs="Times New Roman" w:eastAsia="Times New Roman" w:hAnsi="Times New Roman"/>
          <w:sz w:val="17"/>
          <w:szCs w:val="17"/>
          <w:color w:val="auto"/>
        </w:rPr>
        <w:t>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163" w:lineRule="exact"/>
        <w:rPr>
          <w:sz w:val="20"/>
          <w:szCs w:val="20"/>
          <w:color w:val="auto"/>
        </w:rPr>
      </w:pPr>
    </w:p>
    <w:p>
      <w:pPr>
        <w:ind w:firstLine="1257"/>
        <w:spacing w:after="0" w:line="294" w:lineRule="auto"/>
        <w:tabs>
          <w:tab w:leader="none" w:pos="187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to the payment of any outstanding interest and fees due under the Loan Documents to be allocated pro rata in accordance with the aggregate unpaid amounts owing to each holder thereof;</w:t>
      </w:r>
    </w:p>
    <w:p>
      <w:pPr>
        <w:spacing w:after="0" w:line="146"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to the payment of principal on the Loans, any Hedging Liability, the aggregate amount paid to, or held as collateral security for, the Lenders and, in the case of Hedging Liability, their Affiliates to be allocated pro rata in accordance with the aggregate unpaid amounts owing to each holder thereof;</w:t>
      </w:r>
    </w:p>
    <w:p>
      <w:pPr>
        <w:spacing w:after="0" w:line="162"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fourth, to the payment of all other unpaid Obligations and all other indebtedness, obligations, and liabilities of the Borrower and its Subsidiaries evidenced by the Loan Documents (including, without limitation, Funds Transfer and Deposit Account Liability) to be allocated pro rata in accordance with the aggregate unpaid amounts owing to each holder thereof; and</w:t>
      </w:r>
    </w:p>
    <w:p>
      <w:pPr>
        <w:spacing w:after="0" w:line="162"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finally, to the Borrower or whoever else may be lawfully entitled thereto.</w:t>
      </w:r>
    </w:p>
    <w:p>
      <w:pPr>
        <w:spacing w:after="0" w:line="22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4.</w:t>
      </w:r>
      <w:r>
        <w:rPr>
          <w:sz w:val="20"/>
          <w:szCs w:val="20"/>
          <w:color w:val="auto"/>
        </w:rPr>
        <w:tab/>
      </w:r>
      <w:r>
        <w:rPr>
          <w:rFonts w:ascii="Times New Roman" w:cs="Times New Roman" w:eastAsia="Times New Roman" w:hAnsi="Times New Roman"/>
          <w:sz w:val="17"/>
          <w:szCs w:val="17"/>
          <w:color w:val="auto"/>
        </w:rPr>
        <w:t>GUARANTIES</w:t>
      </w:r>
    </w:p>
    <w:p>
      <w:pPr>
        <w:spacing w:after="0" w:line="220"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Guaranties</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color w:val="auto"/>
        </w:rPr>
        <w:t xml:space="preserve"> The payment and performance of the Obligations, Hedging Liability, and Funds Transfer and Deposit Account Liability shall at all times be guaranteed by (i) Parent and (ii) each direct and indirect Material Subsidiary of the Borrower pursuant to Section 13 hereof or pursuant to one or more guaranty agreements in form and substance acceptable to the Administrative Agent, as the same may be amended, modified or supplemented from time to time (individually a </w:t>
      </w:r>
      <w:r>
        <w:rPr>
          <w:rFonts w:ascii="Times New Roman" w:cs="Times New Roman" w:eastAsia="Times New Roman" w:hAnsi="Times New Roman"/>
          <w:sz w:val="17"/>
          <w:szCs w:val="17"/>
          <w:i w:val="1"/>
          <w:iCs w:val="1"/>
          <w:color w:val="auto"/>
        </w:rPr>
        <w:t>“Guaranty”</w:t>
      </w:r>
      <w:r>
        <w:rPr>
          <w:rFonts w:ascii="Times New Roman" w:cs="Times New Roman" w:eastAsia="Times New Roman" w:hAnsi="Times New Roman"/>
          <w:sz w:val="17"/>
          <w:szCs w:val="17"/>
          <w:color w:val="auto"/>
        </w:rPr>
        <w:t xml:space="preserve"> and collectively the </w:t>
      </w:r>
      <w:r>
        <w:rPr>
          <w:rFonts w:ascii="Times New Roman" w:cs="Times New Roman" w:eastAsia="Times New Roman" w:hAnsi="Times New Roman"/>
          <w:sz w:val="17"/>
          <w:szCs w:val="17"/>
          <w:i w:val="1"/>
          <w:iCs w:val="1"/>
          <w:color w:val="auto"/>
        </w:rPr>
        <w:t>“Guaranties”</w:t>
      </w:r>
      <w:r>
        <w:rPr>
          <w:rFonts w:ascii="Times New Roman" w:cs="Times New Roman" w:eastAsia="Times New Roman" w:hAnsi="Times New Roman"/>
          <w:sz w:val="17"/>
          <w:szCs w:val="17"/>
          <w:color w:val="auto"/>
        </w:rPr>
        <w:t xml:space="preserve"> and each such Material Subsidiary executing and delivering a Guaranty being referred to herein as a </w:t>
      </w:r>
      <w:r>
        <w:rPr>
          <w:rFonts w:ascii="Times New Roman" w:cs="Times New Roman" w:eastAsia="Times New Roman" w:hAnsi="Times New Roman"/>
          <w:sz w:val="17"/>
          <w:szCs w:val="17"/>
          <w:i w:val="1"/>
          <w:iCs w:val="1"/>
          <w:color w:val="auto"/>
        </w:rPr>
        <w:t>“Guarantor”</w:t>
      </w:r>
      <w:r>
        <w:rPr>
          <w:rFonts w:ascii="Times New Roman" w:cs="Times New Roman" w:eastAsia="Times New Roman" w:hAnsi="Times New Roman"/>
          <w:sz w:val="17"/>
          <w:szCs w:val="17"/>
          <w:color w:val="auto"/>
        </w:rPr>
        <w:t xml:space="preserve"> and collectively the </w:t>
      </w:r>
      <w:r>
        <w:rPr>
          <w:rFonts w:ascii="Times New Roman" w:cs="Times New Roman" w:eastAsia="Times New Roman" w:hAnsi="Times New Roman"/>
          <w:sz w:val="17"/>
          <w:szCs w:val="17"/>
          <w:i w:val="1"/>
          <w:iCs w:val="1"/>
          <w:color w:val="auto"/>
        </w:rPr>
        <w:t>“Guarantors”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with respect to any Guarantor, Hedging Liability guaranteed by such Guarantor shall exclude all Excluded Swap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Obligations.</w:t>
      </w:r>
    </w:p>
    <w:p>
      <w:pPr>
        <w:spacing w:after="0" w:line="386"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xml:space="preserve"> In the event the Borrower or any Guarantor forms or acquires any other Material Subsidiary after the date hereof, except as otherwise provided in Section 4.1, the Borrower shall promptly upon such formation or acquisition cause such newly formed or acquired Material Subsidiary to execute a Guaranty or an Additional Guarantor Supplement in the form of Exhibit G attached hereto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Additional Guarantor Supplement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as the Administrative Agent may then require, and the Borrower shall also deliver to the Administrative Agent, or cause such Material Subsidiary to deliver to the Administrative Agent, at the Borrower’s cost and expense, such other instruments, documents, certificates, and opinions reasonably required by the Administrative Agent in connection therewith.</w:t>
      </w:r>
    </w:p>
    <w:p>
      <w:pPr>
        <w:spacing w:after="0" w:line="17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5.</w:t>
      </w:r>
      <w:r>
        <w:rPr>
          <w:sz w:val="20"/>
          <w:szCs w:val="20"/>
          <w:color w:val="auto"/>
        </w:rPr>
        <w:tab/>
      </w:r>
      <w:r>
        <w:rPr>
          <w:rFonts w:ascii="Times New Roman" w:cs="Times New Roman" w:eastAsia="Times New Roman" w:hAnsi="Times New Roman"/>
          <w:sz w:val="17"/>
          <w:szCs w:val="17"/>
          <w:color w:val="auto"/>
        </w:rPr>
        <w:t>DEFINITIONS;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78" w:name="page79"/>
    <w:bookmarkEnd w:id="78"/>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5.1.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The following terms when used herein shall have the following meanings:</w:t>
      </w:r>
    </w:p>
    <w:p>
      <w:pPr>
        <w:spacing w:after="0" w:line="22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“1031 Cash Proceeds” </w:t>
      </w:r>
      <w:r>
        <w:rPr>
          <w:rFonts w:ascii="Times New Roman" w:cs="Times New Roman" w:eastAsia="Times New Roman" w:hAnsi="Times New Roman"/>
          <w:sz w:val="17"/>
          <w:szCs w:val="17"/>
          <w:color w:val="auto"/>
        </w:rPr>
        <w:t>means cash proceeds from the sale of Property in a transaction under Section 1031 of the Code held by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qualifying intermediary;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proceeds shall cease to be 1031 Cash Proceeds as of the last day on which Borrower or the applicable Subsidiary can consummate a tax-deferred transaction under Section 1031 of the Code.</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“1031 Property” </w:t>
      </w:r>
      <w:r>
        <w:rPr>
          <w:rFonts w:ascii="Times New Roman" w:cs="Times New Roman" w:eastAsia="Times New Roman" w:hAnsi="Times New Roman"/>
          <w:sz w:val="17"/>
          <w:szCs w:val="17"/>
          <w:color w:val="auto"/>
        </w:rPr>
        <w:t>means, as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 Pool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Determination Date, any Property owned by a 1031 Property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which is intended to qualify for tax treatment under, Section 1031 of the Code and which satisfies the following conditions:</w:t>
      </w:r>
    </w:p>
    <w:p>
      <w:pPr>
        <w:spacing w:after="0" w:line="144" w:lineRule="exact"/>
        <w:rPr>
          <w:sz w:val="20"/>
          <w:szCs w:val="20"/>
          <w:color w:val="auto"/>
        </w:rPr>
      </w:pPr>
    </w:p>
    <w:p>
      <w:pPr>
        <w:ind w:left="3140" w:hanging="632"/>
        <w:spacing w:after="0"/>
        <w:tabs>
          <w:tab w:leader="none" w:pos="31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Property meets all of the requirements of the definition of Eligible Property; and</w:t>
      </w:r>
    </w:p>
    <w:p>
      <w:pPr>
        <w:spacing w:after="0" w:line="221" w:lineRule="exact"/>
        <w:rPr>
          <w:rFonts w:ascii="Times New Roman" w:cs="Times New Roman" w:eastAsia="Times New Roman" w:hAnsi="Times New Roman"/>
          <w:sz w:val="17"/>
          <w:szCs w:val="17"/>
          <w:color w:val="auto"/>
        </w:rPr>
      </w:pPr>
    </w:p>
    <w:p>
      <w:pPr>
        <w:jc w:val="both"/>
        <w:ind w:left="1880" w:firstLine="628"/>
        <w:spacing w:after="0" w:line="294" w:lineRule="auto"/>
        <w:tabs>
          <w:tab w:leader="none" w:pos="313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or a Guarantor has the unconditional contractual right to require and cause fee simple title to such Property to be transferred at any time to any Person as directed by the Borrower or a Guarantor.</w:t>
      </w:r>
    </w:p>
    <w:p>
      <w:pPr>
        <w:spacing w:after="0" w:line="147"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For purposes of determining Total Asset Value, such 1031 Property shall be deemed to have been owned or leased by the Borrower or a Guarantor from the date acquired by the 1031 Property Holder that owns such 1031 Property.</w:t>
      </w:r>
    </w:p>
    <w:p>
      <w:pPr>
        <w:spacing w:after="0" w:line="145"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“1031 Property Holder” </w:t>
      </w:r>
      <w:r>
        <w:rPr>
          <w:rFonts w:ascii="Times New Roman" w:cs="Times New Roman" w:eastAsia="Times New Roman" w:hAnsi="Times New Roman"/>
          <w:sz w:val="17"/>
          <w:szCs w:val="17"/>
          <w:color w:val="auto"/>
        </w:rPr>
        <w:t>means the “qualified intermediary” or “exchange accommodation titleholder” with respect to a 1031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Property as contemplated under Section 1031 of the Code, the regulations of the U.S. Department of Treasury adopted thereunder and related revenue procedures related thereto.</w:t>
      </w:r>
    </w:p>
    <w:p>
      <w:pPr>
        <w:spacing w:after="0" w:line="160"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Acceptable Leasehold Interest</w:t>
      </w:r>
      <w:r>
        <w:rPr>
          <w:rFonts w:ascii="Times New Roman" w:cs="Times New Roman" w:eastAsia="Times New Roman" w:hAnsi="Times New Roman"/>
          <w:sz w:val="17"/>
          <w:szCs w:val="17"/>
          <w:u w:val="single" w:color="auto"/>
          <w:color w:val="4472C4"/>
        </w:rPr>
        <w:t>” means a ground leasehold interest where the Borrower or its Subsidiary is the lessee thereunder, as to which no default (other than a default which remains subject to grace or cure periods) or event of default has occurred or with the passage of time or the giving of notice would occur, and containing (a) the following terms and conditions: (i) a remaining term (including any unexercised extension options that the lessee can unilaterally exercise without the need to obtain the consent of the lessor or to pay the lessor any amount as a condition to the effectiveness of such extension) of 30 years or more from the Second Amendment Effective Date; (ii) the right of the lessee to mortgage and encumber its interest in the leased property without the consent of the lessor; (iii)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(iv) reasonable transferability of the lessee’s interest under such lease, including ability to sublease; and (v) such other rights customarily required by mortgagees making a loan secured by the interest of the holder of the leasehold estate demised pursuant to a ground lease as reasonably approved by the Administrative Agent; or (b) terms and conditions otherwise reasonably acceptable to the Administrative Agent.</w:t>
      </w:r>
    </w:p>
    <w:p>
      <w:pPr>
        <w:spacing w:after="0" w:line="3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“Additional Guarantor Supplement” </w:t>
      </w:r>
      <w:r>
        <w:rPr>
          <w:rFonts w:ascii="Times New Roman" w:cs="Times New Roman" w:eastAsia="Times New Roman" w:hAnsi="Times New Roman"/>
          <w:sz w:val="17"/>
          <w:szCs w:val="17"/>
          <w:color w:val="auto"/>
        </w:rPr>
        <w:t>is defined in Section 4.2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79" w:name="page80"/>
    <w:bookmarkEnd w:id="79"/>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Adjusted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FF0000"/>
          <w:strike w:val="1"/>
        </w:rPr>
        <w:t>Borrowing Base</w:t>
      </w:r>
      <w:r>
        <w:rPr>
          <w:rFonts w:ascii="Times New Roman" w:cs="Times New Roman" w:eastAsia="Times New Roman" w:hAnsi="Times New Roman"/>
          <w:sz w:val="17"/>
          <w:szCs w:val="17"/>
          <w:i w:val="1"/>
          <w:iCs w:val="1"/>
          <w:u w:val="single" w:color="auto"/>
          <w:color w:val="4472C4"/>
        </w:rPr>
        <w:t>Availability</w:t>
      </w:r>
      <w:r>
        <w:rPr>
          <w:rFonts w:ascii="Times New Roman" w:cs="Times New Roman" w:eastAsia="Times New Roman" w:hAnsi="Times New Roman"/>
          <w:sz w:val="17"/>
          <w:szCs w:val="17"/>
          <w:color w:val="auto"/>
        </w:rPr>
        <w:t xml:space="preserve">” means, at any time of determination, an amount equal to (x) the </w:t>
      </w:r>
      <w:r>
        <w:rPr>
          <w:rFonts w:ascii="Times New Roman" w:cs="Times New Roman" w:eastAsia="Times New Roman" w:hAnsi="Times New Roman"/>
          <w:sz w:val="17"/>
          <w:szCs w:val="17"/>
          <w:color w:val="FF0000"/>
          <w:strike w:val="1"/>
        </w:rPr>
        <w:t>Borrowing Base most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recently delivered to the Lender</w:t>
      </w:r>
      <w:r>
        <w:rPr>
          <w:rFonts w:ascii="Times New Roman" w:cs="Times New Roman" w:eastAsia="Times New Roman" w:hAnsi="Times New Roman"/>
          <w:sz w:val="17"/>
          <w:szCs w:val="17"/>
          <w:u w:val="single" w:color="auto"/>
          <w:color w:val="4472C4"/>
        </w:rPr>
        <w:t>Gross Availability</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i w:val="1"/>
          <w:iCs w:val="1"/>
          <w:color w:val="000000"/>
        </w:rPr>
        <w:t>minus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(y) the aggregate Other Unsecured Indebtedness outstanding on such date.</w:t>
      </w:r>
    </w:p>
    <w:p>
      <w:pPr>
        <w:spacing w:after="0" w:line="14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Adjusted Daily Simple SOFR</w:t>
      </w:r>
      <w:r>
        <w:rPr>
          <w:rFonts w:ascii="Times New Roman" w:cs="Times New Roman" w:eastAsia="Times New Roman" w:hAnsi="Times New Roman"/>
          <w:sz w:val="17"/>
          <w:szCs w:val="17"/>
          <w:color w:val="auto"/>
        </w:rPr>
        <w:t>” means with respect to a Daily Simple SOFR Loan, the sum of (a) Daily Simple SOFR and (b) the applicable SOFR Index Adjustment; provided that if Adjusted Daily Simple SOFR as so determined would be less than the Floor, then Adjusted Daily Simple SOFR shall be deemed to be the Floor.</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FF0000"/>
          <w:strike w:val="1"/>
        </w:rPr>
        <w:t xml:space="preserve">“Adjusted EBITDA” </w:t>
      </w:r>
      <w:r>
        <w:rPr>
          <w:rFonts w:ascii="Times New Roman" w:cs="Times New Roman" w:eastAsia="Times New Roman" w:hAnsi="Times New Roman"/>
          <w:sz w:val="17"/>
          <w:szCs w:val="17"/>
          <w:color w:val="FF0000"/>
          <w:strike w:val="1"/>
        </w:rPr>
        <w:t>means EBITDA minus the Annual Capital Expenditure Reserve.</w:t>
      </w:r>
    </w:p>
    <w:p>
      <w:pPr>
        <w:spacing w:after="0" w:line="222"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“Adjusted FFO” </w:t>
      </w:r>
      <w:r>
        <w:rPr>
          <w:rFonts w:ascii="Times New Roman" w:cs="Times New Roman" w:eastAsia="Times New Roman" w:hAnsi="Times New Roman"/>
          <w:sz w:val="17"/>
          <w:szCs w:val="17"/>
          <w:color w:val="auto"/>
        </w:rPr>
        <w:t>means for any period, “funds from operations” as defined in accordance with resolutions adopted by the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Governors of the National Association of Real Estate Investment Trusts as in effect from time to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Adjusted FFO shall (i) be based on net income after payment of distributions to holders of preferred partnership units in Parent and distributions necessary to pay holders of preferred stock of Parent, and (ii) at all times exclude (a) charges for impairment losses from property sales, (b) stock-based compensation, (c) write-offs or reserves of straight-line rent related to sold assets, (d) amortization of debt costs, </w:t>
      </w:r>
      <w:r>
        <w:rPr>
          <w:rFonts w:ascii="Times New Roman" w:cs="Times New Roman" w:eastAsia="Times New Roman" w:hAnsi="Times New Roman"/>
          <w:sz w:val="17"/>
          <w:szCs w:val="17"/>
          <w:color w:val="FF0000"/>
          <w:strike w:val="1"/>
        </w:rPr>
        <w:t>and</w:t>
      </w:r>
      <w:r>
        <w:rPr>
          <w:rFonts w:ascii="Times New Roman" w:cs="Times New Roman" w:eastAsia="Times New Roman" w:hAnsi="Times New Roman"/>
          <w:sz w:val="17"/>
          <w:szCs w:val="17"/>
          <w:color w:val="auto"/>
        </w:rPr>
        <w:t xml:space="preserve"> (e) non-recurring charges, including, without limitation, acquisition expenses, non-cash charges related to the write-off of deferred equity and financing costs and one-time charges related to the transition to self-management; </w:t>
      </w:r>
      <w:r>
        <w:rPr>
          <w:rFonts w:ascii="Times New Roman" w:cs="Times New Roman" w:eastAsia="Times New Roman" w:hAnsi="Times New Roman"/>
          <w:sz w:val="17"/>
          <w:szCs w:val="17"/>
          <w:u w:val="single" w:color="auto"/>
          <w:color w:val="4472C4"/>
        </w:rPr>
        <w:t>and (f) other non-cash items as mutually agreed upon by Borrower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4472C4"/>
        </w:rPr>
        <w:t>Administrative Agent.</w:t>
      </w:r>
    </w:p>
    <w:p>
      <w:pPr>
        <w:spacing w:after="0" w:line="384"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Adjusted Term SOFR</w:t>
      </w:r>
      <w:r>
        <w:rPr>
          <w:rFonts w:ascii="Times New Roman" w:cs="Times New Roman" w:eastAsia="Times New Roman" w:hAnsi="Times New Roman"/>
          <w:sz w:val="17"/>
          <w:szCs w:val="17"/>
          <w:color w:val="auto"/>
        </w:rPr>
        <w:t>” means for any Available Tenor and Interest Period with respect to a Term SOFR Loan, the sum of (a) Term SOFR for such Interest Period and (b) the SOFR Index Adjustment; provided that if Adjusted Term SOFR as so determined would be less than the Floor, then Adjusted Term SOFR shall be deemed to be the Floor.</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“Administrative Agent” </w:t>
      </w:r>
      <w:r>
        <w:rPr>
          <w:rFonts w:ascii="Times New Roman" w:cs="Times New Roman" w:eastAsia="Times New Roman" w:hAnsi="Times New Roman"/>
          <w:sz w:val="17"/>
          <w:szCs w:val="17"/>
          <w:color w:val="auto"/>
        </w:rPr>
        <w:t>means Truist Bank, N.A., in its capacity as Administrative Agent hereunder, and any successor in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capacity pursuant to Section 11.6 hereof.</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“Administrative Questionnaire” </w:t>
      </w:r>
      <w:r>
        <w:rPr>
          <w:rFonts w:ascii="Times New Roman" w:cs="Times New Roman" w:eastAsia="Times New Roman" w:hAnsi="Times New Roman"/>
          <w:sz w:val="17"/>
          <w:szCs w:val="17"/>
          <w:color w:val="auto"/>
        </w:rPr>
        <w:t>means an Administrative Questionnaire in a form supplied by the Administrative Agent.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“Affected Financial Institution” </w:t>
      </w:r>
      <w:r>
        <w:rPr>
          <w:rFonts w:ascii="Times New Roman" w:cs="Times New Roman" w:eastAsia="Times New Roman" w:hAnsi="Times New Roman"/>
          <w:sz w:val="17"/>
          <w:szCs w:val="17"/>
          <w:color w:val="auto"/>
        </w:rPr>
        <w:t>means (a) any EEA Financial Institution or (b) any UK Financial Institution.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“Affected Lender” </w:t>
      </w:r>
      <w:r>
        <w:rPr>
          <w:rFonts w:ascii="Times New Roman" w:cs="Times New Roman" w:eastAsia="Times New Roman" w:hAnsi="Times New Roman"/>
          <w:sz w:val="17"/>
          <w:szCs w:val="17"/>
          <w:color w:val="auto"/>
        </w:rPr>
        <w:t>is defined in Section 1.13 hereof.</w:t>
      </w:r>
    </w:p>
    <w:p>
      <w:pPr>
        <w:spacing w:after="0" w:line="222"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“Affiliate” </w:t>
      </w:r>
      <w:r>
        <w:rPr>
          <w:rFonts w:ascii="Times New Roman" w:cs="Times New Roman" w:eastAsia="Times New Roman" w:hAnsi="Times New Roman"/>
          <w:sz w:val="17"/>
          <w:szCs w:val="17"/>
          <w:color w:val="auto"/>
        </w:rPr>
        <w:t>means any Person directly or indirectly controlling or controlled by, or under direct or indirect common control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in any event for purposes of this definition, any Person that owns, directly or indirectly, 20% or more of the securities having the ordinary voting power for the election of directors or governing body of a corporation or 20% or more of the partnership or other ownership</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color w:val="auto"/>
        </w:rPr>
        <w:t>interest of any other Person (other than as a limited partner of such other Person) will be deemed to control such corporation or other Person.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“Aggregate Term Facility Amount” </w:t>
      </w:r>
      <w:r>
        <w:rPr>
          <w:rFonts w:ascii="Times New Roman" w:cs="Times New Roman" w:eastAsia="Times New Roman" w:hAnsi="Times New Roman"/>
          <w:sz w:val="17"/>
          <w:szCs w:val="17"/>
          <w:color w:val="auto"/>
        </w:rPr>
        <w:t>means $100,000,000.00.</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“Agreement” </w:t>
      </w:r>
      <w:r>
        <w:rPr>
          <w:rFonts w:ascii="Times New Roman" w:cs="Times New Roman" w:eastAsia="Times New Roman" w:hAnsi="Times New Roman"/>
          <w:sz w:val="17"/>
          <w:szCs w:val="17"/>
          <w:color w:val="auto"/>
        </w:rPr>
        <w:t>means this Credit Agreement, as the same may be amended, modified, restated or supplemented from time to time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terms hereof.</w:t>
      </w:r>
    </w:p>
    <w:p>
      <w:pPr>
        <w:spacing w:after="0" w:line="14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Alpine Valley</w:t>
      </w:r>
      <w:r>
        <w:rPr>
          <w:rFonts w:ascii="Times New Roman" w:cs="Times New Roman" w:eastAsia="Times New Roman" w:hAnsi="Times New Roman"/>
          <w:sz w:val="17"/>
          <w:szCs w:val="17"/>
          <w:u w:val="single" w:color="auto"/>
          <w:color w:val="4472C4"/>
        </w:rPr>
        <w:t>” means that certain property located in East Troy, Wisconsin comprising approximately 93,322 square feet known as of the Second Amendment Effective Date as “Alpine Valley Music Theatre”.</w:t>
      </w:r>
    </w:p>
    <w:p>
      <w:pPr>
        <w:spacing w:after="0" w:line="142"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“Annual Capital Expenditure Reserve” </w:t>
      </w:r>
      <w:r>
        <w:rPr>
          <w:rFonts w:ascii="Times New Roman" w:cs="Times New Roman" w:eastAsia="Times New Roman" w:hAnsi="Times New Roman"/>
          <w:sz w:val="17"/>
          <w:szCs w:val="17"/>
          <w:color w:val="auto"/>
        </w:rPr>
        <w:t>means the sum of (a) an amount equal to the product of (i) $0.</w:t>
      </w:r>
      <w:r>
        <w:rPr>
          <w:rFonts w:ascii="Times New Roman" w:cs="Times New Roman" w:eastAsia="Times New Roman" w:hAnsi="Times New Roman"/>
          <w:sz w:val="17"/>
          <w:szCs w:val="17"/>
          <w:color w:val="FF0000"/>
          <w:strike w:val="1"/>
        </w:rPr>
        <w:t>15</w:t>
      </w:r>
      <w:r>
        <w:rPr>
          <w:rFonts w:ascii="Times New Roman" w:cs="Times New Roman" w:eastAsia="Times New Roman" w:hAnsi="Times New Roman"/>
          <w:sz w:val="17"/>
          <w:szCs w:val="17"/>
          <w:color w:val="4472C4"/>
        </w:rPr>
        <w:t>10</w:t>
      </w:r>
      <w:r>
        <w:rPr>
          <w:rFonts w:ascii="Times New Roman" w:cs="Times New Roman" w:eastAsia="Times New Roman" w:hAnsi="Times New Roman"/>
          <w:sz w:val="17"/>
          <w:szCs w:val="17"/>
          <w:i w:val="1"/>
          <w:iCs w:val="1"/>
          <w:color w:val="auto"/>
        </w:rPr>
        <w:t xml:space="preserve"> multiplied by </w:t>
      </w:r>
      <w:r>
        <w:rPr>
          <w:rFonts w:ascii="Times New Roman" w:cs="Times New Roman" w:eastAsia="Times New Roman" w:hAnsi="Times New Roman"/>
          <w:sz w:val="17"/>
          <w:szCs w:val="17"/>
          <w:color w:val="auto"/>
        </w:rPr>
        <w:t>(ii)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aggregate net rentable area, determined on a square footage basis, for retail </w:t>
      </w:r>
      <w:r>
        <w:rPr>
          <w:rFonts w:ascii="Times New Roman" w:cs="Times New Roman" w:eastAsia="Times New Roman" w:hAnsi="Times New Roman"/>
          <w:sz w:val="17"/>
          <w:szCs w:val="17"/>
          <w:color w:val="FF0000"/>
          <w:strike w:val="1"/>
        </w:rPr>
        <w:t>and industrial</w:t>
      </w:r>
      <w:r>
        <w:rPr>
          <w:rFonts w:ascii="Times New Roman" w:cs="Times New Roman" w:eastAsia="Times New Roman" w:hAnsi="Times New Roman"/>
          <w:sz w:val="17"/>
          <w:szCs w:val="17"/>
          <w:u w:val="single" w:color="auto"/>
          <w:color w:val="4472C4"/>
        </w:rPr>
        <w:t>net lease</w:t>
      </w:r>
      <w:r>
        <w:rPr>
          <w:rFonts w:ascii="Times New Roman" w:cs="Times New Roman" w:eastAsia="Times New Roman" w:hAnsi="Times New Roman"/>
          <w:sz w:val="17"/>
          <w:szCs w:val="17"/>
          <w:color w:val="auto"/>
        </w:rPr>
        <w:t xml:space="preserve"> properties,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an amount equal to the product of (i) $0.</w:t>
      </w:r>
      <w:r>
        <w:rPr>
          <w:rFonts w:ascii="Times New Roman" w:cs="Times New Roman" w:eastAsia="Times New Roman" w:hAnsi="Times New Roman"/>
          <w:sz w:val="17"/>
          <w:szCs w:val="17"/>
          <w:color w:val="FF0000"/>
          <w:strike w:val="1"/>
        </w:rPr>
        <w:t>50</w:t>
      </w:r>
      <w:r>
        <w:rPr>
          <w:rFonts w:ascii="Times New Roman" w:cs="Times New Roman" w:eastAsia="Times New Roman" w:hAnsi="Times New Roman"/>
          <w:sz w:val="17"/>
          <w:szCs w:val="17"/>
          <w:u w:val="single" w:color="auto"/>
          <w:color w:val="4472C4"/>
        </w:rPr>
        <w:t>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the aggregate net rentable area, determined on a square footage basis, for </w:t>
      </w:r>
      <w:r>
        <w:rPr>
          <w:rFonts w:ascii="Times New Roman" w:cs="Times New Roman" w:eastAsia="Times New Roman" w:hAnsi="Times New Roman"/>
          <w:sz w:val="17"/>
          <w:szCs w:val="17"/>
          <w:color w:val="FF0000"/>
          <w:strike w:val="1"/>
        </w:rPr>
        <w:t>office</w:t>
      </w:r>
      <w:r>
        <w:rPr>
          <w:rFonts w:ascii="Times New Roman" w:cs="Times New Roman" w:eastAsia="Times New Roman" w:hAnsi="Times New Roman"/>
          <w:sz w:val="17"/>
          <w:szCs w:val="17"/>
          <w:u w:val="single" w:color="auto"/>
          <w:color w:val="4472C4"/>
        </w:rPr>
        <w:t>non-retail net lease</w:t>
      </w:r>
      <w:r>
        <w:rPr>
          <w:rFonts w:ascii="Times New Roman" w:cs="Times New Roman" w:eastAsia="Times New Roman" w:hAnsi="Times New Roman"/>
          <w:sz w:val="17"/>
          <w:szCs w:val="17"/>
          <w:color w:val="auto"/>
        </w:rPr>
        <w:t xml:space="preserve"> properties;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this definition of Annual Capital Expenditure Reserve shall not apply to any Land Assets or any Ground Leases </w:t>
      </w:r>
      <w:r>
        <w:rPr>
          <w:rFonts w:ascii="Times New Roman" w:cs="Times New Roman" w:eastAsia="Times New Roman" w:hAnsi="Times New Roman"/>
          <w:sz w:val="17"/>
          <w:szCs w:val="17"/>
          <w:u w:val="single" w:color="auto"/>
          <w:color w:val="4472C4"/>
        </w:rPr>
        <w:t>with Borrower or a Subsidiary as lessor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Borrower is not obligated for </w:t>
      </w:r>
      <w:r>
        <w:rPr>
          <w:rFonts w:ascii="Times New Roman" w:cs="Times New Roman" w:eastAsia="Times New Roman" w:hAnsi="Times New Roman"/>
          <w:sz w:val="17"/>
          <w:szCs w:val="17"/>
          <w:u w:val="single" w:color="auto"/>
          <w:color w:val="4472C4"/>
        </w:rPr>
        <w:t>such</w:t>
      </w:r>
      <w:r>
        <w:rPr>
          <w:rFonts w:ascii="Times New Roman" w:cs="Times New Roman" w:eastAsia="Times New Roman" w:hAnsi="Times New Roman"/>
          <w:sz w:val="17"/>
          <w:szCs w:val="17"/>
          <w:color w:val="auto"/>
        </w:rPr>
        <w:t xml:space="preserve"> Capital Expenditures.</w:t>
      </w:r>
    </w:p>
    <w:p>
      <w:pPr>
        <w:spacing w:after="0" w:line="168"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“Anti-Corruption Law” </w:t>
      </w:r>
      <w:r>
        <w:rPr>
          <w:rFonts w:ascii="Times New Roman" w:cs="Times New Roman" w:eastAsia="Times New Roman" w:hAnsi="Times New Roman"/>
          <w:sz w:val="17"/>
          <w:szCs w:val="17"/>
          <w:color w:val="auto"/>
        </w:rPr>
        <w:t>means the FCPA and any law, rule or regulation of any jurisdiction concerning or relating to bribery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corruption that are applicable to Borrower or any Subsidiary or Affiliate.</w:t>
      </w:r>
    </w:p>
    <w:p>
      <w:pPr>
        <w:spacing w:after="0" w:line="14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“Applicable Margin” </w:t>
      </w:r>
      <w:r>
        <w:rPr>
          <w:rFonts w:ascii="Times New Roman" w:cs="Times New Roman" w:eastAsia="Times New Roman" w:hAnsi="Times New Roman"/>
          <w:sz w:val="17"/>
          <w:szCs w:val="17"/>
          <w:color w:val="auto"/>
        </w:rPr>
        <w:t>means, with respect to the Closing Date Term Loan, until the first Pricing Date, the rates shown opposite Level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 below, and thereafter, from one Pricing Date to the next the rates per annum determined in accordance with the following schedule:</w:t>
      </w:r>
    </w:p>
    <w:p>
      <w:pPr>
        <w:spacing w:after="0" w:line="340" w:lineRule="exact"/>
        <w:rPr>
          <w:sz w:val="20"/>
          <w:szCs w:val="20"/>
          <w:color w:val="auto"/>
        </w:rPr>
      </w:pPr>
    </w:p>
    <w:tbl>
      <w:tblPr>
        <w:tblLayout w:type="fixed"/>
        <w:tblInd w:w="380" w:type="dxa"/>
        <w:tblCellMar>
          <w:top w:w="0" w:type="dxa"/>
          <w:left w:w="0" w:type="dxa"/>
          <w:bottom w:w="0" w:type="dxa"/>
          <w:right w:w="0" w:type="dxa"/>
        </w:tblCellMar>
      </w:tblPr>
      <w:tr>
        <w:trPr>
          <w:trHeight w:val="209"/>
        </w:trPr>
        <w:tc>
          <w:tcPr>
            <w:tcW w:w="7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TOTAL INDEBTEDNESS</w:t>
            </w:r>
          </w:p>
        </w:tc>
        <w:tc>
          <w:tcPr>
            <w:tcW w:w="24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9"/>
        </w:trPr>
        <w:tc>
          <w:tcPr>
            <w:tcW w:w="7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TO TOTAL ASSET VALUE</w:t>
            </w:r>
          </w:p>
        </w:tc>
        <w:tc>
          <w:tcPr>
            <w:tcW w:w="24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APPLICABLE MARGIN</w:t>
            </w:r>
          </w:p>
        </w:tc>
        <w:tc>
          <w:tcPr>
            <w:tcW w:w="2660" w:type="dxa"/>
            <w:vAlign w:val="bottom"/>
          </w:tcPr>
          <w:p>
            <w:pPr>
              <w:spacing w:after="0"/>
              <w:rPr>
                <w:sz w:val="18"/>
                <w:szCs w:val="18"/>
                <w:color w:val="auto"/>
              </w:rPr>
            </w:pPr>
          </w:p>
        </w:tc>
      </w:tr>
      <w:tr>
        <w:trPr>
          <w:trHeight w:val="209"/>
        </w:trPr>
        <w:tc>
          <w:tcPr>
            <w:tcW w:w="7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RATIO FOR SUCH</w:t>
            </w:r>
          </w:p>
        </w:tc>
        <w:tc>
          <w:tcPr>
            <w:tcW w:w="24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FOR BASE RATE LOANS</w:t>
            </w:r>
          </w:p>
        </w:tc>
        <w:tc>
          <w:tcPr>
            <w:tcW w:w="266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auto"/>
              </w:rPr>
              <w:t>APPLICABLE MARGIN</w:t>
            </w:r>
          </w:p>
        </w:tc>
      </w:tr>
      <w:tr>
        <w:trPr>
          <w:trHeight w:val="227"/>
        </w:trPr>
        <w:tc>
          <w:tcPr>
            <w:tcW w:w="72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rPr>
              <w:t>LEVEL</w:t>
            </w:r>
          </w:p>
        </w:tc>
        <w:tc>
          <w:tcPr>
            <w:tcW w:w="3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PRICING DATE</w:t>
            </w:r>
          </w:p>
        </w:tc>
        <w:tc>
          <w:tcPr>
            <w:tcW w:w="24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SHALL BE:</w:t>
            </w:r>
          </w:p>
        </w:tc>
        <w:tc>
          <w:tcPr>
            <w:tcW w:w="266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auto"/>
              </w:rPr>
              <w:t>FOR SOFR LOANS SHALL BE:</w:t>
            </w:r>
          </w:p>
        </w:tc>
      </w:tr>
      <w:tr>
        <w:trPr>
          <w:trHeight w:val="417"/>
        </w:trPr>
        <w:tc>
          <w:tcPr>
            <w:tcW w:w="72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rPr>
              <w:t>I</w:t>
            </w:r>
          </w:p>
        </w:tc>
        <w:tc>
          <w:tcPr>
            <w:tcW w:w="3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Less than or equal to 0.45 to 1.00</w:t>
            </w:r>
          </w:p>
        </w:tc>
        <w:tc>
          <w:tcPr>
            <w:tcW w:w="24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0.35%</w:t>
            </w:r>
          </w:p>
        </w:tc>
        <w:tc>
          <w:tcPr>
            <w:tcW w:w="266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auto"/>
              </w:rPr>
              <w:t>1.35%</w:t>
            </w:r>
          </w:p>
        </w:tc>
      </w:tr>
      <w:tr>
        <w:trPr>
          <w:trHeight w:val="399"/>
        </w:trPr>
        <w:tc>
          <w:tcPr>
            <w:tcW w:w="72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w w:val="87"/>
              </w:rPr>
              <w:t>II</w:t>
            </w:r>
          </w:p>
        </w:tc>
        <w:tc>
          <w:tcPr>
            <w:tcW w:w="3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Less than or equal to 0.50 to 1.00, but</w:t>
            </w:r>
          </w:p>
        </w:tc>
        <w:tc>
          <w:tcPr>
            <w:tcW w:w="24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0.50%</w:t>
            </w:r>
          </w:p>
        </w:tc>
        <w:tc>
          <w:tcPr>
            <w:tcW w:w="266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auto"/>
              </w:rPr>
              <w:t>1.50%</w:t>
            </w:r>
          </w:p>
        </w:tc>
      </w:tr>
      <w:tr>
        <w:trPr>
          <w:trHeight w:val="227"/>
        </w:trPr>
        <w:tc>
          <w:tcPr>
            <w:tcW w:w="72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greater than 0.45 to 1.00</w:t>
            </w:r>
          </w:p>
        </w:tc>
        <w:tc>
          <w:tcPr>
            <w:tcW w:w="244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399"/>
        </w:trPr>
        <w:tc>
          <w:tcPr>
            <w:tcW w:w="72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rPr>
              <w:t>III</w:t>
            </w:r>
          </w:p>
        </w:tc>
        <w:tc>
          <w:tcPr>
            <w:tcW w:w="3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Less than or equal to 0.55 to 1.00, but</w:t>
            </w:r>
          </w:p>
        </w:tc>
        <w:tc>
          <w:tcPr>
            <w:tcW w:w="24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0.65%</w:t>
            </w:r>
          </w:p>
        </w:tc>
        <w:tc>
          <w:tcPr>
            <w:tcW w:w="266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auto"/>
              </w:rPr>
              <w:t>1.65%</w:t>
            </w:r>
          </w:p>
        </w:tc>
      </w:tr>
      <w:tr>
        <w:trPr>
          <w:trHeight w:val="227"/>
        </w:trPr>
        <w:tc>
          <w:tcPr>
            <w:tcW w:w="72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greater than 0.50 to 1.00</w:t>
            </w:r>
          </w:p>
        </w:tc>
        <w:tc>
          <w:tcPr>
            <w:tcW w:w="244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17"/>
        </w:trPr>
        <w:tc>
          <w:tcPr>
            <w:tcW w:w="72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rPr>
              <w:t>IV</w:t>
            </w:r>
          </w:p>
        </w:tc>
        <w:tc>
          <w:tcPr>
            <w:tcW w:w="3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Greater than 0.55 to 1.00</w:t>
            </w:r>
          </w:p>
        </w:tc>
        <w:tc>
          <w:tcPr>
            <w:tcW w:w="24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0.95%</w:t>
            </w:r>
          </w:p>
        </w:tc>
        <w:tc>
          <w:tcPr>
            <w:tcW w:w="266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auto"/>
                <w:w w:val="99"/>
              </w:rPr>
              <w:t>1.95 %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81" w:name="page82"/>
    <w:bookmarkEnd w:id="81"/>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For purposes hereof, the term </w:t>
      </w:r>
      <w:r>
        <w:rPr>
          <w:rFonts w:ascii="Times New Roman" w:cs="Times New Roman" w:eastAsia="Times New Roman" w:hAnsi="Times New Roman"/>
          <w:sz w:val="17"/>
          <w:szCs w:val="17"/>
          <w:i w:val="1"/>
          <w:iCs w:val="1"/>
          <w:color w:val="auto"/>
        </w:rPr>
        <w:t>“Pricing Date”</w:t>
      </w:r>
      <w:r>
        <w:rPr>
          <w:rFonts w:ascii="Times New Roman" w:cs="Times New Roman" w:eastAsia="Times New Roman" w:hAnsi="Times New Roman"/>
          <w:sz w:val="17"/>
          <w:szCs w:val="17"/>
          <w:color w:val="auto"/>
        </w:rPr>
        <w:t xml:space="preserve"> 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 Date. If the Borrower has not delivered its Compliance Certificate and financial statements by the 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 Margin shall be the highest Applicable Margin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Level IV shall apply).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Borrower, Administrative Agent, and Lenders understand that the applicable interest rate for the Obligations and certain fees set forth herein may be determined and/or adjusted from time to time based upon certain financial ratios and/or other information to be provided or certified to the Administrative Agent and Lenders by Borrower (the </w:t>
      </w:r>
      <w:r>
        <w:rPr>
          <w:rFonts w:ascii="Times New Roman" w:cs="Times New Roman" w:eastAsia="Times New Roman" w:hAnsi="Times New Roman"/>
          <w:sz w:val="17"/>
          <w:szCs w:val="17"/>
          <w:i w:val="1"/>
          <w:iCs w:val="1"/>
          <w:color w:val="auto"/>
        </w:rPr>
        <w:t>"Borrower Information"</w:t>
      </w:r>
      <w:r>
        <w:rPr>
          <w:rFonts w:ascii="Times New Roman" w:cs="Times New Roman" w:eastAsia="Times New Roman" w:hAnsi="Times New Roman"/>
          <w:sz w:val="17"/>
          <w:szCs w:val="17"/>
          <w:color w:val="auto"/>
        </w:rPr>
        <w:t xml:space="preserve">). If it is subsequently determined that any such Borrower Information was incorrect (for whatever reason, including, without limitation, because of a subsequent restatement of earnings by the Borrower or Parent)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recalculation shall be done for any period that is more than 2 years earlier than the date of recalculation. The Administrative Agent shall promptly notify Borrower in writing of any additional interest and fees due because of such recalculation, and the Borrower shall pay such additional interest or fees due to the Administrative Agent, for the account of each Lender, within five (5) Business Days of receipt of such written notice. Any recalculation of interest or fees required by this provision shall survive the termination of this Agreement, and this provision shall not in any way limit any of the Administrative Agent's or any Lender's other rights under this Agreement. Each determination of the Applicable Margin made by the Administrative Agent in accordance with the foregoing shall be conclusive, absent manifest error, and binding on the Borrower and the Lenders if reasonably determined. Any Incremental Term Loan shall bear interest at an “applicable margin” based upon the then determined Applicable Rate set forth in each Incremental Term Loan Amendment for each Incremental Term Loan Facility.</w:t>
      </w:r>
    </w:p>
    <w:p>
      <w:pPr>
        <w:spacing w:after="0" w:line="399"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Applicable Percentage</w:t>
      </w:r>
      <w:r>
        <w:rPr>
          <w:rFonts w:ascii="Times New Roman" w:cs="Times New Roman" w:eastAsia="Times New Roman" w:hAnsi="Times New Roman"/>
          <w:sz w:val="17"/>
          <w:szCs w:val="17"/>
          <w:color w:val="auto"/>
        </w:rPr>
        <w:t>” means, (a) with respect to any Term Lender at any time, the percentage of the Term Facility represented by such Term Lender’s Term Commitment at such time, and (b) with respect to any Incremental Term Lender at any time, the percentage of the applicable Incremental Term Loan Facility represented by the sum of such Incremental Term Lender’s unfunded Incremental Term Loan Commitments (if any) for the applicable Incremental Term Facility and the principal amount of such Incremental Term Lender’s Incremental Term Loans for the applicable Incremental Term Loan Facility at such time. The initial Applicable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82" w:name="page83"/>
    <w:bookmarkEnd w:id="82"/>
    <w:p>
      <w:pPr>
        <w:jc w:val="both"/>
        <w:spacing w:after="0" w:line="294" w:lineRule="auto"/>
        <w:rPr>
          <w:sz w:val="20"/>
          <w:szCs w:val="20"/>
          <w:color w:val="auto"/>
        </w:rPr>
      </w:pPr>
      <w:r>
        <w:rPr>
          <w:rFonts w:ascii="Times New Roman" w:cs="Times New Roman" w:eastAsia="Times New Roman" w:hAnsi="Times New Roman"/>
          <w:sz w:val="17"/>
          <w:szCs w:val="17"/>
          <w:color w:val="auto"/>
        </w:rPr>
        <w:t>Percentage of each Lender in respect of the Term Facility is set forth opposite the name of such Lender on Schedule 1 or in the Assignment and Assumption pursuant to which such Lender becomes a party hereto, as applicable.</w:t>
      </w:r>
    </w:p>
    <w:p>
      <w:pPr>
        <w:spacing w:after="0" w:line="145"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Applicable Rate</w:t>
      </w:r>
      <w:r>
        <w:rPr>
          <w:rFonts w:ascii="Times New Roman" w:cs="Times New Roman" w:eastAsia="Times New Roman" w:hAnsi="Times New Roman"/>
          <w:sz w:val="17"/>
          <w:szCs w:val="17"/>
          <w:color w:val="auto"/>
        </w:rPr>
        <w:t>” means, a rate per annum equal to (a) in respect of the Term Facility, (i) the Applicable Margin with respect to SOFR Loans and (ii) and the Applicable Margin with respect to Base Rate Loans, and (ii) in respect of any Incremental Term Loan Facility, the interest rate set forth in the applicable Incremental Term Loan Amendment.</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“Approved Fund” </w:t>
      </w:r>
      <w:r>
        <w:rPr>
          <w:rFonts w:ascii="Times New Roman" w:cs="Times New Roman" w:eastAsia="Times New Roman" w:hAnsi="Times New Roman"/>
          <w:sz w:val="17"/>
          <w:szCs w:val="17"/>
          <w:color w:val="auto"/>
        </w:rPr>
        <w:t>means any Fund that is administered or managed by (a) a Lender, (b) an Affiliate of a Lender or (c) an entity or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Affiliate of an entity that administers or manages a Lender.</w:t>
      </w:r>
    </w:p>
    <w:p>
      <w:pPr>
        <w:spacing w:after="0" w:line="14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“Assets Under Development” </w:t>
      </w:r>
      <w:r>
        <w:rPr>
          <w:rFonts w:ascii="Times New Roman" w:cs="Times New Roman" w:eastAsia="Times New Roman" w:hAnsi="Times New Roman"/>
          <w:sz w:val="17"/>
          <w:szCs w:val="17"/>
          <w:color w:val="auto"/>
        </w:rPr>
        <w:t>means any real property under construction (excluding any completed Property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FF0000"/>
          <w:strike w:val="1"/>
        </w:rPr>
        <w:t>minor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renovation </w:t>
      </w:r>
      <w:r>
        <w:rPr>
          <w:rFonts w:ascii="Times New Roman" w:cs="Times New Roman" w:eastAsia="Times New Roman" w:hAnsi="Times New Roman"/>
          <w:sz w:val="17"/>
          <w:szCs w:val="17"/>
          <w:u w:val="single" w:color="auto"/>
          <w:color w:val="4472C4"/>
        </w:rPr>
        <w:t>for which the relevant Tenant has not ceased paying rent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until such property has received a certificate of occupancy.</w:t>
      </w:r>
    </w:p>
    <w:p>
      <w:pPr>
        <w:spacing w:after="0" w:line="14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“Assignment and Acceptance” </w:t>
      </w:r>
      <w:r>
        <w:rPr>
          <w:rFonts w:ascii="Times New Roman" w:cs="Times New Roman" w:eastAsia="Times New Roman" w:hAnsi="Times New Roman"/>
          <w:sz w:val="17"/>
          <w:szCs w:val="17"/>
          <w:color w:val="auto"/>
        </w:rPr>
        <w:t>means an assignment and acceptance entered into by a Lender and an Eligible Assignee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consent of any party whose consent is required by Section 12.12 hereof), and accepted by the Administrative Agent, in substantially the form of Exhibit F or any other form approved by the Administrative Agent.</w:t>
      </w:r>
    </w:p>
    <w:p>
      <w:pPr>
        <w:spacing w:after="0" w:line="160"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“Authorized Representative” </w:t>
      </w:r>
      <w:r>
        <w:rPr>
          <w:rFonts w:ascii="Times New Roman" w:cs="Times New Roman" w:eastAsia="Times New Roman" w:hAnsi="Times New Roman"/>
          <w:sz w:val="17"/>
          <w:szCs w:val="17"/>
          <w:color w:val="auto"/>
        </w:rPr>
        <w:t>means those persons shown on the list of officers provided by the Borrower pursuant to Section 7.2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hereof or on any update of any such list provided by the Borrower to the Administrative Agent, or any further or different officers of the Borrower so named by any Authorized Representative of the Borrower in a written notice to the Administrative Agent.</w:t>
      </w:r>
    </w:p>
    <w:p>
      <w:pPr>
        <w:spacing w:after="0" w:line="160"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“Available Tenor” </w:t>
      </w:r>
      <w:r>
        <w:rPr>
          <w:rFonts w:ascii="Times New Roman" w:cs="Times New Roman" w:eastAsia="Times New Roman" w:hAnsi="Times New Roman"/>
          <w:sz w:val="17"/>
          <w:szCs w:val="17"/>
          <w:color w:val="auto"/>
        </w:rPr>
        <w:t>means, as of any date of determination and with respect to the then-current Benchmark, (x) if such Benchmark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10.6(d).</w:t>
      </w:r>
    </w:p>
    <w:p>
      <w:pPr>
        <w:spacing w:after="0" w:line="17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“Bail-In Action” </w:t>
      </w:r>
      <w:r>
        <w:rPr>
          <w:rFonts w:ascii="Times New Roman" w:cs="Times New Roman" w:eastAsia="Times New Roman" w:hAnsi="Times New Roman"/>
          <w:sz w:val="17"/>
          <w:szCs w:val="17"/>
          <w:color w:val="auto"/>
        </w:rPr>
        <w:t>means the exercise of any Write-Down and Conversion Powers by the applicable Resolution Authority in respect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liability of an Affected Financial Institution.</w:t>
      </w:r>
    </w:p>
    <w:p>
      <w:pPr>
        <w:spacing w:after="0" w:line="142"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“Bail-In Legislation” </w:t>
      </w:r>
      <w:r>
        <w:rPr>
          <w:rFonts w:ascii="Times New Roman" w:cs="Times New Roman" w:eastAsia="Times New Roman" w:hAnsi="Times New Roman"/>
          <w:sz w:val="17"/>
          <w:szCs w:val="17"/>
          <w:color w:val="auto"/>
        </w:rPr>
        <w:t>means, (a) with respect to any EEA Member Country implementing Article 55 of Directive 2014/59/EU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83" w:name="page84"/>
    <w:bookmarkEnd w:id="83"/>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“Bankruptcy Event” </w:t>
      </w:r>
      <w:r>
        <w:rPr>
          <w:rFonts w:ascii="Times New Roman" w:cs="Times New Roman" w:eastAsia="Times New Roman" w:hAnsi="Times New Roman"/>
          <w:sz w:val="17"/>
          <w:szCs w:val="17"/>
          <w:color w:val="auto"/>
        </w:rPr>
        <w:t>means, with respect to any Person, any event of the type described in clause (j) or (k) of Section 9.1 hereof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to such Person.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“Base Rate” </w:t>
      </w:r>
      <w:r>
        <w:rPr>
          <w:rFonts w:ascii="Times New Roman" w:cs="Times New Roman" w:eastAsia="Times New Roman" w:hAnsi="Times New Roman"/>
          <w:sz w:val="17"/>
          <w:szCs w:val="17"/>
          <w:color w:val="auto"/>
        </w:rPr>
        <w:t>is defined in Section 1.4(a) hereof.</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“Base Rate Loan” </w:t>
      </w:r>
      <w:r>
        <w:rPr>
          <w:rFonts w:ascii="Times New Roman" w:cs="Times New Roman" w:eastAsia="Times New Roman" w:hAnsi="Times New Roman"/>
          <w:sz w:val="17"/>
          <w:szCs w:val="17"/>
          <w:color w:val="auto"/>
        </w:rPr>
        <w:t>means a Loan bearing interest at a rate specified in Section 1.4(a) hereof.</w:t>
      </w:r>
    </w:p>
    <w:p>
      <w:pPr>
        <w:spacing w:after="0" w:line="222"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Benchmark</w:t>
      </w:r>
      <w:r>
        <w:rPr>
          <w:rFonts w:ascii="Times New Roman" w:cs="Times New Roman" w:eastAsia="Times New Roman" w:hAnsi="Times New Roman"/>
          <w:sz w:val="17"/>
          <w:szCs w:val="17"/>
          <w:color w:val="auto"/>
        </w:rPr>
        <w:t>” means, initially, (a) with respect to Daily Simple SOFR Loans, Daily Simple SOFR and (b), with respect to Term SOFR Loans, the Term SOFR Reference Rate; provided that if a Benchmark Transition Event has occurred with respect to the then-current Benchmark, then “Benchmark” means the applicable Benchmark Replacement to the extent that such Benchmark Replacement has replaced such prior benchmark rate pursuant to Section 10.6.</w:t>
      </w:r>
    </w:p>
    <w:p>
      <w:pPr>
        <w:spacing w:after="0" w:line="167"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Benchmark Replacement</w:t>
      </w:r>
      <w:r>
        <w:rPr>
          <w:rFonts w:ascii="Times New Roman" w:cs="Times New Roman" w:eastAsia="Times New Roman" w:hAnsi="Times New Roman"/>
          <w:sz w:val="17"/>
          <w:szCs w:val="17"/>
          <w:color w:val="auto"/>
        </w:rPr>
        <w:t>” means, with respect to any Benchmark Transition Event for the then-current Benchmark,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U.S. Dollars at such time and (ii) the related Benchmark Replacement Adjustment, if any; provided that, if such Benchmark Replacement as so determined would be less than the Floor, such Benchmark Replacement will be deemed to be the Floor for the purposes of this Agreement and the other Loan Documents.</w:t>
      </w:r>
    </w:p>
    <w:p>
      <w:pPr>
        <w:spacing w:after="0" w:line="175"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Benchmark Replacement Adjustment</w:t>
      </w:r>
      <w:r>
        <w:rPr>
          <w:rFonts w:ascii="Times New Roman" w:cs="Times New Roman" w:eastAsia="Times New Roman" w:hAnsi="Times New Roman"/>
          <w:sz w:val="17"/>
          <w:szCs w:val="17"/>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Benchmark Replacement Date</w:t>
      </w:r>
      <w:r>
        <w:rPr>
          <w:rFonts w:ascii="Times New Roman" w:cs="Times New Roman" w:eastAsia="Times New Roman" w:hAnsi="Times New Roman"/>
          <w:sz w:val="17"/>
          <w:szCs w:val="17"/>
          <w:color w:val="auto"/>
        </w:rPr>
        <w:t>” means the earlier to occur of the following events with respect to the then-current Benchmark:</w:t>
      </w:r>
    </w:p>
    <w:p>
      <w:pPr>
        <w:spacing w:after="0" w:line="224" w:lineRule="exact"/>
        <w:rPr>
          <w:sz w:val="20"/>
          <w:szCs w:val="20"/>
          <w:color w:val="auto"/>
        </w:rPr>
      </w:pPr>
    </w:p>
    <w:p>
      <w:pPr>
        <w:jc w:val="both"/>
        <w:ind w:firstLine="631"/>
        <w:spacing w:after="0" w:line="268" w:lineRule="auto"/>
        <w:tabs>
          <w:tab w:leader="none" w:pos="125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69" w:lineRule="exact"/>
        <w:rPr>
          <w:rFonts w:ascii="Times New Roman" w:cs="Times New Roman" w:eastAsia="Times New Roman" w:hAnsi="Times New Roman"/>
          <w:sz w:val="17"/>
          <w:szCs w:val="17"/>
          <w:color w:val="auto"/>
        </w:rPr>
      </w:pPr>
    </w:p>
    <w:p>
      <w:pPr>
        <w:ind w:firstLine="631"/>
        <w:spacing w:after="0" w:line="294" w:lineRule="auto"/>
        <w:tabs>
          <w:tab w:leader="none" w:pos="125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clause (c) of the definition of “Benchmark Transition Event”, the first date on which such Benchmark (or the published component used in the calculation thereof) has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84" w:name="page85"/>
    <w:bookmarkEnd w:id="84"/>
    <w:p>
      <w:pPr>
        <w:jc w:val="both"/>
        <w:spacing w:after="0" w:line="265" w:lineRule="auto"/>
        <w:rPr>
          <w:sz w:val="20"/>
          <w:szCs w:val="20"/>
          <w:color w:val="auto"/>
        </w:rPr>
      </w:pPr>
      <w:r>
        <w:rPr>
          <w:rFonts w:ascii="Times New Roman" w:cs="Times New Roman" w:eastAsia="Times New Roman" w:hAnsi="Times New Roman"/>
          <w:sz w:val="17"/>
          <w:szCs w:val="17"/>
          <w:color w:val="auto"/>
        </w:rPr>
        <w:t>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72"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1"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Benchmark Transition Event</w:t>
      </w:r>
      <w:r>
        <w:rPr>
          <w:rFonts w:ascii="Times New Roman" w:cs="Times New Roman" w:eastAsia="Times New Roman" w:hAnsi="Times New Roman"/>
          <w:sz w:val="17"/>
          <w:szCs w:val="17"/>
          <w:color w:val="auto"/>
        </w:rPr>
        <w:t>” means, with respect to the then-current Benchmark, the occurrence of one or more of the following events with respect to such Benchmark:</w:t>
      </w:r>
    </w:p>
    <w:p>
      <w:pPr>
        <w:spacing w:after="0" w:line="144" w:lineRule="exact"/>
        <w:rPr>
          <w:sz w:val="20"/>
          <w:szCs w:val="20"/>
          <w:color w:val="auto"/>
        </w:rPr>
      </w:pPr>
    </w:p>
    <w:p>
      <w:pPr>
        <w:jc w:val="both"/>
        <w:ind w:firstLine="631"/>
        <w:spacing w:after="0" w:line="268" w:lineRule="auto"/>
        <w:tabs>
          <w:tab w:leader="none" w:pos="125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9" w:lineRule="exact"/>
        <w:rPr>
          <w:rFonts w:ascii="Times New Roman" w:cs="Times New Roman" w:eastAsia="Times New Roman" w:hAnsi="Times New Roman"/>
          <w:sz w:val="17"/>
          <w:szCs w:val="17"/>
          <w:color w:val="auto"/>
        </w:rPr>
      </w:pPr>
    </w:p>
    <w:p>
      <w:pPr>
        <w:jc w:val="both"/>
        <w:ind w:firstLine="631"/>
        <w:spacing w:after="0" w:line="261" w:lineRule="auto"/>
        <w:tabs>
          <w:tab w:leader="none" w:pos="125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6" w:lineRule="exact"/>
        <w:rPr>
          <w:rFonts w:ascii="Times New Roman" w:cs="Times New Roman" w:eastAsia="Times New Roman" w:hAnsi="Times New Roman"/>
          <w:sz w:val="17"/>
          <w:szCs w:val="17"/>
          <w:color w:val="auto"/>
        </w:rPr>
      </w:pPr>
    </w:p>
    <w:p>
      <w:pPr>
        <w:jc w:val="both"/>
        <w:ind w:firstLine="631"/>
        <w:spacing w:after="0" w:line="265" w:lineRule="auto"/>
        <w:tabs>
          <w:tab w:leader="none" w:pos="125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72"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85" w:name="page86"/>
    <w:bookmarkEnd w:id="85"/>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Benchmark Transition Start Date</w:t>
      </w:r>
      <w:r>
        <w:rPr>
          <w:rFonts w:ascii="Times New Roman" w:cs="Times New Roman" w:eastAsia="Times New Roman" w:hAnsi="Times New Roman"/>
          <w:sz w:val="17"/>
          <w:szCs w:val="17"/>
          <w:color w:val="auto"/>
        </w:rPr>
        <w:t>” means, with respect to any Benchmark,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379"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Benchmark Unavailability Period</w:t>
      </w:r>
      <w:r>
        <w:rPr>
          <w:rFonts w:ascii="Times New Roman" w:cs="Times New Roman" w:eastAsia="Times New Roman" w:hAnsi="Times New Roman"/>
          <w:sz w:val="17"/>
          <w:szCs w:val="17"/>
          <w:color w:val="auto"/>
        </w:rPr>
        <w:t>” means, with respect to any then-current Benchmark, the period (if any) (i)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 10.2 and (ii) ending at the time that a Benchmark Replacement has replaced such Benchmark for all purposes hereunder and under any Loan Document in accordance with Section 10.6. “Beneficial Ownership Certification” means a certification regarding beneficial ownership as required by the Beneficial Ownership Regulation.</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“Beneficial Ownership Regulation” </w:t>
      </w:r>
      <w:r>
        <w:rPr>
          <w:rFonts w:ascii="Times New Roman" w:cs="Times New Roman" w:eastAsia="Times New Roman" w:hAnsi="Times New Roman"/>
          <w:sz w:val="17"/>
          <w:szCs w:val="17"/>
          <w:color w:val="auto"/>
        </w:rPr>
        <w:t>means 31 C.F.R. § 1010.230.</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“Borrower” </w:t>
      </w:r>
      <w:r>
        <w:rPr>
          <w:rFonts w:ascii="Times New Roman" w:cs="Times New Roman" w:eastAsia="Times New Roman" w:hAnsi="Times New Roman"/>
          <w:sz w:val="17"/>
          <w:szCs w:val="17"/>
          <w:color w:val="auto"/>
        </w:rPr>
        <w:t>is defined in the introductory paragraph of this Agreement.</w:t>
      </w:r>
    </w:p>
    <w:p>
      <w:pPr>
        <w:spacing w:after="0" w:line="222"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“Borrowing” </w:t>
      </w:r>
      <w:r>
        <w:rPr>
          <w:rFonts w:ascii="Times New Roman" w:cs="Times New Roman" w:eastAsia="Times New Roman" w:hAnsi="Times New Roman"/>
          <w:sz w:val="17"/>
          <w:szCs w:val="17"/>
          <w:color w:val="auto"/>
        </w:rPr>
        <w:t>means the total of Loans of a single type advanced, continued for an additional Interest Period, or converted from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different type into such type by the Lenders on a single date and, in the case of Term SOFR Loans, for a single Interest Period. Borrowings of Loans are made and maintained ratably from each of the Lenders according to their Applicable Percentages and at the Applicable Rate. A Borrowing is </w:t>
      </w:r>
      <w:r>
        <w:rPr>
          <w:rFonts w:ascii="Times New Roman" w:cs="Times New Roman" w:eastAsia="Times New Roman" w:hAnsi="Times New Roman"/>
          <w:sz w:val="17"/>
          <w:szCs w:val="17"/>
          <w:i w:val="1"/>
          <w:iCs w:val="1"/>
          <w:color w:val="auto"/>
        </w:rPr>
        <w:t>“advanced”</w:t>
      </w:r>
      <w:r>
        <w:rPr>
          <w:rFonts w:ascii="Times New Roman" w:cs="Times New Roman" w:eastAsia="Times New Roman" w:hAnsi="Times New Roman"/>
          <w:sz w:val="17"/>
          <w:szCs w:val="17"/>
          <w:color w:val="auto"/>
        </w:rPr>
        <w:t xml:space="preserve"> on the day Lenders advance funds comprising such Borrowing to the Borrower, is </w:t>
      </w:r>
      <w:r>
        <w:rPr>
          <w:rFonts w:ascii="Times New Roman" w:cs="Times New Roman" w:eastAsia="Times New Roman" w:hAnsi="Times New Roman"/>
          <w:sz w:val="17"/>
          <w:szCs w:val="17"/>
          <w:i w:val="1"/>
          <w:iCs w:val="1"/>
          <w:color w:val="auto"/>
        </w:rPr>
        <w:t>“continued”</w:t>
      </w:r>
      <w:r>
        <w:rPr>
          <w:rFonts w:ascii="Times New Roman" w:cs="Times New Roman" w:eastAsia="Times New Roman" w:hAnsi="Times New Roman"/>
          <w:sz w:val="17"/>
          <w:szCs w:val="17"/>
          <w:color w:val="auto"/>
        </w:rPr>
        <w:t xml:space="preserve"> on the date a new Interest Period for the same type of Loans commences for such Borrowing, and is </w:t>
      </w:r>
      <w:r>
        <w:rPr>
          <w:rFonts w:ascii="Times New Roman" w:cs="Times New Roman" w:eastAsia="Times New Roman" w:hAnsi="Times New Roman"/>
          <w:sz w:val="17"/>
          <w:szCs w:val="17"/>
          <w:i w:val="1"/>
          <w:iCs w:val="1"/>
          <w:color w:val="auto"/>
        </w:rPr>
        <w:t>“converted”</w:t>
      </w:r>
      <w:r>
        <w:rPr>
          <w:rFonts w:ascii="Times New Roman" w:cs="Times New Roman" w:eastAsia="Times New Roman" w:hAnsi="Times New Roman"/>
          <w:sz w:val="17"/>
          <w:szCs w:val="17"/>
          <w:color w:val="auto"/>
        </w:rPr>
        <w:t xml:space="preserve"> when such Borrowing is changed from one type of Loans to the other, all as determined pursuant to Section 1.6 hereof.</w:t>
      </w:r>
    </w:p>
    <w:p>
      <w:pPr>
        <w:spacing w:after="0" w:line="17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FF0000"/>
          <w:strike w:val="1"/>
        </w:rPr>
        <w:t xml:space="preserve">“Borrowing Base” </w:t>
      </w:r>
      <w:r>
        <w:rPr>
          <w:rFonts w:ascii="Times New Roman" w:cs="Times New Roman" w:eastAsia="Times New Roman" w:hAnsi="Times New Roman"/>
          <w:sz w:val="17"/>
          <w:szCs w:val="17"/>
          <w:color w:val="FF0000"/>
          <w:strike w:val="1"/>
        </w:rPr>
        <w:t>means, at any date of its determination, an amount equal to the lesser of (A) 60% of the Borrowing Base Value of</w:t>
      </w:r>
      <w:r>
        <w:rPr>
          <w:rFonts w:ascii="Times New Roman" w:cs="Times New Roman" w:eastAsia="Times New Roman" w:hAnsi="Times New Roman"/>
          <w:sz w:val="17"/>
          <w:szCs w:val="17"/>
          <w:i w:val="1"/>
          <w:iCs w:val="1"/>
          <w:color w:val="FF0000"/>
          <w:strike w:val="1"/>
        </w:rPr>
        <w:t xml:space="preserve"> </w:t>
      </w:r>
      <w:r>
        <w:rPr>
          <w:rFonts w:ascii="Times New Roman" w:cs="Times New Roman" w:eastAsia="Times New Roman" w:hAnsi="Times New Roman"/>
          <w:sz w:val="17"/>
          <w:szCs w:val="17"/>
          <w:color w:val="FF0000"/>
          <w:strike w:val="1"/>
        </w:rPr>
        <w:t>all Eligible Properties on such date and (B) the Debt Service Coverage Amount of all Eligible Properties on such date.</w:t>
      </w:r>
    </w:p>
    <w:p>
      <w:pPr>
        <w:spacing w:after="0" w:line="14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FF0000"/>
          <w:strike w:val="1"/>
        </w:rPr>
        <w:t xml:space="preserve">“Borrowing Base Certificate” </w:t>
      </w:r>
      <w:r>
        <w:rPr>
          <w:rFonts w:ascii="Times New Roman" w:cs="Times New Roman" w:eastAsia="Times New Roman" w:hAnsi="Times New Roman"/>
          <w:sz w:val="17"/>
          <w:szCs w:val="17"/>
          <w:color w:val="FF0000"/>
          <w:strike w:val="1"/>
        </w:rPr>
        <w:t>means the certificate in the form of Exhibit I hereto, or in such other form acceptable to the</w:t>
      </w:r>
      <w:r>
        <w:rPr>
          <w:rFonts w:ascii="Times New Roman" w:cs="Times New Roman" w:eastAsia="Times New Roman" w:hAnsi="Times New Roman"/>
          <w:sz w:val="17"/>
          <w:szCs w:val="17"/>
          <w:i w:val="1"/>
          <w:iCs w:val="1"/>
          <w:color w:val="FF0000"/>
          <w:strike w:val="1"/>
        </w:rPr>
        <w:t xml:space="preserve"> </w:t>
      </w:r>
      <w:r>
        <w:rPr>
          <w:rFonts w:ascii="Times New Roman" w:cs="Times New Roman" w:eastAsia="Times New Roman" w:hAnsi="Times New Roman"/>
          <w:sz w:val="17"/>
          <w:szCs w:val="17"/>
          <w:color w:val="FF0000"/>
          <w:strike w:val="1"/>
        </w:rPr>
        <w:t>Administrative Agent, to be delivered to the Administrative Agent pursuant to Sections 7.2(i), 7.3 and 8.5(d) hereof.</w:t>
      </w:r>
    </w:p>
    <w:p>
      <w:pPr>
        <w:spacing w:after="0" w:line="144"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FF0000"/>
          <w:strike w:val="1"/>
        </w:rPr>
        <w:t>“Borrowing Base Determination Date” means each date on which the Borrowing Base is certified in writing to the Administrative Agent, as follows:</w:t>
      </w:r>
    </w:p>
    <w:p>
      <w:pPr>
        <w:spacing w:after="0" w:line="145" w:lineRule="exact"/>
        <w:rPr>
          <w:sz w:val="20"/>
          <w:szCs w:val="20"/>
          <w:color w:val="auto"/>
        </w:rPr>
      </w:pPr>
    </w:p>
    <w:p>
      <w:pPr>
        <w:ind w:left="1180" w:hanging="236"/>
        <w:spacing w:after="0"/>
        <w:tabs>
          <w:tab w:leader="none" w:pos="1180" w:val="left"/>
        </w:tabs>
        <w:numPr>
          <w:ilvl w:val="0"/>
          <w:numId w:val="41"/>
        </w:numPr>
        <w:rPr>
          <w:rFonts w:ascii="Times New Roman" w:cs="Times New Roman" w:eastAsia="Times New Roman" w:hAnsi="Times New Roman"/>
          <w:sz w:val="17"/>
          <w:szCs w:val="17"/>
          <w:i w:val="1"/>
          <w:iCs w:val="1"/>
          <w:color w:val="2C6234"/>
          <w:strike w:val="1"/>
        </w:rPr>
      </w:pPr>
      <w:r>
        <w:rPr>
          <w:rFonts w:ascii="Times New Roman" w:cs="Times New Roman" w:eastAsia="Times New Roman" w:hAnsi="Times New Roman"/>
          <w:sz w:val="17"/>
          <w:szCs w:val="17"/>
          <w:i w:val="1"/>
          <w:iCs w:val="1"/>
          <w:color w:val="2C6234"/>
          <w:strike w:val="1"/>
        </w:rPr>
        <w:t>Quarterly. As of the last day of each Fiscal Quarter.</w:t>
      </w:r>
    </w:p>
    <w:p>
      <w:pPr>
        <w:spacing w:after="0" w:line="221" w:lineRule="exact"/>
        <w:rPr>
          <w:rFonts w:ascii="Times New Roman" w:cs="Times New Roman" w:eastAsia="Times New Roman" w:hAnsi="Times New Roman"/>
          <w:sz w:val="17"/>
          <w:szCs w:val="17"/>
          <w:i w:val="1"/>
          <w:iCs w:val="1"/>
          <w:color w:val="2C6234"/>
          <w:strike w:val="1"/>
        </w:rPr>
      </w:pPr>
    </w:p>
    <w:p>
      <w:pPr>
        <w:ind w:left="320" w:firstLine="624"/>
        <w:spacing w:after="0" w:line="297" w:lineRule="auto"/>
        <w:tabs>
          <w:tab w:leader="none" w:pos="1218" w:val="left"/>
        </w:tabs>
        <w:numPr>
          <w:ilvl w:val="0"/>
          <w:numId w:val="41"/>
        </w:numPr>
        <w:rPr>
          <w:rFonts w:ascii="Times New Roman" w:cs="Times New Roman" w:eastAsia="Times New Roman" w:hAnsi="Times New Roman"/>
          <w:sz w:val="17"/>
          <w:szCs w:val="17"/>
          <w:i w:val="1"/>
          <w:iCs w:val="1"/>
          <w:color w:val="2C6234"/>
          <w:strike w:val="1"/>
        </w:rPr>
      </w:pPr>
      <w:r>
        <w:rPr>
          <w:rFonts w:ascii="Times New Roman" w:cs="Times New Roman" w:eastAsia="Times New Roman" w:hAnsi="Times New Roman"/>
          <w:sz w:val="17"/>
          <w:szCs w:val="17"/>
          <w:i w:val="1"/>
          <w:iCs w:val="1"/>
          <w:color w:val="2C6234"/>
          <w:strike w:val="1"/>
        </w:rPr>
        <w:t xml:space="preserve">Property Adjustments. </w:t>
      </w:r>
      <w:r>
        <w:rPr>
          <w:rFonts w:ascii="Times New Roman" w:cs="Times New Roman" w:eastAsia="Times New Roman" w:hAnsi="Times New Roman"/>
          <w:sz w:val="17"/>
          <w:szCs w:val="17"/>
          <w:color w:val="FF0000"/>
          <w:strike w:val="1"/>
        </w:rPr>
        <w:t>Following each addition or deletion of an Eligible Property, the Borrowing Base Value shall be</w:t>
      </w:r>
      <w:r>
        <w:rPr>
          <w:rFonts w:ascii="Times New Roman" w:cs="Times New Roman" w:eastAsia="Times New Roman" w:hAnsi="Times New Roman"/>
          <w:sz w:val="17"/>
          <w:szCs w:val="17"/>
          <w:i w:val="1"/>
          <w:iCs w:val="1"/>
          <w:color w:val="2C6234"/>
          <w:strike w:val="1"/>
        </w:rPr>
        <w:t xml:space="preserve"> </w:t>
      </w:r>
      <w:r>
        <w:rPr>
          <w:rFonts w:ascii="Times New Roman" w:cs="Times New Roman" w:eastAsia="Times New Roman" w:hAnsi="Times New Roman"/>
          <w:sz w:val="17"/>
          <w:szCs w:val="17"/>
          <w:color w:val="FF0000"/>
          <w:strike w:val="1"/>
        </w:rPr>
        <w:t>adjusted accordingly.</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FF0000"/>
          <w:strike w:val="1"/>
        </w:rPr>
        <w:t xml:space="preserve">“Borrowing Base NOI” </w:t>
      </w:r>
      <w:r>
        <w:rPr>
          <w:rFonts w:ascii="Times New Roman" w:cs="Times New Roman" w:eastAsia="Times New Roman" w:hAnsi="Times New Roman"/>
          <w:sz w:val="17"/>
          <w:szCs w:val="17"/>
          <w:color w:val="FF0000"/>
          <w:strike w:val="1"/>
        </w:rPr>
        <w:t>means for the most recent Rolling Period, the aggregate Property NOI attributable to the Eligible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86" w:name="page87"/>
    <w:bookmarkEnd w:id="86"/>
    <w:p>
      <w:pPr>
        <w:jc w:val="both"/>
        <w:ind w:firstLine="626"/>
        <w:spacing w:after="0" w:line="258" w:lineRule="auto"/>
        <w:rPr>
          <w:sz w:val="20"/>
          <w:szCs w:val="20"/>
          <w:color w:val="auto"/>
        </w:rPr>
      </w:pPr>
      <w:r>
        <w:rPr>
          <w:rFonts w:ascii="Times New Roman" w:cs="Times New Roman" w:eastAsia="Times New Roman" w:hAnsi="Times New Roman"/>
          <w:sz w:val="17"/>
          <w:szCs w:val="17"/>
          <w:i w:val="1"/>
          <w:iCs w:val="1"/>
          <w:color w:val="FF0000"/>
          <w:strike w:val="1"/>
        </w:rPr>
        <w:t xml:space="preserve">“Borrowing Base Requirements” </w:t>
      </w:r>
      <w:r>
        <w:rPr>
          <w:rFonts w:ascii="Times New Roman" w:cs="Times New Roman" w:eastAsia="Times New Roman" w:hAnsi="Times New Roman"/>
          <w:sz w:val="17"/>
          <w:szCs w:val="17"/>
          <w:color w:val="FF0000"/>
          <w:strike w:val="1"/>
        </w:rPr>
        <w:t>means with respect to the calculation of the Borrowing Base, collectively that (a) at all times such</w:t>
      </w:r>
      <w:r>
        <w:rPr>
          <w:rFonts w:ascii="Times New Roman" w:cs="Times New Roman" w:eastAsia="Times New Roman" w:hAnsi="Times New Roman"/>
          <w:sz w:val="17"/>
          <w:szCs w:val="17"/>
          <w:i w:val="1"/>
          <w:iCs w:val="1"/>
          <w:color w:val="FF0000"/>
          <w:strike w:val="1"/>
        </w:rPr>
        <w:t xml:space="preserve"> </w:t>
      </w:r>
      <w:r>
        <w:rPr>
          <w:rFonts w:ascii="Times New Roman" w:cs="Times New Roman" w:eastAsia="Times New Roman" w:hAnsi="Times New Roman"/>
          <w:sz w:val="17"/>
          <w:szCs w:val="17"/>
          <w:color w:val="FF0000"/>
          <w:strike w:val="1"/>
        </w:rPr>
        <w:t xml:space="preserve">calculation shall be based on no less than ten (10) Eligible Properties; (b) the Borrowing Base Value shall at all times be equal to or in excess of $100,000,000; (c) no more than 20% of the Borrowing Base Value may be comprised of Eligible Properties which are not used as retail (provided entertainment Properties shall not constitute retail), office or mixed-use retail/office Properties; (d) no more than 25% of the Borrowing Base Value may be comprised of any one Eligible Property (for the avoidance of doubt, an Eligible Property that exceeds this sublimit may be included in the calculation of Borrowing Base Value; </w:t>
      </w:r>
      <w:r>
        <w:rPr>
          <w:rFonts w:ascii="Times New Roman" w:cs="Times New Roman" w:eastAsia="Times New Roman" w:hAnsi="Times New Roman"/>
          <w:sz w:val="17"/>
          <w:szCs w:val="17"/>
          <w:i w:val="1"/>
          <w:iCs w:val="1"/>
          <w:color w:val="FF0000"/>
          <w:strike w:val="1"/>
        </w:rPr>
        <w:t>provided, that</w:t>
      </w:r>
      <w:r>
        <w:rPr>
          <w:rFonts w:ascii="Times New Roman" w:cs="Times New Roman" w:eastAsia="Times New Roman" w:hAnsi="Times New Roman"/>
          <w:sz w:val="17"/>
          <w:szCs w:val="17"/>
          <w:color w:val="FF0000"/>
          <w:strike w:val="1"/>
        </w:rPr>
        <w:t xml:space="preserve"> any amount over 25% of the Borrowing Base Value is excluded from the calculation of the Borrowing Base Value); (e) no more than 20% of Borrowing Base Value may be from (i) Eligible Properties that derive less than 80% of their Property NOI from a single Tenant (for the avoidance of doubt, to the extent such Eligible Properties exceed this sublimit, they may be included in the calculation of Borrowing Base Value in an amount of up to 20% of the Borrowing Base Value), or (ii) from any single Tenant, unless such Tenant’s Rating is equal to or better than BBB-/Baa3 from S&amp;P or Moody’s (a </w:t>
      </w:r>
      <w:r>
        <w:rPr>
          <w:rFonts w:ascii="Times New Roman" w:cs="Times New Roman" w:eastAsia="Times New Roman" w:hAnsi="Times New Roman"/>
          <w:sz w:val="17"/>
          <w:szCs w:val="17"/>
          <w:i w:val="1"/>
          <w:iCs w:val="1"/>
          <w:color w:val="FF0000"/>
          <w:strike w:val="1"/>
        </w:rPr>
        <w:t>“Prime</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i w:val="1"/>
          <w:iCs w:val="1"/>
          <w:color w:val="FF0000"/>
          <w:strike w:val="1"/>
        </w:rPr>
        <w:t>Tenant”</w:t>
      </w:r>
      <w:r>
        <w:rPr>
          <w:rFonts w:ascii="Times New Roman" w:cs="Times New Roman" w:eastAsia="Times New Roman" w:hAnsi="Times New Roman"/>
          <w:sz w:val="17"/>
          <w:szCs w:val="17"/>
          <w:color w:val="FF0000"/>
          <w:strike w:val="1"/>
        </w:rPr>
        <w:t>), respectively (for the avoidance of doubt, to the extent that any single Tenant, other than a Prime Tenant, exceeds this sublimit, the</w:t>
      </w:r>
      <w:r>
        <w:rPr>
          <w:rFonts w:ascii="Times New Roman" w:cs="Times New Roman" w:eastAsia="Times New Roman" w:hAnsi="Times New Roman"/>
          <w:sz w:val="17"/>
          <w:szCs w:val="17"/>
          <w:i w:val="1"/>
          <w:iCs w:val="1"/>
          <w:color w:val="FF0000"/>
          <w:strike w:val="1"/>
        </w:rPr>
        <w:t xml:space="preserve"> </w:t>
      </w:r>
      <w:r>
        <w:rPr>
          <w:rFonts w:ascii="Times New Roman" w:cs="Times New Roman" w:eastAsia="Times New Roman" w:hAnsi="Times New Roman"/>
          <w:sz w:val="17"/>
          <w:szCs w:val="17"/>
          <w:color w:val="FF0000"/>
          <w:strike w:val="1"/>
        </w:rPr>
        <w:t xml:space="preserve">related Eligible Properties may be included in the calculation of Borrowing Base Value in an amount of up to 20% of the Borrowing Base Value); (f) no more than 30% of Borrowing Base Value may be comprised of Permitted Ground Lease Investments; (g) the Eligible Properties (other than Permitted Ground Lease Investments) must have an aggregate Occupancy Rate of at least 85%; and (h) no more than 35% of the Borrowing Base Value may be comprised of Eligible Properties which are located in the same MSA (for the avoidance of doubt, an Eligible Property that exceeds this sublimit may be included in the calculation of Borrowing Base Value, </w:t>
      </w:r>
      <w:r>
        <w:rPr>
          <w:rFonts w:ascii="Times New Roman" w:cs="Times New Roman" w:eastAsia="Times New Roman" w:hAnsi="Times New Roman"/>
          <w:sz w:val="17"/>
          <w:szCs w:val="17"/>
          <w:i w:val="1"/>
          <w:iCs w:val="1"/>
          <w:color w:val="FF0000"/>
          <w:strike w:val="1"/>
        </w:rPr>
        <w:t>provided</w:t>
      </w:r>
      <w:r>
        <w:rPr>
          <w:rFonts w:ascii="Times New Roman" w:cs="Times New Roman" w:eastAsia="Times New Roman" w:hAnsi="Times New Roman"/>
          <w:sz w:val="17"/>
          <w:szCs w:val="17"/>
          <w:color w:val="FF0000"/>
          <w:strike w:val="1"/>
        </w:rPr>
        <w:t>, that any amount over 35% of the Borrowing Base Value is excluded from the calculation of the Borrowing Base Value).</w:t>
      </w:r>
    </w:p>
    <w:p>
      <w:pPr>
        <w:spacing w:after="0" w:line="183"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i w:val="1"/>
          <w:iCs w:val="1"/>
          <w:color w:val="FF0000"/>
          <w:strike w:val="1"/>
        </w:rPr>
        <w:t xml:space="preserve">“Borrowing Base Value” </w:t>
      </w:r>
      <w:r>
        <w:rPr>
          <w:rFonts w:ascii="Times New Roman" w:cs="Times New Roman" w:eastAsia="Times New Roman" w:hAnsi="Times New Roman"/>
          <w:sz w:val="17"/>
          <w:szCs w:val="17"/>
          <w:color w:val="FF0000"/>
          <w:strike w:val="1"/>
        </w:rPr>
        <w:t>means an amount equal to the sum of (a) for all Eligible Properties owned for more than twelve (12)</w:t>
      </w:r>
      <w:r>
        <w:rPr>
          <w:rFonts w:ascii="Times New Roman" w:cs="Times New Roman" w:eastAsia="Times New Roman" w:hAnsi="Times New Roman"/>
          <w:sz w:val="17"/>
          <w:szCs w:val="17"/>
          <w:i w:val="1"/>
          <w:iCs w:val="1"/>
          <w:color w:val="FF0000"/>
          <w:strike w:val="1"/>
        </w:rPr>
        <w:t xml:space="preserve"> </w:t>
      </w:r>
      <w:r>
        <w:rPr>
          <w:rFonts w:ascii="Times New Roman" w:cs="Times New Roman" w:eastAsia="Times New Roman" w:hAnsi="Times New Roman"/>
          <w:sz w:val="17"/>
          <w:szCs w:val="17"/>
          <w:color w:val="FF0000"/>
          <w:strike w:val="1"/>
        </w:rPr>
        <w:t xml:space="preserve">months, the quotient of (i) the Borrowing Base NOI divided by (ii) the Capitalization Rate </w:t>
      </w:r>
      <w:r>
        <w:rPr>
          <w:rFonts w:ascii="Times New Roman" w:cs="Times New Roman" w:eastAsia="Times New Roman" w:hAnsi="Times New Roman"/>
          <w:sz w:val="17"/>
          <w:szCs w:val="17"/>
          <w:i w:val="1"/>
          <w:iCs w:val="1"/>
          <w:color w:val="FF0000"/>
          <w:strike w:val="1"/>
        </w:rPr>
        <w:t>plus</w:t>
      </w:r>
      <w:r>
        <w:rPr>
          <w:rFonts w:ascii="Times New Roman" w:cs="Times New Roman" w:eastAsia="Times New Roman" w:hAnsi="Times New Roman"/>
          <w:sz w:val="17"/>
          <w:szCs w:val="17"/>
          <w:color w:val="FF0000"/>
          <w:strike w:val="1"/>
        </w:rPr>
        <w:t xml:space="preserve"> (b) for all Eligible Properties owned for twelve (12) months or less, the lesser of (i) the book value (as defined by GAAP) of any such Eligible Property and (ii), the value of any such Eligible Property as determined by the calculation in clause (a) above measured on an annualized basis rather than for the most recently ended period of four quarters; </w:t>
      </w:r>
      <w:r>
        <w:rPr>
          <w:rFonts w:ascii="Times New Roman" w:cs="Times New Roman" w:eastAsia="Times New Roman" w:hAnsi="Times New Roman"/>
          <w:sz w:val="17"/>
          <w:szCs w:val="17"/>
          <w:i w:val="1"/>
          <w:iCs w:val="1"/>
          <w:color w:val="FF0000"/>
          <w:strike w:val="1"/>
        </w:rPr>
        <w:t>provided</w:t>
      </w:r>
      <w:r>
        <w:rPr>
          <w:rFonts w:ascii="Times New Roman" w:cs="Times New Roman" w:eastAsia="Times New Roman" w:hAnsi="Times New Roman"/>
          <w:sz w:val="17"/>
          <w:szCs w:val="17"/>
          <w:color w:val="FF0000"/>
          <w:strike w:val="1"/>
        </w:rPr>
        <w:t xml:space="preserve"> that Borrowing Base Value shall be reduced by excluding a portion of the Property NOI or book value of any Eligible Properties attributable to any Eligible Properties that exceed the concentration limits in the Borrowing Base Requirements.</w:t>
      </w:r>
    </w:p>
    <w:p>
      <w:pPr>
        <w:spacing w:after="0" w:line="170"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“Business Day” </w:t>
      </w:r>
      <w:r>
        <w:rPr>
          <w:rFonts w:ascii="Times New Roman" w:cs="Times New Roman" w:eastAsia="Times New Roman" w:hAnsi="Times New Roman"/>
          <w:sz w:val="17"/>
          <w:szCs w:val="17"/>
          <w:color w:val="auto"/>
        </w:rPr>
        <w:t>means (i) any day other than Saturday, Sunday or any other day on which commercial banks in Cleveland, Ohio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 York, New York are authorized or required by law to close and (ii) with respect to any matters relating to SOFR Loans, a SOFR Business Day.</w:t>
      </w:r>
    </w:p>
    <w:p>
      <w:pPr>
        <w:spacing w:after="0" w:line="160"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“Capital Expenditures” </w:t>
      </w:r>
      <w:r>
        <w:rPr>
          <w:rFonts w:ascii="Times New Roman" w:cs="Times New Roman" w:eastAsia="Times New Roman" w:hAnsi="Times New Roman"/>
          <w:sz w:val="17"/>
          <w:szCs w:val="17"/>
          <w:color w:val="auto"/>
        </w:rPr>
        <w:t>means, with respect to any Person for any period, the aggregate amount of all expenditures (whether paid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87" w:name="page88"/>
    <w:bookmarkEnd w:id="87"/>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“Capital Lease</w:t>
      </w:r>
      <w:r>
        <w:rPr>
          <w:rFonts w:ascii="Times New Roman" w:cs="Times New Roman" w:eastAsia="Times New Roman" w:hAnsi="Times New Roman"/>
          <w:sz w:val="17"/>
          <w:szCs w:val="17"/>
          <w:color w:val="auto"/>
        </w:rPr>
        <w:t>” means any lease of Property which in accordance with GAAP is required to be capitalized on the balance sheet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lessee.</w:t>
      </w:r>
    </w:p>
    <w:p>
      <w:pPr>
        <w:spacing w:after="0" w:line="142"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“Capitalization Rate” </w:t>
      </w:r>
      <w:r>
        <w:rPr>
          <w:rFonts w:ascii="Times New Roman" w:cs="Times New Roman" w:eastAsia="Times New Roman" w:hAnsi="Times New Roman"/>
          <w:sz w:val="17"/>
          <w:szCs w:val="17"/>
          <w:color w:val="auto"/>
        </w:rPr>
        <w:t>means (i) 6.25% for single-tenant Properties occupied by tenants maintaining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4472C4"/>
        </w:rPr>
        <w: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BBB-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FF0000"/>
          <w:strike w:val="1"/>
        </w:rPr>
        <w:t>or</w:t>
      </w:r>
      <w:r>
        <w:rPr>
          <w:rFonts w:ascii="Times New Roman" w:cs="Times New Roman" w:eastAsia="Times New Roman" w:hAnsi="Times New Roman"/>
          <w:sz w:val="17"/>
          <w:szCs w:val="17"/>
          <w:u w:val="single" w:color="auto"/>
          <w:color w:val="4472C4"/>
        </w:rPr>
        <w:t>Rating or better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4472C4"/>
        </w:rPr>
        <w:t>from S&amp;P’s or Fitch, or (B)</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Baa3 Rating or better from</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S&amp;P’s or</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Moody’s,</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respectively,</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(ii) 7.</w:t>
      </w:r>
      <w:r>
        <w:rPr>
          <w:rFonts w:ascii="Times New Roman" w:cs="Times New Roman" w:eastAsia="Times New Roman" w:hAnsi="Times New Roman"/>
          <w:sz w:val="17"/>
          <w:szCs w:val="17"/>
          <w:color w:val="FF0000"/>
          <w:strike w:val="1"/>
        </w:rPr>
        <w:t>00% for all retail (provided entertainment</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Properties shall not constitute retail) Properties, including mixed-use retail/office Properties not covered under the foregoing clause (i), (iii) 7.</w:t>
      </w:r>
      <w:r>
        <w:rPr>
          <w:rFonts w:ascii="Times New Roman" w:cs="Times New Roman" w:eastAsia="Times New Roman" w:hAnsi="Times New Roman"/>
          <w:sz w:val="17"/>
          <w:szCs w:val="17"/>
          <w:color w:val="000000"/>
          <w:strike w:val="1"/>
        </w:rPr>
        <w:t>50% for</w:t>
      </w:r>
      <w:r>
        <w:rPr>
          <w:rFonts w:ascii="Times New Roman" w:cs="Times New Roman" w:eastAsia="Times New Roman" w:hAnsi="Times New Roman"/>
          <w:sz w:val="17"/>
          <w:szCs w:val="17"/>
          <w:color w:val="FF0000"/>
          <w:strike w:val="1"/>
        </w:rPr>
        <w:t xml:space="preserve"> all office</w:t>
      </w:r>
      <w:r>
        <w:rPr>
          <w:rFonts w:ascii="Times New Roman" w:cs="Times New Roman" w:eastAsia="Times New Roman" w:hAnsi="Times New Roman"/>
          <w:sz w:val="17"/>
          <w:szCs w:val="17"/>
          <w:u w:val="single" w:color="auto"/>
          <w:color w:val="4472C4"/>
          <w:strike w:val="1"/>
        </w:rPr>
        <w:t>Alpine Valley,</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color w:val="000000"/>
          <w:strike w:val="1"/>
        </w:rPr>
        <w:t>and</w:t>
      </w:r>
      <w:r>
        <w:rPr>
          <w:rFonts w:ascii="Times New Roman" w:cs="Times New Roman" w:eastAsia="Times New Roman" w:hAnsi="Times New Roman"/>
          <w:sz w:val="17"/>
          <w:szCs w:val="17"/>
          <w:color w:val="FF0000"/>
          <w:strike w:val="1"/>
        </w:rPr>
        <w:t xml:space="preserve"> entertainment Properties not covered under the foregoing clause (i), and (iv) 10% for all </w:t>
      </w:r>
      <w:r>
        <w:rPr>
          <w:rFonts w:ascii="Times New Roman" w:cs="Times New Roman" w:eastAsia="Times New Roman" w:hAnsi="Times New Roman"/>
          <w:sz w:val="17"/>
          <w:szCs w:val="17"/>
          <w:u w:val="single" w:color="auto"/>
          <w:color w:val="4472C4"/>
          <w:strike w:val="1"/>
        </w:rPr>
        <w:t>(iii) 7.00% for</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u w:val="single" w:color="auto"/>
          <w:color w:val="4472C4"/>
          <w:strike w:val="1"/>
        </w:rPr>
        <w:t>all</w:t>
      </w:r>
      <w:r>
        <w:rPr>
          <w:rFonts w:ascii="Times New Roman" w:cs="Times New Roman" w:eastAsia="Times New Roman" w:hAnsi="Times New Roman"/>
          <w:sz w:val="17"/>
          <w:szCs w:val="17"/>
          <w:color w:val="4472C4"/>
          <w:strike w:val="1"/>
        </w:rPr>
        <w:t xml:space="preserve"> </w:t>
      </w:r>
      <w:r>
        <w:rPr>
          <w:rFonts w:ascii="Times New Roman" w:cs="Times New Roman" w:eastAsia="Times New Roman" w:hAnsi="Times New Roman"/>
          <w:sz w:val="17"/>
          <w:szCs w:val="17"/>
          <w:color w:val="000000"/>
          <w:strike w:val="1"/>
        </w:rPr>
        <w:t>other Properties not covered under the foregoing clauses (i</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u w:val="single" w:color="auto"/>
          <w:color w:val="4472C4"/>
          <w:strike w:val="1"/>
        </w:rPr>
        <w:t>) or</w:t>
      </w:r>
      <w:r>
        <w:rPr>
          <w:rFonts w:ascii="Times New Roman" w:cs="Times New Roman" w:eastAsia="Times New Roman" w:hAnsi="Times New Roman"/>
          <w:sz w:val="17"/>
          <w:szCs w:val="17"/>
          <w:color w:val="4472C4"/>
          <w:strike w:val="1"/>
        </w:rPr>
        <w:t xml:space="preserve"> </w:t>
      </w:r>
      <w:r>
        <w:rPr>
          <w:rFonts w:ascii="Times New Roman" w:cs="Times New Roman" w:eastAsia="Times New Roman" w:hAnsi="Times New Roman"/>
          <w:sz w:val="17"/>
          <w:szCs w:val="17"/>
          <w:color w:val="000000"/>
          <w:strike w:val="1"/>
        </w:rPr>
        <w:t>(ii</w:t>
      </w:r>
      <w:r>
        <w:rPr>
          <w:rFonts w:ascii="Times New Roman" w:cs="Times New Roman" w:eastAsia="Times New Roman" w:hAnsi="Times New Roman"/>
          <w:sz w:val="17"/>
          <w:szCs w:val="17"/>
          <w:color w:val="FF0000"/>
          <w:strike w:val="1"/>
        </w:rPr>
        <w:t>), or (iii)</w:t>
      </w:r>
      <w:r>
        <w:rPr>
          <w:rFonts w:ascii="Times New Roman" w:cs="Times New Roman" w:eastAsia="Times New Roman" w:hAnsi="Times New Roman"/>
          <w:sz w:val="17"/>
          <w:szCs w:val="17"/>
          <w:i w:val="1"/>
          <w:iCs w:val="1"/>
          <w:color w:val="FF0000"/>
          <w:strike w:val="1"/>
        </w:rPr>
        <w:t>; provided</w:t>
      </w:r>
      <w:r>
        <w:rPr>
          <w:rFonts w:ascii="Times New Roman" w:cs="Times New Roman" w:eastAsia="Times New Roman" w:hAnsi="Times New Roman"/>
          <w:sz w:val="17"/>
          <w:szCs w:val="17"/>
          <w:color w:val="FF0000"/>
          <w:strike w:val="1"/>
        </w:rPr>
        <w:t>, for all Properties that are subject to Permitted</w:t>
      </w:r>
      <w:r>
        <w:rPr>
          <w:rFonts w:ascii="Times New Roman" w:cs="Times New Roman" w:eastAsia="Times New Roman" w:hAnsi="Times New Roman"/>
          <w:sz w:val="17"/>
          <w:szCs w:val="17"/>
          <w:color w:val="4472C4"/>
          <w:strike w:val="1"/>
        </w:rPr>
        <w:t xml:space="preserve"> </w:t>
      </w:r>
      <w:r>
        <w:rPr>
          <w:rFonts w:ascii="Times New Roman" w:cs="Times New Roman" w:eastAsia="Times New Roman" w:hAnsi="Times New Roman"/>
          <w:sz w:val="17"/>
          <w:szCs w:val="17"/>
          <w:color w:val="FF0000"/>
          <w:strike w:val="1"/>
        </w:rPr>
        <w:t>Ground Lease Investments, the applicable Capitalization Rate shall be determined as if Borrower was the owner of the fully-completed building located on such Property.</w:t>
      </w:r>
      <w:r>
        <w:rPr>
          <w:rFonts w:ascii="Times New Roman" w:cs="Times New Roman" w:eastAsia="Times New Roman" w:hAnsi="Times New Roman"/>
          <w:sz w:val="17"/>
          <w:szCs w:val="17"/>
          <w:u w:val="single" w:color="auto"/>
          <w:color w:val="4472C4"/>
          <w:strike w:val="1"/>
        </w:rPr>
        <w:t>).</w:t>
      </w:r>
    </w:p>
    <w:p>
      <w:pPr>
        <w:spacing w:after="0" w:line="175"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“Capitalized Lease Obligation” </w:t>
      </w:r>
      <w:r>
        <w:rPr>
          <w:rFonts w:ascii="Times New Roman" w:cs="Times New Roman" w:eastAsia="Times New Roman" w:hAnsi="Times New Roman"/>
          <w:sz w:val="17"/>
          <w:szCs w:val="17"/>
          <w:color w:val="auto"/>
        </w:rPr>
        <w:t>means, for any Person, the amount of the liability shown on the balance sheet of such Person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of a Capital Lease determined in accordance with GAAP.</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CBA</w:t>
      </w:r>
      <w:r>
        <w:rPr>
          <w:rFonts w:ascii="Times New Roman" w:cs="Times New Roman" w:eastAsia="Times New Roman" w:hAnsi="Times New Roman"/>
          <w:sz w:val="17"/>
          <w:szCs w:val="17"/>
          <w:color w:val="auto"/>
        </w:rPr>
        <w:t>” means CME Group Benchmark Administration Ltd.</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“CERCLA” </w:t>
      </w:r>
      <w:r>
        <w:rPr>
          <w:rFonts w:ascii="Times New Roman" w:cs="Times New Roman" w:eastAsia="Times New Roman" w:hAnsi="Times New Roman"/>
          <w:sz w:val="17"/>
          <w:szCs w:val="17"/>
          <w:color w:val="auto"/>
        </w:rPr>
        <w:t>means the Comprehensive Environmental Response, Compensation and Liability Act of 1980, as amended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Superfund Amendments and Reauthorization Act of 1986, 42 U.S.C.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9601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and any future amendments.</w:t>
      </w:r>
    </w:p>
    <w:p>
      <w:pPr>
        <w:spacing w:after="0" w:line="142"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“Change in Law” </w:t>
      </w:r>
      <w:r>
        <w:rPr>
          <w:rFonts w:ascii="Times New Roman" w:cs="Times New Roman" w:eastAsia="Times New Roman" w:hAnsi="Times New Roman"/>
          <w:sz w:val="17"/>
          <w:szCs w:val="17"/>
          <w:color w:val="auto"/>
        </w:rPr>
        <w:t>means the occurrence, after the date of this Agreement, of any of the following: (a) the adoption or taking effect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3"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“Change of Control” </w:t>
      </w:r>
      <w:r>
        <w:rPr>
          <w:rFonts w:ascii="Times New Roman" w:cs="Times New Roman" w:eastAsia="Times New Roman" w:hAnsi="Times New Roman"/>
          <w:sz w:val="17"/>
          <w:szCs w:val="17"/>
          <w:color w:val="auto"/>
        </w:rPr>
        <w:t>means any of (a) the acquisition by any</w:t>
      </w:r>
      <w:r>
        <w:rPr>
          <w:rFonts w:ascii="Times New Roman" w:cs="Times New Roman" w:eastAsia="Times New Roman" w:hAnsi="Times New Roman"/>
          <w:sz w:val="17"/>
          <w:szCs w:val="17"/>
          <w:i w:val="1"/>
          <w:iCs w:val="1"/>
          <w:color w:val="auto"/>
        </w:rPr>
        <w:t xml:space="preserve"> “person”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“group” </w:t>
      </w:r>
      <w:r>
        <w:rPr>
          <w:rFonts w:ascii="Times New Roman" w:cs="Times New Roman" w:eastAsia="Times New Roman" w:hAnsi="Times New Roman"/>
          <w:sz w:val="17"/>
          <w:szCs w:val="17"/>
          <w:color w:val="auto"/>
        </w:rPr>
        <w:t>(as such terms are used in sections 13(d)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14(d) of the Securities Exchange Act of 1934, as amended) at any time that causes such person or group to become the </w:t>
      </w:r>
      <w:r>
        <w:rPr>
          <w:rFonts w:ascii="Times New Roman" w:cs="Times New Roman" w:eastAsia="Times New Roman" w:hAnsi="Times New Roman"/>
          <w:sz w:val="17"/>
          <w:szCs w:val="17"/>
          <w:i w:val="1"/>
          <w:iCs w:val="1"/>
          <w:color w:val="auto"/>
        </w:rPr>
        <w:t>“beneficial owner”</w:t>
      </w:r>
      <w:r>
        <w:rPr>
          <w:rFonts w:ascii="Times New Roman" w:cs="Times New Roman" w:eastAsia="Times New Roman" w:hAnsi="Times New Roman"/>
          <w:sz w:val="17"/>
          <w:szCs w:val="17"/>
          <w:color w:val="auto"/>
        </w:rPr>
        <w:t xml:space="preserve"> (as defined in Rules 13d-3 and 13d-5 under the Securities Exchange Act of 1934, as amended) of 51% or more of the outstanding capital stock or other equity interests of Parent on a fully-diluted basis, other than acquisitions of such interests by any party who is an officer or director of Parent as of the Closing Date</w:t>
      </w: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color w:val="auto"/>
        </w:rPr>
        <w:t xml:space="preserve"> (b) the failure of individuals who are members of the board of directors (or similar governing body) of Parent on the Closing Date (together with any new or replacement directors whose initial nomination for election was approved by a majority of the directors who were either directors on the Closing Date or previously so approved) to constitute a majority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88" w:name="page89"/>
    <w:bookmarkEnd w:id="88"/>
    <w:p>
      <w:pPr>
        <w:jc w:val="both"/>
        <w:spacing w:after="0" w:line="294" w:lineRule="auto"/>
        <w:rPr>
          <w:sz w:val="20"/>
          <w:szCs w:val="20"/>
          <w:color w:val="auto"/>
        </w:rPr>
      </w:pPr>
      <w:r>
        <w:rPr>
          <w:rFonts w:ascii="Times New Roman" w:cs="Times New Roman" w:eastAsia="Times New Roman" w:hAnsi="Times New Roman"/>
          <w:sz w:val="17"/>
          <w:szCs w:val="17"/>
          <w:color w:val="auto"/>
        </w:rPr>
        <w:t>board of directors (or similar governing body) of Parent</w:t>
      </w: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color w:val="auto"/>
        </w:rPr>
        <w:t xml:space="preserve"> or (c) the failure of Parent or a Wholly-owned Subsidiary of Parent to (i) serve as the sole general partner of Borrower and (ii) to directly own 51% of the Equity Interests of Borrower.</w:t>
      </w:r>
    </w:p>
    <w:p>
      <w:pPr>
        <w:spacing w:after="0" w:line="145"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“Closing Date” </w:t>
      </w:r>
      <w:r>
        <w:rPr>
          <w:rFonts w:ascii="Times New Roman" w:cs="Times New Roman" w:eastAsia="Times New Roman" w:hAnsi="Times New Roman"/>
          <w:sz w:val="17"/>
          <w:szCs w:val="17"/>
          <w:color w:val="auto"/>
        </w:rPr>
        <w:t>means the date of this Agreement or such later Business Day upon which each condition described in Section 7.2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be satisfied or waived in a manner acceptable to the Administrative Agent in its discretion.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Closing Date Term Borrowing</w:t>
      </w:r>
      <w:r>
        <w:rPr>
          <w:rFonts w:ascii="Times New Roman" w:cs="Times New Roman" w:eastAsia="Times New Roman" w:hAnsi="Times New Roman"/>
          <w:sz w:val="17"/>
          <w:szCs w:val="17"/>
          <w:color w:val="auto"/>
        </w:rPr>
        <w:t>” means a Borrowing of Closing Date Term Loans.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Closing Date Term Loan</w:t>
      </w:r>
      <w:r>
        <w:rPr>
          <w:rFonts w:ascii="Times New Roman" w:cs="Times New Roman" w:eastAsia="Times New Roman" w:hAnsi="Times New Roman"/>
          <w:sz w:val="17"/>
          <w:szCs w:val="17"/>
          <w:color w:val="auto"/>
        </w:rPr>
        <w:t>” means an advance made by a Term Lender pursuant to Section 1.1(a).</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“Code” </w:t>
      </w:r>
      <w:r>
        <w:rPr>
          <w:rFonts w:ascii="Times New Roman" w:cs="Times New Roman" w:eastAsia="Times New Roman" w:hAnsi="Times New Roman"/>
          <w:sz w:val="17"/>
          <w:szCs w:val="17"/>
          <w:color w:val="auto"/>
        </w:rPr>
        <w:t>means the Internal Revenue Code of 1986, as amended, and any successor statute thereto.</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“Collateral Account” </w:t>
      </w:r>
      <w:r>
        <w:rPr>
          <w:rFonts w:ascii="Times New Roman" w:cs="Times New Roman" w:eastAsia="Times New Roman" w:hAnsi="Times New Roman"/>
          <w:sz w:val="17"/>
          <w:szCs w:val="17"/>
          <w:color w:val="auto"/>
        </w:rPr>
        <w:t>is defined in Section 9.4(b) hereof.</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Commitment</w:t>
      </w:r>
      <w:r>
        <w:rPr>
          <w:rFonts w:ascii="Times New Roman" w:cs="Times New Roman" w:eastAsia="Times New Roman" w:hAnsi="Times New Roman"/>
          <w:sz w:val="17"/>
          <w:szCs w:val="17"/>
          <w:color w:val="auto"/>
        </w:rPr>
        <w:t>” means a Term Commitment or an Incremental Term Loan Commitment, as the context may require.</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Commodity Exchange Act</w:t>
      </w:r>
      <w:r>
        <w:rPr>
          <w:rFonts w:ascii="Times New Roman" w:cs="Times New Roman" w:eastAsia="Times New Roman" w:hAnsi="Times New Roman"/>
          <w:sz w:val="17"/>
          <w:szCs w:val="17"/>
          <w:color w:val="auto"/>
        </w:rPr>
        <w:t>” means the Commodity Exchange Act (7 U.S.C. § 1 et seq.), as amended from time to time, and any successor statute.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“Compliance Certificate” </w:t>
      </w:r>
      <w:r>
        <w:rPr>
          <w:rFonts w:ascii="Times New Roman" w:cs="Times New Roman" w:eastAsia="Times New Roman" w:hAnsi="Times New Roman"/>
          <w:sz w:val="17"/>
          <w:szCs w:val="17"/>
          <w:color w:val="auto"/>
        </w:rPr>
        <w:t>is defined in Section 8.5(e) hereof.</w:t>
      </w:r>
    </w:p>
    <w:p>
      <w:pPr>
        <w:spacing w:after="0" w:line="222"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Conforming Changes</w:t>
      </w:r>
      <w:r>
        <w:rPr>
          <w:rFonts w:ascii="Times New Roman" w:cs="Times New Roman" w:eastAsia="Times New Roman" w:hAnsi="Times New Roman"/>
          <w:sz w:val="17"/>
          <w:szCs w:val="17"/>
          <w:color w:val="auto"/>
        </w:rPr>
        <w:t>” means, with respect to either the use or administration of Daily Simple SOFR or Term SOFR, or the use, administration, adoption or implementation of any Benchmark Replacement, any technical, administrative or operational changes (including changes to the definition of “Base Rate,” the definition of “Business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1.11 and other technical, administrative or operational matters) that the Administrative Agent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74"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“Connection Income Taxes” </w:t>
      </w:r>
      <w:r>
        <w:rPr>
          <w:rFonts w:ascii="Times New Roman" w:cs="Times New Roman" w:eastAsia="Times New Roman" w:hAnsi="Times New Roman"/>
          <w:sz w:val="17"/>
          <w:szCs w:val="17"/>
          <w:color w:val="auto"/>
        </w:rPr>
        <w:t>means Other Connection Taxes that are imposed on or measured by net income (however denominated)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that are franchise Taxes or branch profit Taxes.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89" w:name="page90"/>
    <w:bookmarkEnd w:id="89"/>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“Controlled Group” </w:t>
      </w:r>
      <w:r>
        <w:rPr>
          <w:rFonts w:ascii="Times New Roman" w:cs="Times New Roman" w:eastAsia="Times New Roman" w:hAnsi="Times New Roman"/>
          <w:sz w:val="17"/>
          <w:szCs w:val="17"/>
          <w:color w:val="auto"/>
        </w:rPr>
        <w:t>means all members of a controlled group of corporations and all trades or businesses (whether or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incorporated) under common control which, together with the Borrower, are treated as a single employer under Section 414 of the Code.</w:t>
      </w:r>
    </w:p>
    <w:p>
      <w:pPr>
        <w:spacing w:after="0" w:line="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Covered Entity</w:t>
      </w:r>
      <w:r>
        <w:rPr>
          <w:rFonts w:ascii="Times New Roman" w:cs="Times New Roman" w:eastAsia="Times New Roman" w:hAnsi="Times New Roman"/>
          <w:sz w:val="17"/>
          <w:szCs w:val="17"/>
          <w:color w:val="auto"/>
        </w:rPr>
        <w:t>” has the meaning specified in Section 12.29.</w:t>
      </w:r>
    </w:p>
    <w:p>
      <w:pPr>
        <w:spacing w:after="0" w:line="222"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Daily Simple SOFR</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u w:val="single" w:color="auto"/>
          <w:color w:val="auto"/>
        </w:rPr>
        <w:t>SOFR Rate Day</w:t>
      </w:r>
      <w:r>
        <w:rPr>
          <w:rFonts w:ascii="Times New Roman" w:cs="Times New Roman" w:eastAsia="Times New Roman" w:hAnsi="Times New Roman"/>
          <w:sz w:val="17"/>
          <w:szCs w:val="17"/>
          <w:color w:val="auto"/>
        </w:rPr>
        <w:t>”), a rate per annum equal to SOFR for the day (such day, the “</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Determination Day</w:t>
      </w:r>
      <w:r>
        <w:rPr>
          <w:rFonts w:ascii="Times New Roman" w:cs="Times New Roman" w:eastAsia="Times New Roman" w:hAnsi="Times New Roman"/>
          <w:sz w:val="17"/>
          <w:szCs w:val="17"/>
          <w:color w:val="auto"/>
        </w:rPr>
        <w:t>”) that is five (5) SOFR Business Days prior to (i) if such SOFR Rate Day is a SOFR Business Day, such SOFR Rate Day or (ii) if such SOFR Rate Day is not a SOFR Business Day, the SOFR Business Day immediately preceding such SOFR Rate Day, in each case, as and when SOFR for such SOFR Rate Day is published by the SOFR Administrator on the SOFR Administrator’s Website. If by 5:00 pm (New York City time) on the second (2nd) SOFR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SOFR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Daily Simple SOFR Loan</w:t>
      </w:r>
      <w:r>
        <w:rPr>
          <w:rFonts w:ascii="Times New Roman" w:cs="Times New Roman" w:eastAsia="Times New Roman" w:hAnsi="Times New Roman"/>
          <w:sz w:val="17"/>
          <w:szCs w:val="17"/>
          <w:color w:val="auto"/>
        </w:rPr>
        <w:t>” means each Loan bearing interest at a rate based upon Daily Simple SOFR.</w:t>
      </w:r>
    </w:p>
    <w:p>
      <w:pPr>
        <w:spacing w:after="0" w:line="222"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i w:val="1"/>
          <w:iCs w:val="1"/>
          <w:color w:val="FF0000"/>
          <w:strike w:val="1"/>
        </w:rPr>
        <w:t xml:space="preserve">“Debt Service Coverage Amount” </w:t>
      </w:r>
      <w:r>
        <w:rPr>
          <w:rFonts w:ascii="Times New Roman" w:cs="Times New Roman" w:eastAsia="Times New Roman" w:hAnsi="Times New Roman"/>
          <w:sz w:val="17"/>
          <w:szCs w:val="17"/>
          <w:color w:val="FF0000"/>
          <w:strike w:val="1"/>
        </w:rPr>
        <w:t>means the principal amount of Unsecured Indebtedness that would be serviced by the Borrowing</w:t>
      </w:r>
      <w:r>
        <w:rPr>
          <w:rFonts w:ascii="Times New Roman" w:cs="Times New Roman" w:eastAsia="Times New Roman" w:hAnsi="Times New Roman"/>
          <w:sz w:val="17"/>
          <w:szCs w:val="17"/>
          <w:i w:val="1"/>
          <w:iCs w:val="1"/>
          <w:color w:val="FF0000"/>
          <w:strike w:val="1"/>
        </w:rPr>
        <w:t xml:space="preserve"> </w:t>
      </w:r>
      <w:r>
        <w:rPr>
          <w:rFonts w:ascii="Times New Roman" w:cs="Times New Roman" w:eastAsia="Times New Roman" w:hAnsi="Times New Roman"/>
          <w:sz w:val="17"/>
          <w:szCs w:val="17"/>
          <w:color w:val="FF0000"/>
          <w:strike w:val="1"/>
        </w:rPr>
        <w:t xml:space="preserve">Base NOI for the Rolling Period most recently ended for which financial statements have been delivered pursuant to Section 8.5 hereof at a debt service coverage ratio of 1.50 to 1.00 with interest and principal payments of Unsecured Indebtedness (in each case assuming a 30-year amortization) at the greater of (i) 6.5% per annum, (ii) a Term SOFR Loan with an Interest Period of one (1) month (including the Applicable Margin) and (iii) the 10-year treasury rate on the last day of such period plus 2.5%; </w:t>
      </w:r>
      <w:r>
        <w:rPr>
          <w:rFonts w:ascii="Times New Roman" w:cs="Times New Roman" w:eastAsia="Times New Roman" w:hAnsi="Times New Roman"/>
          <w:sz w:val="17"/>
          <w:szCs w:val="17"/>
          <w:i w:val="1"/>
          <w:iCs w:val="1"/>
          <w:color w:val="FF0000"/>
          <w:strike w:val="1"/>
        </w:rPr>
        <w:t>provided</w:t>
      </w:r>
      <w:r>
        <w:rPr>
          <w:rFonts w:ascii="Times New Roman" w:cs="Times New Roman" w:eastAsia="Times New Roman" w:hAnsi="Times New Roman"/>
          <w:sz w:val="17"/>
          <w:szCs w:val="17"/>
          <w:color w:val="FF0000"/>
          <w:strike w:val="1"/>
        </w:rPr>
        <w:t xml:space="preserve"> that Borrowing Base NOI shall be reduced by excluding a portion of Property NOI attributable to Eligible Properties that exceed the concentration limits in the Borrowing Base Requirements.</w:t>
      </w:r>
    </w:p>
    <w:p>
      <w:pPr>
        <w:spacing w:after="0" w:line="384"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“Debtor Relief Laws” </w:t>
      </w:r>
      <w:r>
        <w:rPr>
          <w:rFonts w:ascii="Times New Roman" w:cs="Times New Roman" w:eastAsia="Times New Roman" w:hAnsi="Times New Roman"/>
          <w:sz w:val="17"/>
          <w:szCs w:val="17"/>
          <w:color w:val="auto"/>
        </w:rPr>
        <w:t>means the Bankruptcy Code of the United States of America, and all other liquidation, conservatorship,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bankruptcy, assignment for the benefit of creditors, moratorium, rearrangement, receivership, insolvency, reorganization, or similar debtor relief Laws of the United States or other applicable jurisdictions from time to time in effect.</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“Default” </w:t>
      </w:r>
      <w:r>
        <w:rPr>
          <w:rFonts w:ascii="Times New Roman" w:cs="Times New Roman" w:eastAsia="Times New Roman" w:hAnsi="Times New Roman"/>
          <w:sz w:val="17"/>
          <w:szCs w:val="17"/>
          <w:color w:val="auto"/>
        </w:rPr>
        <w:t>means any event or condition the occurrence of which would, with the passage of time or the giving of notice, or both,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an Event of Default.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“Defaulted Loan” </w:t>
      </w:r>
      <w:r>
        <w:rPr>
          <w:rFonts w:ascii="Times New Roman" w:cs="Times New Roman" w:eastAsia="Times New Roman" w:hAnsi="Times New Roman"/>
          <w:sz w:val="17"/>
          <w:szCs w:val="17"/>
          <w:color w:val="auto"/>
        </w:rPr>
        <w:t>is defined in the definition of</w:t>
      </w:r>
      <w:r>
        <w:rPr>
          <w:rFonts w:ascii="Times New Roman" w:cs="Times New Roman" w:eastAsia="Times New Roman" w:hAnsi="Times New Roman"/>
          <w:sz w:val="17"/>
          <w:szCs w:val="17"/>
          <w:i w:val="1"/>
          <w:iCs w:val="1"/>
          <w:color w:val="auto"/>
        </w:rPr>
        <w:t xml:space="preserve"> “Defaulting Lender” </w:t>
      </w:r>
      <w:r>
        <w:rPr>
          <w:rFonts w:ascii="Times New Roman" w:cs="Times New Roman" w:eastAsia="Times New Roman" w:hAnsi="Times New Roman"/>
          <w:sz w:val="17"/>
          <w:szCs w:val="17"/>
          <w:color w:val="auto"/>
        </w:rPr>
        <w:t>in this Section 5.1.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6292215" cy="16510"/>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90" w:name="page91"/>
    <w:bookmarkEnd w:id="90"/>
    <w:p>
      <w:pPr>
        <w:jc w:val="both"/>
        <w:ind w:firstLine="62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“Defaulting Lender” </w:t>
      </w:r>
      <w:r>
        <w:rPr>
          <w:rFonts w:ascii="Times New Roman" w:cs="Times New Roman" w:eastAsia="Times New Roman" w:hAnsi="Times New Roman"/>
          <w:sz w:val="17"/>
          <w:szCs w:val="17"/>
          <w:color w:val="auto"/>
        </w:rPr>
        <w:t>means any Lender that (a) has failed to fund any portion of the Loans required to be funded by it hereunder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(herein, a </w:t>
      </w:r>
      <w:r>
        <w:rPr>
          <w:rFonts w:ascii="Times New Roman" w:cs="Times New Roman" w:eastAsia="Times New Roman" w:hAnsi="Times New Roman"/>
          <w:sz w:val="17"/>
          <w:szCs w:val="17"/>
          <w:i w:val="1"/>
          <w:iCs w:val="1"/>
          <w:color w:val="auto"/>
        </w:rPr>
        <w:t>“Defaulted Loan”</w:t>
      </w:r>
      <w:r>
        <w:rPr>
          <w:rFonts w:ascii="Times New Roman" w:cs="Times New Roman" w:eastAsia="Times New Roman" w:hAnsi="Times New Roman"/>
          <w:sz w:val="17"/>
          <w:szCs w:val="17"/>
          <w:color w:val="auto"/>
        </w:rPr>
        <w:t>) within two (2) Business Days of the date required to be funded by it hereunder unless such failure has been cured, (b) has otherwise failed to pay over to the Administrative Agent or any other Lender any other amount required to be paid by it hereunder (except for up to $25,000 in the aggregate from a Lender which is owing for less than five (5) Business Days) within two (2) Business Days of the date when due, unless the subject of a good faith dispute or unless such failure has been cured, (c) has experienced a Bankruptcy Event or (d) a receiver or conservator has been appointed for such Lender or (e) has become the subject of a Bail-In Action.</w:t>
      </w:r>
    </w:p>
    <w:p>
      <w:pPr>
        <w:spacing w:after="0" w:line="170"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“Defaulting Lender Excess” </w:t>
      </w:r>
      <w:r>
        <w:rPr>
          <w:rFonts w:ascii="Times New Roman" w:cs="Times New Roman" w:eastAsia="Times New Roman" w:hAnsi="Times New Roman"/>
          <w:sz w:val="17"/>
          <w:szCs w:val="17"/>
          <w:color w:val="auto"/>
        </w:rPr>
        <w:t>means, with respect to any Defaulting Lender, the excess, if any, of such Defaulting Lender’s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Percentage of the aggregate outstanding principal amount of Loans of all Lenders (calculated as if all Defaulting Lenders other than such Defaulting Lender had funded all of their respective Defaulted Loans) over the aggregate outstanding principal amount of all Loans of such Defaulting Lender.</w:t>
      </w:r>
    </w:p>
    <w:p>
      <w:pPr>
        <w:spacing w:after="0" w:line="167"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“Defaulting Lender Period” </w:t>
      </w:r>
      <w:r>
        <w:rPr>
          <w:rFonts w:ascii="Times New Roman" w:cs="Times New Roman" w:eastAsia="Times New Roman" w:hAnsi="Times New Roman"/>
          <w:sz w:val="17"/>
          <w:szCs w:val="17"/>
          <w:color w:val="auto"/>
        </w:rPr>
        <w:t>means, with respect to any Defaulting Lender, the period commencing on the date upon which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Lender first became a Defaulting Lender and ending on the earliest of the following dates: the date on which (a) such Defaulting Lender is no longer the subject of a Bankruptcy Event or, if applicable, under the direction of a receiver or conservator, (b) the Defaulting Lender Excess with respect to such Defaulting Lender shall have been reduced to zero (whether by the funding by such Defaulting Lender of any Defaulted Loans of such Defaulting Lender or otherwise), and (c) such Defaulting Lender shall have delivered to Borrower and the Administrative Agent a written reaffirmation of its intention to honor its obligations hereunder, including with respect to its Commitments.</w:t>
      </w:r>
    </w:p>
    <w:p>
      <w:pPr>
        <w:spacing w:after="0" w:line="17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means any dividend paid (or declared and then payable), as the case may be, in cash on any equity security issued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Borrower.</w:t>
      </w:r>
    </w:p>
    <w:p>
      <w:pPr>
        <w:spacing w:after="0" w:line="142"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Division</w:t>
      </w:r>
      <w:r>
        <w:rPr>
          <w:rFonts w:ascii="Times New Roman" w:cs="Times New Roman" w:eastAsia="Times New Roman" w:hAnsi="Times New Roman"/>
          <w:sz w:val="17"/>
          <w:szCs w:val="17"/>
          <w:color w:val="auto"/>
        </w:rPr>
        <w:t>” means the division of the assets, liabilities and/or obligations of a Person (the “</w:t>
      </w:r>
      <w:r>
        <w:rPr>
          <w:rFonts w:ascii="Times New Roman" w:cs="Times New Roman" w:eastAsia="Times New Roman" w:hAnsi="Times New Roman"/>
          <w:sz w:val="17"/>
          <w:szCs w:val="17"/>
          <w:i w:val="1"/>
          <w:iCs w:val="1"/>
          <w:color w:val="auto"/>
        </w:rPr>
        <w:t>Dividing Person</w:t>
      </w:r>
      <w:r>
        <w:rPr>
          <w:rFonts w:ascii="Times New Roman" w:cs="Times New Roman" w:eastAsia="Times New Roman" w:hAnsi="Times New Roman"/>
          <w:sz w:val="17"/>
          <w:szCs w:val="17"/>
          <w:color w:val="auto"/>
        </w:rPr>
        <w:t>”)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spacing w:after="0" w:line="167"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“EBITDA” </w:t>
      </w:r>
      <w:r>
        <w:rPr>
          <w:rFonts w:ascii="Times New Roman" w:cs="Times New Roman" w:eastAsia="Times New Roman" w:hAnsi="Times New Roman"/>
          <w:sz w:val="17"/>
          <w:szCs w:val="17"/>
          <w:color w:val="auto"/>
        </w:rPr>
        <w:t>means, for any period, determined on a consolidated basis of the Parent and its Subsidiaries, in accordance with GAAP,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sum of net income (or loss)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(i) depreciation and amortization expense, to the extent included as an expense in the calculation of net income (or loss); (ii) Interest Expense; (iii) income tax expense, to the extent included as an expense in the calculation of net income (or loss);</w:t>
      </w:r>
    </w:p>
    <w:p>
      <w:pPr>
        <w:spacing w:after="0" w:line="1" w:lineRule="exact"/>
        <w:rPr>
          <w:sz w:val="20"/>
          <w:szCs w:val="20"/>
          <w:color w:val="auto"/>
        </w:rPr>
      </w:pPr>
    </w:p>
    <w:p>
      <w:pPr>
        <w:jc w:val="both"/>
        <w:ind w:firstLine="5"/>
        <w:spacing w:after="0" w:line="261" w:lineRule="auto"/>
        <w:tabs>
          <w:tab w:leader="none" w:pos="29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extraordinary, unrealized or non-recurring losses, including (A) impairment charges, (B) losses from the sale of real property, and (v) non-cash compensation paid to employees of Parent in the form of Parent’s equity securities,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(a) extraordinary, unrealized or non-recurring gains, including (x) the write-up of assets and (y) gains from the sale of real property and (b) income tax benefits. </w:t>
      </w:r>
      <w:r>
        <w:rPr>
          <w:rFonts w:ascii="Times New Roman" w:cs="Times New Roman" w:eastAsia="Times New Roman" w:hAnsi="Times New Roman"/>
          <w:sz w:val="17"/>
          <w:szCs w:val="17"/>
          <w:color w:val="FF0000"/>
          <w:strike w:val="1"/>
        </w:rPr>
        <w:t>Pro forma adjustments shall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be made for any Property acquired or sold during any period as if the acquisition or disposition occurred on the first day of the applicable period.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91" w:name="page92"/>
    <w:bookmarkEnd w:id="91"/>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“EEA Financial Institution” </w:t>
      </w:r>
      <w:r>
        <w:rPr>
          <w:rFonts w:ascii="Times New Roman" w:cs="Times New Roman" w:eastAsia="Times New Roman" w:hAnsi="Times New Roman"/>
          <w:sz w:val="17"/>
          <w:szCs w:val="17"/>
          <w:color w:val="auto"/>
        </w:rPr>
        <w:t>means (a) any institution established in any EEA Member Country which is subject to the supervision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“EEA Member Country” </w:t>
      </w:r>
      <w:r>
        <w:rPr>
          <w:rFonts w:ascii="Times New Roman" w:cs="Times New Roman" w:eastAsia="Times New Roman" w:hAnsi="Times New Roman"/>
          <w:sz w:val="17"/>
          <w:szCs w:val="17"/>
          <w:color w:val="auto"/>
        </w:rPr>
        <w:t>means any of the member states of the European Union, Iceland, Liechtenstein, and Norway.</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EEA Resolution Authority</w:t>
      </w:r>
      <w:r>
        <w:rPr>
          <w:rFonts w:ascii="Times New Roman" w:cs="Times New Roman" w:eastAsia="Times New Roman" w:hAnsi="Times New Roman"/>
          <w:sz w:val="17"/>
          <w:szCs w:val="17"/>
          <w:color w:val="auto"/>
        </w:rPr>
        <w:t>” means any public administrative authority or any person entrusted with public administrative authority of any EEA Member Country (including any delegee) have responsibility for the resolution of any EEA Financial Institution.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Electronic Copy</w:t>
      </w:r>
      <w:r>
        <w:rPr>
          <w:rFonts w:ascii="Times New Roman" w:cs="Times New Roman" w:eastAsia="Times New Roman" w:hAnsi="Times New Roman"/>
          <w:sz w:val="17"/>
          <w:szCs w:val="17"/>
          <w:color w:val="auto"/>
        </w:rPr>
        <w:t>” has the meaning specified in Section 8.22.</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Electronic Record</w:t>
      </w:r>
      <w:r>
        <w:rPr>
          <w:rFonts w:ascii="Times New Roman" w:cs="Times New Roman" w:eastAsia="Times New Roman" w:hAnsi="Times New Roman"/>
          <w:sz w:val="17"/>
          <w:szCs w:val="17"/>
          <w:color w:val="auto"/>
        </w:rPr>
        <w:t>” has the meaning specified in Section 8.22</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Electronic Signature</w:t>
      </w:r>
      <w:r>
        <w:rPr>
          <w:rFonts w:ascii="Times New Roman" w:cs="Times New Roman" w:eastAsia="Times New Roman" w:hAnsi="Times New Roman"/>
          <w:sz w:val="17"/>
          <w:szCs w:val="17"/>
          <w:color w:val="auto"/>
        </w:rPr>
        <w:t>” has the meaning specified in Section 8.22.</w:t>
      </w:r>
    </w:p>
    <w:p>
      <w:pPr>
        <w:spacing w:after="0" w:line="222"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“Eligible Assignee” </w:t>
      </w:r>
      <w:r>
        <w:rPr>
          <w:rFonts w:ascii="Times New Roman" w:cs="Times New Roman" w:eastAsia="Times New Roman" w:hAnsi="Times New Roman"/>
          <w:sz w:val="17"/>
          <w:szCs w:val="17"/>
          <w:color w:val="auto"/>
        </w:rPr>
        <w:t>means (a) a Lender, (b) an Affiliate of a Lender, (c) an Approved Fund, and (d) any other Person (other than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natural person) approved by (i) the Administrative Agent, and (ii) unless an Event of Default has occurred and is continuing, the Borrower (each such approval not to be unreasonably withheld or delayed);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the foregoing, “Eligible Assignee” shall not include the Borrower or any Guarantor or any of the Borrower’s or such Guarantor’s Affiliates or Subsidiaries.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“Eligible Property” </w:t>
      </w:r>
      <w:r>
        <w:rPr>
          <w:rFonts w:ascii="Times New Roman" w:cs="Times New Roman" w:eastAsia="Times New Roman" w:hAnsi="Times New Roman"/>
          <w:sz w:val="17"/>
          <w:szCs w:val="17"/>
          <w:color w:val="auto"/>
        </w:rPr>
        <w:t>means, as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 Pool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Determination Date, any Property owned by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 a Guarantor or a 1031 Property Holder which satisfies the following conditions:</w:t>
      </w:r>
    </w:p>
    <w:p>
      <w:pPr>
        <w:spacing w:after="0" w:line="204" w:lineRule="exact"/>
        <w:rPr>
          <w:sz w:val="20"/>
          <w:szCs w:val="20"/>
          <w:color w:val="auto"/>
        </w:rPr>
      </w:pPr>
    </w:p>
    <w:p>
      <w:pPr>
        <w:jc w:val="both"/>
        <w:ind w:firstLine="1257"/>
        <w:spacing w:after="0" w:line="275" w:lineRule="auto"/>
        <w:tabs>
          <w:tab w:leader="none" w:pos="187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 </w:t>
      </w:r>
      <w:r>
        <w:rPr>
          <w:rFonts w:ascii="Times New Roman" w:cs="Times New Roman" w:eastAsia="Times New Roman" w:hAnsi="Times New Roman"/>
          <w:sz w:val="17"/>
          <w:szCs w:val="17"/>
          <w:u w:val="single" w:color="auto"/>
          <w:color w:val="4472C4"/>
        </w:rPr>
        <w:t>Alpine Valley or other</w:t>
      </w:r>
      <w:r>
        <w:rPr>
          <w:rFonts w:ascii="Times New Roman" w:cs="Times New Roman" w:eastAsia="Times New Roman" w:hAnsi="Times New Roman"/>
          <w:sz w:val="17"/>
          <w:szCs w:val="17"/>
          <w:color w:val="auto"/>
        </w:rPr>
        <w:t xml:space="preserve"> real property </w:t>
      </w:r>
      <w:r>
        <w:rPr>
          <w:rFonts w:ascii="Times New Roman" w:cs="Times New Roman" w:eastAsia="Times New Roman" w:hAnsi="Times New Roman"/>
          <w:sz w:val="17"/>
          <w:szCs w:val="17"/>
          <w:u w:val="single" w:color="auto"/>
          <w:color w:val="4472C4"/>
        </w:rPr>
        <w:t>constituting a retail net lease asset, in each case, that is</w:t>
      </w:r>
      <w:r>
        <w:rPr>
          <w:rFonts w:ascii="Times New Roman" w:cs="Times New Roman" w:eastAsia="Times New Roman" w:hAnsi="Times New Roman"/>
          <w:sz w:val="17"/>
          <w:szCs w:val="17"/>
          <w:color w:val="auto"/>
        </w:rPr>
        <w:t xml:space="preserve"> one hundred percent (100%) owned in fee simple </w:t>
      </w:r>
      <w:r>
        <w:rPr>
          <w:rFonts w:ascii="Times New Roman" w:cs="Times New Roman" w:eastAsia="Times New Roman" w:hAnsi="Times New Roman"/>
          <w:sz w:val="17"/>
          <w:szCs w:val="17"/>
          <w:u w:val="single" w:color="auto"/>
          <w:color w:val="4472C4"/>
        </w:rPr>
        <w:t>or leased pursuant to an Acceptable Leasehold Interest</w:t>
      </w:r>
      <w:r>
        <w:rPr>
          <w:rFonts w:ascii="Times New Roman" w:cs="Times New Roman" w:eastAsia="Times New Roman" w:hAnsi="Times New Roman"/>
          <w:sz w:val="17"/>
          <w:szCs w:val="17"/>
          <w:color w:val="auto"/>
        </w:rPr>
        <w:t>, individually or collectively, by the Borrower, any Guarantor or any 1031 Property Holder</w:t>
      </w:r>
      <w:r>
        <w:rPr>
          <w:rFonts w:ascii="Times New Roman" w:cs="Times New Roman" w:eastAsia="Times New Roman" w:hAnsi="Times New Roman"/>
          <w:sz w:val="17"/>
          <w:szCs w:val="17"/>
          <w:color w:val="FF0000"/>
          <w:strike w:val="1"/>
        </w:rPr>
        <w:t>, including Permitted Ground Lease Investments</w:t>
      </w:r>
      <w:r>
        <w:rPr>
          <w:rFonts w:ascii="Times New Roman" w:cs="Times New Roman" w:eastAsia="Times New Roman" w:hAnsi="Times New Roman"/>
          <w:sz w:val="17"/>
          <w:szCs w:val="17"/>
          <w:color w:val="auto"/>
        </w:rPr>
        <w:t>;</w:t>
      </w:r>
    </w:p>
    <w:p>
      <w:pPr>
        <w:spacing w:after="0" w:line="162"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Property located in the contiguous United States;</w:t>
      </w:r>
    </w:p>
    <w:p>
      <w:pPr>
        <w:spacing w:after="0" w:line="221" w:lineRule="exact"/>
        <w:rPr>
          <w:rFonts w:ascii="Times New Roman" w:cs="Times New Roman" w:eastAsia="Times New Roman" w:hAnsi="Times New Roman"/>
          <w:sz w:val="17"/>
          <w:szCs w:val="17"/>
          <w:color w:val="auto"/>
        </w:rPr>
      </w:pPr>
    </w:p>
    <w:p>
      <w:pPr>
        <w:jc w:val="both"/>
        <w:ind w:firstLine="1257"/>
        <w:spacing w:after="0" w:line="263" w:lineRule="auto"/>
        <w:tabs>
          <w:tab w:leader="none" w:pos="187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Property is owned </w:t>
      </w:r>
      <w:r>
        <w:rPr>
          <w:rFonts w:ascii="Times New Roman" w:cs="Times New Roman" w:eastAsia="Times New Roman" w:hAnsi="Times New Roman"/>
          <w:sz w:val="17"/>
          <w:szCs w:val="17"/>
          <w:u w:val="single" w:color="auto"/>
          <w:color w:val="4472C4"/>
        </w:rPr>
        <w:t>or subject to an Acceptable Leasehold Interest</w:t>
      </w:r>
      <w:r>
        <w:rPr>
          <w:rFonts w:ascii="Times New Roman" w:cs="Times New Roman" w:eastAsia="Times New Roman" w:hAnsi="Times New Roman"/>
          <w:sz w:val="17"/>
          <w:szCs w:val="17"/>
          <w:color w:val="auto"/>
        </w:rPr>
        <w:t xml:space="preserve"> by the Borrower, (i) neither the Borrower’s beneficial ownership interest </w:t>
      </w:r>
      <w:r>
        <w:rPr>
          <w:rFonts w:ascii="Times New Roman" w:cs="Times New Roman" w:eastAsia="Times New Roman" w:hAnsi="Times New Roman"/>
          <w:sz w:val="17"/>
          <w:szCs w:val="17"/>
          <w:u w:val="single" w:color="auto"/>
          <w:color w:val="4472C4"/>
        </w:rPr>
        <w:t>or leasehold interest, as applicable,</w:t>
      </w:r>
      <w:r>
        <w:rPr>
          <w:rFonts w:ascii="Times New Roman" w:cs="Times New Roman" w:eastAsia="Times New Roman" w:hAnsi="Times New Roman"/>
          <w:sz w:val="17"/>
          <w:szCs w:val="17"/>
          <w:color w:val="auto"/>
        </w:rPr>
        <w:t xml:space="preserve"> in such Property nor the Property is subject to any Lien (other than Permitted Liens or Liens in favor of the Administrative Agent) or to any negative pledge (other than a negative pledge under the terms of the documentation evidencing Other Unsecured Indebtedness) and (ii) the Borrower has the unilateral right (including the absence of any restrictions in </w:t>
      </w:r>
      <w:r>
        <w:rPr>
          <w:rFonts w:ascii="Times New Roman" w:cs="Times New Roman" w:eastAsia="Times New Roman" w:hAnsi="Times New Roman"/>
          <w:sz w:val="17"/>
          <w:szCs w:val="17"/>
          <w:color w:val="FF0000"/>
          <w:strike w:val="1"/>
        </w:rPr>
        <w:t>a Ground Lease</w:t>
      </w:r>
      <w:r>
        <w:rPr>
          <w:rFonts w:ascii="Times New Roman" w:cs="Times New Roman" w:eastAsia="Times New Roman" w:hAnsi="Times New Roman"/>
          <w:sz w:val="17"/>
          <w:szCs w:val="17"/>
          <w:u w:val="single" w:color="auto"/>
          <w:color w:val="4472C4"/>
        </w:rPr>
        <w:t>an Acceptable Leasehold Interest</w:t>
      </w:r>
      <w:r>
        <w:rPr>
          <w:rFonts w:ascii="Times New Roman" w:cs="Times New Roman" w:eastAsia="Times New Roman" w:hAnsi="Times New Roman"/>
          <w:sz w:val="17"/>
          <w:szCs w:val="17"/>
          <w:color w:val="auto"/>
        </w:rPr>
        <w:t>) to sell, transfer or otherwise dispose of such Property and to create a Lien on such Property as security for Indebtedness for Borrowed Money;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92" w:name="page93"/>
    <w:bookmarkEnd w:id="92"/>
    <w:p>
      <w:pPr>
        <w:jc w:val="both"/>
        <w:ind w:firstLine="1257"/>
        <w:spacing w:after="0" w:line="262" w:lineRule="auto"/>
        <w:tabs>
          <w:tab w:leader="none" w:pos="187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Property is owned </w:t>
      </w:r>
      <w:r>
        <w:rPr>
          <w:rFonts w:ascii="Times New Roman" w:cs="Times New Roman" w:eastAsia="Times New Roman" w:hAnsi="Times New Roman"/>
          <w:sz w:val="17"/>
          <w:szCs w:val="17"/>
          <w:u w:val="single" w:color="auto"/>
          <w:color w:val="4472C4"/>
        </w:rPr>
        <w:t>or subject to an Acceptable Leasehold Interest</w:t>
      </w:r>
      <w:r>
        <w:rPr>
          <w:rFonts w:ascii="Times New Roman" w:cs="Times New Roman" w:eastAsia="Times New Roman" w:hAnsi="Times New Roman"/>
          <w:sz w:val="17"/>
          <w:szCs w:val="17"/>
          <w:color w:val="auto"/>
        </w:rPr>
        <w:t xml:space="preserve"> by a Material Subsidiary </w:t>
      </w:r>
      <w:r>
        <w:rPr>
          <w:rFonts w:ascii="Times New Roman" w:cs="Times New Roman" w:eastAsia="Times New Roman" w:hAnsi="Times New Roman"/>
          <w:sz w:val="17"/>
          <w:szCs w:val="17"/>
          <w:u w:val="single" w:color="auto"/>
          <w:color w:val="4472C4"/>
        </w:rPr>
        <w:t>or 1031 Property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4472C4"/>
        </w:rPr>
        <w:t>Holder</w:t>
      </w:r>
      <w:r>
        <w:rPr>
          <w:rFonts w:ascii="Times New Roman" w:cs="Times New Roman" w:eastAsia="Times New Roman" w:hAnsi="Times New Roman"/>
          <w:sz w:val="17"/>
          <w:szCs w:val="17"/>
          <w:color w:val="000000"/>
        </w:rPr>
        <w:t>, (i) neither the Borrower’s beneficial ownership interest</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u w:val="single" w:color="auto"/>
          <w:color w:val="4472C4"/>
        </w:rPr>
        <w:t>or leasehold interest, as applicable,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in such Material Subsidiary nor the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 xml:space="preserve">Property is subject to any Lien (other than Permitted Liens or Liens in favor of the Administrative Agent) or to any negative pledge, (ii) the Material Subsidiary has the unilateral right (including the absence of any restrictions in </w:t>
      </w:r>
      <w:r>
        <w:rPr>
          <w:rFonts w:ascii="Times New Roman" w:cs="Times New Roman" w:eastAsia="Times New Roman" w:hAnsi="Times New Roman"/>
          <w:sz w:val="17"/>
          <w:szCs w:val="17"/>
          <w:color w:val="FF0000"/>
          <w:strike w:val="1"/>
        </w:rPr>
        <w:t>a Ground Lease</w:t>
      </w:r>
      <w:r>
        <w:rPr>
          <w:rFonts w:ascii="Times New Roman" w:cs="Times New Roman" w:eastAsia="Times New Roman" w:hAnsi="Times New Roman"/>
          <w:sz w:val="17"/>
          <w:szCs w:val="17"/>
          <w:u w:val="single" w:color="auto"/>
          <w:color w:val="4472C4"/>
        </w:rPr>
        <w:t>an Acceptable Leasehold Interest</w:t>
      </w:r>
      <w:r>
        <w:rPr>
          <w:rFonts w:ascii="Times New Roman" w:cs="Times New Roman" w:eastAsia="Times New Roman" w:hAnsi="Times New Roman"/>
          <w:sz w:val="17"/>
          <w:szCs w:val="17"/>
          <w:color w:val="000000"/>
        </w:rPr>
        <w:t>) to sell, transfer or otherwise dispose of such Property and to create a Lien on such Property as security for Indebtedness for Borrowed Money, and (iii) the Material Subsidiary has provided an Additional Guarantor Supplement or other Guaranty to the Administrative Agent pursuant to Section 4.2 hereof;</w:t>
      </w:r>
    </w:p>
    <w:p>
      <w:pPr>
        <w:spacing w:after="0" w:line="175"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4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The Administrative Agent shall have received to the extent requested historic operating statements for such Property for the previous three (3) years, if available, and historic rent rolls for such Property for the previous three (3) years, if available;</w:t>
      </w:r>
    </w:p>
    <w:p>
      <w:pPr>
        <w:spacing w:after="0" w:line="147" w:lineRule="exact"/>
        <w:rPr>
          <w:sz w:val="20"/>
          <w:szCs w:val="20"/>
          <w:color w:val="auto"/>
        </w:rPr>
      </w:pPr>
    </w:p>
    <w:p>
      <w:pPr>
        <w:jc w:val="both"/>
        <w:ind w:firstLine="1252"/>
        <w:spacing w:after="0" w:line="263" w:lineRule="auto"/>
        <w:rPr>
          <w:sz w:val="20"/>
          <w:szCs w:val="20"/>
          <w:color w:val="auto"/>
        </w:rPr>
      </w:pPr>
      <w:r>
        <w:rPr>
          <w:rFonts w:ascii="Times New Roman" w:cs="Times New Roman" w:eastAsia="Times New Roman" w:hAnsi="Times New Roman"/>
          <w:sz w:val="17"/>
          <w:szCs w:val="17"/>
          <w:color w:val="FF0000"/>
          <w:strike w:val="1"/>
        </w:rPr>
        <w:t>(f)</w:t>
      </w:r>
      <w:r>
        <w:rPr>
          <w:rFonts w:ascii="Times New Roman" w:cs="Times New Roman" w:eastAsia="Times New Roman" w:hAnsi="Times New Roman"/>
          <w:sz w:val="17"/>
          <w:szCs w:val="17"/>
          <w:u w:val="single" w:color="auto"/>
          <w:color w:val="4472C4"/>
        </w:rPr>
        <w: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That such Property, based on the Borrower’s or any Material Subsidiary’s actual knowledge, is free of all material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 assessments, including, to the extent requested, Phase I and Phase II reports, the results of which disclose environmental conditions which are satisfactory to the Administrative Agent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-679450</wp:posOffset>
            </wp:positionV>
            <wp:extent cx="2901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290195"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-695960</wp:posOffset>
            </wp:positionV>
            <wp:extent cx="158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158115" cy="8255"/>
                    </a:xfrm>
                    <a:prstGeom prst="rect">
                      <a:avLst/>
                    </a:prstGeom>
                    <a:noFill/>
                  </pic:spPr>
                </pic:pic>
              </a:graphicData>
            </a:graphic>
          </wp:anchor>
        </w:drawing>
      </w:r>
    </w:p>
    <w:p>
      <w:pPr>
        <w:spacing w:after="0" w:line="155" w:lineRule="exact"/>
        <w:rPr>
          <w:sz w:val="20"/>
          <w:szCs w:val="20"/>
          <w:color w:val="auto"/>
        </w:rPr>
      </w:pPr>
    </w:p>
    <w:p>
      <w:pPr>
        <w:jc w:val="both"/>
        <w:ind w:firstLine="1252"/>
        <w:spacing w:after="0" w:line="287" w:lineRule="auto"/>
        <w:rPr>
          <w:sz w:val="20"/>
          <w:szCs w:val="20"/>
          <w:color w:val="auto"/>
        </w:rPr>
      </w:pPr>
      <w:r>
        <w:rPr>
          <w:rFonts w:ascii="Times New Roman" w:cs="Times New Roman" w:eastAsia="Times New Roman" w:hAnsi="Times New Roman"/>
          <w:sz w:val="17"/>
          <w:szCs w:val="17"/>
          <w:color w:val="FF0000"/>
          <w:strike w:val="1"/>
        </w:rPr>
        <w:t>(g)</w:t>
      </w:r>
      <w:r>
        <w:rPr>
          <w:rFonts w:ascii="Times New Roman" w:cs="Times New Roman" w:eastAsia="Times New Roman" w:hAnsi="Times New Roman"/>
          <w:sz w:val="17"/>
          <w:szCs w:val="17"/>
          <w:u w:val="single" w:color="auto"/>
          <w:color w:val="4472C4"/>
        </w:rPr>
        <w:t>(f)</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With respect to such Property, any Tenant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under a Significant Lease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is not more than 60 days past due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4472C4"/>
        </w:rPr>
        <w:t>or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4472C4"/>
        </w:rPr>
        <w:t>“materially past due” (in accordance with customary commercial practice)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with respect to any monthly rent payment obligations under such</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-177165</wp:posOffset>
            </wp:positionV>
            <wp:extent cx="1441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-160655</wp:posOffset>
            </wp:positionV>
            <wp:extent cx="1447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347" w:lineRule="exact"/>
        <w:rPr>
          <w:sz w:val="20"/>
          <w:szCs w:val="20"/>
          <w:color w:val="auto"/>
        </w:rPr>
      </w:pPr>
    </w:p>
    <w:p>
      <w:pPr>
        <w:jc w:val="both"/>
        <w:ind w:firstLine="1252"/>
        <w:spacing w:after="0" w:line="263" w:lineRule="auto"/>
        <w:rPr>
          <w:sz w:val="20"/>
          <w:szCs w:val="20"/>
          <w:color w:val="auto"/>
        </w:rPr>
      </w:pPr>
      <w:r>
        <w:rPr>
          <w:rFonts w:ascii="Times New Roman" w:cs="Times New Roman" w:eastAsia="Times New Roman" w:hAnsi="Times New Roman"/>
          <w:sz w:val="17"/>
          <w:szCs w:val="17"/>
          <w:color w:val="FF0000"/>
          <w:strike w:val="1"/>
        </w:rPr>
        <w:t>(h)</w:t>
      </w:r>
      <w:r>
        <w:rPr>
          <w:rFonts w:ascii="Times New Roman" w:cs="Times New Roman" w:eastAsia="Times New Roman" w:hAnsi="Times New Roman"/>
          <w:sz w:val="17"/>
          <w:szCs w:val="17"/>
          <w:u w:val="single" w:color="auto"/>
          <w:color w:val="4472C4"/>
        </w:rPr>
        <w:t>(g)</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For each such Property, the Borrower, to the extent not previously provided, shall have delivered to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Administrative Agent a copy, certified as true and correct by the Borrower, of each of the following: if the Property Owner is not the Borrower, the Property Owner’s articles of incorporation, by-laws, partnership agreements, operating agreements, as applicable, and certificates of existence, good standing and authority to do business from each appropriate state authority, and partnership, corporate or limited liability company, as applicable, authorizations authorizing the execution, delivery and performance of the Additional Guarantor Supplement all certified to be true and complete by a duly authorized officer of such Property Owner;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-679450</wp:posOffset>
            </wp:positionV>
            <wp:extent cx="2730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273050" cy="825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-695960</wp:posOffset>
            </wp:positionV>
            <wp:extent cx="1327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132715" cy="8255"/>
                    </a:xfrm>
                    <a:prstGeom prst="rect">
                      <a:avLst/>
                    </a:prstGeom>
                    <a:noFill/>
                  </pic:spPr>
                </pic:pic>
              </a:graphicData>
            </a:graphic>
          </wp:anchor>
        </w:drawing>
      </w:r>
    </w:p>
    <w:p>
      <w:pPr>
        <w:spacing w:after="0" w:line="155"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FF0000"/>
          <w:strike w:val="1"/>
        </w:rPr>
        <w:t>(i)</w:t>
      </w:r>
      <w:r>
        <w:rPr>
          <w:rFonts w:ascii="Times New Roman" w:cs="Times New Roman" w:eastAsia="Times New Roman" w:hAnsi="Times New Roman"/>
          <w:sz w:val="17"/>
          <w:szCs w:val="17"/>
          <w:u w:val="single" w:color="auto"/>
          <w:color w:val="4472C4"/>
        </w:rPr>
        <w:t>(h)</w:t>
      </w:r>
      <w:r>
        <w:rPr>
          <w:sz w:val="20"/>
          <w:szCs w:val="20"/>
          <w:color w:val="auto"/>
        </w:rPr>
        <w:tab/>
      </w:r>
      <w:r>
        <w:rPr>
          <w:rFonts w:ascii="Times New Roman" w:cs="Times New Roman" w:eastAsia="Times New Roman" w:hAnsi="Times New Roman"/>
          <w:sz w:val="17"/>
          <w:szCs w:val="17"/>
          <w:color w:val="auto"/>
        </w:rPr>
        <w:t>The Property is not an Asset Under Development or a Land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11430</wp:posOffset>
            </wp:positionV>
            <wp:extent cx="2978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297815"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-4445</wp:posOffset>
            </wp:positionV>
            <wp:extent cx="158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158115" cy="8255"/>
                    </a:xfrm>
                    <a:prstGeom prst="rect">
                      <a:avLst/>
                    </a:prstGeom>
                    <a:noFill/>
                  </pic:spPr>
                </pic:pic>
              </a:graphicData>
            </a:graphic>
          </wp:anchor>
        </w:drawing>
      </w:r>
    </w:p>
    <w:p>
      <w:pPr>
        <w:spacing w:after="0" w:line="200"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“Environmental Claim” </w:t>
      </w:r>
      <w:r>
        <w:rPr>
          <w:rFonts w:ascii="Times New Roman" w:cs="Times New Roman" w:eastAsia="Times New Roman" w:hAnsi="Times New Roman"/>
          <w:sz w:val="17"/>
          <w:szCs w:val="17"/>
          <w:color w:val="auto"/>
        </w:rPr>
        <w:t>means any investigation, notice, violation, demand, allegation, action, suit, injunction, judgment, order,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consent decree, penalty, fine, lien, proceeding­ or claim (whether administrative, judicial or private in nature) arising (a) pursuant to, or in connection with an actual or alleged violation of, any Environmental Law, (b) in connection with any Hazardous Material, (c) from any abatement, removal, remedial, corrective­ or response action in connection with a Hazardous Material, Environmental Law or order of a governmental authority or (d) from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t>any actual or alleged damage, injury, threat or harm to health, safety, natural resources or the environment.</w:t>
      </w:r>
    </w:p>
    <w:p>
      <w:pPr>
        <w:spacing w:after="0" w:line="220"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“Environmental Law” </w:t>
      </w:r>
      <w:r>
        <w:rPr>
          <w:rFonts w:ascii="Times New Roman" w:cs="Times New Roman" w:eastAsia="Times New Roman" w:hAnsi="Times New Roman"/>
          <w:sz w:val="17"/>
          <w:szCs w:val="17"/>
          <w:color w:val="auto"/>
        </w:rPr>
        <w:t>means any current or future Legal Requirement pertaining to (a) the protection of health, safety and the indoor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spacing w:after="0" w:line="168"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“Equity Interests” </w:t>
      </w:r>
      <w:r>
        <w:rPr>
          <w:rFonts w:ascii="Times New Roman" w:cs="Times New Roman" w:eastAsia="Times New Roman" w:hAnsi="Times New Roman"/>
          <w:sz w:val="17"/>
          <w:szCs w:val="17"/>
          <w:color w:val="auto"/>
        </w:rPr>
        <w:t>means with respect to any Person, any share of capital stock of (or other ownership or profit interests in)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“ERISA” </w:t>
      </w:r>
      <w:r>
        <w:rPr>
          <w:rFonts w:ascii="Times New Roman" w:cs="Times New Roman" w:eastAsia="Times New Roman" w:hAnsi="Times New Roman"/>
          <w:sz w:val="17"/>
          <w:szCs w:val="17"/>
          <w:color w:val="auto"/>
        </w:rPr>
        <w:t>means the Employee Retirement Income Security Act of 1974, as amended, or any successor statute thereto.</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Erroneous Payment</w:t>
      </w:r>
      <w:r>
        <w:rPr>
          <w:rFonts w:ascii="Times New Roman" w:cs="Times New Roman" w:eastAsia="Times New Roman" w:hAnsi="Times New Roman"/>
          <w:sz w:val="17"/>
          <w:szCs w:val="17"/>
          <w:color w:val="auto"/>
        </w:rPr>
        <w:t>” has the meaning assigned to such term in Section 12.30.</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Erroneous Payment Deficiency Assignment</w:t>
      </w:r>
      <w:r>
        <w:rPr>
          <w:rFonts w:ascii="Times New Roman" w:cs="Times New Roman" w:eastAsia="Times New Roman" w:hAnsi="Times New Roman"/>
          <w:sz w:val="17"/>
          <w:szCs w:val="17"/>
          <w:color w:val="auto"/>
        </w:rPr>
        <w:t>” has the meaning assigned to such term in Section 12.30.</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Erroneous Payment Impacted Class</w:t>
      </w:r>
      <w:r>
        <w:rPr>
          <w:rFonts w:ascii="Times New Roman" w:cs="Times New Roman" w:eastAsia="Times New Roman" w:hAnsi="Times New Roman"/>
          <w:sz w:val="17"/>
          <w:szCs w:val="17"/>
          <w:color w:val="auto"/>
        </w:rPr>
        <w:t>” has the meaning assigned to such term in Section 12.30(d).</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Erroneous Payment Return Deficiency</w:t>
      </w:r>
      <w:r>
        <w:rPr>
          <w:rFonts w:ascii="Times New Roman" w:cs="Times New Roman" w:eastAsia="Times New Roman" w:hAnsi="Times New Roman"/>
          <w:sz w:val="17"/>
          <w:szCs w:val="17"/>
          <w:color w:val="auto"/>
        </w:rPr>
        <w:t>” has the meaning assigned to such term in Section 12.30(d).</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Erroneous Payment Subrogation Rights</w:t>
      </w:r>
      <w:r>
        <w:rPr>
          <w:rFonts w:ascii="Times New Roman" w:cs="Times New Roman" w:eastAsia="Times New Roman" w:hAnsi="Times New Roman"/>
          <w:sz w:val="17"/>
          <w:szCs w:val="17"/>
          <w:color w:val="auto"/>
        </w:rPr>
        <w:t>” has the meaning assigned to such term in Section 12.30(d).</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“EU Bail-In Legislation Schedule” </w:t>
      </w:r>
      <w:r>
        <w:rPr>
          <w:rFonts w:ascii="Times New Roman" w:cs="Times New Roman" w:eastAsia="Times New Roman" w:hAnsi="Times New Roman"/>
          <w:sz w:val="17"/>
          <w:szCs w:val="17"/>
          <w:color w:val="auto"/>
        </w:rPr>
        <w:t>means the EU Bail-In Legislation Schedule published by the Loan Market Association (or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successor Person), as in effect from time to time.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“Event of Default” </w:t>
      </w:r>
      <w:r>
        <w:rPr>
          <w:rFonts w:ascii="Times New Roman" w:cs="Times New Roman" w:eastAsia="Times New Roman" w:hAnsi="Times New Roman"/>
          <w:sz w:val="17"/>
          <w:szCs w:val="17"/>
          <w:color w:val="auto"/>
        </w:rPr>
        <w:t>means any event or condition identified as such in Section 9.1 hereof.</w:t>
      </w:r>
    </w:p>
    <w:p>
      <w:pPr>
        <w:spacing w:after="0" w:line="22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Excluded Swap Obligation</w:t>
      </w:r>
      <w:r>
        <w:rPr>
          <w:rFonts w:ascii="Times New Roman" w:cs="Times New Roman" w:eastAsia="Times New Roman" w:hAnsi="Times New Roman"/>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94" w:name="page95"/>
    <w:bookmarkEnd w:id="94"/>
    <w:p>
      <w:pPr>
        <w:jc w:val="both"/>
        <w:spacing w:after="0" w:line="263" w:lineRule="auto"/>
        <w:rPr>
          <w:sz w:val="20"/>
          <w:szCs w:val="20"/>
          <w:color w:val="auto"/>
        </w:rPr>
      </w:pPr>
      <w:r>
        <w:rPr>
          <w:rFonts w:ascii="Times New Roman" w:cs="Times New Roman" w:eastAsia="Times New Roman" w:hAnsi="Times New Roman"/>
          <w:sz w:val="17"/>
          <w:szCs w:val="17"/>
          <w:color w:val="auto"/>
        </w:rPr>
        <w:t>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3"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“Excluded Taxes” </w:t>
      </w:r>
      <w:r>
        <w:rPr>
          <w:rFonts w:ascii="Times New Roman" w:cs="Times New Roman" w:eastAsia="Times New Roman" w:hAnsi="Times New Roman"/>
          <w:sz w:val="17"/>
          <w:szCs w:val="17"/>
          <w:color w:val="auto"/>
        </w:rPr>
        <w:t>means any of the following Taxes imposed on or with respect to a Recipient or required to be withheld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w:t>
      </w:r>
    </w:p>
    <w:p>
      <w:pPr>
        <w:spacing w:after="0" w:line="1" w:lineRule="exact"/>
        <w:rPr>
          <w:sz w:val="20"/>
          <w:szCs w:val="20"/>
          <w:color w:val="auto"/>
        </w:rPr>
      </w:pPr>
    </w:p>
    <w:p>
      <w:pPr>
        <w:jc w:val="both"/>
        <w:ind w:firstLine="5"/>
        <w:spacing w:after="0" w:line="256" w:lineRule="auto"/>
        <w:tabs>
          <w:tab w:leader="none" w:pos="26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jc w:val="both"/>
        <w:ind w:firstLine="5"/>
        <w:spacing w:after="0" w:line="260" w:lineRule="auto"/>
        <w:tabs>
          <w:tab w:leader="none" w:pos="2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acquires such interest in the Loan or Commitment (other than pursuant to an assignment request by the Borrower under Section 1.13 hereof) or (ii) such Lender changes its 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 to comply with Section 12.1(b) or Section 12.1(d), and (d) any U.S. federal withholding Taxes imposed under FATCA.</w:t>
      </w:r>
    </w:p>
    <w:p>
      <w:pPr>
        <w:spacing w:after="0" w:line="173"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Existing Credit Agreement</w:t>
      </w:r>
      <w:r>
        <w:rPr>
          <w:rFonts w:ascii="Times New Roman" w:cs="Times New Roman" w:eastAsia="Times New Roman" w:hAnsi="Times New Roman"/>
          <w:sz w:val="17"/>
          <w:szCs w:val="17"/>
          <w:color w:val="auto"/>
        </w:rPr>
        <w:t>” means that certain Credit Agreement dated as of November 26, 2019, among Borrower, the Bank of Montreal, a syndicate of lenders and the other parties party thereto, as amended by that certain First Amendment to Credit Agreement dated June 30, 2020, and that Second Amendment Credit Agreement dated October 16, 2020, and as may be further amended, restated, supplemented or otherwise modified.</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Facility</w:t>
      </w:r>
      <w:r>
        <w:rPr>
          <w:rFonts w:ascii="Times New Roman" w:cs="Times New Roman" w:eastAsia="Times New Roman" w:hAnsi="Times New Roman"/>
          <w:sz w:val="17"/>
          <w:szCs w:val="17"/>
          <w:color w:val="auto"/>
        </w:rPr>
        <w:t>” means the Term Facility or any Incremental Term Loan Facility, as the context may require.</w:t>
      </w:r>
    </w:p>
    <w:p>
      <w:pPr>
        <w:spacing w:after="0" w:line="22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“FATCA” </w:t>
      </w:r>
      <w:r>
        <w:rPr>
          <w:rFonts w:ascii="Times New Roman" w:cs="Times New Roman" w:eastAsia="Times New Roman" w:hAnsi="Times New Roman"/>
          <w:sz w:val="17"/>
          <w:szCs w:val="17"/>
          <w:color w:val="auto"/>
        </w:rPr>
        <w:t>means Sections 1471 through 1474 of the Code, as of the date of this Agreement (or any amended or successor version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is substantively comparable and not materially more onerous to comply with), any current or future regulations or official interpretations thereof, and any agreements entered into pursuant to Section 1471(b)(1) of the Code.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“FCPA” </w:t>
      </w:r>
      <w:r>
        <w:rPr>
          <w:rFonts w:ascii="Times New Roman" w:cs="Times New Roman" w:eastAsia="Times New Roman" w:hAnsi="Times New Roman"/>
          <w:sz w:val="17"/>
          <w:szCs w:val="17"/>
          <w:color w:val="auto"/>
        </w:rPr>
        <w:t>means the Foreign Corrupt Practices Act, 15 U.S.C. §§78dd-1, et seq.</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“Federal Funds Rate” </w:t>
      </w:r>
      <w:r>
        <w:rPr>
          <w:rFonts w:ascii="Times New Roman" w:cs="Times New Roman" w:eastAsia="Times New Roman" w:hAnsi="Times New Roman"/>
          <w:sz w:val="17"/>
          <w:szCs w:val="17"/>
          <w:color w:val="auto"/>
        </w:rPr>
        <w:t>is defined in Section 1.4(a)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95" w:name="page96"/>
    <w:bookmarkEnd w:id="95"/>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“Federal Reserve Bank of New York’s Website” </w:t>
      </w:r>
      <w:r>
        <w:rPr>
          <w:rFonts w:ascii="Times New Roman" w:cs="Times New Roman" w:eastAsia="Times New Roman" w:hAnsi="Times New Roman"/>
          <w:sz w:val="17"/>
          <w:szCs w:val="17"/>
          <w:color w:val="auto"/>
        </w:rPr>
        <w:t>means the website of the Federal Reserve Bank of New York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http://www.newyorkfed.org, or any successor source.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Fee Letter</w:t>
      </w:r>
      <w:r>
        <w:rPr>
          <w:rFonts w:ascii="Times New Roman" w:cs="Times New Roman" w:eastAsia="Times New Roman" w:hAnsi="Times New Roman"/>
          <w:sz w:val="17"/>
          <w:szCs w:val="17"/>
          <w:color w:val="auto"/>
        </w:rPr>
        <w:t>” means the letter agreement, dated May 21, 2021, among Borrower, Truist Bank Securities Inc., and Truist Bank.</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First Amendment Effective Date</w:t>
      </w:r>
      <w:r>
        <w:rPr>
          <w:rFonts w:ascii="Times New Roman" w:cs="Times New Roman" w:eastAsia="Times New Roman" w:hAnsi="Times New Roman"/>
          <w:sz w:val="17"/>
          <w:szCs w:val="17"/>
          <w:color w:val="auto"/>
        </w:rPr>
        <w:t>” means April 14, 2022.</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“Fiscal Quarter” </w:t>
      </w:r>
      <w:r>
        <w:rPr>
          <w:rFonts w:ascii="Times New Roman" w:cs="Times New Roman" w:eastAsia="Times New Roman" w:hAnsi="Times New Roman"/>
          <w:sz w:val="17"/>
          <w:szCs w:val="17"/>
          <w:color w:val="auto"/>
        </w:rPr>
        <w:t>means each of the three-month periods ending on March 31, June 30, September 30 and December 31.</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“Fiscal Year” </w:t>
      </w:r>
      <w:r>
        <w:rPr>
          <w:rFonts w:ascii="Times New Roman" w:cs="Times New Roman" w:eastAsia="Times New Roman" w:hAnsi="Times New Roman"/>
          <w:sz w:val="17"/>
          <w:szCs w:val="17"/>
          <w:color w:val="auto"/>
        </w:rPr>
        <w:t>means the twelve-month period ending on December 31.</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Fitch</w:t>
      </w:r>
      <w:r>
        <w:rPr>
          <w:rFonts w:ascii="Times New Roman" w:cs="Times New Roman" w:eastAsia="Times New Roman" w:hAnsi="Times New Roman"/>
          <w:sz w:val="17"/>
          <w:szCs w:val="17"/>
          <w:u w:val="single" w:color="auto"/>
          <w:color w:val="4472C4"/>
        </w:rPr>
        <w:t>” means Fitch Rating, or any successor thereto.</w:t>
      </w:r>
    </w:p>
    <w:p>
      <w:pPr>
        <w:spacing w:after="0" w:line="222"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“Fixed Charges” </w:t>
      </w:r>
      <w:r>
        <w:rPr>
          <w:rFonts w:ascii="Times New Roman" w:cs="Times New Roman" w:eastAsia="Times New Roman" w:hAnsi="Times New Roman"/>
          <w:sz w:val="17"/>
          <w:szCs w:val="17"/>
          <w:color w:val="auto"/>
        </w:rPr>
        <w:t>means, for any Rolling Period, (a) Interest Expense, plus (b) scheduled principal amortization paid on Total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Indebtedness (exclusive of any balloon payments or prepayments of principal paid on such Total Indebtedness), plus (c) Dividends and required distributions on the Parent’s preferred equity securities for such Rolling Period plus (d) all income taxes (federal, state and local) paid by Parent and its Subsidiaries in cash during such Rolling Period. </w:t>
      </w:r>
      <w:r>
        <w:rPr>
          <w:rFonts w:ascii="Times New Roman" w:cs="Times New Roman" w:eastAsia="Times New Roman" w:hAnsi="Times New Roman"/>
          <w:sz w:val="17"/>
          <w:szCs w:val="17"/>
          <w:color w:val="FF0000"/>
          <w:strike w:val="1"/>
        </w:rPr>
        <w:t>Pro forma adjustments shall be made for any Property acquired or sold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during any period as if the acquisition or disposition occurred on the first day of the applicable period.</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Floor</w:t>
      </w:r>
      <w:r>
        <w:rPr>
          <w:rFonts w:ascii="Times New Roman" w:cs="Times New Roman" w:eastAsia="Times New Roman" w:hAnsi="Times New Roman"/>
          <w:sz w:val="17"/>
          <w:szCs w:val="17"/>
          <w:color w:val="auto"/>
        </w:rPr>
        <w:t>” means a rate of interest equal to 0% per annum.</w:t>
      </w:r>
    </w:p>
    <w:p>
      <w:pPr>
        <w:spacing w:after="0" w:line="117"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“Fund” </w:t>
      </w:r>
      <w:r>
        <w:rPr>
          <w:rFonts w:ascii="Times New Roman" w:cs="Times New Roman" w:eastAsia="Times New Roman" w:hAnsi="Times New Roman"/>
          <w:sz w:val="17"/>
          <w:szCs w:val="17"/>
          <w:color w:val="auto"/>
        </w:rPr>
        <w:t>means any Person (other than a natural person) that is (or will be) engaged in making, purchasing, holding or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investing in commercial loans and similar extensions of credit in the ordinary course of its business.</w:t>
      </w:r>
    </w:p>
    <w:p>
      <w:pPr>
        <w:spacing w:after="0" w:line="142"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“Funds Transfer and Deposit Account Liability” </w:t>
      </w:r>
      <w:r>
        <w:rPr>
          <w:rFonts w:ascii="Times New Roman" w:cs="Times New Roman" w:eastAsia="Times New Roman" w:hAnsi="Times New Roman"/>
          <w:sz w:val="17"/>
          <w:szCs w:val="17"/>
          <w:color w:val="auto"/>
        </w:rPr>
        <w:t>means the liability of the Borrower, or any Subsidiary owing to any of the Lenders,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any Affiliates of such Lenders, arising out of (a) 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spacing w:after="0" w:line="170"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“GAAP” </w:t>
      </w:r>
      <w:r>
        <w:rPr>
          <w:rFonts w:ascii="Times New Roman" w:cs="Times New Roman" w:eastAsia="Times New Roman" w:hAnsi="Times New Roman"/>
          <w:sz w:val="17"/>
          <w:szCs w:val="17"/>
          <w:color w:val="auto"/>
        </w:rPr>
        <w:t>means generally accepted accounting principles set forth from time to time in the opinions and pronouncements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67"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“Governmental Authority” </w:t>
      </w:r>
      <w:r>
        <w:rPr>
          <w:rFonts w:ascii="Times New Roman" w:cs="Times New Roman" w:eastAsia="Times New Roman" w:hAnsi="Times New Roman"/>
          <w:sz w:val="17"/>
          <w:szCs w:val="17"/>
          <w:color w:val="auto"/>
        </w:rPr>
        <w:t>means the government of the United States of America or any other nation, or of any political subdivision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thereof, whether state or local, and any agency, authority, instrumentality, regulatory body, court, central bank or other entity exercising executive,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96" w:name="page97"/>
    <w:bookmarkEnd w:id="96"/>
    <w:p>
      <w:pPr>
        <w:jc w:val="both"/>
        <w:spacing w:after="0" w:line="294" w:lineRule="auto"/>
        <w:rPr>
          <w:sz w:val="20"/>
          <w:szCs w:val="20"/>
          <w:color w:val="auto"/>
        </w:rPr>
      </w:pPr>
      <w:r>
        <w:rPr>
          <w:rFonts w:ascii="Times New Roman" w:cs="Times New Roman" w:eastAsia="Times New Roman" w:hAnsi="Times New Roman"/>
          <w:sz w:val="17"/>
          <w:szCs w:val="17"/>
          <w:color w:val="auto"/>
        </w:rPr>
        <w:t>legislative, judicial, taxing, regulatory or administrative powers or functions of or pertaining to government (including any supra-national bodies such as the European Union or the European Central Bank).</w:t>
      </w:r>
    </w:p>
    <w:p>
      <w:pPr>
        <w:spacing w:after="0" w:line="145"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Gross Availability</w:t>
      </w:r>
      <w:r>
        <w:rPr>
          <w:rFonts w:ascii="Times New Roman" w:cs="Times New Roman" w:eastAsia="Times New Roman" w:hAnsi="Times New Roman"/>
          <w:sz w:val="17"/>
          <w:szCs w:val="17"/>
          <w:u w:val="single" w:color="auto"/>
          <w:color w:val="4472C4"/>
        </w:rPr>
        <w:t>” means, at any date of its determination, an amount equal to the maximum amount of Unsecured Indebtedness that would result in compliance with the covenants set forth in Sections 8.20(e) and (f) on a pro forma basis.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“Ground Lease” </w:t>
      </w:r>
      <w:r>
        <w:rPr>
          <w:rFonts w:ascii="Times New Roman" w:cs="Times New Roman" w:eastAsia="Times New Roman" w:hAnsi="Times New Roman"/>
          <w:sz w:val="17"/>
          <w:szCs w:val="17"/>
          <w:color w:val="auto"/>
        </w:rPr>
        <w:t>means a long term lease of real Property granted by the fee owner of the real Property.</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“Guarantor”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“Guarantors” </w:t>
      </w:r>
      <w:r>
        <w:rPr>
          <w:rFonts w:ascii="Times New Roman" w:cs="Times New Roman" w:eastAsia="Times New Roman" w:hAnsi="Times New Roman"/>
          <w:sz w:val="17"/>
          <w:szCs w:val="17"/>
          <w:color w:val="auto"/>
        </w:rPr>
        <w:t>are defined in Section 4.1 hereof.</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“Guaranty”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“Guaranties” </w:t>
      </w:r>
      <w:r>
        <w:rPr>
          <w:rFonts w:ascii="Times New Roman" w:cs="Times New Roman" w:eastAsia="Times New Roman" w:hAnsi="Times New Roman"/>
          <w:sz w:val="17"/>
          <w:szCs w:val="17"/>
          <w:color w:val="auto"/>
        </w:rPr>
        <w:t>are defined in Section 4.1 hereof.</w:t>
      </w:r>
    </w:p>
    <w:p>
      <w:pPr>
        <w:spacing w:after="0" w:line="222"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“Hazardous Material” </w:t>
      </w:r>
      <w:r>
        <w:rPr>
          <w:rFonts w:ascii="Times New Roman" w:cs="Times New Roman" w:eastAsia="Times New Roman" w:hAnsi="Times New Roman"/>
          <w:sz w:val="17"/>
          <w:szCs w:val="17"/>
          <w:color w:val="auto"/>
        </w:rPr>
        <w:t>means any substance, chemical, compound, product, solid, gas, liquid, waste, byproduct, pollutant,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167"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“Hazardous Material Activity” </w:t>
      </w:r>
      <w:r>
        <w:rPr>
          <w:rFonts w:ascii="Times New Roman" w:cs="Times New Roman" w:eastAsia="Times New Roman" w:hAnsi="Times New Roman"/>
          <w:sz w:val="17"/>
          <w:szCs w:val="17"/>
          <w:color w:val="auto"/>
        </w:rPr>
        <w:t>means any activity, event or occurrence involving a Hazardous Material, including, without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limitation, the manufacture, possession, presence, use, generation, transportation, treatment, storage, disposal, Release, threatened Release, abatement, removal, remediation, handling of or corrective or response action to any Hazardous Material other than any activity, event or occurrence performed in compliance with or allowed under applicable law.</w:t>
      </w:r>
    </w:p>
    <w:p>
      <w:pPr>
        <w:spacing w:after="0" w:line="167"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“Hedging Agreement” </w:t>
      </w:r>
      <w:r>
        <w:rPr>
          <w:rFonts w:ascii="Times New Roman" w:cs="Times New Roman" w:eastAsia="Times New Roman" w:hAnsi="Times New Roman"/>
          <w:sz w:val="17"/>
          <w:szCs w:val="17"/>
          <w:color w:val="auto"/>
        </w:rPr>
        <w:t>means any agreement with respect to any swap, forward, future or derivative transaction or option or similar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phantom stock or similar plan providing for payments only on account of services provided by current or former directors, officers, employees or consultants of Borrower or any Subsidiary shall be a Hedging Agreement.</w:t>
      </w:r>
    </w:p>
    <w:p>
      <w:pPr>
        <w:spacing w:after="0" w:line="168"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“Hedging Liability” </w:t>
      </w:r>
      <w:r>
        <w:rPr>
          <w:rFonts w:ascii="Times New Roman" w:cs="Times New Roman" w:eastAsia="Times New Roman" w:hAnsi="Times New Roman"/>
          <w:sz w:val="17"/>
          <w:szCs w:val="17"/>
          <w:color w:val="auto"/>
        </w:rPr>
        <w:t>means the liability of the Borrower or any Subsidiary to any Qualifying Counterparty, in respect of any Hedging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as the Borrower or such Subsidiary, as the case may be, may from time to time enter into with any one or more Qualifying Counterparties.</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Incremental Term Lender</w:t>
      </w:r>
      <w:r>
        <w:rPr>
          <w:rFonts w:ascii="Times New Roman" w:cs="Times New Roman" w:eastAsia="Times New Roman" w:hAnsi="Times New Roman"/>
          <w:sz w:val="17"/>
          <w:szCs w:val="17"/>
          <w:color w:val="auto"/>
        </w:rPr>
        <w:t>” means, at any time, any Lender that has an Incremental Term Loan Commitment or holds Incremental Term Loans at such time.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Incremental Term Loan</w:t>
      </w:r>
      <w:r>
        <w:rPr>
          <w:rFonts w:ascii="Times New Roman" w:cs="Times New Roman" w:eastAsia="Times New Roman" w:hAnsi="Times New Roman"/>
          <w:sz w:val="17"/>
          <w:szCs w:val="17"/>
          <w:color w:val="auto"/>
        </w:rPr>
        <w:t>” has the meaning assigned to such term in Section 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97" w:name="page98"/>
    <w:bookmarkEnd w:id="97"/>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Incremental Term Loan Amendment</w:t>
      </w:r>
      <w:r>
        <w:rPr>
          <w:rFonts w:ascii="Times New Roman" w:cs="Times New Roman" w:eastAsia="Times New Roman" w:hAnsi="Times New Roman"/>
          <w:sz w:val="17"/>
          <w:szCs w:val="17"/>
          <w:color w:val="auto"/>
        </w:rPr>
        <w:t>” has the meaning assigned to such term in Section 1.15.</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Incremental Term Loan Commitment</w:t>
      </w:r>
      <w:r>
        <w:rPr>
          <w:rFonts w:ascii="Times New Roman" w:cs="Times New Roman" w:eastAsia="Times New Roman" w:hAnsi="Times New Roman"/>
          <w:sz w:val="17"/>
          <w:szCs w:val="17"/>
          <w:color w:val="auto"/>
        </w:rPr>
        <w:t>” has the meaning assigned to such term in Section 1.15.</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Incremental Term Loan Facility</w:t>
      </w:r>
      <w:r>
        <w:rPr>
          <w:rFonts w:ascii="Times New Roman" w:cs="Times New Roman" w:eastAsia="Times New Roman" w:hAnsi="Times New Roman"/>
          <w:sz w:val="17"/>
          <w:szCs w:val="17"/>
          <w:color w:val="auto"/>
        </w:rPr>
        <w:t>” has the meaning assigned to such term in Section 1.15. Unless otherwise specified herein, each tranche of Incremental Term Loan Commitments or Incremental Term Loans shall constitute a separate Incremental Term Loan Facility.</w:t>
      </w:r>
    </w:p>
    <w:p>
      <w:pPr>
        <w:spacing w:after="0" w:line="142"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“Indebtedness for Borrowed Money” </w:t>
      </w:r>
      <w:r>
        <w:rPr>
          <w:rFonts w:ascii="Times New Roman" w:cs="Times New Roman" w:eastAsia="Times New Roman" w:hAnsi="Times New Roman"/>
          <w:sz w:val="17"/>
          <w:szCs w:val="17"/>
          <w:color w:val="auto"/>
        </w:rPr>
        <w:t>means for any Person (without duplication) (a) all indebtedness created, assumed or incurred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similar interest rate, currency or commodity hedging arrangement.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“Indemnified Taxes” </w:t>
      </w:r>
      <w:r>
        <w:rPr>
          <w:rFonts w:ascii="Times New Roman" w:cs="Times New Roman" w:eastAsia="Times New Roman" w:hAnsi="Times New Roman"/>
          <w:sz w:val="17"/>
          <w:szCs w:val="17"/>
          <w:color w:val="auto"/>
        </w:rPr>
        <w:t>means (a) all Taxes other than Excluded Taxes and (b) to the extent not otherwise described in (a), Other Taxes.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“Initial Properties” </w:t>
      </w:r>
      <w:r>
        <w:rPr>
          <w:rFonts w:ascii="Times New Roman" w:cs="Times New Roman" w:eastAsia="Times New Roman" w:hAnsi="Times New Roman"/>
          <w:sz w:val="17"/>
          <w:szCs w:val="17"/>
          <w:color w:val="auto"/>
        </w:rPr>
        <w:t>means collectively the Properties listed on Schedule 1.1 and</w:t>
      </w:r>
      <w:r>
        <w:rPr>
          <w:rFonts w:ascii="Times New Roman" w:cs="Times New Roman" w:eastAsia="Times New Roman" w:hAnsi="Times New Roman"/>
          <w:sz w:val="17"/>
          <w:szCs w:val="17"/>
          <w:i w:val="1"/>
          <w:iCs w:val="1"/>
          <w:color w:val="auto"/>
        </w:rPr>
        <w:t xml:space="preserve"> “Initial Property” </w:t>
      </w:r>
      <w:r>
        <w:rPr>
          <w:rFonts w:ascii="Times New Roman" w:cs="Times New Roman" w:eastAsia="Times New Roman" w:hAnsi="Times New Roman"/>
          <w:sz w:val="17"/>
          <w:szCs w:val="17"/>
          <w:color w:val="auto"/>
        </w:rPr>
        <w:t>means any of such Properties.</w:t>
      </w:r>
    </w:p>
    <w:p>
      <w:pPr>
        <w:spacing w:after="0" w:line="222"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“Interest Expense” </w:t>
      </w:r>
      <w:r>
        <w:rPr>
          <w:rFonts w:ascii="Times New Roman" w:cs="Times New Roman" w:eastAsia="Times New Roman" w:hAnsi="Times New Roman"/>
          <w:sz w:val="17"/>
          <w:szCs w:val="17"/>
          <w:color w:val="auto"/>
        </w:rPr>
        <w:t>means, with respect to a Person for any period of time, the interest expense whether paid, accrued or capitalized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deduction of consolidated interest income) of such Person for such period. Interest Expense shall exclude any amortization of</w:t>
      </w:r>
    </w:p>
    <w:p>
      <w:pPr>
        <w:spacing w:after="0" w:line="1" w:lineRule="exact"/>
        <w:rPr>
          <w:sz w:val="20"/>
          <w:szCs w:val="20"/>
          <w:color w:val="auto"/>
        </w:rPr>
      </w:pPr>
    </w:p>
    <w:p>
      <w:pPr>
        <w:ind w:firstLine="5"/>
        <w:spacing w:after="0" w:line="272" w:lineRule="auto"/>
        <w:tabs>
          <w:tab w:leader="none" w:pos="20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financing fees, including the write-off such fees relating to the early retirement of such related Indebtedness for Borrowed Money, and (ii) debt discounts (but only to the extent such discounts do not exceed 3.0% of the initial face principal amount of such debt).</w:t>
      </w:r>
    </w:p>
    <w:p>
      <w:pPr>
        <w:spacing w:after="0" w:line="163"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“Interest Payment Date” </w:t>
      </w:r>
      <w:r>
        <w:rPr>
          <w:rFonts w:ascii="Times New Roman" w:cs="Times New Roman" w:eastAsia="Times New Roman" w:hAnsi="Times New Roman"/>
          <w:sz w:val="17"/>
          <w:szCs w:val="17"/>
          <w:color w:val="auto"/>
        </w:rPr>
        <w:t>means (a) with respect to any Term SOFR Loan, the last day of each Interest Period with respect to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 SOFR Loan and on the maturity date and, if the applicable Interest Period is longer than (3) three months, on each day occurring every three (3) months after the commencement of such Interest Period, (b) with respect to any Daily Simple SOFR Loan, the last day of each calendar month, (c) with respect to any Base Rate Loan, the last day of every calendar quarter, and (d) with respect to any Term SOFR Loan, Daily Simple SOFR Loan, or Base Rate Loan, the maturity date.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98" w:name="page99"/>
    <w:bookmarkEnd w:id="98"/>
    <w:p>
      <w:pPr>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“Interest Period” </w:t>
      </w:r>
      <w:r>
        <w:rPr>
          <w:rFonts w:ascii="Times New Roman" w:cs="Times New Roman" w:eastAsia="Times New Roman" w:hAnsi="Times New Roman"/>
          <w:sz w:val="17"/>
          <w:szCs w:val="17"/>
          <w:color w:val="auto"/>
        </w:rPr>
        <w:t>means the period commencing on the date a Borrowing of Term SOFR Loans is advanced, continued, or created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by conversion and ending one (1), three (3), or six (6) months thereafter,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w:t>
      </w:r>
    </w:p>
    <w:p>
      <w:pPr>
        <w:spacing w:after="0" w:line="144" w:lineRule="exact"/>
        <w:rPr>
          <w:sz w:val="20"/>
          <w:szCs w:val="20"/>
          <w:color w:val="auto"/>
        </w:rPr>
      </w:pPr>
    </w:p>
    <w:p>
      <w:pPr>
        <w:ind w:left="2500" w:hanging="617"/>
        <w:spacing w:after="0"/>
        <w:tabs>
          <w:tab w:leader="none" w:pos="2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Interest Period shall extend beyond the Maturity Date;</w:t>
      </w:r>
    </w:p>
    <w:p>
      <w:pPr>
        <w:spacing w:after="0" w:line="221" w:lineRule="exact"/>
        <w:rPr>
          <w:rFonts w:ascii="Times New Roman" w:cs="Times New Roman" w:eastAsia="Times New Roman" w:hAnsi="Times New Roman"/>
          <w:sz w:val="17"/>
          <w:szCs w:val="17"/>
          <w:color w:val="auto"/>
        </w:rPr>
      </w:pPr>
    </w:p>
    <w:p>
      <w:pPr>
        <w:jc w:val="both"/>
        <w:ind w:left="640" w:firstLine="1243"/>
        <w:spacing w:after="0" w:line="268" w:lineRule="auto"/>
        <w:tabs>
          <w:tab w:leader="none" w:pos="251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whenever the last day of any Interest Period would otherwise be a day that is not a Business Day, the last day of such Interest Period shall be extended to the next succeeding Business Day,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extension would cause the last day of an Interest Period for a Borrowing of Term SOFR Loans to occur in the following calendar month, the last day of such Interest Period shall be the immediately preceding Business Day; and</w:t>
      </w:r>
    </w:p>
    <w:p>
      <w:pPr>
        <w:spacing w:after="0" w:line="169" w:lineRule="exact"/>
        <w:rPr>
          <w:rFonts w:ascii="Times New Roman" w:cs="Times New Roman" w:eastAsia="Times New Roman" w:hAnsi="Times New Roman"/>
          <w:sz w:val="17"/>
          <w:szCs w:val="17"/>
          <w:color w:val="auto"/>
        </w:rPr>
      </w:pPr>
    </w:p>
    <w:p>
      <w:pPr>
        <w:jc w:val="both"/>
        <w:ind w:left="640" w:firstLine="1243"/>
        <w:spacing w:after="0" w:line="265" w:lineRule="auto"/>
        <w:tabs>
          <w:tab w:leader="none" w:pos="251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determining an Interest Period for a Borrowing of Term SOFR Loans, a month means a period starting on one day in a calendar month and ending on the numerically corresponding day in the next calendar month; </w:t>
      </w: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if there is no numerically corresponding day in the month in which such an Interest Period is to end or if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Interest Period begins on the last Business Day of a calendar month, then such Interest Period shall end on the last Business Day of the calendar month in which such Interest Period is to end.</w:t>
      </w:r>
    </w:p>
    <w:p>
      <w:pPr>
        <w:spacing w:after="0" w:line="170"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“Land Assets” </w:t>
      </w:r>
      <w:r>
        <w:rPr>
          <w:rFonts w:ascii="Times New Roman" w:cs="Times New Roman" w:eastAsia="Times New Roman" w:hAnsi="Times New Roman"/>
          <w:sz w:val="17"/>
          <w:szCs w:val="17"/>
          <w:color w:val="auto"/>
        </w:rPr>
        <w:t>means any real property which is not an Asset Under Development and on which no significant improvements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been constructed;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real property that is </w:t>
      </w:r>
      <w:r>
        <w:rPr>
          <w:rFonts w:ascii="Times New Roman" w:cs="Times New Roman" w:eastAsia="Times New Roman" w:hAnsi="Times New Roman"/>
          <w:sz w:val="17"/>
          <w:szCs w:val="17"/>
          <w:u w:val="single" w:color="auto"/>
          <w:color w:val="4472C4"/>
        </w:rPr>
        <w:t>owned in fee by the Borrower or a Subsidiary thereof and is subject to a Ground Lease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4472C4"/>
        </w:rPr>
        <w:t>with Borrower or such Subsidiary as lessor, or that is</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adjacent to an Eligible Property but is undeveloped</w:t>
      </w: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shall not constitute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i w:val="1"/>
          <w:iCs w:val="1"/>
          <w:color w:val="000000"/>
        </w:rPr>
        <w:t>“Land Assets”.</w:t>
      </w:r>
    </w:p>
    <w:p>
      <w:pPr>
        <w:spacing w:after="0" w:line="160"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“Lease” </w:t>
      </w:r>
      <w:r>
        <w:rPr>
          <w:rFonts w:ascii="Times New Roman" w:cs="Times New Roman" w:eastAsia="Times New Roman" w:hAnsi="Times New Roman"/>
          <w:sz w:val="17"/>
          <w:szCs w:val="17"/>
          <w:color w:val="auto"/>
        </w:rPr>
        <w:t>means each existing or future lease, sublease, license, or other agreement under the terms of which any Person has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acquires any right to occupy or use any Property of the Borrower or any Subsidiary, or any part thereof, or interest therein, as the same may be amended, supplemented or modified.</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“Legal Requirement” </w:t>
      </w:r>
      <w:r>
        <w:rPr>
          <w:rFonts w:ascii="Times New Roman" w:cs="Times New Roman" w:eastAsia="Times New Roman" w:hAnsi="Times New Roman"/>
          <w:sz w:val="17"/>
          <w:szCs w:val="17"/>
          <w:color w:val="auto"/>
        </w:rPr>
        <w:t>means any treaty, convention, statute, law, regulation, ordinance, license, permit, governmental approval,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injunction, judgment, order, consent decree or other requirement of any governmental authority, whether federal, state, or local.</w:t>
      </w:r>
    </w:p>
    <w:p>
      <w:pPr>
        <w:spacing w:after="0" w:line="14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“Lenders” </w:t>
      </w:r>
      <w:r>
        <w:rPr>
          <w:rFonts w:ascii="Times New Roman" w:cs="Times New Roman" w:eastAsia="Times New Roman" w:hAnsi="Times New Roman"/>
          <w:sz w:val="17"/>
          <w:szCs w:val="17"/>
          <w:color w:val="auto"/>
        </w:rPr>
        <w:t>means and includes Truist Bank, N.A. and the other financial institutions from time to time party to this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each assignee Lender pursuant to Section 12.12 hereof and each Incremental Term Lender.</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“Lending Office” </w:t>
      </w:r>
      <w:r>
        <w:rPr>
          <w:rFonts w:ascii="Times New Roman" w:cs="Times New Roman" w:eastAsia="Times New Roman" w:hAnsi="Times New Roman"/>
          <w:sz w:val="17"/>
          <w:szCs w:val="17"/>
          <w:color w:val="auto"/>
        </w:rPr>
        <w:t>is defined in Section 10.4 hereof.</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“Lien” </w:t>
      </w:r>
      <w:r>
        <w:rPr>
          <w:rFonts w:ascii="Times New Roman" w:cs="Times New Roman" w:eastAsia="Times New Roman" w:hAnsi="Times New Roman"/>
          <w:sz w:val="17"/>
          <w:szCs w:val="17"/>
          <w:color w:val="auto"/>
        </w:rPr>
        <w:t>means any mortgage, lien, security interest, pledge, charge or encumbrance of any kind in respect of any Property,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interests of a vendor or lessor under any conditional sale, Capital Lease or other title retention arrangement.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99" w:name="page100"/>
    <w:bookmarkEnd w:id="99"/>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“Loan” </w:t>
      </w:r>
      <w:r>
        <w:rPr>
          <w:rFonts w:ascii="Times New Roman" w:cs="Times New Roman" w:eastAsia="Times New Roman" w:hAnsi="Times New Roman"/>
          <w:sz w:val="17"/>
          <w:szCs w:val="17"/>
          <w:color w:val="auto"/>
        </w:rPr>
        <w:t>means any Term Loan or Incremental Term Loan whether outstanding as a Base Rate Loan, Daily Simple SOFR Loan,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 SOFR Loan, each of which is a “type” of Loan hereunder.</w:t>
      </w:r>
    </w:p>
    <w:p>
      <w:pPr>
        <w:spacing w:after="0" w:line="142"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“Loan Documents” </w:t>
      </w:r>
      <w:r>
        <w:rPr>
          <w:rFonts w:ascii="Times New Roman" w:cs="Times New Roman" w:eastAsia="Times New Roman" w:hAnsi="Times New Roman"/>
          <w:sz w:val="17"/>
          <w:szCs w:val="17"/>
          <w:color w:val="auto"/>
        </w:rPr>
        <w:t>means this Agreement, the Notes (if any), the Guaranties, each Incremental Term Loan Amendment, and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instrument or document to be delivered hereunder or thereunder or otherwise in connection therewith. Deposit account agreements, cash management agreements and other documents executed in connection with Funds Transfer and Deposit Account Liability (other than deposit account control agreements, if any) are not Loan Documents hereunder.</w:t>
      </w:r>
    </w:p>
    <w:p>
      <w:pPr>
        <w:spacing w:after="0" w:line="167"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Material Acquisition</w:t>
      </w:r>
      <w:r>
        <w:rPr>
          <w:rFonts w:ascii="Times New Roman" w:cs="Times New Roman" w:eastAsia="Times New Roman" w:hAnsi="Times New Roman"/>
          <w:sz w:val="17"/>
          <w:szCs w:val="17"/>
          <w:u w:val="single" w:color="auto"/>
          <w:color w:val="4472C4"/>
        </w:rPr>
        <w:t>” means any single transaction or series of related transactions for the purpose of, or resulting, directly or indirectly, in, the acquisition (including, without limitation, a merger or consolidation or any other combination with another Person) of a Person or assets by the Parent (directly or indirectly) that has a gross purchase price equal to or greater than ten percent (10.0%) of the then current Total Asset Value (without giving effect to such transactions).</w:t>
      </w:r>
    </w:p>
    <w:p>
      <w:pPr>
        <w:spacing w:after="0" w:line="167"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“Material Adverse Effect” </w:t>
      </w:r>
      <w:r>
        <w:rPr>
          <w:rFonts w:ascii="Times New Roman" w:cs="Times New Roman" w:eastAsia="Times New Roman" w:hAnsi="Times New Roman"/>
          <w:sz w:val="17"/>
          <w:szCs w:val="17"/>
          <w:color w:val="auto"/>
        </w:rPr>
        <w:t>means (a) a material adverse change in, or material adverse effect upon, the operations,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Property, or financial condition of the Parent or of the Parent and its Subsidiaries taken as a whole, (b) a material impairment of the ability of the Borrower or any Guarantor to perform its obligations under any Loan Document or (c) a material adverse effect upon the legality, validity, binding effect or enforceability against the Borrower or any Guarantor of any Loan Document or the rights and remedies of the Administrative Agent and the Lenders thereunder.</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“Material Subsidiary” </w:t>
      </w:r>
      <w:r>
        <w:rPr>
          <w:rFonts w:ascii="Times New Roman" w:cs="Times New Roman" w:eastAsia="Times New Roman" w:hAnsi="Times New Roman"/>
          <w:sz w:val="17"/>
          <w:szCs w:val="17"/>
          <w:color w:val="auto"/>
        </w:rPr>
        <w:t>means, each Subsidiary that owns an Eligible Property included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 Asset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w:t>
      </w:r>
    </w:p>
    <w:p>
      <w:pPr>
        <w:spacing w:after="0" w:line="202"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Maturity Date</w:t>
      </w:r>
      <w:r>
        <w:rPr>
          <w:rFonts w:ascii="Times New Roman" w:cs="Times New Roman" w:eastAsia="Times New Roman" w:hAnsi="Times New Roman"/>
          <w:sz w:val="17"/>
          <w:szCs w:val="17"/>
          <w:color w:val="auto"/>
        </w:rPr>
        <w:t>” means (a) with respect to the Term Facility, a date that is sixty (60) months from the Closing Date, and (b) with respect to any Incremental Term Loan Facility, the maturity date for such Incremental Term Loan Facility as set forth in the applicable Incremental Term Loan Amendment; provided, however, that, in each case, if such date is not a Business Day, the Maturity Date shall be the next preceding Business Day.</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“Moody’s” </w:t>
      </w:r>
      <w:r>
        <w:rPr>
          <w:rFonts w:ascii="Times New Roman" w:cs="Times New Roman" w:eastAsia="Times New Roman" w:hAnsi="Times New Roman"/>
          <w:sz w:val="17"/>
          <w:szCs w:val="17"/>
          <w:color w:val="auto"/>
        </w:rPr>
        <w:t>means Moody’s Investors Service, Inc., or any successor thereof.</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“MSA” </w:t>
      </w:r>
      <w:r>
        <w:rPr>
          <w:rFonts w:ascii="Times New Roman" w:cs="Times New Roman" w:eastAsia="Times New Roman" w:hAnsi="Times New Roman"/>
          <w:sz w:val="17"/>
          <w:szCs w:val="17"/>
          <w:color w:val="auto"/>
        </w:rPr>
        <w:t>means any major metropolitan area of the United States of America that has a population size that is in the fifty (50) largest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metropolitan areas of the United States of America.</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“Note”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“Notes” </w:t>
      </w:r>
      <w:r>
        <w:rPr>
          <w:rFonts w:ascii="Times New Roman" w:cs="Times New Roman" w:eastAsia="Times New Roman" w:hAnsi="Times New Roman"/>
          <w:sz w:val="17"/>
          <w:szCs w:val="17"/>
          <w:color w:val="auto"/>
        </w:rPr>
        <w:t>are defined in Section 1.10(d) hereof.</w:t>
      </w:r>
    </w:p>
    <w:p>
      <w:pPr>
        <w:spacing w:after="0" w:line="222"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“Obligations” </w:t>
      </w:r>
      <w:r>
        <w:rPr>
          <w:rFonts w:ascii="Times New Roman" w:cs="Times New Roman" w:eastAsia="Times New Roman" w:hAnsi="Times New Roman"/>
          <w:sz w:val="17"/>
          <w:szCs w:val="17"/>
          <w:color w:val="auto"/>
        </w:rPr>
        <w:t>means all obligations of the Borrower to pay principal and interest on the Loans, all fees and charges payable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hereunder, all other payment obligations of the Borrower or any of its Subsidiaries arising under or in relation to any Loan Document and all Hedging Liability, 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00" w:name="page101"/>
    <w:bookmarkEnd w:id="100"/>
    <w:p>
      <w:pPr>
        <w:jc w:val="both"/>
        <w:ind w:firstLine="62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“Occupancy Rate” </w:t>
      </w:r>
      <w:r>
        <w:rPr>
          <w:rFonts w:ascii="Times New Roman" w:cs="Times New Roman" w:eastAsia="Times New Roman" w:hAnsi="Times New Roman"/>
          <w:sz w:val="17"/>
          <w:szCs w:val="17"/>
          <w:color w:val="auto"/>
        </w:rPr>
        <w:t>means for any Property, the percentage of the rentable square footage of such Property occupied by bona fide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Tenants of such Property or leased by such Tenants pursuant to bona fide Tenant Leases, in each case, which Tenants (a) are not more than 60 days in arrears </w:t>
      </w:r>
      <w:r>
        <w:rPr>
          <w:rFonts w:ascii="Times New Roman" w:cs="Times New Roman" w:eastAsia="Times New Roman" w:hAnsi="Times New Roman"/>
          <w:sz w:val="17"/>
          <w:szCs w:val="17"/>
          <w:u w:val="single" w:color="auto"/>
          <w:color w:val="4472C4"/>
        </w:rPr>
        <w:t>or “materially past due” (in accordance with customary commercial practice)</w:t>
      </w:r>
      <w:r>
        <w:rPr>
          <w:rFonts w:ascii="Times New Roman" w:cs="Times New Roman" w:eastAsia="Times New Roman" w:hAnsi="Times New Roman"/>
          <w:sz w:val="17"/>
          <w:szCs w:val="17"/>
          <w:color w:val="auto"/>
        </w:rPr>
        <w:t xml:space="preserve"> on base rental or other similar payments due under the Leases and (b) are not subject to a then continuing Bankruptcy Event, or if subject to a then continuing Bankruptcy Event (i) the trustee in bankruptcy of such tenant shall have accepted and assumed such Lease or the Tenant shall be in compliance with the rental payments described above in </w:t>
      </w:r>
      <w:r>
        <w:rPr>
          <w:rFonts w:ascii="Times New Roman" w:cs="Times New Roman" w:eastAsia="Times New Roman" w:hAnsi="Times New Roman"/>
          <w:sz w:val="17"/>
          <w:szCs w:val="17"/>
          <w:i w:val="1"/>
          <w:iCs w:val="1"/>
          <w:color w:val="auto"/>
        </w:rPr>
        <w:t>clause (a)</w:t>
      </w:r>
      <w:r>
        <w:rPr>
          <w:rFonts w:ascii="Times New Roman" w:cs="Times New Roman" w:eastAsia="Times New Roman" w:hAnsi="Times New Roman"/>
          <w:sz w:val="17"/>
          <w:szCs w:val="17"/>
          <w:color w:val="auto"/>
        </w:rPr>
        <w:t>; (ii) to the extent that the Tenant shall have filed and the bankruptcy court shall have approved the Tenant’s plan for reorganization, the Tenant shall be performing its obligations pursuant to the approved plan of reorganization; or (iii) is otherwise reasonably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-694055</wp:posOffset>
            </wp:positionV>
            <wp:extent cx="24568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OFAC</w:t>
      </w:r>
      <w:r>
        <w:rPr>
          <w:rFonts w:ascii="Times New Roman" w:cs="Times New Roman" w:eastAsia="Times New Roman" w:hAnsi="Times New Roman"/>
          <w:sz w:val="17"/>
          <w:szCs w:val="17"/>
          <w:color w:val="auto"/>
        </w:rPr>
        <w:t>” means the United States Department of Treasury Office of Foreign Assets Control.</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OFAC Event</w:t>
      </w:r>
      <w:r>
        <w:rPr>
          <w:rFonts w:ascii="Times New Roman" w:cs="Times New Roman" w:eastAsia="Times New Roman" w:hAnsi="Times New Roman"/>
          <w:sz w:val="17"/>
          <w:szCs w:val="17"/>
          <w:color w:val="auto"/>
        </w:rPr>
        <w:t>” means the event specified in Section 8.13(c) hereof.</w:t>
      </w:r>
    </w:p>
    <w:p>
      <w:pPr>
        <w:spacing w:after="0" w:line="222"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OFAC Sanctions Programs</w:t>
      </w:r>
      <w:r>
        <w:rPr>
          <w:rFonts w:ascii="Times New Roman" w:cs="Times New Roman" w:eastAsia="Times New Roman" w:hAnsi="Times New Roman"/>
          <w:sz w:val="17"/>
          <w:szCs w:val="17"/>
          <w:color w:val="auto"/>
        </w:rPr>
        <w:t>” means all laws, regulations, and Executive Orders administered by OFAC, including without limitation, the Bank Secrecy Act, anti-money laundering laws (including, without limitation, the Patriot Act), and all economic and trade sanction programs administered by OFAC, any and all similar United States federal laws, regulations or Executive Orders (whether administered by OFAC or otherwise), and any similar laws, regulators or orders adopted by any State within the United States.</w:t>
      </w:r>
    </w:p>
    <w:p>
      <w:pPr>
        <w:spacing w:after="0" w:line="167"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“Other Connection Taxes” </w:t>
      </w:r>
      <w:r>
        <w:rPr>
          <w:rFonts w:ascii="Times New Roman" w:cs="Times New Roman" w:eastAsia="Times New Roman" w:hAnsi="Times New Roman"/>
          <w:sz w:val="17"/>
          <w:szCs w:val="17"/>
          <w:color w:val="auto"/>
        </w:rPr>
        <w:t>means, with respect to any Recipient, Taxes imposed as a result of a present or former connection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7"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Other Taxes</w:t>
      </w:r>
      <w:r>
        <w:rPr>
          <w:rFonts w:ascii="Times New Roman" w:cs="Times New Roman" w:eastAsia="Times New Roman" w:hAnsi="Times New Roman"/>
          <w:sz w:val="17"/>
          <w:szCs w:val="17"/>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1.13 hereof).</w:t>
      </w:r>
    </w:p>
    <w:p>
      <w:pPr>
        <w:spacing w:after="0" w:line="167"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“Other Unsecured Indebtedness” </w:t>
      </w:r>
      <w:r>
        <w:rPr>
          <w:rFonts w:ascii="Times New Roman" w:cs="Times New Roman" w:eastAsia="Times New Roman" w:hAnsi="Times New Roman"/>
          <w:sz w:val="17"/>
          <w:szCs w:val="17"/>
          <w:color w:val="auto"/>
        </w:rPr>
        <w:t>means any Unsecured Indebtedness (not including the Obligations) that is</w:t>
      </w:r>
      <w:r>
        <w:rPr>
          <w:rFonts w:ascii="Times New Roman" w:cs="Times New Roman" w:eastAsia="Times New Roman" w:hAnsi="Times New Roman"/>
          <w:sz w:val="17"/>
          <w:szCs w:val="17"/>
          <w:i w:val="1"/>
          <w:iCs w:val="1"/>
          <w:color w:val="auto"/>
        </w:rPr>
        <w:t xml:space="preserve"> pari passu </w:t>
      </w:r>
      <w:r>
        <w:rPr>
          <w:rFonts w:ascii="Times New Roman" w:cs="Times New Roman" w:eastAsia="Times New Roman" w:hAnsi="Times New Roman"/>
          <w:sz w:val="17"/>
          <w:szCs w:val="17"/>
          <w:color w:val="auto"/>
        </w:rPr>
        <w:t>with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structurally senior to the Obligations and is recourse to the Borrower.</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“Parent” </w:t>
      </w:r>
      <w:r>
        <w:rPr>
          <w:rFonts w:ascii="Times New Roman" w:cs="Times New Roman" w:eastAsia="Times New Roman" w:hAnsi="Times New Roman"/>
          <w:sz w:val="17"/>
          <w:szCs w:val="17"/>
          <w:color w:val="auto"/>
        </w:rPr>
        <w:t>is defined in the introductory paragraph of this Agreement.</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“Patriot Act” </w:t>
      </w:r>
      <w:r>
        <w:rPr>
          <w:rFonts w:ascii="Times New Roman" w:cs="Times New Roman" w:eastAsia="Times New Roman" w:hAnsi="Times New Roman"/>
          <w:sz w:val="17"/>
          <w:szCs w:val="17"/>
          <w:color w:val="auto"/>
        </w:rPr>
        <w:t>means the Uniting and Strengthening America by Providing Appropriate Tools Required to Intercept and Obstruct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Terrorism Act of 2001, Pub. L. 107-56.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6292215" cy="16510"/>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01" w:name="page102"/>
    <w:bookmarkEnd w:id="101"/>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Payment Recipient</w:t>
      </w:r>
      <w:r>
        <w:rPr>
          <w:rFonts w:ascii="Times New Roman" w:cs="Times New Roman" w:eastAsia="Times New Roman" w:hAnsi="Times New Roman"/>
          <w:sz w:val="17"/>
          <w:szCs w:val="17"/>
          <w:color w:val="auto"/>
        </w:rPr>
        <w:t>” has the meaning assigned to such term in Section 12.30(a).</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“PBGC” </w:t>
      </w:r>
      <w:r>
        <w:rPr>
          <w:rFonts w:ascii="Times New Roman" w:cs="Times New Roman" w:eastAsia="Times New Roman" w:hAnsi="Times New Roman"/>
          <w:sz w:val="17"/>
          <w:szCs w:val="17"/>
          <w:color w:val="auto"/>
        </w:rPr>
        <w:t>means the Pension Benefit Guaranty Corporation or any Person succeeding to any or all of its functions under ERISA.</w:t>
      </w:r>
    </w:p>
    <w:p>
      <w:pPr>
        <w:spacing w:after="0" w:line="144"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i w:val="1"/>
          <w:iCs w:val="1"/>
          <w:color w:val="FF0000"/>
          <w:strike w:val="1"/>
        </w:rPr>
        <w:t xml:space="preserve">“Permitted Ground Lease Investments” </w:t>
      </w:r>
      <w:r>
        <w:rPr>
          <w:rFonts w:ascii="Times New Roman" w:cs="Times New Roman" w:eastAsia="Times New Roman" w:hAnsi="Times New Roman"/>
          <w:sz w:val="17"/>
          <w:szCs w:val="17"/>
          <w:color w:val="FF0000"/>
          <w:strike w:val="1"/>
        </w:rPr>
        <w:t>means a Ground Lease where the Borrower or a Wholly-owned Subsidiary is the lessor</w:t>
      </w:r>
      <w:r>
        <w:rPr>
          <w:rFonts w:ascii="Times New Roman" w:cs="Times New Roman" w:eastAsia="Times New Roman" w:hAnsi="Times New Roman"/>
          <w:sz w:val="17"/>
          <w:szCs w:val="17"/>
          <w:i w:val="1"/>
          <w:iCs w:val="1"/>
          <w:color w:val="FF0000"/>
          <w:strike w:val="1"/>
        </w:rPr>
        <w:t xml:space="preserve"> </w:t>
      </w:r>
      <w:r>
        <w:rPr>
          <w:rFonts w:ascii="Times New Roman" w:cs="Times New Roman" w:eastAsia="Times New Roman" w:hAnsi="Times New Roman"/>
          <w:sz w:val="17"/>
          <w:szCs w:val="17"/>
          <w:color w:val="FF0000"/>
          <w:strike w:val="1"/>
        </w:rPr>
        <w:t xml:space="preserve">under such Ground Lease and which is a Ground Lease (a) of unencumbered land located in a MSA that is owned in fee simple by the Borrower or a Wholly-owned Subsidiary and on which a fully completed building is located (all such improvements to be unencumbered), (b) which may not be transferred, mortgaged or assigned to an alternate lessee without the prior written consent of the lessor and (c) which may be transferred and assigned to an alternate lessor without the consent of the lessee; </w:t>
      </w:r>
      <w:r>
        <w:rPr>
          <w:rFonts w:ascii="Times New Roman" w:cs="Times New Roman" w:eastAsia="Times New Roman" w:hAnsi="Times New Roman"/>
          <w:sz w:val="17"/>
          <w:szCs w:val="17"/>
          <w:i w:val="1"/>
          <w:iCs w:val="1"/>
          <w:color w:val="FF0000"/>
          <w:strike w:val="1"/>
        </w:rPr>
        <w:t>provided, however,</w:t>
      </w:r>
      <w:r>
        <w:rPr>
          <w:rFonts w:ascii="Times New Roman" w:cs="Times New Roman" w:eastAsia="Times New Roman" w:hAnsi="Times New Roman"/>
          <w:sz w:val="17"/>
          <w:szCs w:val="17"/>
          <w:color w:val="FF0000"/>
          <w:strike w:val="1"/>
        </w:rPr>
        <w:t xml:space="preserve"> that any Ground Lease may be designated as a Permitted Ground Lease Investment upon written request by the Borrower to the Administrative Agent and written approval of such request by the Required Lenders. Ground Leases of Land Assets or on which an Asset under Development is located shall not be a Permitted Ground Lease Investment.</w:t>
      </w:r>
    </w:p>
    <w:p>
      <w:pPr>
        <w:spacing w:after="0" w:line="112" w:lineRule="exact"/>
        <w:rPr>
          <w:sz w:val="20"/>
          <w:szCs w:val="20"/>
          <w:color w:val="auto"/>
        </w:rPr>
      </w:pPr>
    </w:p>
    <w:p>
      <w:pPr>
        <w:jc w:val="both"/>
        <w:ind w:firstLine="626"/>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“Permitted Liens” </w:t>
      </w:r>
      <w:r>
        <w:rPr>
          <w:rFonts w:ascii="Times New Roman" w:cs="Times New Roman" w:eastAsia="Times New Roman" w:hAnsi="Times New Roman"/>
          <w:sz w:val="17"/>
          <w:szCs w:val="17"/>
          <w:color w:val="auto"/>
        </w:rPr>
        <w:t>means each of the following: (a) Liens for taxes, assessments and governmental charges or levies to the extent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paid under Section 8.3; (b) Liens 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 (d) 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contracts (other than for borrowed money), leases, statutory obligations, surety and appeal bonds, performance bonds and other obligations of like nature incurred in the ordinary course of business; (f) Liens in favor of the United States of America for amounts paid to the Borrower or any Subsidiary as progress payments under government contracts entered into by it; (g) attachment, 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 (h) the rights of tenants or lessees under leases or subleases not interfering with the ordinary conduct of business of such Person; (i) Liens in favor of the Administrative Agent for its benefit and the benefit of the Lenders;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Closing Date and set forth in Schedule 8.7; and</w:t>
      </w:r>
    </w:p>
    <w:p>
      <w:pPr>
        <w:spacing w:after="0" w:line="9" w:lineRule="exact"/>
        <w:rPr>
          <w:sz w:val="20"/>
          <w:szCs w:val="20"/>
          <w:color w:val="auto"/>
        </w:rPr>
      </w:pPr>
    </w:p>
    <w:p>
      <w:pPr>
        <w:jc w:val="both"/>
        <w:ind w:firstLine="5"/>
        <w:spacing w:after="0" w:line="264" w:lineRule="auto"/>
        <w:tabs>
          <w:tab w:leader="none" w:pos="211"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Properties that are not </w:t>
      </w:r>
      <w:r>
        <w:rPr>
          <w:rFonts w:ascii="Times New Roman" w:cs="Times New Roman" w:eastAsia="Times New Roman" w:hAnsi="Times New Roman"/>
          <w:sz w:val="17"/>
          <w:szCs w:val="17"/>
          <w:color w:val="FF0000"/>
          <w:strike w:val="1"/>
        </w:rPr>
        <w:t>Eligible Properties and whose Borrowing Base Values are not included in the calculation of the Borrowing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Base</w:t>
      </w:r>
      <w:r>
        <w:rPr>
          <w:rFonts w:ascii="Times New Roman" w:cs="Times New Roman" w:eastAsia="Times New Roman" w:hAnsi="Times New Roman"/>
          <w:sz w:val="17"/>
          <w:szCs w:val="17"/>
          <w:u w:val="single" w:color="auto"/>
          <w:color w:val="4472C4"/>
          <w:strike w:val="1"/>
        </w:rPr>
        <w:t>Unencumbered Assets. For the avoidance of doubt, no Ground Lease with the Borrower or a Subsidiary thereof as lessor may be made</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u w:val="single" w:color="auto"/>
          <w:color w:val="4472C4"/>
          <w:strike w:val="1"/>
        </w:rPr>
        <w:t>subordinate to any Liens or Indebtedness of any Person without the prior written consent of the Administrative Agent.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7"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02" w:name="page103"/>
    <w:bookmarkEnd w:id="102"/>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“Person” </w:t>
      </w:r>
      <w:r>
        <w:rPr>
          <w:rFonts w:ascii="Times New Roman" w:cs="Times New Roman" w:eastAsia="Times New Roman" w:hAnsi="Times New Roman"/>
          <w:sz w:val="17"/>
          <w:szCs w:val="17"/>
          <w:color w:val="auto"/>
        </w:rPr>
        <w:t>means an individual, partnership, corporation, limited liability company, association, trust, unincorporated organization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other entity or organization, including a government or agency or political subdivision thereof.</w:t>
      </w:r>
    </w:p>
    <w:p>
      <w:pPr>
        <w:spacing w:after="0" w:line="142"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“Plan” </w:t>
      </w:r>
      <w:r>
        <w:rPr>
          <w:rFonts w:ascii="Times New Roman" w:cs="Times New Roman" w:eastAsia="Times New Roman" w:hAnsi="Times New Roman"/>
          <w:sz w:val="17"/>
          <w:szCs w:val="17"/>
          <w:color w:val="auto"/>
        </w:rPr>
        <w:t>means any employee pension benefit plan covered by Title IV of ERISA or subject to the minimum funding standards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168" w:lineRule="exact"/>
        <w:rPr>
          <w:sz w:val="20"/>
          <w:szCs w:val="20"/>
          <w:color w:val="auto"/>
        </w:rPr>
      </w:pPr>
    </w:p>
    <w:p>
      <w:pPr>
        <w:jc w:val="both"/>
        <w:ind w:firstLine="62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“Property”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“Properties” </w:t>
      </w:r>
      <w:r>
        <w:rPr>
          <w:rFonts w:ascii="Times New Roman" w:cs="Times New Roman" w:eastAsia="Times New Roman" w:hAnsi="Times New Roman"/>
          <w:sz w:val="17"/>
          <w:szCs w:val="17"/>
          <w:color w:val="auto"/>
        </w:rPr>
        <w:t>means, as to any Person, all types of real, personal, tangible, intangible or mixed property,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property encumbered by </w:t>
      </w:r>
      <w:r>
        <w:rPr>
          <w:rFonts w:ascii="Times New Roman" w:cs="Times New Roman" w:eastAsia="Times New Roman" w:hAnsi="Times New Roman"/>
          <w:sz w:val="17"/>
          <w:szCs w:val="17"/>
          <w:u w:val="single" w:color="auto"/>
          <w:color w:val="4472C4"/>
        </w:rPr>
        <w:t>Acceptable Leasehold Interests or</w:t>
      </w:r>
      <w:r>
        <w:rPr>
          <w:rFonts w:ascii="Times New Roman" w:cs="Times New Roman" w:eastAsia="Times New Roman" w:hAnsi="Times New Roman"/>
          <w:sz w:val="17"/>
          <w:szCs w:val="17"/>
          <w:color w:val="auto"/>
        </w:rPr>
        <w:t xml:space="preserve"> Ground Leases, owned by such Person whether or not included in the most recent balance sheet of such Person and its subsidiaries under GAAP, including any Eligible Property owned by the Borrower or any of its Subsidiaries.</w:t>
      </w:r>
    </w:p>
    <w:p>
      <w:pPr>
        <w:spacing w:after="0" w:line="376"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“Property Expenses” </w:t>
      </w:r>
      <w:r>
        <w:rPr>
          <w:rFonts w:ascii="Times New Roman" w:cs="Times New Roman" w:eastAsia="Times New Roman" w:hAnsi="Times New Roman"/>
          <w:sz w:val="17"/>
          <w:szCs w:val="17"/>
          <w:color w:val="auto"/>
        </w:rPr>
        <w:t>means the costs (including, but not limited to, payroll, taxes, assessments, insurance, utilities, landscaping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other similar charges) of operating and maintaining any Property, which are the responsibility of the Borrower or the applicable Guarantor that are not paid directly by the tenant, including without limitation, </w:t>
      </w:r>
      <w:r>
        <w:rPr>
          <w:rFonts w:ascii="Times New Roman" w:cs="Times New Roman" w:eastAsia="Times New Roman" w:hAnsi="Times New Roman"/>
          <w:sz w:val="17"/>
          <w:szCs w:val="17"/>
          <w:u w:val="single" w:color="auto"/>
          <w:color w:val="4472C4"/>
        </w:rPr>
        <w:t>(1) rent payable under Ground Leases, (2)</w:t>
      </w:r>
      <w:r>
        <w:rPr>
          <w:rFonts w:ascii="Times New Roman" w:cs="Times New Roman" w:eastAsia="Times New Roman" w:hAnsi="Times New Roman"/>
          <w:sz w:val="17"/>
          <w:szCs w:val="17"/>
          <w:color w:val="auto"/>
        </w:rPr>
        <w:t xml:space="preserve"> the Annual Capital Expenditure Reserve</w:t>
      </w: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4472C4"/>
        </w:rPr>
        <w:t>(3)</w:t>
      </w:r>
      <w:r>
        <w:rPr>
          <w:rFonts w:ascii="Times New Roman" w:cs="Times New Roman" w:eastAsia="Times New Roman" w:hAnsi="Times New Roman"/>
          <w:sz w:val="17"/>
          <w:szCs w:val="17"/>
          <w:color w:val="auto"/>
        </w:rPr>
        <w:t xml:space="preserve"> the greater of (a) </w:t>
      </w:r>
      <w:r>
        <w:rPr>
          <w:rFonts w:ascii="Times New Roman" w:cs="Times New Roman" w:eastAsia="Times New Roman" w:hAnsi="Times New Roman"/>
          <w:sz w:val="17"/>
          <w:szCs w:val="17"/>
          <w:color w:val="FF0000"/>
          <w:strike w:val="1"/>
        </w:rPr>
        <w:t>3</w:t>
      </w:r>
      <w:r>
        <w:rPr>
          <w:rFonts w:ascii="Times New Roman" w:cs="Times New Roman" w:eastAsia="Times New Roman" w:hAnsi="Times New Roman"/>
          <w:sz w:val="17"/>
          <w:szCs w:val="17"/>
          <w:u w:val="single" w:color="auto"/>
          <w:color w:val="4472C4"/>
        </w:rPr>
        <w:t>(i) 1</w:t>
      </w:r>
      <w:r>
        <w:rPr>
          <w:rFonts w:ascii="Times New Roman" w:cs="Times New Roman" w:eastAsia="Times New Roman" w:hAnsi="Times New Roman"/>
          <w:sz w:val="17"/>
          <w:szCs w:val="17"/>
          <w:color w:val="auto"/>
        </w:rPr>
        <w:t xml:space="preserve">% of rents </w:t>
      </w:r>
      <w:r>
        <w:rPr>
          <w:rFonts w:ascii="Times New Roman" w:cs="Times New Roman" w:eastAsia="Times New Roman" w:hAnsi="Times New Roman"/>
          <w:sz w:val="17"/>
          <w:szCs w:val="17"/>
          <w:u w:val="single" w:color="auto"/>
          <w:color w:val="4472C4"/>
        </w:rPr>
        <w:t>for any retail net lease asset and (ii) 3% of rents for all other Properties</w:t>
      </w:r>
      <w:r>
        <w:rPr>
          <w:rFonts w:ascii="Times New Roman" w:cs="Times New Roman" w:eastAsia="Times New Roman" w:hAnsi="Times New Roman"/>
          <w:sz w:val="17"/>
          <w:szCs w:val="17"/>
          <w:color w:val="auto"/>
        </w:rPr>
        <w:t xml:space="preserve"> and (b) actual management fees paid in cash, but excluding depreciation, amortization and interest costs.</w:t>
      </w:r>
    </w:p>
    <w:p>
      <w:pPr>
        <w:spacing w:after="0" w:line="168"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“Property Income” </w:t>
      </w:r>
      <w:r>
        <w:rPr>
          <w:rFonts w:ascii="Times New Roman" w:cs="Times New Roman" w:eastAsia="Times New Roman" w:hAnsi="Times New Roman"/>
          <w:sz w:val="17"/>
          <w:szCs w:val="17"/>
          <w:color w:val="auto"/>
        </w:rPr>
        <w:t>means cash rents (excluding non-cash straight-line rent) and other cash revenues received by the Borrower 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Guarantor in the ordinary course for any Property, but excluding security deposits and prepaid rent except to the extent applied in satisfaction of tenants’ obligations for rent.</w:t>
      </w:r>
    </w:p>
    <w:p>
      <w:pPr>
        <w:spacing w:after="0" w:line="160" w:lineRule="exact"/>
        <w:rPr>
          <w:sz w:val="20"/>
          <w:szCs w:val="20"/>
          <w:color w:val="auto"/>
        </w:rPr>
      </w:pPr>
    </w:p>
    <w:p>
      <w:pPr>
        <w:jc w:val="both"/>
        <w:ind w:firstLine="62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“Property Net Operating Income”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“Property NOI” </w:t>
      </w:r>
      <w:r>
        <w:rPr>
          <w:rFonts w:ascii="Times New Roman" w:cs="Times New Roman" w:eastAsia="Times New Roman" w:hAnsi="Times New Roman"/>
          <w:sz w:val="17"/>
          <w:szCs w:val="17"/>
          <w:color w:val="auto"/>
        </w:rPr>
        <w:t>means, with respect to any Property for any Rolling Period (without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duplication), the aggregate amount of (i) Property Income for such period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(ii) Property Expenses for such period. Pro forma adjustments shall be made for any Property acquired or sold during any period as if the acquisition or disposition occurred on the first day of the applicable period.</w:t>
      </w:r>
    </w:p>
    <w:p>
      <w:pPr>
        <w:spacing w:after="0" w:line="376"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“Property Owner” </w:t>
      </w:r>
      <w:r>
        <w:rPr>
          <w:rFonts w:ascii="Times New Roman" w:cs="Times New Roman" w:eastAsia="Times New Roman" w:hAnsi="Times New Roman"/>
          <w:sz w:val="17"/>
          <w:szCs w:val="17"/>
          <w:color w:val="auto"/>
        </w:rPr>
        <w:t>means the Person who owns fee title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4472C4"/>
        </w:rPr>
        <w:t>or leasehold interest pursuant to a Ground Lease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and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Property.</w:t>
      </w:r>
    </w:p>
    <w:p>
      <w:pPr>
        <w:spacing w:after="0" w:line="200" w:lineRule="exact"/>
        <w:rPr>
          <w:sz w:val="20"/>
          <w:szCs w:val="20"/>
          <w:color w:val="auto"/>
        </w:rPr>
      </w:pPr>
    </w:p>
    <w:p>
      <w:pPr>
        <w:spacing w:after="0" w:line="208"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“Qualifying Counterparty” </w:t>
      </w:r>
      <w:r>
        <w:rPr>
          <w:rFonts w:ascii="Times New Roman" w:cs="Times New Roman" w:eastAsia="Times New Roman" w:hAnsi="Times New Roman"/>
          <w:sz w:val="17"/>
          <w:szCs w:val="17"/>
          <w:color w:val="auto"/>
        </w:rPr>
        <w:t>means, with respect to any Hedging Liability, any party that was a Lender or an Affiliate of a Lender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this Agreement at the time the hedging arrangement giving rise to such Hedging Liability was entered into.</w:t>
      </w:r>
    </w:p>
    <w:p>
      <w:pPr>
        <w:spacing w:after="0" w:line="14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Qualified ECP Guarantor</w:t>
      </w:r>
      <w:r>
        <w:rPr>
          <w:rFonts w:ascii="Times New Roman" w:cs="Times New Roman" w:eastAsia="Times New Roman" w:hAnsi="Times New Roman"/>
          <w:sz w:val="17"/>
          <w:szCs w:val="17"/>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03" w:name="page104"/>
    <w:bookmarkEnd w:id="103"/>
    <w:p>
      <w:pPr>
        <w:jc w:val="both"/>
        <w:spacing w:after="0" w:line="294" w:lineRule="auto"/>
        <w:rPr>
          <w:sz w:val="20"/>
          <w:szCs w:val="20"/>
          <w:color w:val="auto"/>
        </w:rPr>
      </w:pPr>
      <w:r>
        <w:rPr>
          <w:rFonts w:ascii="Times New Roman" w:cs="Times New Roman" w:eastAsia="Times New Roman" w:hAnsi="Times New Roman"/>
          <w:sz w:val="17"/>
          <w:szCs w:val="17"/>
          <w:color w:val="auto"/>
        </w:rPr>
        <w:t>regulations promulgated thereunder and can cause another person to qualify as an “eligible contract participant” at such time by entering into a keepwell under Section 1a(18)(A)(v)(II) of the Commodity Exchange Act.</w:t>
      </w:r>
    </w:p>
    <w:p>
      <w:pPr>
        <w:spacing w:after="0" w:line="145"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“Rating” </w:t>
      </w:r>
      <w:r>
        <w:rPr>
          <w:rFonts w:ascii="Times New Roman" w:cs="Times New Roman" w:eastAsia="Times New Roman" w:hAnsi="Times New Roman"/>
          <w:sz w:val="17"/>
          <w:szCs w:val="17"/>
          <w:color w:val="auto"/>
        </w:rPr>
        <w:t>means the debt rating provided by S&amp;P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FF0000"/>
        </w:rPr>
        <w:t>or</w:t>
      </w: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Moody’s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4472C4"/>
        </w:rPr>
        <w:t>or Fitch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the unsecured senior long-term non-credit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enhanced debt of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-235585</wp:posOffset>
            </wp:positionV>
            <wp:extent cx="1276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-186055</wp:posOffset>
            </wp:positionV>
            <wp:extent cx="390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-169545</wp:posOffset>
            </wp:positionV>
            <wp:extent cx="391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“RCRA” </w:t>
      </w:r>
      <w:r>
        <w:rPr>
          <w:rFonts w:ascii="Times New Roman" w:cs="Times New Roman" w:eastAsia="Times New Roman" w:hAnsi="Times New Roman"/>
          <w:sz w:val="17"/>
          <w:szCs w:val="17"/>
          <w:color w:val="auto"/>
        </w:rPr>
        <w:t>means the Solid Waste Disposal Act, as amended by the Resource Conservation and Recovery Act of 1976 and Hazardous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Solid Waste Amendments of 1984, 42 U.S.C.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6901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and any future amendments.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“Recipient</w:t>
      </w:r>
      <w:r>
        <w:rPr>
          <w:rFonts w:ascii="Times New Roman" w:cs="Times New Roman" w:eastAsia="Times New Roman" w:hAnsi="Times New Roman"/>
          <w:sz w:val="17"/>
          <w:szCs w:val="17"/>
          <w:color w:val="auto"/>
        </w:rPr>
        <w:t>” means (a) the Administrative Agent, and (b) any Lender, as applicable.</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“REIT” </w:t>
      </w:r>
      <w:r>
        <w:rPr>
          <w:rFonts w:ascii="Times New Roman" w:cs="Times New Roman" w:eastAsia="Times New Roman" w:hAnsi="Times New Roman"/>
          <w:sz w:val="17"/>
          <w:szCs w:val="17"/>
          <w:color w:val="auto"/>
        </w:rPr>
        <w:t>means a “real estate investment trust” in accordance with Section 856 et. seq. of the Code.</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“Related Parties” </w:t>
      </w:r>
      <w:r>
        <w:rPr>
          <w:rFonts w:ascii="Times New Roman" w:cs="Times New Roman" w:eastAsia="Times New Roman" w:hAnsi="Times New Roman"/>
          <w:sz w:val="17"/>
          <w:szCs w:val="17"/>
          <w:color w:val="auto"/>
        </w:rPr>
        <w:t>means, with respect to any Person, such Person’s Affiliates and the partners, directors, officers, employees, agents,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trustees, administrators, managers, advisors and representatives of such Person and of such Person’s Affiliates.</w:t>
      </w:r>
    </w:p>
    <w:p>
      <w:pPr>
        <w:spacing w:after="0" w:line="14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“Release” </w:t>
      </w:r>
      <w:r>
        <w:rPr>
          <w:rFonts w:ascii="Times New Roman" w:cs="Times New Roman" w:eastAsia="Times New Roman" w:hAnsi="Times New Roman"/>
          <w:sz w:val="17"/>
          <w:szCs w:val="17"/>
          <w:color w:val="auto"/>
        </w:rPr>
        <w:t>means any spilling, leaking, pumping, pouring, emitting, emptying, discharging, injecting, escaping, leaching, migration,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dumping, or disposing into the indoor or outdoor environment, including, without limitation, the abandonment or discarding of barrels, drums, containers, tanks or other receptacles containing or previously containing any Hazardous Material.</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Relevant Governmental Body</w:t>
      </w:r>
      <w:r>
        <w:rPr>
          <w:rFonts w:ascii="Times New Roman" w:cs="Times New Roman" w:eastAsia="Times New Roman" w:hAnsi="Times New Roman"/>
          <w:sz w:val="17"/>
          <w:szCs w:val="17"/>
          <w:color w:val="auto"/>
        </w:rPr>
        <w:t>” means the Federal Reserve Board or the Federal Reserve Bank of New York, or a committee officially endorsed or convened by the Federal Reserve Board or the Federal Reserve Bank of New York, or any successor thereto.</w:t>
      </w:r>
    </w:p>
    <w:p>
      <w:pPr>
        <w:spacing w:after="0" w:line="14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Required Lenders”</w:t>
      </w:r>
      <w:r>
        <w:rPr>
          <w:rFonts w:ascii="Times New Roman" w:cs="Times New Roman" w:eastAsia="Times New Roman" w:hAnsi="Times New Roman"/>
          <w:sz w:val="17"/>
          <w:szCs w:val="17"/>
          <w:color w:val="auto"/>
        </w:rPr>
        <w:t xml:space="preserve"> means, as of the date of determination thereof, (i) at any time in which there are only two Lenders, both Lenders and (ii) at any other time Lenders whose outstanding Loans constitute 66 2/3% or more of the sum of the Total Outstandings. The outstanding Loans of any Defaulting Lender shall be disregarded in determining Required Lenders at any time.</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Resolution Authority</w:t>
      </w:r>
      <w:r>
        <w:rPr>
          <w:rFonts w:ascii="Times New Roman" w:cs="Times New Roman" w:eastAsia="Times New Roman" w:hAnsi="Times New Roman"/>
          <w:sz w:val="17"/>
          <w:szCs w:val="17"/>
          <w:color w:val="auto"/>
        </w:rPr>
        <w:t>” means an EEA Resolution Authority or, with respect to any UK Financial Institution, a UK Resolution Authority.</w:t>
      </w:r>
    </w:p>
    <w:p>
      <w:pPr>
        <w:spacing w:after="0" w:line="14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“Responsible Officer” </w:t>
      </w:r>
      <w:r>
        <w:rPr>
          <w:rFonts w:ascii="Times New Roman" w:cs="Times New Roman" w:eastAsia="Times New Roman" w:hAnsi="Times New Roman"/>
          <w:sz w:val="17"/>
          <w:szCs w:val="17"/>
          <w:color w:val="auto"/>
        </w:rPr>
        <w:t>means, with respect to the Parent or any of its Subsidiaries, the chief executive officer, the chief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chief legal officer or the chief operating officer of the Parent or such Subsidiary.</w:t>
      </w:r>
    </w:p>
    <w:p>
      <w:pPr>
        <w:spacing w:after="0" w:line="14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“Restricted Payments” </w:t>
      </w:r>
      <w:r>
        <w:rPr>
          <w:rFonts w:ascii="Times New Roman" w:cs="Times New Roman" w:eastAsia="Times New Roman" w:hAnsi="Times New Roman"/>
          <w:sz w:val="17"/>
          <w:szCs w:val="17"/>
          <w:color w:val="auto"/>
        </w:rPr>
        <w:t>means dividends on or other distributions in respect of any class or series of Stock, Stock Equivalents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Equity Interests of Parent, the Borrower or its Subsidiaries or the direct or indirect purchase, redemption, acquisition, or retirement of any of the Parent’s, the Borrower’s or a Subsidiaries’ Stock, Stock Equivalents or other Equity Interest.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04" w:name="page105"/>
    <w:bookmarkEnd w:id="104"/>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“Rolling Period” </w:t>
      </w:r>
      <w:r>
        <w:rPr>
          <w:rFonts w:ascii="Times New Roman" w:cs="Times New Roman" w:eastAsia="Times New Roman" w:hAnsi="Times New Roman"/>
          <w:sz w:val="17"/>
          <w:szCs w:val="17"/>
          <w:color w:val="auto"/>
        </w:rPr>
        <w:t>means, as of any date, the four Fiscal Quarters ending on or immediately preceding such date.</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“S&amp;P” </w:t>
      </w:r>
      <w:r>
        <w:rPr>
          <w:rFonts w:ascii="Times New Roman" w:cs="Times New Roman" w:eastAsia="Times New Roman" w:hAnsi="Times New Roman"/>
          <w:sz w:val="17"/>
          <w:szCs w:val="17"/>
          <w:color w:val="auto"/>
        </w:rPr>
        <w:t>means S&amp;P Global, Inc. or any successor thereof.</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Second Amendment Effective Date</w:t>
      </w:r>
      <w:r>
        <w:rPr>
          <w:rFonts w:ascii="Times New Roman" w:cs="Times New Roman" w:eastAsia="Times New Roman" w:hAnsi="Times New Roman"/>
          <w:sz w:val="17"/>
          <w:szCs w:val="17"/>
          <w:u w:val="single" w:color="auto"/>
          <w:color w:val="4472C4"/>
        </w:rPr>
        <w:t>” means September 30, 2022.</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“Secured Indebtedness” </w:t>
      </w:r>
      <w:r>
        <w:rPr>
          <w:rFonts w:ascii="Times New Roman" w:cs="Times New Roman" w:eastAsia="Times New Roman" w:hAnsi="Times New Roman"/>
          <w:sz w:val="17"/>
          <w:szCs w:val="17"/>
          <w:color w:val="auto"/>
        </w:rPr>
        <w:t>means all Indebtedness for Borrowed Money of the Parent and its Subsidiaries, that is secured by a Lien,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than the Obligations.</w:t>
      </w:r>
    </w:p>
    <w:p>
      <w:pPr>
        <w:spacing w:after="0" w:line="14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“Secured Recourse Indebtedness” </w:t>
      </w:r>
      <w:r>
        <w:rPr>
          <w:rFonts w:ascii="Times New Roman" w:cs="Times New Roman" w:eastAsia="Times New Roman" w:hAnsi="Times New Roman"/>
          <w:sz w:val="17"/>
          <w:szCs w:val="17"/>
          <w:color w:val="auto"/>
        </w:rPr>
        <w:t>means Secured Indebtedness for which recourse for payment (except for customary exceptions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fraud, misapplication of funds, environmental indemnities and other similar exceptions to recourse liability) is to Parent, Borrower or any Guarantor, other than the Obligations.</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FF0000"/>
          <w:strike w:val="1"/>
        </w:rPr>
        <w:t xml:space="preserve">“Significant Lease” </w:t>
      </w:r>
      <w:r>
        <w:rPr>
          <w:rFonts w:ascii="Times New Roman" w:cs="Times New Roman" w:eastAsia="Times New Roman" w:hAnsi="Times New Roman"/>
          <w:sz w:val="17"/>
          <w:szCs w:val="17"/>
          <w:color w:val="FF0000"/>
          <w:strike w:val="1"/>
        </w:rPr>
        <w:t>means, as to any particular Property, each Lease which constitutes 20% or more of all base rent revenue of such</w:t>
      </w:r>
      <w:r>
        <w:rPr>
          <w:rFonts w:ascii="Times New Roman" w:cs="Times New Roman" w:eastAsia="Times New Roman" w:hAnsi="Times New Roman"/>
          <w:sz w:val="17"/>
          <w:szCs w:val="17"/>
          <w:i w:val="1"/>
          <w:iCs w:val="1"/>
          <w:color w:val="FF0000"/>
          <w:strike w:val="1"/>
        </w:rPr>
        <w:t xml:space="preserve"> </w:t>
      </w:r>
      <w:r>
        <w:rPr>
          <w:rFonts w:ascii="Times New Roman" w:cs="Times New Roman" w:eastAsia="Times New Roman" w:hAnsi="Times New Roman"/>
          <w:sz w:val="17"/>
          <w:szCs w:val="17"/>
          <w:color w:val="FF0000"/>
          <w:strike w:val="1"/>
        </w:rPr>
        <w:t>Property.</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SOFR</w:t>
      </w:r>
      <w:r>
        <w:rPr>
          <w:rFonts w:ascii="Times New Roman" w:cs="Times New Roman" w:eastAsia="Times New Roman" w:hAnsi="Times New Roman"/>
          <w:sz w:val="17"/>
          <w:szCs w:val="17"/>
          <w:color w:val="auto"/>
        </w:rPr>
        <w:t>” means a rate equal to the secured overnight financing rate as administered by the SOFR Administrator.</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SOFR Administrator</w:t>
      </w:r>
      <w:r>
        <w:rPr>
          <w:rFonts w:ascii="Times New Roman" w:cs="Times New Roman" w:eastAsia="Times New Roman" w:hAnsi="Times New Roman"/>
          <w:sz w:val="17"/>
          <w:szCs w:val="17"/>
          <w:color w:val="auto"/>
        </w:rPr>
        <w:t>” means the Federal Reserve Bank of New York (or a successor administrator of the secured overnight financing rate).</w:t>
      </w:r>
    </w:p>
    <w:p>
      <w:pPr>
        <w:spacing w:after="0" w:line="14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SOFR Administrator’s Website</w:t>
      </w:r>
      <w:r>
        <w:rPr>
          <w:rFonts w:ascii="Times New Roman" w:cs="Times New Roman" w:eastAsia="Times New Roman" w:hAnsi="Times New Roman"/>
          <w:sz w:val="17"/>
          <w:szCs w:val="17"/>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60"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SOFR Business Day</w:t>
      </w:r>
      <w:r>
        <w:rPr>
          <w:rFonts w:ascii="Times New Roman" w:cs="Times New Roman" w:eastAsia="Times New Roman" w:hAnsi="Times New Roman"/>
          <w:sz w:val="17"/>
          <w:szCs w:val="17"/>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SOFR Determination Day</w:t>
      </w:r>
      <w:r>
        <w:rPr>
          <w:rFonts w:ascii="Times New Roman" w:cs="Times New Roman" w:eastAsia="Times New Roman" w:hAnsi="Times New Roman"/>
          <w:sz w:val="17"/>
          <w:szCs w:val="17"/>
          <w:color w:val="auto"/>
        </w:rPr>
        <w:t>” has the meaning specified in the definition of “Daily Simple SOFR”.</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SOFR Index Adjustment</w:t>
      </w:r>
      <w:r>
        <w:rPr>
          <w:rFonts w:ascii="Times New Roman" w:cs="Times New Roman" w:eastAsia="Times New Roman" w:hAnsi="Times New Roman"/>
          <w:sz w:val="17"/>
          <w:szCs w:val="17"/>
          <w:color w:val="auto"/>
        </w:rPr>
        <w:t>” means for any calculation with respect to a Base Rate Loan, a Daily Simple SOFR Loan or a Term SOFR Loan, a percentage per annum as set forth below for the applicable Type of such Loan: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Daily Simple SOFR Loans</w:t>
      </w:r>
      <w:r>
        <w:rPr>
          <w:rFonts w:ascii="Times New Roman" w:cs="Times New Roman" w:eastAsia="Times New Roman" w:hAnsi="Times New Roman"/>
          <w:sz w:val="17"/>
          <w:szCs w:val="17"/>
          <w:color w:val="auto"/>
        </w:rPr>
        <w:t>: 0.10%</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Term SOFR Loans </w:t>
      </w:r>
      <w:r>
        <w:rPr>
          <w:rFonts w:ascii="Times New Roman" w:cs="Times New Roman" w:eastAsia="Times New Roman" w:hAnsi="Times New Roman"/>
          <w:sz w:val="17"/>
          <w:szCs w:val="17"/>
          <w:color w:val="auto"/>
        </w:rPr>
        <w:t>(for all Interest Periods): 0.10%.</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SOFR Loan</w:t>
      </w:r>
      <w:r>
        <w:rPr>
          <w:rFonts w:ascii="Times New Roman" w:cs="Times New Roman" w:eastAsia="Times New Roman" w:hAnsi="Times New Roman"/>
          <w:sz w:val="17"/>
          <w:szCs w:val="17"/>
          <w:color w:val="auto"/>
        </w:rPr>
        <w:t>” means each Daily Simple SOFR Loan and each Term SOFR Loan.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SOFR Rate Day</w:t>
      </w:r>
      <w:r>
        <w:rPr>
          <w:rFonts w:ascii="Times New Roman" w:cs="Times New Roman" w:eastAsia="Times New Roman" w:hAnsi="Times New Roman"/>
          <w:sz w:val="17"/>
          <w:szCs w:val="17"/>
          <w:color w:val="auto"/>
        </w:rPr>
        <w:t>” has the meaning specified in the definition of “Daily Simple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05" w:name="page106"/>
    <w:bookmarkEnd w:id="105"/>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“Stock” </w:t>
      </w:r>
      <w:r>
        <w:rPr>
          <w:rFonts w:ascii="Times New Roman" w:cs="Times New Roman" w:eastAsia="Times New Roman" w:hAnsi="Times New Roman"/>
          <w:sz w:val="17"/>
          <w:szCs w:val="17"/>
          <w:color w:val="auto"/>
        </w:rPr>
        <w:t>means shares of capital stock, beneficial or partnership interests, participations or other equivalents (regardless of how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designated) of or in a corporation or equivalent entity, whether voting or non-voting, and includes, without limitation, common stock.</w:t>
      </w:r>
    </w:p>
    <w:p>
      <w:pPr>
        <w:spacing w:after="0" w:line="142" w:lineRule="exact"/>
        <w:rPr>
          <w:sz w:val="20"/>
          <w:szCs w:val="20"/>
          <w:color w:val="auto"/>
        </w:rPr>
      </w:pPr>
    </w:p>
    <w:p>
      <w:pPr>
        <w:jc w:val="both"/>
        <w:ind w:firstLine="626"/>
        <w:spacing w:after="0" w:line="288" w:lineRule="auto"/>
        <w:rPr>
          <w:sz w:val="20"/>
          <w:szCs w:val="20"/>
          <w:color w:val="auto"/>
        </w:rPr>
      </w:pPr>
      <w:r>
        <w:rPr>
          <w:rFonts w:ascii="Times New Roman" w:cs="Times New Roman" w:eastAsia="Times New Roman" w:hAnsi="Times New Roman"/>
          <w:sz w:val="17"/>
          <w:szCs w:val="17"/>
          <w:i w:val="1"/>
          <w:iCs w:val="1"/>
          <w:color w:val="auto"/>
        </w:rPr>
        <w:t xml:space="preserve">“Stock Equivalents” </w:t>
      </w:r>
      <w:r>
        <w:rPr>
          <w:rFonts w:ascii="Times New Roman" w:cs="Times New Roman" w:eastAsia="Times New Roman" w:hAnsi="Times New Roman"/>
          <w:sz w:val="17"/>
          <w:szCs w:val="17"/>
          <w:color w:val="auto"/>
        </w:rPr>
        <w:t>means all securities (other than Stock) convertible into or exchangeable for Stock at the option of the 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all warrants, options or other rights to purchase or subscribe for any stock, whether or not presently convertible, exchangeable or exercisable.</w:t>
      </w:r>
    </w:p>
    <w:p>
      <w:pPr>
        <w:spacing w:after="0" w:line="365"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“Subsidiary” </w:t>
      </w:r>
      <w:r>
        <w:rPr>
          <w:rFonts w:ascii="Times New Roman" w:cs="Times New Roman" w:eastAsia="Times New Roman" w:hAnsi="Times New Roman"/>
          <w:sz w:val="17"/>
          <w:szCs w:val="17"/>
          <w:color w:val="auto"/>
        </w:rPr>
        <w:t>means, as to any particular parent corporation or organization, any other corporation or organization more than 50%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xml:space="preserve"> means a Subsidiary of Parent or the Borrower or of any of their direct or indirect Subsidiaries.</w:t>
      </w:r>
    </w:p>
    <w:p>
      <w:pPr>
        <w:spacing w:after="0" w:line="167"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Sustainability Linked Loan Principles</w:t>
      </w:r>
      <w:r>
        <w:rPr>
          <w:rFonts w:ascii="Times New Roman" w:cs="Times New Roman" w:eastAsia="Times New Roman" w:hAnsi="Times New Roman"/>
          <w:sz w:val="17"/>
          <w:szCs w:val="17"/>
          <w:u w:val="single" w:color="auto"/>
          <w:color w:val="4472C4"/>
        </w:rPr>
        <w:t>” means the Sustainability Linked Loan Principles (as published in May 2021 and updated on July 19, 2021 by the Loan Market Association, Asia Pacific Loan Market Association and Loan Syndications &amp; Trading Association) or such other principles and metrics mutually agreed to by the Borrower and the Sustainability Structuring Agent (each acting reasonably).</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Sustainability Structuring Agent</w:t>
      </w:r>
      <w:r>
        <w:rPr>
          <w:rFonts w:ascii="Times New Roman" w:cs="Times New Roman" w:eastAsia="Times New Roman" w:hAnsi="Times New Roman"/>
          <w:sz w:val="17"/>
          <w:szCs w:val="17"/>
          <w:u w:val="single" w:color="auto"/>
          <w:color w:val="4472C4"/>
        </w:rPr>
        <w:t>” means Truist Bank, N.A., as sustainability structuring agent under the terms of this Agreement, and any of its successors.</w:t>
      </w:r>
    </w:p>
    <w:p>
      <w:pPr>
        <w:spacing w:after="0" w:line="14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Swap Obligation</w:t>
      </w:r>
      <w:r>
        <w:rPr>
          <w:rFonts w:ascii="Times New Roman" w:cs="Times New Roman" w:eastAsia="Times New Roman" w:hAnsi="Times New Roman"/>
          <w:sz w:val="17"/>
          <w:szCs w:val="17"/>
          <w:color w:val="auto"/>
        </w:rPr>
        <w:t>” means, with respect to any Guarantor, any obligation to pay or perform under any agreement, contract or transaction that constitutes a “swap” within the meaning of Section 1a(47) of the Commodity Exchange Act.</w:t>
      </w:r>
    </w:p>
    <w:p>
      <w:pPr>
        <w:spacing w:after="0" w:line="142"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“Tangible Net Worth” </w:t>
      </w:r>
      <w:r>
        <w:rPr>
          <w:rFonts w:ascii="Times New Roman" w:cs="Times New Roman" w:eastAsia="Times New Roman" w:hAnsi="Times New Roman"/>
          <w:sz w:val="17"/>
          <w:szCs w:val="17"/>
          <w:color w:val="auto"/>
        </w:rPr>
        <w:t>means for each applicable period, total shareholder’s equity and any non-controlling equity interests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Parent’s consolidated balance sheet as reported in its Form 10-K or 10-Q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 accumulated depreciation and amortization and (ii) unrealized losses related to marketable securities,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to the extent included when determining stockholders’ equity, (x) all unrealized gains related to marketable securities and (y) all amounts appearing on the assets side of the Parent’s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spacing w:after="0" w:line="175"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“Taxes” </w:t>
      </w:r>
      <w:r>
        <w:rPr>
          <w:rFonts w:ascii="Times New Roman" w:cs="Times New Roman" w:eastAsia="Times New Roman" w:hAnsi="Times New Roman"/>
          <w:sz w:val="17"/>
          <w:szCs w:val="17"/>
          <w:color w:val="auto"/>
        </w:rPr>
        <w:t>means all present or future taxes, levies, imposts, duties, deductions, withholdings (including back up withholding),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assessments, fees or other charges imposed by any Governmental Authority, including any interest, additions to tax or penalties applicable thereto.</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“Tenant” </w:t>
      </w:r>
      <w:r>
        <w:rPr>
          <w:rFonts w:ascii="Times New Roman" w:cs="Times New Roman" w:eastAsia="Times New Roman" w:hAnsi="Times New Roman"/>
          <w:sz w:val="17"/>
          <w:szCs w:val="17"/>
          <w:color w:val="auto"/>
        </w:rPr>
        <w:t>means any Person leasing, subleasing or otherwise occupying any portion of a Property under a Lease or other occupancy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the Borrower or a Subsidiary that is the direct owner of such Property.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06" w:name="page107"/>
    <w:bookmarkEnd w:id="106"/>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Commitment</w:t>
      </w:r>
      <w:r>
        <w:rPr>
          <w:rFonts w:ascii="Times New Roman" w:cs="Times New Roman" w:eastAsia="Times New Roman" w:hAnsi="Times New Roman"/>
          <w:sz w:val="17"/>
          <w:szCs w:val="17"/>
          <w:color w:val="auto"/>
        </w:rPr>
        <w:t>” means, as to each Term Lender, its obligation to make a Closing Date Term Loan to Borrower pursuant to Section 1.1(a) in an aggregate principal amount not to exceed the amount set forth opposite such Lender’s name on Schedule 1 or opposite such caption in the Assignment and Assumption pursuant to which such Lender becomes a party hereto, as applicable, as such amount may be adjusted from time to time in accordance with this Agreement.</w:t>
      </w:r>
    </w:p>
    <w:p>
      <w:pPr>
        <w:spacing w:after="0" w:line="167"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Facility</w:t>
      </w:r>
      <w:r>
        <w:rPr>
          <w:rFonts w:ascii="Times New Roman" w:cs="Times New Roman" w:eastAsia="Times New Roman" w:hAnsi="Times New Roman"/>
          <w:sz w:val="17"/>
          <w:szCs w:val="17"/>
          <w:color w:val="auto"/>
        </w:rPr>
        <w:t>” means (a) on the Closing Date, the aggregate amount of the Term Commitments at such time and (b) thereafter, the aggregate principal amount of the Term Loans of all Term Lenders outstanding at such time.</w:t>
      </w:r>
    </w:p>
    <w:p>
      <w:pPr>
        <w:spacing w:after="0" w:line="14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Lender</w:t>
      </w:r>
      <w:r>
        <w:rPr>
          <w:rFonts w:ascii="Times New Roman" w:cs="Times New Roman" w:eastAsia="Times New Roman" w:hAnsi="Times New Roman"/>
          <w:sz w:val="17"/>
          <w:szCs w:val="17"/>
          <w:color w:val="auto"/>
        </w:rPr>
        <w:t>” means (a) on the Closing Date, any Lender that has a Term Commitment at such time and (b) at any time after the Closing Date, any Lender that has a Term Commitment or holds Term Loans at such time.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Loan</w:t>
      </w:r>
      <w:r>
        <w:rPr>
          <w:rFonts w:ascii="Times New Roman" w:cs="Times New Roman" w:eastAsia="Times New Roman" w:hAnsi="Times New Roman"/>
          <w:sz w:val="17"/>
          <w:szCs w:val="17"/>
          <w:color w:val="auto"/>
        </w:rPr>
        <w:t>” means an advance made by any Term Lender under the Term Facility in the form of a Closing Date Term Loan.</w:t>
      </w:r>
    </w:p>
    <w:p>
      <w:pPr>
        <w:spacing w:after="0" w:line="222" w:lineRule="exact"/>
        <w:rPr>
          <w:sz w:val="20"/>
          <w:szCs w:val="20"/>
          <w:color w:val="auto"/>
        </w:rPr>
      </w:pPr>
    </w:p>
    <w:p>
      <w:pPr>
        <w:jc w:val="both"/>
        <w:ind w:firstLine="626"/>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SOFR</w:t>
      </w:r>
      <w:r>
        <w:rPr>
          <w:rFonts w:ascii="Times New Roman" w:cs="Times New Roman" w:eastAsia="Times New Roman" w:hAnsi="Times New Roman"/>
          <w:sz w:val="17"/>
          <w:szCs w:val="17"/>
          <w:color w:val="auto"/>
        </w:rPr>
        <w:t>” means (a) for any calculation with respect to a Term SOFR Loan, the Term SOFR Reference Rate for a tenor comparable to the applicable Interest Period on the day (such day, the “Term SOFR Lookback Day”) that is two SOFR Business Days prior to the first day of such Interest Period, as such rate is published by the Term SOFR Administrator; provided, however, that if as of 5:00 p.m. (New York City time) on any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Term SOFR Lookback Day, and (b) for any calculation with respect to a Base Rate Loan on any day, the Term SOFR Reference Rate for a tenor of one month on the day (such day, the “Base Rate Term SOFR Lookback Day”) that is two SOFR Business Days prior to such day, as such rate is published by the Term SOFR Administrator; provided, however, that if as of 5:00 p.m. (New York City time) on any Base Rate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Base Rate Term SOFR Lookback Day.</w:t>
      </w:r>
    </w:p>
    <w:p>
      <w:pPr>
        <w:spacing w:after="0" w:line="184"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SOFR Administrator</w:t>
      </w:r>
      <w:r>
        <w:rPr>
          <w:rFonts w:ascii="Times New Roman" w:cs="Times New Roman" w:eastAsia="Times New Roman" w:hAnsi="Times New Roman"/>
          <w:sz w:val="17"/>
          <w:szCs w:val="17"/>
          <w:color w:val="auto"/>
        </w:rPr>
        <w:t>” means CBA (or a successor administrator of the Term SOFR Reference Rate, as selected by the Administrative Agent in its reasonable discretion).</w:t>
      </w:r>
    </w:p>
    <w:p>
      <w:pPr>
        <w:spacing w:after="0" w:line="14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SOFR Loan</w:t>
      </w:r>
      <w:r>
        <w:rPr>
          <w:rFonts w:ascii="Times New Roman" w:cs="Times New Roman" w:eastAsia="Times New Roman" w:hAnsi="Times New Roman"/>
          <w:sz w:val="17"/>
          <w:szCs w:val="17"/>
          <w:color w:val="auto"/>
        </w:rPr>
        <w:t>” means each Loan bearing interest at a rate based upon Adjusted Term SOFR (other than pursuant to clause (iii) of the definition of Base Rate).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07" w:name="page108"/>
    <w:bookmarkEnd w:id="107"/>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 SOFR Reference Rate</w:t>
      </w:r>
      <w:r>
        <w:rPr>
          <w:rFonts w:ascii="Times New Roman" w:cs="Times New Roman" w:eastAsia="Times New Roman" w:hAnsi="Times New Roman"/>
          <w:sz w:val="17"/>
          <w:szCs w:val="17"/>
          <w:color w:val="auto"/>
        </w:rPr>
        <w:t>” means the forward-looking term rate based on SOFR.</w:t>
      </w:r>
    </w:p>
    <w:p>
      <w:pPr>
        <w:spacing w:after="0" w:line="222" w:lineRule="exact"/>
        <w:rPr>
          <w:sz w:val="20"/>
          <w:szCs w:val="20"/>
          <w:color w:val="auto"/>
        </w:rPr>
      </w:pPr>
    </w:p>
    <w:p>
      <w:pPr>
        <w:jc w:val="both"/>
        <w:ind w:firstLine="626"/>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“Total Asset Value” </w:t>
      </w:r>
      <w:r>
        <w:rPr>
          <w:rFonts w:ascii="Times New Roman" w:cs="Times New Roman" w:eastAsia="Times New Roman" w:hAnsi="Times New Roman"/>
          <w:sz w:val="17"/>
          <w:szCs w:val="17"/>
          <w:color w:val="auto"/>
        </w:rPr>
        <w:t>means, as of the end of any Rolling Period, an amount equal to the sum of (a) for all Properties owned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Borrower and its Subsidiaries for more than twelve (12) months, the quotient of (i) the Property NOI from such Properties divided by (ii) the Capitalization Rate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for all Properties owned by the Borrower and its Subsidiaries for twelve (12) months or less, the lesser of (i) the book value (as defined in GAAP) of any such property or (ii), the value of any such Property as determined by the calculation in clause (a) above measured on an annualized basis rather than for the most recently ended period of four quarters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(c) the aggregate book value of all unimproved land holdings and/or construction in progress owned by the Borrower and its Subsidiaries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(d) cash, 1031 Cash Proceeds, cash equivalents and marketable securities owned by the Borrower and its Subsidiaries that are not (other than 1031 Cash Proceeds) then being held in or subject to escrow in connection with funding commitments of the Borrower or such Subsidiary</w:t>
      </w: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4472C4"/>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4472C4"/>
        </w:rPr>
        <w:t>that, for purposes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4472C4"/>
        </w:rPr>
        <w:t>calculating the Total Asset Value (A) cash investments in joint ventures shall not exceed in the aggregate at any one time outstanding an amount equal to 15% of the Total Asset Value of Parent and its Subsidiaries at such time, with any amounts in excess of 15% of the Total Asset Value being excluded from the calculation of Total Asset Value; (B) investments in Assets Under Development shall not exceed in the aggregate at any one time outstanding an amount equal to 15% of the Total Asset Value of Parent and its Subsidiaries at such time, with any amounts in excess of 15% of the Total Asset Value being excluded from the calculation of Total Asset Value; (C) investments in Land Assets shall not exceed in the aggregate at any one time outstanding an amount equal to 5% of the Total Asset Value of Parent and its Subsidiaries at such time, with any amounts in excess of 5% of the Total Asset Value being excluded from the calculation of Total Asset Value; (D) investments consisting of structured debt products, preferred equity, mortgage loans (other than leases structured as mortgages due to reimbursement requirements), mezzanine loans and notes receivable shall not exceed in the aggregate at any one time outstanding an amount equal to 10% of the Total Asset Value of Parent and its Subsidiaries at such time, with any amounts in excess of 10% of the Total Asset Value being excluded from the calculation of Total Asset Value; (E) investments in Public Investments shall not exceed in the aggregate at any one time outstanding an amount equal to 15% of the Total Asset Value of Parent and its Subsidiaries at such time, with any amounts in excess of 15% of the Total Asset Value being excluded from the calculation of Total Asset Value; and (F) the aggregate amount of investments described in clauses (A) through (E) above shall not exceed in the aggregate at any one time outstanding an amount equal to 30% of the Total Asset Value of Parent and its Subsidiaries at such time, with any amounts in excess of 30% of the Total Asset Value being excluded from the calculation of Total Asset Value</w:t>
      </w:r>
      <w:r>
        <w:rPr>
          <w:rFonts w:ascii="Times New Roman" w:cs="Times New Roman" w:eastAsia="Times New Roman" w:hAnsi="Times New Roman"/>
          <w:sz w:val="17"/>
          <w:szCs w:val="17"/>
          <w:color w:val="000000"/>
        </w:rPr>
        <w:t>.</w:t>
      </w:r>
    </w:p>
    <w:p>
      <w:pPr>
        <w:spacing w:after="0" w:line="200" w:lineRule="exact"/>
        <w:rPr>
          <w:sz w:val="20"/>
          <w:szCs w:val="20"/>
          <w:color w:val="auto"/>
        </w:rPr>
      </w:pPr>
    </w:p>
    <w:p>
      <w:pPr>
        <w:spacing w:after="0" w:line="201"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“Total Indebtedness” </w:t>
      </w:r>
      <w:r>
        <w:rPr>
          <w:rFonts w:ascii="Times New Roman" w:cs="Times New Roman" w:eastAsia="Times New Roman" w:hAnsi="Times New Roman"/>
          <w:sz w:val="17"/>
          <w:szCs w:val="17"/>
          <w:color w:val="auto"/>
        </w:rPr>
        <w:t>means, as of a given date, all liabilities of Parent and its Subsidiaries which would, in conformity with GAAP,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properly classified as a liability on a consolidated balance sheet of Parent and its Subsidiaries as of such date, excluding any amounts categorized as accrued expenses, accrued dividends, deposits held, deferred revenues, minority interests and other liabilities not directly associated with the borrowing of money.</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Total Outstandings</w:t>
      </w:r>
      <w:r>
        <w:rPr>
          <w:rFonts w:ascii="Times New Roman" w:cs="Times New Roman" w:eastAsia="Times New Roman" w:hAnsi="Times New Roman"/>
          <w:sz w:val="17"/>
          <w:szCs w:val="17"/>
          <w:color w:val="auto"/>
        </w:rPr>
        <w:t>” means the aggregate Outstanding Amount of all Loans for all Facilities.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“UCC” </w:t>
      </w:r>
      <w:r>
        <w:rPr>
          <w:rFonts w:ascii="Times New Roman" w:cs="Times New Roman" w:eastAsia="Times New Roman" w:hAnsi="Times New Roman"/>
          <w:sz w:val="17"/>
          <w:szCs w:val="17"/>
          <w:color w:val="auto"/>
        </w:rPr>
        <w:t>means the Uniform Commercial Code as in effect in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08" w:name="page109"/>
    <w:bookmarkEnd w:id="108"/>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UK Financial Institution</w:t>
      </w:r>
      <w:r>
        <w:rPr>
          <w:rFonts w:ascii="Times New Roman" w:cs="Times New Roman" w:eastAsia="Times New Roman" w:hAnsi="Times New Roman"/>
          <w:sz w:val="17"/>
          <w:szCs w:val="17"/>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7"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UK Resolution Authority</w:t>
      </w:r>
      <w:r>
        <w:rPr>
          <w:rFonts w:ascii="Times New Roman" w:cs="Times New Roman" w:eastAsia="Times New Roman" w:hAnsi="Times New Roman"/>
          <w:sz w:val="17"/>
          <w:szCs w:val="17"/>
          <w:color w:val="auto"/>
        </w:rPr>
        <w:t>” means the Bank of England or any other public administrative authority having responsibility for the resolution of any UK Financial Institution.</w:t>
      </w:r>
    </w:p>
    <w:p>
      <w:pPr>
        <w:spacing w:after="0" w:line="14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“Unadjusted Benchmark Replacement” </w:t>
      </w:r>
      <w:r>
        <w:rPr>
          <w:rFonts w:ascii="Times New Roman" w:cs="Times New Roman" w:eastAsia="Times New Roman" w:hAnsi="Times New Roman"/>
          <w:sz w:val="17"/>
          <w:szCs w:val="17"/>
          <w:color w:val="auto"/>
        </w:rPr>
        <w:t>means the applicable Benchmark Replacement excluding the related Benchmark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Replacement Adjustment</w:t>
      </w:r>
      <w:r>
        <w:rPr>
          <w:rFonts w:ascii="Times New Roman" w:cs="Times New Roman" w:eastAsia="Times New Roman" w:hAnsi="Times New Roman"/>
          <w:sz w:val="17"/>
          <w:szCs w:val="17"/>
          <w:i w:val="1"/>
          <w:iCs w:val="1"/>
          <w:color w:val="auto"/>
        </w:rPr>
        <w:t>.</w:t>
      </w:r>
    </w:p>
    <w:p>
      <w:pPr>
        <w:spacing w:after="0" w:line="142" w:lineRule="exact"/>
        <w:rPr>
          <w:sz w:val="20"/>
          <w:szCs w:val="20"/>
          <w:color w:val="auto"/>
        </w:rPr>
      </w:pPr>
    </w:p>
    <w:p>
      <w:pPr>
        <w:jc w:val="both"/>
        <w:ind w:firstLine="626"/>
        <w:spacing w:after="0" w:line="288" w:lineRule="auto"/>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Unencumbered Asset</w:t>
      </w:r>
      <w:r>
        <w:rPr>
          <w:rFonts w:ascii="Times New Roman" w:cs="Times New Roman" w:eastAsia="Times New Roman" w:hAnsi="Times New Roman"/>
          <w:sz w:val="17"/>
          <w:szCs w:val="17"/>
          <w:u w:val="single" w:color="auto"/>
          <w:color w:val="4472C4"/>
        </w:rPr>
        <w:t>” means, as of any date of determination, each Eligible Property that has been designated as an “Unencumbered Asset” in accordance with the provisions of this Agreement and has not otherwise been excluded or removed from the Unencumbered Pool.</w:t>
      </w:r>
    </w:p>
    <w:p>
      <w:pPr>
        <w:spacing w:after="0" w:line="3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u w:val="single" w:color="auto"/>
          <w:color w:val="4472C4"/>
        </w:rPr>
        <w:t xml:space="preserve">“Unencumbered Asset Value” </w:t>
      </w:r>
      <w:r>
        <w:rPr>
          <w:rFonts w:ascii="Times New Roman" w:cs="Times New Roman" w:eastAsia="Times New Roman" w:hAnsi="Times New Roman"/>
          <w:sz w:val="17"/>
          <w:szCs w:val="17"/>
          <w:u w:val="single" w:color="auto"/>
          <w:color w:val="4472C4"/>
        </w:rPr>
        <w:t>means an amount equal to the sum of (a) for all Unencumbered Assets owned for more than twelve</w:t>
      </w:r>
    </w:p>
    <w:p>
      <w:pPr>
        <w:spacing w:after="0" w:line="33" w:lineRule="exact"/>
        <w:rPr>
          <w:sz w:val="20"/>
          <w:szCs w:val="20"/>
          <w:color w:val="auto"/>
        </w:rPr>
      </w:pPr>
    </w:p>
    <w:p>
      <w:pPr>
        <w:jc w:val="both"/>
        <w:ind w:firstLine="5"/>
        <w:spacing w:after="0" w:line="259" w:lineRule="auto"/>
        <w:tabs>
          <w:tab w:leader="none" w:pos="350" w:val="left"/>
        </w:tabs>
        <w:numPr>
          <w:ilvl w:val="0"/>
          <w:numId w:val="50"/>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 xml:space="preserve">months, the quotient of (i) the Unencumbered Pool NOI divided by (ii) the Capitalization Rate </w:t>
      </w:r>
      <w:r>
        <w:rPr>
          <w:rFonts w:ascii="Times New Roman" w:cs="Times New Roman" w:eastAsia="Times New Roman" w:hAnsi="Times New Roman"/>
          <w:sz w:val="17"/>
          <w:szCs w:val="17"/>
          <w:i w:val="1"/>
          <w:iCs w:val="1"/>
          <w:u w:val="single" w:color="auto"/>
          <w:color w:val="4472C4"/>
        </w:rPr>
        <w:t>plus</w:t>
      </w:r>
      <w:r>
        <w:rPr>
          <w:rFonts w:ascii="Times New Roman" w:cs="Times New Roman" w:eastAsia="Times New Roman" w:hAnsi="Times New Roman"/>
          <w:sz w:val="17"/>
          <w:szCs w:val="17"/>
          <w:u w:val="single" w:color="auto"/>
          <w:color w:val="4472C4"/>
        </w:rPr>
        <w:t xml:space="preserve"> (b) for all Unencumbered Assets owned for twelve (12) months or less, the lesser of (i) the undepreciated costs of any such Unencumbered Asset and (ii), the value of any such Unencumbered Asset as determined by the calculation in clause (a) above measured on an annualized basis rather than for the most recently ended period of four quarters; </w:t>
      </w:r>
      <w:r>
        <w:rPr>
          <w:rFonts w:ascii="Times New Roman" w:cs="Times New Roman" w:eastAsia="Times New Roman" w:hAnsi="Times New Roman"/>
          <w:sz w:val="17"/>
          <w:szCs w:val="17"/>
          <w:i w:val="1"/>
          <w:iCs w:val="1"/>
          <w:u w:val="single" w:color="auto"/>
          <w:color w:val="4472C4"/>
        </w:rPr>
        <w:t>provided</w:t>
      </w:r>
      <w:r>
        <w:rPr>
          <w:rFonts w:ascii="Times New Roman" w:cs="Times New Roman" w:eastAsia="Times New Roman" w:hAnsi="Times New Roman"/>
          <w:sz w:val="17"/>
          <w:szCs w:val="17"/>
          <w:u w:val="single" w:color="auto"/>
          <w:color w:val="4472C4"/>
        </w:rPr>
        <w:t xml:space="preserve"> that Unencumbered Asset Value shall be reduced by excluding a portion of the Property NOI or cost of any Unencumbered Assets attributable to any Unencumbered Assets that exceed the concentration limits in the Unencumbered Pool Requirements.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Unencumbered Pool</w:t>
      </w:r>
      <w:r>
        <w:rPr>
          <w:rFonts w:ascii="Times New Roman" w:cs="Times New Roman" w:eastAsia="Times New Roman" w:hAnsi="Times New Roman"/>
          <w:sz w:val="17"/>
          <w:szCs w:val="17"/>
          <w:u w:val="single" w:color="auto"/>
          <w:color w:val="4472C4"/>
        </w:rPr>
        <w:t>” means, as of any date of determination, the collective reference to all Unencumbered Assets as of such date.</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u w:val="single" w:color="auto"/>
          <w:color w:val="4472C4"/>
        </w:rPr>
        <w:t>“Unencumbered Pool Determination Date</w:t>
      </w:r>
      <w:r>
        <w:rPr>
          <w:rFonts w:ascii="Times New Roman" w:cs="Times New Roman" w:eastAsia="Times New Roman" w:hAnsi="Times New Roman"/>
          <w:sz w:val="17"/>
          <w:szCs w:val="17"/>
          <w:u w:val="single" w:color="auto"/>
          <w:color w:val="4472C4"/>
        </w:rPr>
        <w:t>” means each date on which the Unencumbered Pool is certified in writing to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4472C4"/>
        </w:rPr>
        <w:t>Administrative Agent, as follows:</w:t>
      </w:r>
    </w:p>
    <w:p>
      <w:pPr>
        <w:spacing w:after="0" w:line="202" w:lineRule="exact"/>
        <w:rPr>
          <w:sz w:val="20"/>
          <w:szCs w:val="20"/>
          <w:color w:val="auto"/>
        </w:rPr>
      </w:pPr>
    </w:p>
    <w:p>
      <w:pPr>
        <w:ind w:left="1620" w:hanging="363"/>
        <w:spacing w:after="0"/>
        <w:tabs>
          <w:tab w:leader="none" w:pos="1620" w:val="left"/>
        </w:tabs>
        <w:numPr>
          <w:ilvl w:val="0"/>
          <w:numId w:val="51"/>
        </w:numPr>
        <w:rPr>
          <w:rFonts w:ascii="Times New Roman" w:cs="Times New Roman" w:eastAsia="Times New Roman" w:hAnsi="Times New Roman"/>
          <w:sz w:val="17"/>
          <w:szCs w:val="17"/>
          <w:u w:val="single" w:color="auto"/>
          <w:color w:val="2C6234"/>
        </w:rPr>
      </w:pPr>
      <w:r>
        <w:rPr>
          <w:rFonts w:ascii="Times New Roman" w:cs="Times New Roman" w:eastAsia="Times New Roman" w:hAnsi="Times New Roman"/>
          <w:sz w:val="17"/>
          <w:szCs w:val="17"/>
          <w:i w:val="1"/>
          <w:iCs w:val="1"/>
          <w:u w:val="single" w:color="auto"/>
          <w:color w:val="2C6234"/>
        </w:rPr>
        <w:t>Quarterly</w:t>
      </w:r>
      <w:r>
        <w:rPr>
          <w:rFonts w:ascii="Times New Roman" w:cs="Times New Roman" w:eastAsia="Times New Roman" w:hAnsi="Times New Roman"/>
          <w:sz w:val="17"/>
          <w:szCs w:val="17"/>
          <w:u w:val="single" w:color="auto"/>
          <w:color w:val="2C6234"/>
        </w:rPr>
        <w:t>. As of the last day of each Fiscal Quarter.</w:t>
      </w:r>
    </w:p>
    <w:p>
      <w:pPr>
        <w:spacing w:after="0" w:line="221" w:lineRule="exact"/>
        <w:rPr>
          <w:rFonts w:ascii="Times New Roman" w:cs="Times New Roman" w:eastAsia="Times New Roman" w:hAnsi="Times New Roman"/>
          <w:sz w:val="17"/>
          <w:szCs w:val="17"/>
          <w:u w:val="single" w:color="auto"/>
          <w:color w:val="2C6234"/>
        </w:rPr>
      </w:pPr>
    </w:p>
    <w:p>
      <w:pPr>
        <w:ind w:left="640" w:firstLine="617"/>
        <w:spacing w:after="0" w:line="297" w:lineRule="auto"/>
        <w:tabs>
          <w:tab w:leader="none" w:pos="1777" w:val="left"/>
        </w:tabs>
        <w:numPr>
          <w:ilvl w:val="0"/>
          <w:numId w:val="51"/>
        </w:numPr>
        <w:rPr>
          <w:rFonts w:ascii="Times New Roman" w:cs="Times New Roman" w:eastAsia="Times New Roman" w:hAnsi="Times New Roman"/>
          <w:sz w:val="17"/>
          <w:szCs w:val="17"/>
          <w:u w:val="single" w:color="auto"/>
          <w:color w:val="2C6234"/>
        </w:rPr>
      </w:pPr>
      <w:r>
        <w:rPr>
          <w:rFonts w:ascii="Times New Roman" w:cs="Times New Roman" w:eastAsia="Times New Roman" w:hAnsi="Times New Roman"/>
          <w:sz w:val="17"/>
          <w:szCs w:val="17"/>
          <w:i w:val="1"/>
          <w:iCs w:val="1"/>
          <w:u w:val="single" w:color="auto"/>
          <w:color w:val="2C6234"/>
        </w:rPr>
        <w:t>Property Adjustments</w:t>
      </w:r>
      <w:r>
        <w:rPr>
          <w:rFonts w:ascii="Times New Roman" w:cs="Times New Roman" w:eastAsia="Times New Roman" w:hAnsi="Times New Roman"/>
          <w:sz w:val="17"/>
          <w:szCs w:val="17"/>
          <w:u w:val="single" w:color="auto"/>
          <w:color w:val="2C6234"/>
        </w:rPr>
        <w:t>.</w:t>
      </w:r>
      <w:r>
        <w:rPr>
          <w:rFonts w:ascii="Times New Roman" w:cs="Times New Roman" w:eastAsia="Times New Roman" w:hAnsi="Times New Roman"/>
          <w:sz w:val="17"/>
          <w:szCs w:val="17"/>
          <w:i w:val="1"/>
          <w:iCs w:val="1"/>
          <w:u w:val="single" w:color="auto"/>
          <w:color w:val="2C6234"/>
        </w:rPr>
        <w:t xml:space="preserve"> </w:t>
      </w:r>
      <w:r>
        <w:rPr>
          <w:rFonts w:ascii="Times New Roman" w:cs="Times New Roman" w:eastAsia="Times New Roman" w:hAnsi="Times New Roman"/>
          <w:sz w:val="17"/>
          <w:szCs w:val="17"/>
          <w:u w:val="single" w:color="auto"/>
          <w:color w:val="4472C4"/>
        </w:rPr>
        <w:t>Following each addition or deletion of an Unencumbered Assets, the Unencumbered Asset</w:t>
      </w:r>
      <w:r>
        <w:rPr>
          <w:rFonts w:ascii="Times New Roman" w:cs="Times New Roman" w:eastAsia="Times New Roman" w:hAnsi="Times New Roman"/>
          <w:sz w:val="17"/>
          <w:szCs w:val="17"/>
          <w:i w:val="1"/>
          <w:iCs w:val="1"/>
          <w:u w:val="single" w:color="auto"/>
          <w:color w:val="2C6234"/>
        </w:rPr>
        <w:t xml:space="preserve"> </w:t>
      </w:r>
      <w:r>
        <w:rPr>
          <w:rFonts w:ascii="Times New Roman" w:cs="Times New Roman" w:eastAsia="Times New Roman" w:hAnsi="Times New Roman"/>
          <w:sz w:val="17"/>
          <w:szCs w:val="17"/>
          <w:u w:val="single" w:color="auto"/>
          <w:color w:val="4472C4"/>
        </w:rPr>
        <w:t>Value shall be adjusted accordingly.</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u w:val="single" w:color="auto"/>
          <w:color w:val="4472C4"/>
        </w:rPr>
        <w:t xml:space="preserve">“Unencumbered Pool NOI” </w:t>
      </w:r>
      <w:r>
        <w:rPr>
          <w:rFonts w:ascii="Times New Roman" w:cs="Times New Roman" w:eastAsia="Times New Roman" w:hAnsi="Times New Roman"/>
          <w:sz w:val="17"/>
          <w:szCs w:val="17"/>
          <w:u w:val="single" w:color="auto"/>
          <w:color w:val="4472C4"/>
        </w:rPr>
        <w:t>means for the most recent Rolling Period, the aggregate Property NOI attributable to the Unencumbered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4472C4"/>
        </w:rPr>
        <w:t>Assets.</w:t>
      </w:r>
    </w:p>
    <w:p>
      <w:pPr>
        <w:spacing w:after="0" w:line="202"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i w:val="1"/>
          <w:iCs w:val="1"/>
          <w:u w:val="single" w:color="auto"/>
          <w:color w:val="4472C4"/>
        </w:rPr>
        <w:t xml:space="preserve">“Unencumbered Pool Requirements” </w:t>
      </w:r>
      <w:r>
        <w:rPr>
          <w:rFonts w:ascii="Times New Roman" w:cs="Times New Roman" w:eastAsia="Times New Roman" w:hAnsi="Times New Roman"/>
          <w:sz w:val="17"/>
          <w:szCs w:val="17"/>
          <w:u w:val="single" w:color="auto"/>
          <w:color w:val="4472C4"/>
        </w:rPr>
        <w:t>means with respect to determining compliance with the covenants set forth in Sections 8.20(e)</w:t>
      </w:r>
      <w:r>
        <w:rPr>
          <w:rFonts w:ascii="Times New Roman" w:cs="Times New Roman" w:eastAsia="Times New Roman" w:hAnsi="Times New Roman"/>
          <w:sz w:val="17"/>
          <w:szCs w:val="17"/>
          <w:i w:val="1"/>
          <w:iCs w:val="1"/>
          <w:u w:val="single" w:color="auto"/>
          <w:color w:val="4472C4"/>
        </w:rPr>
        <w:t xml:space="preserve"> </w:t>
      </w:r>
      <w:r>
        <w:rPr>
          <w:rFonts w:ascii="Times New Roman" w:cs="Times New Roman" w:eastAsia="Times New Roman" w:hAnsi="Times New Roman"/>
          <w:sz w:val="17"/>
          <w:szCs w:val="17"/>
          <w:u w:val="single" w:color="auto"/>
          <w:color w:val="4472C4"/>
        </w:rPr>
        <w:t>and 8.20(f), collectively that (a) at all times the Unencumbered Pool shall have no less than twenty (20) Unencumbered Assets; (b) the Unencumbered Asset Value shall at all times be equal to or in excess of $200,000,000; (c) no more than 25% of the Unencumbered Asset Value may be attributable to any one Unencumbered Asset (for the avoidance of doubt, an Unencumbered Asset that exceeds this sublimit may be included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09" w:name="page110"/>
    <w:bookmarkEnd w:id="109"/>
    <w:p>
      <w:pPr>
        <w:jc w:val="both"/>
        <w:spacing w:after="0" w:line="259" w:lineRule="auto"/>
        <w:rPr>
          <w:sz w:val="20"/>
          <w:szCs w:val="20"/>
          <w:color w:val="auto"/>
        </w:rPr>
      </w:pPr>
      <w:r>
        <w:rPr>
          <w:rFonts w:ascii="Times New Roman" w:cs="Times New Roman" w:eastAsia="Times New Roman" w:hAnsi="Times New Roman"/>
          <w:sz w:val="17"/>
          <w:szCs w:val="17"/>
          <w:u w:val="single" w:color="auto"/>
          <w:color w:val="4472C4"/>
        </w:rPr>
        <w:t xml:space="preserve">in the calculation of Unencumbered Asset Value; </w:t>
      </w:r>
      <w:r>
        <w:rPr>
          <w:rFonts w:ascii="Times New Roman" w:cs="Times New Roman" w:eastAsia="Times New Roman" w:hAnsi="Times New Roman"/>
          <w:sz w:val="17"/>
          <w:szCs w:val="17"/>
          <w:i w:val="1"/>
          <w:iCs w:val="1"/>
          <w:u w:val="single" w:color="auto"/>
          <w:color w:val="4472C4"/>
        </w:rPr>
        <w:t>provided, that</w:t>
      </w:r>
      <w:r>
        <w:rPr>
          <w:rFonts w:ascii="Times New Roman" w:cs="Times New Roman" w:eastAsia="Times New Roman" w:hAnsi="Times New Roman"/>
          <w:sz w:val="17"/>
          <w:szCs w:val="17"/>
          <w:u w:val="single" w:color="auto"/>
          <w:color w:val="4472C4"/>
        </w:rPr>
        <w:t xml:space="preserve"> any amount over 25% of the Unencumbered Asset Value is excluded from the calculation of the Unencumbered Asset Value); (d) no more than 20% of Unencumbered Asset Value may be attributable to any single Tenant, unless such Tenant’s Rating is equal to or better than BBB-/Baa3 from S&amp;P or Moody’s (a </w:t>
      </w:r>
      <w:r>
        <w:rPr>
          <w:rFonts w:ascii="Times New Roman" w:cs="Times New Roman" w:eastAsia="Times New Roman" w:hAnsi="Times New Roman"/>
          <w:sz w:val="17"/>
          <w:szCs w:val="17"/>
          <w:i w:val="1"/>
          <w:iCs w:val="1"/>
          <w:u w:val="single" w:color="auto"/>
          <w:color w:val="4472C4"/>
        </w:rPr>
        <w:t>“Prime Tenant”</w:t>
      </w:r>
      <w:r>
        <w:rPr>
          <w:rFonts w:ascii="Times New Roman" w:cs="Times New Roman" w:eastAsia="Times New Roman" w:hAnsi="Times New Roman"/>
          <w:sz w:val="17"/>
          <w:szCs w:val="17"/>
          <w:u w:val="single" w:color="auto"/>
          <w:color w:val="4472C4"/>
        </w:rPr>
        <w:t xml:space="preserve">), respectively (for the avoidance of doubt, to the extent that any single Tenant, other than a Prime Tenant, exceeds this sublimit, the related Unencumbered Assets may be included in the calculation of Unencumbered Asset Value in an amount of up to 20% of the Unencumbered Asset Value); (e) no more than 15% of Unencumbered Asset Value may be attributable to Unencumbered Assets constituting Acceptable Leasehold Interests (for the avoidance of doubt, an Unencumbered Asset that exceeds this sublimit may be included in the calculation of Unencumbered Asset Value; </w:t>
      </w:r>
      <w:r>
        <w:rPr>
          <w:rFonts w:ascii="Times New Roman" w:cs="Times New Roman" w:eastAsia="Times New Roman" w:hAnsi="Times New Roman"/>
          <w:sz w:val="17"/>
          <w:szCs w:val="17"/>
          <w:i w:val="1"/>
          <w:iCs w:val="1"/>
          <w:u w:val="single" w:color="auto"/>
          <w:color w:val="4472C4"/>
        </w:rPr>
        <w:t>provided</w:t>
      </w:r>
      <w:r>
        <w:rPr>
          <w:rFonts w:ascii="Times New Roman" w:cs="Times New Roman" w:eastAsia="Times New Roman" w:hAnsi="Times New Roman"/>
          <w:sz w:val="17"/>
          <w:szCs w:val="17"/>
          <w:u w:val="single" w:color="auto"/>
          <w:color w:val="4472C4"/>
        </w:rPr>
        <w:t>, that any amount over 15% of the Unencumbered Asset Value is excluded from the calculation of the Unencumbered Asset Value);</w:t>
      </w:r>
    </w:p>
    <w:p>
      <w:pPr>
        <w:spacing w:after="0" w:line="2" w:lineRule="exact"/>
        <w:rPr>
          <w:sz w:val="20"/>
          <w:szCs w:val="20"/>
          <w:color w:val="auto"/>
        </w:rPr>
      </w:pPr>
    </w:p>
    <w:p>
      <w:pPr>
        <w:jc w:val="both"/>
        <w:ind w:firstLine="5"/>
        <w:spacing w:after="0" w:line="261" w:lineRule="auto"/>
        <w:tabs>
          <w:tab w:leader="none" w:pos="219" w:val="left"/>
        </w:tabs>
        <w:numPr>
          <w:ilvl w:val="0"/>
          <w:numId w:val="52"/>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 xml:space="preserve">the Unencumbered Assets must have an aggregate Occupancy Rate of at least 85%; and (g) no more than 25% of the Unencumbered Asset Value may be attributable to Unencumbered Assets which are located in the same MSA (for the avoidance of doubt, an Unencumbered Asset that exceeds this sublimit may be included in the calculation of Unencumbered Asset Value; </w:t>
      </w:r>
      <w:r>
        <w:rPr>
          <w:rFonts w:ascii="Times New Roman" w:cs="Times New Roman" w:eastAsia="Times New Roman" w:hAnsi="Times New Roman"/>
          <w:sz w:val="17"/>
          <w:szCs w:val="17"/>
          <w:i w:val="1"/>
          <w:iCs w:val="1"/>
          <w:u w:val="single" w:color="auto"/>
          <w:color w:val="4472C4"/>
        </w:rPr>
        <w:t>provided</w:t>
      </w:r>
      <w:r>
        <w:rPr>
          <w:rFonts w:ascii="Times New Roman" w:cs="Times New Roman" w:eastAsia="Times New Roman" w:hAnsi="Times New Roman"/>
          <w:sz w:val="17"/>
          <w:szCs w:val="17"/>
          <w:u w:val="single" w:color="auto"/>
          <w:color w:val="4472C4"/>
        </w:rPr>
        <w:t>, that any amount over 25% of the Unencumbered Asset Value is excluded from the calculation of the Unencumbered Asset Value).</w:t>
      </w:r>
    </w:p>
    <w:p>
      <w:pPr>
        <w:spacing w:after="0" w:line="173"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“Unfunded Vested Liabilities” </w:t>
      </w:r>
      <w:r>
        <w:rPr>
          <w:rFonts w:ascii="Times New Roman" w:cs="Times New Roman" w:eastAsia="Times New Roman" w:hAnsi="Times New Roman"/>
          <w:sz w:val="17"/>
          <w:szCs w:val="17"/>
          <w:color w:val="auto"/>
        </w:rPr>
        <w:t>means, for any Plan at any time, the amount (if any) by which the present value of all vested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167"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Unsecured Indebtedness</w:t>
      </w:r>
      <w:r>
        <w:rPr>
          <w:rFonts w:ascii="Times New Roman" w:cs="Times New Roman" w:eastAsia="Times New Roman" w:hAnsi="Times New Roman"/>
          <w:sz w:val="17"/>
          <w:szCs w:val="17"/>
          <w:color w:val="auto"/>
        </w:rPr>
        <w:t>” means, all Indebtedness for Borrowed Money of the Parent and its Subsidiaries that does not constitute Secured Indebtedness.</w:t>
      </w:r>
    </w:p>
    <w:p>
      <w:pPr>
        <w:spacing w:after="0" w:line="142"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i w:val="1"/>
          <w:iCs w:val="1"/>
          <w:u w:val="single" w:color="auto"/>
          <w:color w:val="4472C4"/>
        </w:rPr>
        <w:t>Unsecured Interest Expense</w:t>
      </w:r>
      <w:r>
        <w:rPr>
          <w:rFonts w:ascii="Times New Roman" w:cs="Times New Roman" w:eastAsia="Times New Roman" w:hAnsi="Times New Roman"/>
          <w:sz w:val="17"/>
          <w:szCs w:val="17"/>
          <w:u w:val="single" w:color="auto"/>
          <w:color w:val="4472C4"/>
        </w:rPr>
        <w:t>” means, as of any date of determination and for any period, the annual interest expense that would have been payable on all Unsecured Indebtedness during such period assuming an interest rate equal to the greater of (i) the weighted average interest rate for such period applicable to all Unsecured Indebtedness as of such date of determination, (ii) 5.75% per annum and (iii) the 10-year treasury rate on the last day of such period plus 1.75%.</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“U.S. Dollars”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 </w:t>
      </w:r>
      <w:r>
        <w:rPr>
          <w:rFonts w:ascii="Times New Roman" w:cs="Times New Roman" w:eastAsia="Times New Roman" w:hAnsi="Times New Roman"/>
          <w:sz w:val="17"/>
          <w:szCs w:val="17"/>
          <w:color w:val="auto"/>
        </w:rPr>
        <w:t>each means the lawful currency of the United States of America.</w:t>
      </w:r>
    </w:p>
    <w:p>
      <w:pPr>
        <w:spacing w:after="0" w:line="22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“Voting Stock” </w:t>
      </w:r>
      <w:r>
        <w:rPr>
          <w:rFonts w:ascii="Times New Roman" w:cs="Times New Roman" w:eastAsia="Times New Roman" w:hAnsi="Times New Roman"/>
          <w:sz w:val="17"/>
          <w:szCs w:val="17"/>
          <w:color w:val="auto"/>
        </w:rPr>
        <w:t>of any Person means capital stock or other equity interests of any class or classes (however designated) having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ordinary power for the election of directors or other similar governing body of such Person, other than stock or other equity interests having such power only by reason of the happening of a contingency.</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“Welfare Plan” </w:t>
      </w:r>
      <w:r>
        <w:rPr>
          <w:rFonts w:ascii="Times New Roman" w:cs="Times New Roman" w:eastAsia="Times New Roman" w:hAnsi="Times New Roman"/>
          <w:sz w:val="17"/>
          <w:szCs w:val="17"/>
          <w:color w:val="auto"/>
        </w:rPr>
        <w:t>means a “welfare plan” as defined in Section 3(1) of ERISA.</w:t>
      </w:r>
    </w:p>
    <w:p>
      <w:pPr>
        <w:spacing w:after="0" w:line="222"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“Wholly-owned Subsidiary” </w:t>
      </w:r>
      <w:r>
        <w:rPr>
          <w:rFonts w:ascii="Times New Roman" w:cs="Times New Roman" w:eastAsia="Times New Roman" w:hAnsi="Times New Roman"/>
          <w:sz w:val="17"/>
          <w:szCs w:val="17"/>
          <w:color w:val="auto"/>
        </w:rPr>
        <w:t>means a Subsidiary of which all of the issued and outstanding shares of capital stock (other than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qualifying shares as required by law) or other equity interests are owned by the Borrower and/or one or more Wholly-owned Subsidiaries within the meaning of this definition.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10" w:name="page111"/>
    <w:bookmarkEnd w:id="110"/>
    <w:p>
      <w:pPr>
        <w:jc w:val="both"/>
        <w:ind w:firstLine="62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“Write-Down and Conversion Powers” </w:t>
      </w:r>
      <w:r>
        <w:rPr>
          <w:rFonts w:ascii="Times New Roman" w:cs="Times New Roman" w:eastAsia="Times New Roman" w:hAnsi="Times New Roman"/>
          <w:sz w:val="17"/>
          <w:szCs w:val="17"/>
          <w:color w:val="auto"/>
        </w:rPr>
        <w:t>means, (a) with respect to any EEA Resolution Authority, the write-down and conversion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color w:val="auto"/>
        </w:rPr>
        <w:t xml:space="preserve"> The foregoing definitions are equally applicable to both the singular and plural forms of the terms defined. The words </w:t>
      </w:r>
      <w:r>
        <w:rPr>
          <w:rFonts w:ascii="Times New Roman" w:cs="Times New Roman" w:eastAsia="Times New Roman" w:hAnsi="Times New Roman"/>
          <w:sz w:val="17"/>
          <w:szCs w:val="17"/>
          <w:i w:val="1"/>
          <w:iCs w:val="1"/>
          <w:color w:val="auto"/>
        </w:rPr>
        <w:t>“hereof”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“herein”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“hereunder”</w:t>
      </w:r>
      <w:r>
        <w:rPr>
          <w:rFonts w:ascii="Times New Roman" w:cs="Times New Roman" w:eastAsia="Times New Roman" w:hAnsi="Times New Roman"/>
          <w:sz w:val="17"/>
          <w:szCs w:val="17"/>
          <w:color w:val="auto"/>
        </w:rPr>
        <w:t xml:space="preserve"> and words of like import when used in this Agreement shall refer to this Agreement as a whole and not to any particular provision of this Agreement. All references to time of day herein are references to New York New York,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Whenever reference is made to the Borrower’s knowledge or awareness, or a similar qualification, knowledge or awareness means the actual knowledge of the Borrower’s Responsible Officers.</w:t>
      </w:r>
    </w:p>
    <w:p>
      <w:pPr>
        <w:spacing w:after="0" w:line="177" w:lineRule="exact"/>
        <w:rPr>
          <w:sz w:val="20"/>
          <w:szCs w:val="20"/>
          <w:color w:val="auto"/>
        </w:rPr>
      </w:pPr>
    </w:p>
    <w:p>
      <w:pPr>
        <w:jc w:val="both"/>
        <w:ind w:firstLine="626"/>
        <w:spacing w:after="0" w:line="259"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Change in Accounting Principles</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color w:val="auto"/>
        </w:rPr>
        <w:t xml:space="preserve"> If, after the date of this Agreement, there shall occur 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Parent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spacing w:after="0" w:line="183"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Rates</w:t>
      </w:r>
      <w:r>
        <w:rPr>
          <w:rFonts w:ascii="Times New Roman" w:cs="Times New Roman" w:eastAsia="Times New Roman" w:hAnsi="Times New Roman"/>
          <w:sz w:val="17"/>
          <w:szCs w:val="17"/>
          <w:color w:val="auto"/>
        </w:rPr>
        <w:t>. The interest rate on Loans denominated in U.S. Dollars may be determined by reference to a benchmark rate that is, or may in the future become, the subject of regulatory reform or cessation. The Administrative Agent does not warrant or accept responsibility for, and shall not have any liability with respect to (a) the continuation of,</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11" w:name="page112"/>
    <w:bookmarkEnd w:id="111"/>
    <w:p>
      <w:pPr>
        <w:jc w:val="both"/>
        <w:spacing w:after="0" w:line="258" w:lineRule="auto"/>
        <w:rPr>
          <w:sz w:val="20"/>
          <w:szCs w:val="20"/>
          <w:color w:val="auto"/>
        </w:rPr>
      </w:pPr>
      <w:r>
        <w:rPr>
          <w:rFonts w:ascii="Times New Roman" w:cs="Times New Roman" w:eastAsia="Times New Roman" w:hAnsi="Times New Roman"/>
          <w:sz w:val="17"/>
          <w:szCs w:val="17"/>
          <w:color w:val="auto"/>
        </w:rPr>
        <w:t>administration of, submission of, calculation of or any other matter related to the Base Rate, Daily Simple SOFR, Adjusted Daily Simple SOFR,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Daily Simple SOFR, Adjusted Daily Simple SOFR,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Daily Simple SOFR, Adjusted Daily Simple SOFR,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Daily Simple SOFR, Adjusted Daily Simple SOFR,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In connection with the use or administration of Daily Simple SOFR and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Daily Simple SOFR and Term SOFR.</w:t>
      </w:r>
    </w:p>
    <w:p>
      <w:pPr>
        <w:spacing w:after="0" w:line="387"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Section 5.5. </w:t>
      </w:r>
      <w:r>
        <w:rPr>
          <w:rFonts w:ascii="Times New Roman" w:cs="Times New Roman" w:eastAsia="Times New Roman" w:hAnsi="Times New Roman"/>
          <w:sz w:val="17"/>
          <w:szCs w:val="17"/>
          <w:u w:val="single" w:color="auto"/>
          <w:color w:val="auto"/>
        </w:rPr>
        <w:t>Divisions</w:t>
      </w:r>
      <w:r>
        <w:rPr>
          <w:rFonts w:ascii="Times New Roman" w:cs="Times New Roman" w:eastAsia="Times New Roman" w:hAnsi="Times New Roman"/>
          <w:sz w:val="17"/>
          <w:szCs w:val="17"/>
          <w:color w:val="auto"/>
        </w:rPr>
        <w:t>. For all purposes under the Loan Documents, in connection with a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6.</w:t>
      </w:r>
      <w:r>
        <w:rPr>
          <w:sz w:val="20"/>
          <w:szCs w:val="20"/>
          <w:color w:val="auto"/>
        </w:rPr>
        <w:tab/>
      </w:r>
      <w:r>
        <w:rPr>
          <w:rFonts w:ascii="Times New Roman" w:cs="Times New Roman" w:eastAsia="Times New Roman" w:hAnsi="Times New Roman"/>
          <w:sz w:val="17"/>
          <w:szCs w:val="17"/>
          <w:color w:val="auto"/>
        </w:rPr>
        <w:t>REPRESENTATIONS AND WARRANTIES.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Borrower represents and warrants to the Administrative Agent, and the Lenders as follows:</w:t>
      </w:r>
    </w:p>
    <w:p>
      <w:pPr>
        <w:spacing w:after="0" w:line="220"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Organization and Qualification; Limited Operations</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color w:val="auto"/>
        </w:rPr>
        <w:t xml:space="preserve"> The Borrower is duly organized, validly existing, and in good standing as a limited partnership under the laws of the State of Delaware. The Parent is duly organized, validly existing, and in good standing as a corporation under the laws of the State of Maryland. Each of Parent and the Borrower has full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12" w:name="page113"/>
    <w:bookmarkEnd w:id="112"/>
    <w:p>
      <w:pPr>
        <w:jc w:val="both"/>
        <w:spacing w:after="0" w:line="268" w:lineRule="auto"/>
        <w:rPr>
          <w:sz w:val="20"/>
          <w:szCs w:val="20"/>
          <w:color w:val="auto"/>
        </w:rPr>
      </w:pPr>
      <w:r>
        <w:rPr>
          <w:rFonts w:ascii="Times New Roman" w:cs="Times New Roman" w:eastAsia="Times New Roman" w:hAnsi="Times New Roman"/>
          <w:sz w:val="17"/>
          <w:szCs w:val="17"/>
          <w:color w:val="auto"/>
        </w:rPr>
        <w:t>and adequate power to own their respective Properties and conduct their respective businesses as now conducted, and are duly licensed or qualified and in good standing in each jurisdiction in which the nature of their respective businesses conducted by them or the nature of the Properties owned or leased by them requires such licensing or qualifying and where the failure to be so qualified could reasonably be expected to have, in each instance, a Material Adverse Effect.</w:t>
      </w:r>
    </w:p>
    <w:p>
      <w:pPr>
        <w:spacing w:after="0" w:line="170" w:lineRule="exact"/>
        <w:rPr>
          <w:sz w:val="20"/>
          <w:szCs w:val="20"/>
          <w:color w:val="auto"/>
        </w:rPr>
      </w:pPr>
    </w:p>
    <w:p>
      <w:pPr>
        <w:jc w:val="both"/>
        <w:ind w:firstLine="626"/>
        <w:spacing w:after="0" w:line="259"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Each Subsidiary is duly organized, validly existing, and in good standing under the laws of the jurisdiction in which it is organized,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and where the failure to be so qualified could reasonably be expected to have, in each instance, a Material Adverse Effect. Schedule 6.2 hereto identifies each Subsidiary as of the date hereof and as updated from time to time as provided in Section 8.5(l), the jurisdiction of its organization, the percentage of issued and outstanding shares of each class of its capital stock or other equity interests owned by the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There are no outstanding commitments or other obligations of any Subsidiary to issue, and no options, warrants or other rights of any Person to acquire, any shares of any class of capital stock or other equity interests of any Subsidiary.</w:t>
      </w:r>
    </w:p>
    <w:p>
      <w:pPr>
        <w:spacing w:after="0" w:line="178" w:lineRule="exact"/>
        <w:rPr>
          <w:sz w:val="20"/>
          <w:szCs w:val="20"/>
          <w:color w:val="auto"/>
        </w:rPr>
      </w:pPr>
    </w:p>
    <w:p>
      <w:pPr>
        <w:jc w:val="both"/>
        <w:ind w:firstLine="626"/>
        <w:spacing w:after="0" w:line="258" w:lineRule="auto"/>
        <w:rPr>
          <w:sz w:val="20"/>
          <w:szCs w:val="20"/>
          <w:color w:val="auto"/>
        </w:rPr>
      </w:pPr>
      <w:r>
        <w:rPr>
          <w:rFonts w:ascii="Times New Roman" w:cs="Times New Roman" w:eastAsia="Times New Roman" w:hAnsi="Times New Roman"/>
          <w:sz w:val="17"/>
          <w:szCs w:val="17"/>
          <w:color w:val="auto"/>
        </w:rPr>
        <w:t xml:space="preserve">Section 6.3. </w:t>
      </w:r>
      <w:r>
        <w:rPr>
          <w:rFonts w:ascii="Times New Roman" w:cs="Times New Roman" w:eastAsia="Times New Roman" w:hAnsi="Times New Roman"/>
          <w:sz w:val="17"/>
          <w:szCs w:val="17"/>
          <w:u w:val="single" w:color="auto"/>
          <w:color w:val="auto"/>
        </w:rPr>
        <w:t>Authority and Validity of Obligations</w:t>
      </w:r>
      <w:r>
        <w:rPr>
          <w:rFonts w:ascii="Times New Roman" w:cs="Times New Roman" w:eastAsia="Times New Roman" w:hAnsi="Times New Roman"/>
          <w:sz w:val="17"/>
          <w:szCs w:val="17"/>
          <w:color w:val="auto"/>
        </w:rPr>
        <w:t>. The Borrower has full right and authority to enter into this Agreement and the other Loan Documents executed by it, to make the borrowings herein provided for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 Subsidiary of any of the matters and things herein or therein provided for,</w:t>
      </w:r>
    </w:p>
    <w:p>
      <w:pPr>
        <w:spacing w:after="0" w:line="3" w:lineRule="exact"/>
        <w:rPr>
          <w:sz w:val="20"/>
          <w:szCs w:val="20"/>
          <w:color w:val="auto"/>
        </w:rPr>
      </w:pPr>
    </w:p>
    <w:p>
      <w:pPr>
        <w:jc w:val="both"/>
        <w:ind w:firstLine="5"/>
        <w:spacing w:after="0" w:line="260" w:lineRule="auto"/>
        <w:tabs>
          <w:tab w:leader="none" w:pos="24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contravene or constitute a default under any provision of law or any judgment, injunction, order or decree binding upon the Borrower or any Subsidiary or any provision of the organizational documents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charter, certificate or articles of incorporation and by-laws, certificate or articles of association and operating agreement, partnership agreement, or other similar organizational documents) of the Borrower or any Material Subsidiary, (b) contravene or constitute a default under any covenant, indenture or agreement of or affecting the Borrower or any Material</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13" w:name="page114"/>
    <w:bookmarkEnd w:id="113"/>
    <w:p>
      <w:pPr>
        <w:jc w:val="both"/>
        <w:spacing w:after="0" w:line="275" w:lineRule="auto"/>
        <w:rPr>
          <w:sz w:val="20"/>
          <w:szCs w:val="20"/>
          <w:color w:val="auto"/>
        </w:rPr>
      </w:pPr>
      <w:r>
        <w:rPr>
          <w:rFonts w:ascii="Times New Roman" w:cs="Times New Roman" w:eastAsia="Times New Roman" w:hAnsi="Times New Roman"/>
          <w:sz w:val="17"/>
          <w:szCs w:val="17"/>
          <w:color w:val="auto"/>
        </w:rPr>
        <w:t>Subsidiary or any of their Property, in each case where such contravention or default, individually or in the aggregate, could reasonably be expected to have a Material Adverse Effect, or (c) result in the creation or imposition of any Lien on any Property of the Borrower or any Material Subsidiary (other than in favor of the Administrative Agent for its benefit and the benefit of the Lenders).</w:t>
      </w:r>
    </w:p>
    <w:p>
      <w:pPr>
        <w:spacing w:after="0" w:line="163"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u w:val="single" w:color="auto"/>
          <w:color w:val="auto"/>
        </w:rPr>
        <w:t>Use of Proceeds; Margin Stock</w:t>
      </w:r>
      <w:r>
        <w:rPr>
          <w:rFonts w:ascii="Times New Roman" w:cs="Times New Roman" w:eastAsia="Times New Roman" w:hAnsi="Times New Roman"/>
          <w:sz w:val="17"/>
          <w:szCs w:val="17"/>
          <w:color w:val="auto"/>
        </w:rPr>
        <w:t>. The Borrower shall use the proceeds of the Loans for its general corporate purposes, to refinance existing indebtedness, finance capital expenditures, real estate related investments (including investments permitted pursuant to Section 8.8 hereof), working capital and stock buybacks and for such other legal and proper purposes as are consistent with all applicable laws. Neither the Borrower nor any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spacing w:after="0" w:line="180"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color w:val="auto"/>
        </w:rPr>
        <w:t xml:space="preserve">Section 6.5. </w:t>
      </w:r>
      <w:r>
        <w:rPr>
          <w:rFonts w:ascii="Times New Roman" w:cs="Times New Roman" w:eastAsia="Times New Roman" w:hAnsi="Times New Roman"/>
          <w:sz w:val="17"/>
          <w:szCs w:val="17"/>
          <w:u w:val="single" w:color="auto"/>
          <w:color w:val="auto"/>
        </w:rPr>
        <w:t>Financial Reports</w:t>
      </w:r>
      <w:r>
        <w:rPr>
          <w:rFonts w:ascii="Times New Roman" w:cs="Times New Roman" w:eastAsia="Times New Roman" w:hAnsi="Times New Roman"/>
          <w:sz w:val="17"/>
          <w:szCs w:val="17"/>
          <w:color w:val="auto"/>
        </w:rPr>
        <w:t xml:space="preserve">. The consolidated results of operations of Parent for the year ended December 31, </w:t>
      </w:r>
      <w:r>
        <w:rPr>
          <w:rFonts w:ascii="Times New Roman" w:cs="Times New Roman" w:eastAsia="Times New Roman" w:hAnsi="Times New Roman"/>
          <w:sz w:val="17"/>
          <w:szCs w:val="17"/>
          <w:color w:val="FF0000"/>
          <w:strike w:val="1"/>
        </w:rPr>
        <w:t>2020</w:t>
      </w:r>
      <w:r>
        <w:rPr>
          <w:rFonts w:ascii="Times New Roman" w:cs="Times New Roman" w:eastAsia="Times New Roman" w:hAnsi="Times New Roman"/>
          <w:sz w:val="17"/>
          <w:szCs w:val="17"/>
          <w:u w:val="single" w:color="auto"/>
          <w:color w:val="4472C4"/>
        </w:rPr>
        <w:t>2021</w:t>
      </w:r>
      <w:r>
        <w:rPr>
          <w:rFonts w:ascii="Times New Roman" w:cs="Times New Roman" w:eastAsia="Times New Roman" w:hAnsi="Times New Roman"/>
          <w:sz w:val="17"/>
          <w:szCs w:val="17"/>
          <w:color w:val="auto"/>
        </w:rPr>
        <w:t xml:space="preserve"> and the three months ended March 31, </w:t>
      </w:r>
      <w:r>
        <w:rPr>
          <w:rFonts w:ascii="Times New Roman" w:cs="Times New Roman" w:eastAsia="Times New Roman" w:hAnsi="Times New Roman"/>
          <w:sz w:val="17"/>
          <w:szCs w:val="17"/>
          <w:color w:val="FF0000"/>
          <w:strike w:val="1"/>
        </w:rPr>
        <w:t>2021</w:t>
      </w:r>
      <w:r>
        <w:rPr>
          <w:rFonts w:ascii="Times New Roman" w:cs="Times New Roman" w:eastAsia="Times New Roman" w:hAnsi="Times New Roman"/>
          <w:sz w:val="17"/>
          <w:szCs w:val="17"/>
          <w:u w:val="single" w:color="auto"/>
          <w:color w:val="4472C4"/>
        </w:rPr>
        <w:t>2022</w:t>
      </w:r>
      <w:r>
        <w:rPr>
          <w:rFonts w:ascii="Times New Roman" w:cs="Times New Roman" w:eastAsia="Times New Roman" w:hAnsi="Times New Roman"/>
          <w:sz w:val="17"/>
          <w:szCs w:val="17"/>
          <w:color w:val="auto"/>
        </w:rPr>
        <w:t>, and accompanying notes thereto, which consolidated financial statements are accompanied by the unqualified audit report of independent public accountants, heretofore furnished to the Administrative Agent and the Lenders, fairly present the consolidated financial condition of Parent as at said date and the consolidated results of its operations and cash flows for the period then ended in conformity with GAAP applied on a consistent basis. Neither Parent nor Borrower has any contingent liabilities which are material to it and are required to be set forth in its consolidated financial statements or notes thereto in accordance with GAAP other than as indicated on such consolidated financial statements and notes thereto and projected financial statements, including with respect to future periods, on the consolidated financial statements and projected financial statements furnished pursuant to Section 8.5 hereof.</w:t>
      </w:r>
    </w:p>
    <w:p>
      <w:pPr>
        <w:spacing w:after="0" w:line="175"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No Material Adverse Effect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Except as set forth on Schedule 6.6, </w:t>
      </w:r>
      <w:r>
        <w:rPr>
          <w:rFonts w:ascii="Times New Roman" w:cs="Times New Roman" w:eastAsia="Times New Roman" w:hAnsi="Times New Roman"/>
          <w:sz w:val="17"/>
          <w:szCs w:val="17"/>
          <w:u w:val="single" w:color="auto"/>
          <w:color w:val="4472C4"/>
        </w:rPr>
        <w:t>since the date of delivery of the most recent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4472C4"/>
        </w:rPr>
        <w:t>financial statements delivered to the Administrative Agent pursuant to Section 8.5(c),</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there has been no event or circumstance individually or</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in the aggregate that has had or would reasonably be expected to have a Material Adverse Effect.</w:t>
      </w:r>
    </w:p>
    <w:p>
      <w:pPr>
        <w:spacing w:after="0" w:line="162"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 xml:space="preserve">Section 6.7. </w:t>
      </w:r>
      <w:r>
        <w:rPr>
          <w:rFonts w:ascii="Times New Roman" w:cs="Times New Roman" w:eastAsia="Times New Roman" w:hAnsi="Times New Roman"/>
          <w:sz w:val="17"/>
          <w:szCs w:val="17"/>
          <w:u w:val="single" w:color="auto"/>
          <w:color w:val="auto"/>
        </w:rPr>
        <w:t>Full Disclosure</w:t>
      </w:r>
      <w:r>
        <w:rPr>
          <w:rFonts w:ascii="Times New Roman" w:cs="Times New Roman" w:eastAsia="Times New Roman" w:hAnsi="Times New Roman"/>
          <w:sz w:val="17"/>
          <w:szCs w:val="17"/>
          <w:color w:val="auto"/>
        </w:rPr>
        <w:t>. The statements and information furnished to the Administrative Agent and the Lenders in connection with the negotiation of this Agreement and the other Loan Documents and the commitments by the Lenders to provide all or part of the financing contemplated hereby do not contain any untrue statements (known by Borrower to be untrue) of a material fact known to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 Lenders, the Borrower only represents that the same were prepared on the basis of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14" w:name="page115"/>
    <w:bookmarkEnd w:id="114"/>
    <w:p>
      <w:pPr>
        <w:jc w:val="both"/>
        <w:spacing w:after="0" w:line="275" w:lineRule="auto"/>
        <w:rPr>
          <w:sz w:val="20"/>
          <w:szCs w:val="20"/>
          <w:color w:val="auto"/>
        </w:rPr>
      </w:pPr>
      <w:r>
        <w:rPr>
          <w:rFonts w:ascii="Times New Roman" w:cs="Times New Roman" w:eastAsia="Times New Roman" w:hAnsi="Times New Roman"/>
          <w:sz w:val="17"/>
          <w:szCs w:val="17"/>
          <w:color w:val="auto"/>
        </w:rPr>
        <w:t>and estimates the Borrower believed to be reasonable and (b) the financial information provided to the Administrative Agent and the Lenders is governed by Section 6.5 hereof. The information included in the Beneficial Ownership Certification, as updated in accordance with Section 6.5(k), is true and correct in all respects.</w:t>
      </w:r>
    </w:p>
    <w:p>
      <w:pPr>
        <w:spacing w:after="0" w:line="163" w:lineRule="exact"/>
        <w:rPr>
          <w:sz w:val="20"/>
          <w:szCs w:val="20"/>
          <w:color w:val="auto"/>
        </w:rPr>
      </w:pPr>
    </w:p>
    <w:p>
      <w:pPr>
        <w:jc w:val="both"/>
        <w:ind w:firstLine="626"/>
        <w:spacing w:after="0" w:line="265" w:lineRule="auto"/>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Trademarks, Franchises, and Licenses</w:t>
      </w:r>
      <w:r>
        <w:rPr>
          <w:rFonts w:ascii="Times New Roman" w:cs="Times New Roman" w:eastAsia="Times New Roman" w:hAnsi="Times New Roman"/>
          <w:sz w:val="17"/>
          <w:szCs w:val="17"/>
          <w:color w:val="auto"/>
        </w:rPr>
        <w:t>. To Borrower’s knowledge, the Borrower and its 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trade style, copyright or other proprietary right of any other Person, which conflict could reasonably be expected to have a Material Adverse Effect.</w:t>
      </w:r>
    </w:p>
    <w:p>
      <w:pPr>
        <w:spacing w:after="0" w:line="172" w:lineRule="exact"/>
        <w:rPr>
          <w:sz w:val="20"/>
          <w:szCs w:val="20"/>
          <w:color w:val="auto"/>
        </w:rPr>
      </w:pPr>
    </w:p>
    <w:p>
      <w:pPr>
        <w:jc w:val="both"/>
        <w:ind w:firstLine="626"/>
        <w:spacing w:after="0" w:line="265" w:lineRule="auto"/>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Governmental Authority and Licensing</w:t>
      </w:r>
      <w:r>
        <w:rPr>
          <w:rFonts w:ascii="Times New Roman" w:cs="Times New Roman" w:eastAsia="Times New Roman" w:hAnsi="Times New Roman"/>
          <w:sz w:val="17"/>
          <w:szCs w:val="17"/>
          <w:color w:val="auto"/>
        </w:rPr>
        <w:t>. The Borrower and its Subsidiaries have received 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spacing w:after="0" w:line="172"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Good Title</w:t>
      </w:r>
      <w:r>
        <w:rPr>
          <w:rFonts w:ascii="Times New Roman" w:cs="Times New Roman" w:eastAsia="Times New Roman" w:hAnsi="Times New Roman"/>
          <w:sz w:val="17"/>
          <w:szCs w:val="17"/>
          <w:color w:val="auto"/>
        </w:rPr>
        <w:t xml:space="preserve">. The Borrower and its Subsidiaries have good and defensible title (or valid leasehold interests) to </w:t>
      </w:r>
      <w:r>
        <w:rPr>
          <w:rFonts w:ascii="Times New Roman" w:cs="Times New Roman" w:eastAsia="Times New Roman" w:hAnsi="Times New Roman"/>
          <w:sz w:val="17"/>
          <w:szCs w:val="17"/>
          <w:u w:val="single" w:color="auto"/>
          <w:color w:val="4472C4"/>
        </w:rPr>
        <w:t>each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4472C4"/>
        </w:rPr>
        <w:t>Unencumbered Asset and</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their</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u w:val="single" w:color="auto"/>
          <w:color w:val="4472C4"/>
        </w:rPr>
        <w:t>other</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material assets as reflected on the most recent consolidated balance sheet of Parent and its Subsidiaries</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furnished to the Administrative Agent and the Lenders (except for sales of assets in the ordinary course of business), subject to no Liens other than such thereof as are permitted by Section 8.7 hereof.</w:t>
      </w:r>
    </w:p>
    <w:p>
      <w:pPr>
        <w:spacing w:after="0" w:line="168"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Litigation and Other Controversies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Except as set forth on Schedule 6.11, there is no litigation or governmental or arbitration proceeding or labor controversy pending, nor to the knowledge of the Borrower threatened, against the Borrower or any Subsidiary or any of their Property which individually or in the aggregate, could reasonably be expected to have a Material Adverse Effect.</w:t>
      </w:r>
    </w:p>
    <w:p>
      <w:pPr>
        <w:spacing w:after="0" w:line="162"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All material tax returns required to be filed by Parent or any Subsidiary in any jurisdiction have, in fact, been filed, and all taxes, assessments, fees, and other governmental charges upon Parent or any Subsidiary or upon any of its Property,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Parent has not received written notice of any proposed additional tax assessment against Parent or its Subsidiaries for which adequate provisions in accordance with GAAP have not been made on their accounts. Adequate provisions in accordance with GAAP for taxes on the books of Parent and each Subsidiary have been made for all open years, and for its current fiscal period.</w:t>
      </w:r>
    </w:p>
    <w:p>
      <w:pPr>
        <w:spacing w:after="0" w:line="177"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Approvals</w:t>
      </w:r>
      <w:r>
        <w:rPr>
          <w:rFonts w:ascii="Times New Roman" w:cs="Times New Roman" w:eastAsia="Times New Roman" w:hAnsi="Times New Roman"/>
          <w:sz w:val="17"/>
          <w:szCs w:val="17"/>
          <w:color w:val="auto"/>
        </w:rPr>
        <w:t>. Except those already received, no authorization, consent, license or exemption from, or filing or registration with, any court or governmental department,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15" w:name="page116"/>
    <w:bookmarkEnd w:id="115"/>
    <w:p>
      <w:pPr>
        <w:jc w:val="both"/>
        <w:spacing w:after="0" w:line="294" w:lineRule="auto"/>
        <w:rPr>
          <w:sz w:val="20"/>
          <w:szCs w:val="20"/>
          <w:color w:val="auto"/>
        </w:rPr>
      </w:pPr>
      <w:r>
        <w:rPr>
          <w:rFonts w:ascii="Times New Roman" w:cs="Times New Roman" w:eastAsia="Times New Roman" w:hAnsi="Times New Roman"/>
          <w:sz w:val="17"/>
          <w:szCs w:val="17"/>
          <w:color w:val="auto"/>
        </w:rPr>
        <w:t>agency or instrumentality, nor any approval or consent of any other Person, is or will be necessary to the valid execution, delivery or performance by the Borrower or any Guarantor of any Loan Document.</w:t>
      </w:r>
    </w:p>
    <w:p>
      <w:pPr>
        <w:spacing w:after="0" w:line="145"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Affiliate Transactions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Except as permitted by Section 8.14 hereof, none of the Borrower 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spacing w:after="0" w:line="160"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 xml:space="preserve">Section 6.15. </w:t>
      </w:r>
      <w:r>
        <w:rPr>
          <w:rFonts w:ascii="Times New Roman" w:cs="Times New Roman" w:eastAsia="Times New Roman" w:hAnsi="Times New Roman"/>
          <w:sz w:val="17"/>
          <w:szCs w:val="17"/>
          <w:u w:val="single" w:color="auto"/>
          <w:color w:val="auto"/>
        </w:rPr>
        <w:t>Investment Company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None of the Borrower or any Subsidiary is an “investment company” or a company “controlled” by an “investment company” within the meaning of the Investment Company Act of 1940, as amended.</w:t>
      </w:r>
    </w:p>
    <w:p>
      <w:pPr>
        <w:spacing w:after="0" w:line="144" w:lineRule="exact"/>
        <w:rPr>
          <w:sz w:val="20"/>
          <w:szCs w:val="20"/>
          <w:color w:val="auto"/>
        </w:rPr>
      </w:pPr>
    </w:p>
    <w:p>
      <w:pPr>
        <w:jc w:val="both"/>
        <w:ind w:firstLine="626"/>
        <w:spacing w:after="0" w:line="265" w:lineRule="auto"/>
        <w:rPr>
          <w:sz w:val="20"/>
          <w:szCs w:val="20"/>
          <w:color w:val="auto"/>
        </w:rPr>
      </w:pPr>
      <w:r>
        <w:rPr>
          <w:rFonts w:ascii="Times New Roman" w:cs="Times New Roman" w:eastAsia="Times New Roman" w:hAnsi="Times New Roman"/>
          <w:sz w:val="17"/>
          <w:szCs w:val="17"/>
          <w:color w:val="auto"/>
        </w:rPr>
        <w:t xml:space="preserve">Section 6.16.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The Borrower and each other member of their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spacing w:after="0" w:line="172"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6.17.</w:t>
      </w:r>
      <w:r>
        <w:rPr>
          <w:sz w:val="20"/>
          <w:szCs w:val="20"/>
          <w:color w:val="auto"/>
        </w:rPr>
        <w:tab/>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1257"/>
        <w:spacing w:after="0" w:line="265" w:lineRule="auto"/>
        <w:tabs>
          <w:tab w:leader="none" w:pos="187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and its Subsidiaries are in compliance with the requirements of all federal, state and local laws, rules and regulations applicable to or pertaining to their Property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w:t>
      </w:r>
    </w:p>
    <w:p>
      <w:pPr>
        <w:spacing w:after="0" w:line="172" w:lineRule="exact"/>
        <w:rPr>
          <w:rFonts w:ascii="Times New Roman" w:cs="Times New Roman" w:eastAsia="Times New Roman" w:hAnsi="Times New Roman"/>
          <w:sz w:val="17"/>
          <w:szCs w:val="17"/>
          <w:color w:val="auto"/>
        </w:rPr>
      </w:pPr>
    </w:p>
    <w:p>
      <w:pPr>
        <w:jc w:val="both"/>
        <w:ind w:firstLine="1257"/>
        <w:spacing w:after="0" w:line="259" w:lineRule="auto"/>
        <w:tabs>
          <w:tab w:leader="none" w:pos="187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 (i) 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 (iii) the Borrower and its Subsidiaries have not, and the Borrower has no knowledge of any other Person who has, caused any Release, threatened Release or disposal of any Hazardous Material at, on, about, or off 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16" w:name="page117"/>
    <w:bookmarkEnd w:id="116"/>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nominated for the National Priority List promulgated pursuant to CERCLA or any state remedial priority list promulgated or published pursuant to any comparable state law; (v) the Borrower and its Subsidiaries have not used a material quantity of any Hazardous Material and have conducted no 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an Environmental Claim against the Borrower or any Subsidiary or such Properties; (viii) none of the Properties are 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 (ix) there are no conditions or circumstances at any of the Properties which pose an unreasonable risk to the 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Administrative Agent shall be entitled to make only one (1) such request per property during the initial term of this Agreement unless an Event of Default has occurred and is continuing.</w:t>
      </w:r>
    </w:p>
    <w:p>
      <w:pPr>
        <w:spacing w:after="0" w:line="390" w:lineRule="exact"/>
        <w:rPr>
          <w:sz w:val="20"/>
          <w:szCs w:val="20"/>
          <w:color w:val="auto"/>
        </w:rPr>
      </w:pPr>
    </w:p>
    <w:p>
      <w:pPr>
        <w:jc w:val="both"/>
        <w:ind w:firstLine="1257"/>
        <w:spacing w:after="0" w:line="259" w:lineRule="auto"/>
        <w:tabs>
          <w:tab w:leader="none" w:pos="1878"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and each of its Subsidiaries is in material compliance with all Anti-Corruption Laws. The Borrower and each of its Subsidiaries has implemented and maintains in effect policies and procedures designed to ensure compliance by such Person, its Subsidiaries and their respective directors, officers, employees and agents with Anti-Corruption Laws. Neither Borrower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w:t>
      </w:r>
    </w:p>
    <w:p>
      <w:pPr>
        <w:spacing w:after="0" w:line="4" w:lineRule="exact"/>
        <w:rPr>
          <w:rFonts w:ascii="Times New Roman" w:cs="Times New Roman" w:eastAsia="Times New Roman" w:hAnsi="Times New Roman"/>
          <w:sz w:val="17"/>
          <w:szCs w:val="17"/>
          <w:color w:val="auto"/>
        </w:rPr>
      </w:pPr>
    </w:p>
    <w:p>
      <w:pPr>
        <w:ind w:firstLine="5"/>
        <w:spacing w:after="0" w:line="272" w:lineRule="auto"/>
        <w:tabs>
          <w:tab w:leader="none" w:pos="26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intent to induce the recipient to misuse his or her official position to direct business wrongfully to such Borrower or such Subsidiary or to any other Person, in violation of any Anti-Corruption Laws.</w:t>
      </w:r>
    </w:p>
    <w:p>
      <w:pPr>
        <w:spacing w:after="0" w:line="16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6.18.</w:t>
      </w:r>
      <w:r>
        <w:rPr>
          <w:sz w:val="20"/>
          <w:szCs w:val="20"/>
          <w:color w:val="auto"/>
        </w:rPr>
        <w:tab/>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both"/>
        <w:ind w:firstLine="1257"/>
        <w:spacing w:after="0" w:line="268" w:lineRule="auto"/>
        <w:tabs>
          <w:tab w:leader="none" w:pos="187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is in compliance, in all material respects, with the requirements of all OFAC Sanctions Programs applicable to it, (b) each Subsidiary of the Borrower is in compliance, in all material respects, with the requirements of all OFAC Sanctions Programs applicable to such Subsidiary, (c) the Borrower has provided to the Administrative Agent and the Lenders all information regarding the Borrower and its Affiliates and Subsidiaries necessary for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5"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17" w:name="page118"/>
    <w:bookmarkEnd w:id="117"/>
    <w:p>
      <w:pPr>
        <w:jc w:val="both"/>
        <w:spacing w:after="0" w:line="268" w:lineRule="auto"/>
        <w:rPr>
          <w:sz w:val="20"/>
          <w:szCs w:val="20"/>
          <w:color w:val="auto"/>
        </w:rPr>
      </w:pPr>
      <w:r>
        <w:rPr>
          <w:rFonts w:ascii="Times New Roman" w:cs="Times New Roman" w:eastAsia="Times New Roman" w:hAnsi="Times New Roman"/>
          <w:sz w:val="17"/>
          <w:szCs w:val="17"/>
          <w:color w:val="auto"/>
        </w:rPr>
        <w:t>the Administrative Agent and the Lenders to comply with all applicable OFAC Sanctions Programs, and (d) neither the Borrower nor any of its Affiliates or Subsidiaries nor, to the knowledge of Borrower, any officer, director or Affiliate of any such Person or any of its Subsidiaries, is a person, that is, or is owned or controlled by Persons that are (i) the target of any OFAC Sanctions Programs or (ii) located, organized or resident in a country or territory that is, or whose government is, the subject of any OFAC Sanctions Programs.</w:t>
      </w:r>
    </w:p>
    <w:p>
      <w:pPr>
        <w:spacing w:after="0" w:line="170"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Section 6.19. </w:t>
      </w:r>
      <w:r>
        <w:rPr>
          <w:rFonts w:ascii="Times New Roman" w:cs="Times New Roman" w:eastAsia="Times New Roman" w:hAnsi="Times New Roman"/>
          <w:sz w:val="17"/>
          <w:szCs w:val="17"/>
          <w:u w:val="single" w:color="auto"/>
          <w:color w:val="auto"/>
        </w:rPr>
        <w:t>Other Agreements</w:t>
      </w:r>
      <w:r>
        <w:rPr>
          <w:rFonts w:ascii="Times New Roman" w:cs="Times New Roman" w:eastAsia="Times New Roman" w:hAnsi="Times New Roman"/>
          <w:sz w:val="17"/>
          <w:szCs w:val="17"/>
          <w:color w:val="auto"/>
        </w:rPr>
        <w:t>. Neither the Borrower nor any Subsidiary is in default under the terms of any covenant, indenture or agreement of or affecting such Person or any of its Property, which default could reasonably be expected to have a Material Adverse Effect. Neither the Borrower nor any Subsidiary shall enter into an amendment or modification of any contract or agreement which could, in the Responsible Officer’s business judgment, reasonably be expected to have a Material Adverse Effect.</w:t>
      </w:r>
    </w:p>
    <w:p>
      <w:pPr>
        <w:spacing w:after="0" w:line="170"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 xml:space="preserve">Section 6.20.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The Borrower and its Subsidiaries are solvent, able to pay their debts as they become due, and have sufficient capital to carry on their business and all businesses in which they are about to engage.</w:t>
      </w:r>
    </w:p>
    <w:p>
      <w:pPr>
        <w:spacing w:after="0" w:line="145"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6.21.</w:t>
      </w:r>
      <w:r>
        <w:rPr>
          <w:sz w:val="20"/>
          <w:szCs w:val="20"/>
          <w:color w:val="auto"/>
        </w:rPr>
        <w:tab/>
      </w:r>
      <w:r>
        <w:rPr>
          <w:rFonts w:ascii="Times New Roman" w:cs="Times New Roman" w:eastAsia="Times New Roman" w:hAnsi="Times New Roman"/>
          <w:sz w:val="17"/>
          <w:szCs w:val="17"/>
          <w:u w:val="single" w:color="auto"/>
          <w:color w:val="auto"/>
        </w:rPr>
        <w:t>No Default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No Default or Event of Default has occurred and is continuing.</w:t>
      </w:r>
    </w:p>
    <w:p>
      <w:pPr>
        <w:spacing w:after="0" w:line="222" w:lineRule="exact"/>
        <w:rPr>
          <w:sz w:val="20"/>
          <w:szCs w:val="20"/>
          <w:color w:val="auto"/>
        </w:rPr>
      </w:pPr>
    </w:p>
    <w:p>
      <w:pPr>
        <w:jc w:val="both"/>
        <w:ind w:firstLine="626"/>
        <w:spacing w:after="0" w:line="265" w:lineRule="auto"/>
        <w:rPr>
          <w:sz w:val="20"/>
          <w:szCs w:val="20"/>
          <w:color w:val="auto"/>
        </w:rPr>
      </w:pPr>
      <w:r>
        <w:rPr>
          <w:rFonts w:ascii="Times New Roman" w:cs="Times New Roman" w:eastAsia="Times New Roman" w:hAnsi="Times New Roman"/>
          <w:sz w:val="17"/>
          <w:szCs w:val="17"/>
          <w:color w:val="auto"/>
        </w:rPr>
        <w:t xml:space="preserve">Section 6.22. </w:t>
      </w:r>
      <w:r>
        <w:rPr>
          <w:rFonts w:ascii="Times New Roman" w:cs="Times New Roman" w:eastAsia="Times New Roman" w:hAnsi="Times New Roman"/>
          <w:sz w:val="17"/>
          <w:szCs w:val="17"/>
          <w:u w:val="single" w:color="auto"/>
          <w:color w:val="auto"/>
        </w:rPr>
        <w:t>No Broker Fees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 broker’s or finder’s fee or commission will be payable with respect 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spacing w:after="0" w:line="383" w:lineRule="exact"/>
        <w:rPr>
          <w:sz w:val="20"/>
          <w:szCs w:val="20"/>
          <w:color w:val="auto"/>
        </w:rPr>
      </w:pPr>
    </w:p>
    <w:p>
      <w:pPr>
        <w:jc w:val="both"/>
        <w:ind w:firstLine="626"/>
        <w:spacing w:after="0" w:line="267" w:lineRule="auto"/>
        <w:rPr>
          <w:sz w:val="20"/>
          <w:szCs w:val="20"/>
          <w:color w:val="auto"/>
        </w:rPr>
      </w:pPr>
      <w:r>
        <w:rPr>
          <w:rFonts w:ascii="Times New Roman" w:cs="Times New Roman" w:eastAsia="Times New Roman" w:hAnsi="Times New Roman"/>
          <w:sz w:val="17"/>
          <w:szCs w:val="17"/>
          <w:color w:val="auto"/>
        </w:rPr>
        <w:t xml:space="preserve">Section 6.23. </w:t>
      </w:r>
      <w:r>
        <w:rPr>
          <w:rFonts w:ascii="Times New Roman" w:cs="Times New Roman" w:eastAsia="Times New Roman" w:hAnsi="Times New Roman"/>
          <w:sz w:val="17"/>
          <w:szCs w:val="17"/>
          <w:u w:val="single" w:color="auto"/>
          <w:color w:val="auto"/>
        </w:rPr>
        <w:t>Condition of Property; Casualties; Condemnation</w:t>
      </w:r>
      <w:r>
        <w:rPr>
          <w:rFonts w:ascii="Times New Roman" w:cs="Times New Roman" w:eastAsia="Times New Roman" w:hAnsi="Times New Roman"/>
          <w:sz w:val="17"/>
          <w:szCs w:val="17"/>
          <w:color w:val="auto"/>
        </w:rPr>
        <w:t>. Except as set forth in Schedule 6.23, each Property owned by the Borrower and each Subsidiary, in all material respects (a) is in good repair, working order and condition, normal wear and tear excepted,</w:t>
      </w:r>
    </w:p>
    <w:p>
      <w:pPr>
        <w:spacing w:after="0" w:line="1" w:lineRule="exact"/>
        <w:rPr>
          <w:sz w:val="20"/>
          <w:szCs w:val="20"/>
          <w:color w:val="auto"/>
        </w:rPr>
      </w:pPr>
    </w:p>
    <w:p>
      <w:pPr>
        <w:jc w:val="both"/>
        <w:ind w:firstLine="5"/>
        <w:spacing w:after="0" w:line="257" w:lineRule="auto"/>
        <w:tabs>
          <w:tab w:leader="none" w:pos="27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free of material structural defects, (c) is not subject to material deferred maintenance, (d) has and will have all building systems contained therein in good repair, working order and condition, normal wear and tear excepted and (e) is not located in a flood plain or flood hazard area, or if located in a flood plain or flood hazard area is covered by full replacement cost flood insurance. None of the Properties owned by the Borrower or any Subsidiary is currently materially and adversely affected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 which is not in the process of being repaired. 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Adverse Effect. Promptly after the reasonable request of the Administrative Agent, the Borrower shall deliver a current property condition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18" w:name="page119"/>
    <w:bookmarkEnd w:id="118"/>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report in form and substance acceptable to Administrative Agent from an independent engineering or architectural firm acceptable to Administrative Agent with respect to any (i) Eligible Property specified by Administrative Agent that has a material maintenance or structural issue that would materially affect the value or use of such Eligible Property and (ii) Property that is not an Eligible Property that has a material maintenance or structural issue associated with such Property that could reasonably be expected to have a Material Adverse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Administrative Agent shall be entitled to make only one (1) such request during the initial term of this Agreement unless an Event of Default has occurred and is continuing.</w:t>
      </w:r>
    </w:p>
    <w:p>
      <w:pPr>
        <w:spacing w:after="0" w:line="175" w:lineRule="exact"/>
        <w:rPr>
          <w:sz w:val="20"/>
          <w:szCs w:val="20"/>
          <w:color w:val="auto"/>
        </w:rPr>
      </w:pPr>
    </w:p>
    <w:p>
      <w:pPr>
        <w:jc w:val="both"/>
        <w:ind w:firstLine="626"/>
        <w:spacing w:after="0" w:line="265" w:lineRule="auto"/>
        <w:rPr>
          <w:sz w:val="20"/>
          <w:szCs w:val="20"/>
          <w:color w:val="auto"/>
        </w:rPr>
      </w:pPr>
      <w:r>
        <w:rPr>
          <w:rFonts w:ascii="Times New Roman" w:cs="Times New Roman" w:eastAsia="Times New Roman" w:hAnsi="Times New Roman"/>
          <w:sz w:val="17"/>
          <w:szCs w:val="17"/>
          <w:color w:val="auto"/>
        </w:rPr>
        <w:t xml:space="preserve">Section 6.24. </w:t>
      </w:r>
      <w:r>
        <w:rPr>
          <w:rFonts w:ascii="Times New Roman" w:cs="Times New Roman" w:eastAsia="Times New Roman" w:hAnsi="Times New Roman"/>
          <w:sz w:val="17"/>
          <w:szCs w:val="17"/>
          <w:u w:val="single" w:color="auto"/>
          <w:color w:val="auto"/>
        </w:rPr>
        <w:t>Legal Requirements and Zoning</w:t>
      </w:r>
      <w:r>
        <w:rPr>
          <w:rFonts w:ascii="Times New Roman" w:cs="Times New Roman" w:eastAsia="Times New Roman" w:hAnsi="Times New Roman"/>
          <w:sz w:val="17"/>
          <w:szCs w:val="17"/>
          <w:color w:val="auto"/>
        </w:rPr>
        <w:t>. To Borrower’s knowledge, the use and operation of each Property owned by the Borrower and its Subsidiaries constitutes a legal use (including legally nonconforming use) under applicable zoning regulations (as the same may be modified by special use permits or the granting of variances) and complies in all material respects with all Legal Requirements, and does not violate in any material respect any approvals, restrictions of record or any material agreement affecting any such Property (or any portion thereof).</w:t>
      </w:r>
    </w:p>
    <w:p>
      <w:pPr>
        <w:spacing w:after="0" w:line="172"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Section 6.25. </w:t>
      </w:r>
      <w:r>
        <w:rPr>
          <w:rFonts w:ascii="Times New Roman" w:cs="Times New Roman" w:eastAsia="Times New Roman" w:hAnsi="Times New Roman"/>
          <w:sz w:val="17"/>
          <w:szCs w:val="17"/>
          <w:u w:val="single" w:color="auto"/>
          <w:color w:val="auto"/>
        </w:rPr>
        <w:t>No Defaults; Landlord is in Compliance with Leases</w:t>
      </w:r>
      <w:r>
        <w:rPr>
          <w:rFonts w:ascii="Times New Roman" w:cs="Times New Roman" w:eastAsia="Times New Roman" w:hAnsi="Times New Roman"/>
          <w:sz w:val="17"/>
          <w:szCs w:val="17"/>
          <w:color w:val="auto"/>
        </w:rPr>
        <w:t xml:space="preserve">. Except as disclosed to the Administrative Agent in writing in accordance with Section 8.5(l) hereof, none of the tenants </w:t>
      </w:r>
      <w:r>
        <w:rPr>
          <w:rFonts w:ascii="Times New Roman" w:cs="Times New Roman" w:eastAsia="Times New Roman" w:hAnsi="Times New Roman"/>
          <w:sz w:val="17"/>
          <w:szCs w:val="17"/>
          <w:color w:val="FF0000"/>
          <w:strike w:val="1"/>
        </w:rPr>
        <w:t>under Significant Leases on</w:t>
      </w:r>
      <w:r>
        <w:rPr>
          <w:rFonts w:ascii="Times New Roman" w:cs="Times New Roman" w:eastAsia="Times New Roman" w:hAnsi="Times New Roman"/>
          <w:sz w:val="17"/>
          <w:szCs w:val="17"/>
          <w:u w:val="single" w:color="auto"/>
          <w:color w:val="4472C4"/>
        </w:rPr>
        <w:t>occupying</w:t>
      </w:r>
      <w:r>
        <w:rPr>
          <w:rFonts w:ascii="Times New Roman" w:cs="Times New Roman" w:eastAsia="Times New Roman" w:hAnsi="Times New Roman"/>
          <w:sz w:val="17"/>
          <w:szCs w:val="17"/>
          <w:color w:val="auto"/>
        </w:rPr>
        <w:t xml:space="preserve"> Properties owned by the Borrower, Material Subsidiaries or any other Subsidiary of the Borrower are in default for a period in excess of sixty (60) days </w:t>
      </w:r>
      <w:r>
        <w:rPr>
          <w:rFonts w:ascii="Times New Roman" w:cs="Times New Roman" w:eastAsia="Times New Roman" w:hAnsi="Times New Roman"/>
          <w:sz w:val="17"/>
          <w:szCs w:val="17"/>
          <w:u w:val="single" w:color="auto"/>
          <w:color w:val="4472C4"/>
        </w:rPr>
        <w:t>or “materially past due”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4472C4"/>
        </w:rPr>
        <w:t>accordance with customary commercial practice)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on the monthly contractual rent payments.</w:t>
      </w:r>
    </w:p>
    <w:p>
      <w:pPr>
        <w:spacing w:after="0" w:line="170"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6.26.</w:t>
      </w:r>
      <w:r>
        <w:rPr>
          <w:sz w:val="20"/>
          <w:szCs w:val="20"/>
          <w:color w:val="auto"/>
        </w:rPr>
        <w:tab/>
      </w:r>
      <w:r>
        <w:rPr>
          <w:rFonts w:ascii="Times New Roman" w:cs="Times New Roman" w:eastAsia="Times New Roman" w:hAnsi="Times New Roman"/>
          <w:sz w:val="17"/>
          <w:szCs w:val="17"/>
          <w:u w:val="single" w:color="auto"/>
          <w:color w:val="auto"/>
        </w:rPr>
        <w:t>Affected Financial Institution</w:t>
      </w:r>
      <w:r>
        <w:rPr>
          <w:rFonts w:ascii="Times New Roman" w:cs="Times New Roman" w:eastAsia="Times New Roman" w:hAnsi="Times New Roman"/>
          <w:sz w:val="17"/>
          <w:szCs w:val="17"/>
          <w:color w:val="auto"/>
        </w:rPr>
        <w:t>. Neither Borrower nor any Subsidiary is an Affected Financial Institution.</w:t>
      </w:r>
    </w:p>
    <w:p>
      <w:pPr>
        <w:spacing w:after="0" w:line="222"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 xml:space="preserve">Section 6.27. </w:t>
      </w:r>
      <w:r>
        <w:rPr>
          <w:rFonts w:ascii="Times New Roman" w:cs="Times New Roman" w:eastAsia="Times New Roman" w:hAnsi="Times New Roman"/>
          <w:sz w:val="17"/>
          <w:szCs w:val="17"/>
          <w:u w:val="single" w:color="auto"/>
          <w:color w:val="auto"/>
        </w:rPr>
        <w:t>REIT Status</w:t>
      </w:r>
      <w:r>
        <w:rPr>
          <w:rFonts w:ascii="Times New Roman" w:cs="Times New Roman" w:eastAsia="Times New Roman" w:hAnsi="Times New Roman"/>
          <w:sz w:val="17"/>
          <w:szCs w:val="17"/>
          <w:color w:val="auto"/>
        </w:rPr>
        <w:t>. Parent has elected to be taxed as a REIT and will continue to operate in a manner so as to qualify as a REIT, and (b) will not revoke its election to be taxed as a REIT.</w:t>
      </w:r>
    </w:p>
    <w:p>
      <w:pPr>
        <w:spacing w:after="0" w:line="147"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6.28.</w:t>
      </w:r>
      <w:r>
        <w:rPr>
          <w:sz w:val="20"/>
          <w:szCs w:val="20"/>
          <w:color w:val="auto"/>
        </w:rPr>
        <w:tab/>
      </w:r>
      <w:r>
        <w:rPr>
          <w:rFonts w:ascii="Times New Roman" w:cs="Times New Roman" w:eastAsia="Times New Roman" w:hAnsi="Times New Roman"/>
          <w:sz w:val="17"/>
          <w:szCs w:val="17"/>
          <w:u w:val="single" w:color="auto"/>
          <w:color w:val="auto"/>
        </w:rPr>
        <w:t>Covered Entities</w:t>
      </w:r>
      <w:r>
        <w:rPr>
          <w:rFonts w:ascii="Times New Roman" w:cs="Times New Roman" w:eastAsia="Times New Roman" w:hAnsi="Times New Roman"/>
          <w:sz w:val="17"/>
          <w:szCs w:val="17"/>
          <w:color w:val="auto"/>
        </w:rPr>
        <w:t>. Borrower is not a Covered Entity.</w:t>
      </w:r>
    </w:p>
    <w:p>
      <w:pPr>
        <w:spacing w:after="0" w:line="22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7.</w:t>
      </w:r>
      <w:r>
        <w:rPr>
          <w:sz w:val="20"/>
          <w:szCs w:val="20"/>
          <w:color w:val="auto"/>
        </w:rPr>
        <w:tab/>
      </w:r>
      <w:r>
        <w:rPr>
          <w:rFonts w:ascii="Times New Roman" w:cs="Times New Roman" w:eastAsia="Times New Roman" w:hAnsi="Times New Roman"/>
          <w:sz w:val="17"/>
          <w:szCs w:val="17"/>
          <w:color w:val="auto"/>
        </w:rPr>
        <w:t>CONDITIONS PRECEDENT.</w:t>
      </w:r>
    </w:p>
    <w:p>
      <w:pPr>
        <w:spacing w:after="0" w:line="222"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7.1.</w:t>
      </w:r>
      <w:r>
        <w:rPr>
          <w:sz w:val="20"/>
          <w:szCs w:val="20"/>
          <w:color w:val="auto"/>
        </w:rPr>
        <w:tab/>
      </w:r>
      <w:r>
        <w:rPr>
          <w:rFonts w:ascii="Times New Roman" w:cs="Times New Roman" w:eastAsia="Times New Roman" w:hAnsi="Times New Roman"/>
          <w:sz w:val="17"/>
          <w:szCs w:val="17"/>
          <w:u w:val="single" w:color="auto"/>
          <w:color w:val="auto"/>
        </w:rPr>
        <w:t>All Borrowings</w:t>
      </w:r>
      <w:r>
        <w:rPr>
          <w:rFonts w:ascii="Times New Roman" w:cs="Times New Roman" w:eastAsia="Times New Roman" w:hAnsi="Times New Roman"/>
          <w:sz w:val="17"/>
          <w:szCs w:val="17"/>
          <w:color w:val="auto"/>
        </w:rPr>
        <w:t>. At the time of each Borrowing hereunder:</w:t>
      </w:r>
    </w:p>
    <w:p>
      <w:pPr>
        <w:spacing w:after="0" w:line="222" w:lineRule="exact"/>
        <w:rPr>
          <w:sz w:val="20"/>
          <w:szCs w:val="20"/>
          <w:color w:val="auto"/>
        </w:rPr>
      </w:pPr>
    </w:p>
    <w:p>
      <w:pPr>
        <w:jc w:val="both"/>
        <w:ind w:firstLine="1257"/>
        <w:spacing w:after="0" w:line="265" w:lineRule="auto"/>
        <w:tabs>
          <w:tab w:leader="none" w:pos="18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spacing w:after="0" w:line="172"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shall have occurred and be continuing or would occur as a result of such Borrowing and, after giving effect to such Borrowing, subject to</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color w:val="auto"/>
        </w:rPr>
        <w:t xml:space="preserve">Section 7.2(i), the Adjusted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Availability</w:t>
      </w:r>
      <w:r>
        <w:rPr>
          <w:rFonts w:ascii="Times New Roman" w:cs="Times New Roman" w:eastAsia="Times New Roman" w:hAnsi="Times New Roman"/>
          <w:sz w:val="17"/>
          <w:szCs w:val="17"/>
          <w:color w:val="auto"/>
        </w:rPr>
        <w:t xml:space="preserve"> as then determined and computed shall be no less than $0;</w:t>
      </w:r>
    </w:p>
    <w:p>
      <w:pPr>
        <w:spacing w:after="0" w:line="222" w:lineRule="exact"/>
        <w:rPr>
          <w:sz w:val="20"/>
          <w:szCs w:val="20"/>
          <w:color w:val="auto"/>
        </w:rPr>
      </w:pPr>
    </w:p>
    <w:p>
      <w:pPr>
        <w:ind w:left="1880" w:hanging="623"/>
        <w:spacing w:after="0"/>
        <w:tabs>
          <w:tab w:leader="none" w:pos="18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Borrowing the Administrative Agent shall have received the notice required by Section 1.6 hereof;</w:t>
      </w:r>
    </w:p>
    <w:p>
      <w:pPr>
        <w:spacing w:after="0" w:line="221"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Borrowing shall not violate any order, judgment or decree of any court or other authority or any provision of law or regulation applicable to the Administrative Agent or any Lender (including, without limitation, Regulation U of the Board of Governors of the Federal Reserve System) as then in effect; and</w:t>
      </w:r>
    </w:p>
    <w:p>
      <w:pPr>
        <w:spacing w:after="0" w:line="162"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Change of Control shall have occurred as a result of (i) the termination set forth in clause (c) of the definition “Change of Control” and (ii) the Borrower’s failure to cure such Change of Control by appointing a replacement chief executive officer of the Parent reasonably acceptable to the Administrative Agent within four (4) months.</w:t>
      </w:r>
    </w:p>
    <w:p>
      <w:pPr>
        <w:spacing w:after="0" w:line="163" w:lineRule="exact"/>
        <w:rPr>
          <w:sz w:val="20"/>
          <w:szCs w:val="20"/>
          <w:color w:val="auto"/>
        </w:rPr>
      </w:pPr>
    </w:p>
    <w:p>
      <w:pPr>
        <w:jc w:val="both"/>
        <w:ind w:firstLine="626"/>
        <w:spacing w:after="0" w:line="265" w:lineRule="auto"/>
        <w:rPr>
          <w:sz w:val="20"/>
          <w:szCs w:val="20"/>
          <w:color w:val="auto"/>
        </w:rPr>
      </w:pPr>
      <w:r>
        <w:rPr>
          <w:rFonts w:ascii="Times New Roman" w:cs="Times New Roman" w:eastAsia="Times New Roman" w:hAnsi="Times New Roman"/>
          <w:sz w:val="17"/>
          <w:szCs w:val="17"/>
          <w:color w:val="auto"/>
        </w:rPr>
        <w:t xml:space="preserve">Each request for a Borrowing hereunder shall be deemed to be a representation and warranty by the Borrower on the date of such Borrowing as to the facts specified in subsections (a) through (c), inclusive, of this Section 7.1;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Lenders may advance a Loan, in the sole discretion of the Lenders with Commitments, notwithstanding the failure of the Borrower to satisfy one or more of the conditions set forth above and any such advances so made shall not be deemed a waiver of any Default or Event of Default or other condition set forth above that may then exist.</w:t>
      </w:r>
    </w:p>
    <w:p>
      <w:pPr>
        <w:spacing w:after="0" w:line="170"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7.2.</w:t>
      </w:r>
      <w:r>
        <w:rPr>
          <w:sz w:val="20"/>
          <w:szCs w:val="20"/>
          <w:color w:val="auto"/>
        </w:rPr>
        <w:tab/>
      </w:r>
      <w:r>
        <w:rPr>
          <w:rFonts w:ascii="Times New Roman" w:cs="Times New Roman" w:eastAsia="Times New Roman" w:hAnsi="Times New Roman"/>
          <w:sz w:val="17"/>
          <w:szCs w:val="17"/>
          <w:u w:val="single" w:color="auto"/>
          <w:color w:val="auto"/>
        </w:rPr>
        <w:t>Closing Date Term Loan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Before or concurrently with the advance of the Closing Date Term Loans:</w:t>
      </w:r>
    </w:p>
    <w:p>
      <w:pPr>
        <w:spacing w:after="0" w:line="224" w:lineRule="exact"/>
        <w:rPr>
          <w:sz w:val="20"/>
          <w:szCs w:val="20"/>
          <w:color w:val="auto"/>
        </w:rPr>
      </w:pPr>
    </w:p>
    <w:p>
      <w:pPr>
        <w:ind w:firstLine="1257"/>
        <w:spacing w:after="0" w:line="294" w:lineRule="auto"/>
        <w:tabs>
          <w:tab w:leader="none" w:pos="187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this Agreement duly executed by the Borrower, Parent and the Material Subsidiaries, as Guarantors, and the Lenders.</w:t>
      </w:r>
    </w:p>
    <w:p>
      <w:pPr>
        <w:spacing w:after="0" w:line="146"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any Lender, the Administrative Agent shall have received for such Lender such Lender’s duly executed Note of the Borrower dated the date hereof and otherwise in compliance with the provisions of Section 1.10 hereof;</w:t>
      </w:r>
    </w:p>
    <w:p>
      <w:pPr>
        <w:spacing w:after="0" w:line="146"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copies of the Borrower’s, Parent’s and each Material Subsidiary’s articles of incorporation and bylaws (or comparable organizational documents) and any amendments thereto, certified in each instance by its Secretary or Assistant Secretary;</w:t>
      </w:r>
    </w:p>
    <w:p>
      <w:pPr>
        <w:spacing w:after="0" w:line="162" w:lineRule="exact"/>
        <w:rPr>
          <w:rFonts w:ascii="Times New Roman" w:cs="Times New Roman" w:eastAsia="Times New Roman" w:hAnsi="Times New Roman"/>
          <w:sz w:val="17"/>
          <w:szCs w:val="17"/>
          <w:color w:val="auto"/>
        </w:rPr>
      </w:pPr>
    </w:p>
    <w:p>
      <w:pPr>
        <w:jc w:val="both"/>
        <w:ind w:firstLine="1257"/>
        <w:spacing w:after="0" w:line="265" w:lineRule="auto"/>
        <w:tabs>
          <w:tab w:leader="none" w:pos="187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copies of resolutions of the Borrower’s, Parent’s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Parent’s and each Material Subsidiary’s behalf, all certified in each instance by its Secretary or Assistant Secretary or other Authorized Representative;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8"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20" w:name="page121"/>
    <w:bookmarkEnd w:id="120"/>
    <w:p>
      <w:pPr>
        <w:jc w:val="both"/>
        <w:ind w:firstLine="1257"/>
        <w:spacing w:after="0" w:line="268" w:lineRule="auto"/>
        <w:tabs>
          <w:tab w:leader="none" w:pos="187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copies of the certificates of good standing for the Borrower, Parent and each Material Subsidiary (dated no earlier than forty-five (45) days prior to the date hereof) from the office of the secretary of the state of its incorporation or organization and of each state in which it is required to the qualified to do business as a foreign corporation or organization under Sections 6.1 or 6.2;</w:t>
      </w:r>
    </w:p>
    <w:p>
      <w:pPr>
        <w:spacing w:after="0" w:line="169"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a list of the Borrower’s Authorized Representatives;</w:t>
      </w:r>
    </w:p>
    <w:p>
      <w:pPr>
        <w:spacing w:after="0" w:line="221"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the initial fees called for by Section 2.1 hereof;</w:t>
      </w:r>
    </w:p>
    <w:p>
      <w:pPr>
        <w:spacing w:after="0" w:line="221"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 and organizational structure of the Borrower and its Subsidiaries shall be reasonably satisfactory to the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Agent;</w:t>
      </w:r>
    </w:p>
    <w:p>
      <w:pPr>
        <w:spacing w:after="0" w:line="203" w:lineRule="exact"/>
        <w:rPr>
          <w:rFonts w:ascii="Times New Roman" w:cs="Times New Roman" w:eastAsia="Times New Roman" w:hAnsi="Times New Roman"/>
          <w:sz w:val="17"/>
          <w:szCs w:val="17"/>
          <w:color w:val="auto"/>
        </w:rPr>
      </w:pPr>
    </w:p>
    <w:p>
      <w:pPr>
        <w:jc w:val="both"/>
        <w:ind w:firstLine="1257"/>
        <w:spacing w:after="0" w:line="268" w:lineRule="auto"/>
        <w:tabs>
          <w:tab w:leader="none" w:pos="187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shall have received a </w:t>
      </w:r>
      <w:r>
        <w:rPr>
          <w:rFonts w:ascii="Times New Roman" w:cs="Times New Roman" w:eastAsia="Times New Roman" w:hAnsi="Times New Roman"/>
          <w:sz w:val="17"/>
          <w:szCs w:val="17"/>
          <w:u w:val="single" w:color="auto"/>
          <w:color w:val="4472C4"/>
        </w:rPr>
        <w:t>borrowing base certificate dated as of the</w:t>
      </w:r>
      <w:r>
        <w:rPr>
          <w:rFonts w:ascii="Times New Roman" w:cs="Times New Roman" w:eastAsia="Times New Roman" w:hAnsi="Times New Roman"/>
          <w:sz w:val="17"/>
          <w:szCs w:val="17"/>
          <w:color w:val="auto"/>
        </w:rPr>
        <w:t xml:space="preserve"> Closing Date </w:t>
      </w:r>
      <w:r>
        <w:rPr>
          <w:rFonts w:ascii="Times New Roman" w:cs="Times New Roman" w:eastAsia="Times New Roman" w:hAnsi="Times New Roman"/>
          <w:sz w:val="17"/>
          <w:szCs w:val="17"/>
          <w:color w:val="FF0000"/>
          <w:strike w:val="1"/>
        </w:rPr>
        <w:t>Borrowing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Base Certificate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which shall reflect the calculation of the adjusted borrowing base after giving effect to repayment of the advances under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Existing Credit Agreement with the proceeds of the Closing Date Term Loan, resulting in an adjusted borrowing base which shall be no less than $0;</w:t>
      </w:r>
    </w:p>
    <w:p>
      <w:pPr>
        <w:spacing w:after="0" w:line="169"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financing statement, tax, and judgment lien search results against each Eligible Property of the Borrower and each Material Subsidiary evidencing the absence of Liens on its Property except as Permitted Liens or as otherwise permitted by Section 8.8 hereof;</w:t>
      </w:r>
    </w:p>
    <w:p>
      <w:pPr>
        <w:spacing w:after="0" w:line="162"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a written opinion of counsel to the Borrower, Parent and each Material Subsidiary, in form and substance reasonably satisfactory to the Administrative Agent;</w:t>
      </w:r>
    </w:p>
    <w:p>
      <w:pPr>
        <w:spacing w:after="0" w:line="146"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a fully executed Internal Revenue Service Form W-9 for the Borrower; and the Administrative Agent and the Borrower shall have received the Internal Revenue Service Forms and any applicable attachments required by Section 12.1(b);</w:t>
      </w:r>
    </w:p>
    <w:p>
      <w:pPr>
        <w:spacing w:after="0" w:line="162"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such other agreements, instruments, documents, certificates, and opinions as the Administrative Agent may reasonably request;</w:t>
      </w:r>
    </w:p>
    <w:p>
      <w:pPr>
        <w:spacing w:after="0" w:line="146"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and any Lender shall have received any information or materials reasonably required by the Administrative Agent or such Lender in order to assist the Administrative Agent or such Lender in maintaining compliance with (i) the Patriot Act and (ii) any applicable </w:t>
      </w:r>
      <w:r>
        <w:rPr>
          <w:rFonts w:ascii="Times New Roman" w:cs="Times New Roman" w:eastAsia="Times New Roman" w:hAnsi="Times New Roman"/>
          <w:sz w:val="17"/>
          <w:szCs w:val="17"/>
          <w:i w:val="1"/>
          <w:iCs w:val="1"/>
          <w:color w:val="auto"/>
        </w:rPr>
        <w:t>“know your customer”</w:t>
      </w:r>
      <w:r>
        <w:rPr>
          <w:rFonts w:ascii="Times New Roman" w:cs="Times New Roman" w:eastAsia="Times New Roman" w:hAnsi="Times New Roman"/>
          <w:sz w:val="17"/>
          <w:szCs w:val="17"/>
          <w:color w:val="auto"/>
        </w:rPr>
        <w:t xml:space="preserve"> or similar rules and regulations;</w:t>
      </w:r>
    </w:p>
    <w:p>
      <w:pPr>
        <w:spacing w:after="0" w:line="162"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pay-off and lien release letters (except with respect to any Permitted Liens) from secured creditors of the Borrower and each Subsidiary setting forth, among other things, the total amount of indebtedness outstanding and owing to them (or outstanding letters of credit issued for the account of the Borrower or any</w:t>
      </w:r>
    </w:p>
    <w:p>
      <w:pPr>
        <w:spacing w:after="0" w:line="371"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21" w:name="page122"/>
    <w:bookmarkEnd w:id="121"/>
    <w:p>
      <w:pPr>
        <w:jc w:val="both"/>
        <w:spacing w:after="0" w:line="275" w:lineRule="auto"/>
        <w:rPr>
          <w:sz w:val="20"/>
          <w:szCs w:val="20"/>
          <w:color w:val="auto"/>
        </w:rPr>
      </w:pPr>
      <w:r>
        <w:rPr>
          <w:rFonts w:ascii="Times New Roman" w:cs="Times New Roman" w:eastAsia="Times New Roman" w:hAnsi="Times New Roman"/>
          <w:sz w:val="17"/>
          <w:szCs w:val="17"/>
          <w:color w:val="auto"/>
        </w:rPr>
        <w:t>Subsidiary) and containing an undertaking to cause to be delivered to the Administrative Agent UCC termination statements and any other lien release instruments necessary to release their Liens on the assets of the Borrower and each Subsidiary, which pay-off and lien release letters shall be in form and substance reasonably acceptable to the Administrative Agent;</w:t>
      </w:r>
    </w:p>
    <w:p>
      <w:pPr>
        <w:spacing w:after="0" w:line="163" w:lineRule="exact"/>
        <w:rPr>
          <w:sz w:val="20"/>
          <w:szCs w:val="20"/>
          <w:color w:val="auto"/>
        </w:rPr>
      </w:pPr>
    </w:p>
    <w:p>
      <w:pPr>
        <w:jc w:val="both"/>
        <w:ind w:firstLine="1257"/>
        <w:spacing w:after="0" w:line="275" w:lineRule="auto"/>
        <w:tabs>
          <w:tab w:leader="none" w:pos="187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secured creditors of the Borrower and each Subsidiary shall have deposited in escrow UCC termination statements and other lien release instruments necessary to release their Liens (other than Permitted Liens) on the assets of the Borrower and each Subsidiary; and</w:t>
      </w:r>
    </w:p>
    <w:p>
      <w:pPr>
        <w:spacing w:after="0" w:line="162"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five days prior to the Closing Date, if the Borrower qualifies as a “legal entity customer” under the Beneficial Ownership Regulation, the Borrower shall deliver a Beneficial Ownership Certification in relation to it.</w:t>
      </w:r>
    </w:p>
    <w:p>
      <w:pPr>
        <w:spacing w:after="0" w:line="145"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color w:val="FF0000"/>
          <w:strike w:val="1"/>
        </w:rPr>
        <w:t>Eligible Property</w:t>
      </w:r>
      <w:r>
        <w:rPr>
          <w:rFonts w:ascii="Times New Roman" w:cs="Times New Roman" w:eastAsia="Times New Roman" w:hAnsi="Times New Roman"/>
          <w:sz w:val="17"/>
          <w:szCs w:val="17"/>
          <w:u w:val="single" w:color="auto"/>
          <w:color w:val="4472C4"/>
        </w:rPr>
        <w:t>Unencumbered Assets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Additions and Deletions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 Pool</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As of the </w:t>
      </w:r>
      <w:r>
        <w:rPr>
          <w:rFonts w:ascii="Times New Roman" w:cs="Times New Roman" w:eastAsia="Times New Roman" w:hAnsi="Times New Roman"/>
          <w:sz w:val="17"/>
          <w:szCs w:val="17"/>
          <w:color w:val="FF0000"/>
          <w:strike w:val="1"/>
        </w:rPr>
        <w:t>Closing</w:t>
      </w:r>
      <w:r>
        <w:rPr>
          <w:rFonts w:ascii="Times New Roman" w:cs="Times New Roman" w:eastAsia="Times New Roman" w:hAnsi="Times New Roman"/>
          <w:sz w:val="17"/>
          <w:szCs w:val="17"/>
          <w:u w:val="single" w:color="auto"/>
          <w:color w:val="4472C4"/>
        </w:rPr>
        <w:t>Second Amendment Effective</w:t>
      </w:r>
      <w:r>
        <w:rPr>
          <w:rFonts w:ascii="Times New Roman" w:cs="Times New Roman" w:eastAsia="Times New Roman" w:hAnsi="Times New Roman"/>
          <w:sz w:val="17"/>
          <w:szCs w:val="17"/>
          <w:color w:val="auto"/>
        </w:rPr>
        <w:t xml:space="preserve"> Date, the Borrower represents and warrants to the Lenders and the Administrative Agent that the Initial Properties qualify as Eligible Properties and that the information provided on Schedule 1.1 is true and correct in all material respects.</w:t>
      </w:r>
    </w:p>
    <w:p>
      <w:pPr>
        <w:spacing w:after="0" w:line="162" w:lineRule="exact"/>
        <w:rPr>
          <w:sz w:val="20"/>
          <w:szCs w:val="20"/>
          <w:color w:val="auto"/>
        </w:rPr>
      </w:pPr>
    </w:p>
    <w:p>
      <w:pPr>
        <w:jc w:val="both"/>
        <w:ind w:firstLine="626"/>
        <w:spacing w:after="0" w:line="258" w:lineRule="auto"/>
        <w:rPr>
          <w:sz w:val="20"/>
          <w:szCs w:val="20"/>
          <w:color w:val="auto"/>
        </w:rPr>
      </w:pPr>
      <w:r>
        <w:rPr>
          <w:rFonts w:ascii="Times New Roman" w:cs="Times New Roman" w:eastAsia="Times New Roman" w:hAnsi="Times New Roman"/>
          <w:sz w:val="17"/>
          <w:szCs w:val="17"/>
          <w:color w:val="auto"/>
        </w:rPr>
        <w:t xml:space="preserve">Upon not less than 10 Business Days prior written notice from the Borrower to the Administrative Agent, the Borrower can designate that </w:t>
      </w:r>
      <w:r>
        <w:rPr>
          <w:rFonts w:ascii="Times New Roman" w:cs="Times New Roman" w:eastAsia="Times New Roman" w:hAnsi="Times New Roman"/>
          <w:sz w:val="17"/>
          <w:szCs w:val="17"/>
          <w:color w:val="FF0000"/>
          <w:strike w:val="1"/>
        </w:rPr>
        <w:t>a</w:t>
      </w:r>
      <w:r>
        <w:rPr>
          <w:rFonts w:ascii="Times New Roman" w:cs="Times New Roman" w:eastAsia="Times New Roman" w:hAnsi="Times New Roman"/>
          <w:sz w:val="17"/>
          <w:szCs w:val="17"/>
          <w:u w:val="single" w:color="auto"/>
          <w:color w:val="4472C4"/>
        </w:rPr>
        <w:t>an Eligible</w:t>
      </w:r>
      <w:r>
        <w:rPr>
          <w:rFonts w:ascii="Times New Roman" w:cs="Times New Roman" w:eastAsia="Times New Roman" w:hAnsi="Times New Roman"/>
          <w:sz w:val="17"/>
          <w:szCs w:val="17"/>
          <w:color w:val="auto"/>
        </w:rPr>
        <w:t xml:space="preserve"> Property be added (subject to the other requirements for a Property qualifying as an Eligible Property) or deleted as an </w:t>
      </w:r>
      <w:r>
        <w:rPr>
          <w:rFonts w:ascii="Times New Roman" w:cs="Times New Roman" w:eastAsia="Times New Roman" w:hAnsi="Times New Roman"/>
          <w:sz w:val="17"/>
          <w:szCs w:val="17"/>
          <w:color w:val="FF0000"/>
          <w:strike w:val="1"/>
        </w:rPr>
        <w:t>Eligible Property included in calculating the Borrowing Base and the Adjusted Borrowing Base, as applicable.</w:t>
      </w:r>
      <w:r>
        <w:rPr>
          <w:rFonts w:ascii="Times New Roman" w:cs="Times New Roman" w:eastAsia="Times New Roman" w:hAnsi="Times New Roman"/>
          <w:sz w:val="17"/>
          <w:szCs w:val="17"/>
          <w:u w:val="single" w:color="auto"/>
          <w:color w:val="4472C4"/>
        </w:rPr>
        <w:t>Unencumbered Asset.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Such</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notice shall be accompanied by a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certification that the applicable Property meets the requirements of an Eligible Property and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4472C4"/>
        </w:rPr>
        <w:t>a Compliance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Certificate setting forth the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components of</w:t>
      </w:r>
      <w:r>
        <w:rPr>
          <w:rFonts w:ascii="Times New Roman" w:cs="Times New Roman" w:eastAsia="Times New Roman" w:hAnsi="Times New Roman"/>
          <w:sz w:val="17"/>
          <w:szCs w:val="17"/>
          <w:u w:val="single" w:color="auto"/>
          <w:color w:val="4472C4"/>
        </w:rPr>
        <w:t>calculations evidencing compliance with</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the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u w:val="single" w:color="auto"/>
          <w:color w:val="4472C4"/>
        </w:rPr>
        <w:t>covenants set forth in</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u w:val="single" w:color="auto"/>
          <w:color w:val="4472C4"/>
        </w:rPr>
        <w:t>Section 8.20</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the Adjusted Borrowing Base, as applicable</w:t>
      </w:r>
      <w:r>
        <w:rPr>
          <w:rFonts w:ascii="Times New Roman" w:cs="Times New Roman" w:eastAsia="Times New Roman" w:hAnsi="Times New Roman"/>
          <w:sz w:val="17"/>
          <w:szCs w:val="17"/>
          <w:u w:val="single" w:color="auto"/>
          <w:color w:val="4472C4"/>
        </w:rPr>
        <w:t>8.21</w:t>
      </w:r>
      <w:r>
        <w:rPr>
          <w:rFonts w:ascii="Times New Roman" w:cs="Times New Roman" w:eastAsia="Times New Roman" w:hAnsi="Times New Roman"/>
          <w:sz w:val="17"/>
          <w:szCs w:val="17"/>
          <w:color w:val="000000"/>
        </w:rPr>
        <w:t>, as of the addition or deletion of the designated Property as an</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Eligible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Property</w:t>
      </w:r>
      <w:r>
        <w:rPr>
          <w:rFonts w:ascii="Times New Roman" w:cs="Times New Roman" w:eastAsia="Times New Roman" w:hAnsi="Times New Roman"/>
          <w:sz w:val="17"/>
          <w:szCs w:val="17"/>
          <w:u w:val="single" w:color="auto"/>
          <w:color w:val="4472C4"/>
        </w:rPr>
        <w:t>Unencumbered Asset</w:t>
      </w:r>
      <w:r>
        <w:rPr>
          <w:rFonts w:ascii="Times New Roman" w:cs="Times New Roman" w:eastAsia="Times New Roman" w:hAnsi="Times New Roman"/>
          <w:sz w:val="17"/>
          <w:szCs w:val="17"/>
          <w:color w:val="000000"/>
        </w:rPr>
        <w:t>, and with respect to a deletion, Borrower’s certification in such detail as reasonably required by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Administrative Agent that no Default or Event of Default exists under this Agreement and such deletion shall not (A) cause the </w:t>
      </w:r>
      <w:r>
        <w:rPr>
          <w:rFonts w:ascii="Times New Roman" w:cs="Times New Roman" w:eastAsia="Times New Roman" w:hAnsi="Times New Roman"/>
          <w:sz w:val="17"/>
          <w:szCs w:val="17"/>
          <w:color w:val="FF0000"/>
          <w:strike w:val="1"/>
        </w:rPr>
        <w:t>Eligible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FF0000"/>
          <w:strike w:val="1"/>
        </w:rPr>
        <w:t>Properties</w:t>
      </w:r>
      <w:r>
        <w:rPr>
          <w:rFonts w:ascii="Times New Roman" w:cs="Times New Roman" w:eastAsia="Times New Roman" w:hAnsi="Times New Roman"/>
          <w:sz w:val="17"/>
          <w:szCs w:val="17"/>
          <w:u w:val="single" w:color="auto"/>
          <w:color w:val="4472C4"/>
        </w:rPr>
        <w:t>Unencumbered Pool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to violate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 Pool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Requirements, (B) cause a Default, or (C) cause or result in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the Borrower failing to comply with any of the </w:t>
      </w:r>
      <w:r>
        <w:rPr>
          <w:rFonts w:ascii="Times New Roman" w:cs="Times New Roman" w:eastAsia="Times New Roman" w:hAnsi="Times New Roman"/>
          <w:sz w:val="17"/>
          <w:szCs w:val="17"/>
          <w:color w:val="FF0000"/>
          <w:strike w:val="1"/>
        </w:rPr>
        <w:t>financial</w:t>
      </w:r>
      <w:r>
        <w:rPr>
          <w:rFonts w:ascii="Times New Roman" w:cs="Times New Roman" w:eastAsia="Times New Roman" w:hAnsi="Times New Roman"/>
          <w:sz w:val="17"/>
          <w:szCs w:val="17"/>
          <w:color w:val="000000"/>
        </w:rPr>
        <w:t xml:space="preserve"> covenants contained in Section 8.20 </w:t>
      </w:r>
      <w:r>
        <w:rPr>
          <w:rFonts w:ascii="Times New Roman" w:cs="Times New Roman" w:eastAsia="Times New Roman" w:hAnsi="Times New Roman"/>
          <w:sz w:val="17"/>
          <w:szCs w:val="17"/>
          <w:u w:val="single" w:color="auto"/>
          <w:color w:val="4472C4"/>
        </w:rPr>
        <w:t>and 8.21</w:t>
      </w:r>
      <w:r>
        <w:rPr>
          <w:rFonts w:ascii="Times New Roman" w:cs="Times New Roman" w:eastAsia="Times New Roman" w:hAnsi="Times New Roman"/>
          <w:sz w:val="17"/>
          <w:szCs w:val="17"/>
          <w:color w:val="000000"/>
        </w:rPr>
        <w:t xml:space="preserve"> hereof. Each addition shall be an Eligible Property in a minimum amount equal to $500,000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of Unencumbered Asset</w:t>
      </w:r>
      <w:r>
        <w:rPr>
          <w:rFonts w:ascii="Times New Roman" w:cs="Times New Roman" w:eastAsia="Times New Roman" w:hAnsi="Times New Roman"/>
          <w:sz w:val="17"/>
          <w:szCs w:val="17"/>
          <w:color w:val="000000"/>
        </w:rPr>
        <w:t xml:space="preserve"> Value </w:t>
      </w:r>
      <w:r>
        <w:rPr>
          <w:rFonts w:ascii="Times New Roman" w:cs="Times New Roman" w:eastAsia="Times New Roman" w:hAnsi="Times New Roman"/>
          <w:sz w:val="17"/>
          <w:szCs w:val="17"/>
          <w:color w:val="FF0000"/>
          <w:strike w:val="1"/>
        </w:rPr>
        <w:t>or $500,000 Debt Service Coverage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FF0000"/>
          <w:strike w:val="1"/>
        </w:rPr>
        <w:t>Amount</w:t>
      </w:r>
      <w:r>
        <w:rPr>
          <w:rFonts w:ascii="Times New Roman" w:cs="Times New Roman" w:eastAsia="Times New Roman" w:hAnsi="Times New Roman"/>
          <w:sz w:val="17"/>
          <w:szCs w:val="17"/>
          <w:color w:val="000000"/>
        </w:rPr>
        <w:t>, or shall be comprised of more than one qualifying Eligible Properties that in the aggregate have a minimum amount equal to</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$1,000,000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of Unencumbered Asset</w:t>
      </w:r>
      <w:r>
        <w:rPr>
          <w:rFonts w:ascii="Times New Roman" w:cs="Times New Roman" w:eastAsia="Times New Roman" w:hAnsi="Times New Roman"/>
          <w:sz w:val="17"/>
          <w:szCs w:val="17"/>
          <w:color w:val="000000"/>
        </w:rPr>
        <w:t xml:space="preserve"> Value </w:t>
      </w:r>
      <w:r>
        <w:rPr>
          <w:rFonts w:ascii="Times New Roman" w:cs="Times New Roman" w:eastAsia="Times New Roman" w:hAnsi="Times New Roman"/>
          <w:sz w:val="17"/>
          <w:szCs w:val="17"/>
          <w:color w:val="FF0000"/>
          <w:strike w:val="1"/>
        </w:rPr>
        <w:t>or $1,000,000 Debt Service Coverage Amount and all such</w:t>
      </w:r>
      <w:r>
        <w:rPr>
          <w:rFonts w:ascii="Times New Roman" w:cs="Times New Roman" w:eastAsia="Times New Roman" w:hAnsi="Times New Roman"/>
          <w:sz w:val="17"/>
          <w:szCs w:val="17"/>
          <w:u w:val="single" w:color="auto"/>
          <w:color w:val="4472C4"/>
        </w:rPr>
        <w:t>. All</w:t>
      </w:r>
      <w:r>
        <w:rPr>
          <w:rFonts w:ascii="Times New Roman" w:cs="Times New Roman" w:eastAsia="Times New Roman" w:hAnsi="Times New Roman"/>
          <w:sz w:val="17"/>
          <w:szCs w:val="17"/>
          <w:color w:val="000000"/>
        </w:rPr>
        <w:t xml:space="preserve"> additions </w:t>
      </w:r>
      <w:r>
        <w:rPr>
          <w:rFonts w:ascii="Times New Roman" w:cs="Times New Roman" w:eastAsia="Times New Roman" w:hAnsi="Times New Roman"/>
          <w:sz w:val="17"/>
          <w:szCs w:val="17"/>
          <w:u w:val="single" w:color="auto"/>
          <w:color w:val="4472C4"/>
        </w:rPr>
        <w:t>of a</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4472C4"/>
        </w:rPr>
        <w:t>Property that does not satisfy the requirements to be an Eligible Property</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shall be subject to reasonable approval by the</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Administrative Agent.</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 xml:space="preserve">Borrower shall provide Administrative Agent with copies of all documentation related to the inclusion of an Eligible Property or a Subsidiary Guarantor which it provides to lenders under the Exisitng Credit Agreement simultaneously therewith </w:t>
      </w:r>
      <w:r>
        <w:rPr>
          <w:rFonts w:ascii="Times New Roman" w:cs="Times New Roman" w:eastAsia="Times New Roman" w:hAnsi="Times New Roman"/>
          <w:sz w:val="17"/>
          <w:szCs w:val="17"/>
          <w:u w:val="single" w:color="auto"/>
          <w:color w:val="4472C4"/>
          <w:strike w:val="1"/>
        </w:rPr>
        <w:t>Required Lenders</w:t>
      </w:r>
      <w:r>
        <w:rPr>
          <w:rFonts w:ascii="Times New Roman" w:cs="Times New Roman" w:eastAsia="Times New Roman" w:hAnsi="Times New Roman"/>
          <w:sz w:val="17"/>
          <w:szCs w:val="17"/>
          <w:color w:val="000000"/>
          <w:strike w:val="1"/>
        </w:rPr>
        <w:t>.</w:t>
      </w:r>
    </w:p>
    <w:p>
      <w:pPr>
        <w:spacing w:after="0" w:line="184"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 xml:space="preserve">If no Default exists at the time of any deletion of a Property from qualifying as an Eligible Property included in calculating the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Gross Availability</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and the Adjusted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22" w:name="page123"/>
    <w:bookmarkEnd w:id="122"/>
    <w:p>
      <w:pPr>
        <w:jc w:val="both"/>
        <w:spacing w:after="0" w:line="294" w:lineRule="auto"/>
        <w:rPr>
          <w:sz w:val="20"/>
          <w:szCs w:val="20"/>
          <w:color w:val="auto"/>
        </w:rPr>
      </w:pP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Availability</w:t>
      </w:r>
      <w:r>
        <w:rPr>
          <w:rFonts w:ascii="Times New Roman" w:cs="Times New Roman" w:eastAsia="Times New Roman" w:hAnsi="Times New Roman"/>
          <w:sz w:val="17"/>
          <w:szCs w:val="17"/>
          <w:color w:val="000000"/>
        </w:rPr>
        <w:t>, as applicable, any Material Subsidiary which owned such Property, but that does not otherwise own any other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Eligible Property, shall be released from its obligations under its Guaranty.</w:t>
      </w:r>
    </w:p>
    <w:p>
      <w:pPr>
        <w:spacing w:after="0" w:line="14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8.</w:t>
      </w:r>
      <w:r>
        <w:rPr>
          <w:sz w:val="20"/>
          <w:szCs w:val="20"/>
          <w:color w:val="auto"/>
        </w:rPr>
        <w:tab/>
      </w:r>
      <w:r>
        <w:rPr>
          <w:rFonts w:ascii="Times New Roman" w:cs="Times New Roman" w:eastAsia="Times New Roman" w:hAnsi="Times New Roman"/>
          <w:sz w:val="17"/>
          <w:szCs w:val="17"/>
          <w:color w:val="auto"/>
        </w:rPr>
        <w:t>COVENANTS.</w:t>
      </w:r>
    </w:p>
    <w:p>
      <w:pPr>
        <w:spacing w:after="0" w:line="222"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The Borrower agrees that, so long as any Loan is outstanding by the Borrower hereunder, except to the extent compliance in any case or cases is cured or waived in writing pursuant to the terms of Section 12.13 hereof:</w:t>
      </w:r>
    </w:p>
    <w:p>
      <w:pPr>
        <w:spacing w:after="0" w:line="145"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Maintenance of Existence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 The Borrower shall, and shall cause each Guarantor to, 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business except where such failure to preserve and keep in force and effect could not reasonably be expected to have a Material Adverse Effect.</w:t>
      </w:r>
    </w:p>
    <w:p>
      <w:pPr>
        <w:spacing w:after="0" w:line="172" w:lineRule="exact"/>
        <w:rPr>
          <w:sz w:val="20"/>
          <w:szCs w:val="20"/>
          <w:color w:val="auto"/>
        </w:rPr>
      </w:pPr>
    </w:p>
    <w:p>
      <w:pPr>
        <w:jc w:val="both"/>
        <w:ind w:firstLine="631"/>
        <w:spacing w:after="0" w:line="268" w:lineRule="auto"/>
        <w:tabs>
          <w:tab w:leader="none" w:pos="107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At least one class of common stock of Parent shall at all times be duly listed on the New York Stock Exchange, the NYSE American or The NASDAQ Stock Market and (b) the Parent shall timely file all reports required to be filed by it with the New York Stock Exchange, the NYSE American or The NASDAQ Stock Market, as applicable, and the Securities and Exchange Commission, unless such failure to timely file could not reasonably be expected to have a Material Adverse Effect.</w:t>
      </w:r>
    </w:p>
    <w:p>
      <w:pPr>
        <w:spacing w:after="0" w:line="168"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Maintenance of Properties, Agreements</w:t>
      </w:r>
      <w:r>
        <w:rPr>
          <w:rFonts w:ascii="Times New Roman" w:cs="Times New Roman" w:eastAsia="Times New Roman" w:hAnsi="Times New Roman"/>
          <w:sz w:val="17"/>
          <w:szCs w:val="17"/>
          <w:color w:val="auto"/>
        </w:rPr>
        <w:t xml:space="preserve">Maintenance of Properties, Agreements" \l 2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Borrower and each Guarantor shall cause each of its tenants to maintain, preserve, and keep all of the Borrower’s and each Guarantor’s Property in working condition and order (ordinary wear and tear excepted) in all material respects, and Borrower and each Guarantor shall from time to time make all needful and proper repairs, renewals, replacements, additions, and betterments to its Property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Parent in its business judgment or due to any breach by the other party thereto) and shall not modify or amend any material contract or agreement that would cause a Material Adverse Effect.</w:t>
      </w:r>
    </w:p>
    <w:p>
      <w:pPr>
        <w:spacing w:after="0" w:line="177"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Taxes and Assessment</w:t>
      </w:r>
      <w:r>
        <w:rPr>
          <w:rFonts w:ascii="Times New Roman" w:cs="Times New Roman" w:eastAsia="Times New Roman" w:hAnsi="Times New Roman"/>
          <w:sz w:val="17"/>
          <w:szCs w:val="17"/>
          <w:i w:val="1"/>
          <w:iCs w:val="1"/>
          <w:u w:val="single" w:color="auto"/>
          <w:color w:val="auto"/>
        </w:rPr>
        <w:t>s</w:t>
      </w:r>
      <w:r>
        <w:rPr>
          <w:rFonts w:ascii="Times New Roman" w:cs="Times New Roman" w:eastAsia="Times New Roman" w:hAnsi="Times New Roman"/>
          <w:sz w:val="17"/>
          <w:szCs w:val="17"/>
          <w:color w:val="auto"/>
        </w:rPr>
        <w:t>. The Borrower and each Guarantor shall, or shall cause its tenants to, duly pay and discharge all taxes, rates, assessments, fees, and governmental charges upon or against it or its Property,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spacing w:after="0" w:line="167"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Except where the Tenant of a Property shall maintain insurance pursuant to the terms of its Lease, the Borrower shall insure and keep insured, and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23" w:name="page124"/>
    <w:bookmarkEnd w:id="123"/>
    <w:p>
      <w:pPr>
        <w:jc w:val="both"/>
        <w:spacing w:after="0" w:line="262" w:lineRule="auto"/>
        <w:rPr>
          <w:sz w:val="20"/>
          <w:szCs w:val="20"/>
          <w:color w:val="auto"/>
        </w:rPr>
      </w:pPr>
      <w:r>
        <w:rPr>
          <w:rFonts w:ascii="Times New Roman" w:cs="Times New Roman" w:eastAsia="Times New Roman" w:hAnsi="Times New Roman"/>
          <w:sz w:val="17"/>
          <w:szCs w:val="17"/>
          <w:color w:val="auto"/>
        </w:rPr>
        <w:t>shall cause each Subsidiary to insure and keep insured, with 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and the Borrower shall insure, and shall cause each Subsidiary to insure, such other hazards and risks (including, without limitation, business interruption, employers’ and public liability risks) with good and responsible insurance companies as and to the extent usually insured by Persons similarly situated and conducting similar businesses. The Borrower shall, upon the reasonable request of the Administrative Agent, furnish to the Administrative Agent and the Lenders a certificate setting forth in summary form the nature and extent of the insurance maintained pursuant to this Section 8.4.</w:t>
      </w:r>
    </w:p>
    <w:p>
      <w:pPr>
        <w:spacing w:after="0" w:line="382"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Section 8.5. </w:t>
      </w:r>
      <w:r>
        <w:rPr>
          <w:rFonts w:ascii="Times New Roman" w:cs="Times New Roman" w:eastAsia="Times New Roman" w:hAnsi="Times New Roman"/>
          <w:sz w:val="17"/>
          <w:szCs w:val="17"/>
          <w:u w:val="single" w:color="auto"/>
          <w:color w:val="auto"/>
        </w:rPr>
        <w:t>Financial Reports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Borrower shall, and shall cause Parent and each Subsidiary to, maintain a standard system of accounting in accordance with GAAP and shall furnish to the Administrative Agent, each Lender and each of their duly authorized representatives such information respecting the business and financial condition of the Borrower and each Subsidiary as the Administrative Agent or such Lender may reasonably request; and without any request, shall furnish to the Administrative Agent for distribution to the Lenders:</w:t>
      </w:r>
    </w:p>
    <w:p>
      <w:pPr>
        <w:spacing w:after="0" w:line="381" w:lineRule="exact"/>
        <w:rPr>
          <w:sz w:val="20"/>
          <w:szCs w:val="20"/>
          <w:color w:val="auto"/>
        </w:rPr>
      </w:pPr>
    </w:p>
    <w:p>
      <w:pPr>
        <w:jc w:val="both"/>
        <w:ind w:firstLine="1257"/>
        <w:spacing w:after="0" w:line="260" w:lineRule="auto"/>
        <w:tabs>
          <w:tab w:leader="none" w:pos="187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soon as available, and in any event no later than ninety (90) days after the last day </w:t>
      </w:r>
      <w:r>
        <w:rPr>
          <w:rFonts w:ascii="Times New Roman" w:cs="Times New Roman" w:eastAsia="Times New Roman" w:hAnsi="Times New Roman"/>
          <w:sz w:val="17"/>
          <w:szCs w:val="17"/>
          <w:u w:val="single" w:color="auto"/>
          <w:color w:val="4472C4"/>
        </w:rPr>
        <w:t>of</w:t>
      </w:r>
      <w:r>
        <w:rPr>
          <w:rFonts w:ascii="Times New Roman" w:cs="Times New Roman" w:eastAsia="Times New Roman" w:hAnsi="Times New Roman"/>
          <w:sz w:val="17"/>
          <w:szCs w:val="17"/>
          <w:color w:val="auto"/>
        </w:rPr>
        <w:t xml:space="preserve"> each fiscal year of Parent, a copy of the consolidated and consolidating balance sheet of Parent and its Subsidiaries as of the last day of the fiscal year then ended and the consolidated and consolidating statements of income, retained earnings, and cash flows of Parent and its Subsidiaries for the fiscal year then ended, and accompanying notes thereto, each in reasonable detail showing in comparative form the figures for the previous fiscal year, accompanied by an unqualified opinion of independent public accountants of recognized national standing, selected by Parent and reasonably satisfactory to the Administrative Agent, to the effect that the consolidated financial statements have been prepared in accordance with GAAP and present fairly in accordance with GAAP the consolidated financial condition of Parent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w:t>
      </w:r>
    </w:p>
    <w:p>
      <w:pPr>
        <w:spacing w:after="0" w:line="177" w:lineRule="exact"/>
        <w:rPr>
          <w:rFonts w:ascii="Times New Roman" w:cs="Times New Roman" w:eastAsia="Times New Roman" w:hAnsi="Times New Roman"/>
          <w:sz w:val="17"/>
          <w:szCs w:val="17"/>
          <w:color w:val="auto"/>
        </w:rPr>
      </w:pPr>
    </w:p>
    <w:p>
      <w:pPr>
        <w:jc w:val="both"/>
        <w:ind w:firstLine="1257"/>
        <w:spacing w:after="0" w:line="268" w:lineRule="auto"/>
        <w:tabs>
          <w:tab w:leader="none" w:pos="187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spacing w:after="0" w:line="169" w:lineRule="exact"/>
        <w:rPr>
          <w:rFonts w:ascii="Times New Roman" w:cs="Times New Roman" w:eastAsia="Times New Roman" w:hAnsi="Times New Roman"/>
          <w:sz w:val="17"/>
          <w:szCs w:val="17"/>
          <w:color w:val="auto"/>
        </w:rPr>
      </w:pPr>
    </w:p>
    <w:p>
      <w:pPr>
        <w:jc w:val="both"/>
        <w:ind w:firstLine="1257"/>
        <w:spacing w:after="0" w:line="267" w:lineRule="auto"/>
        <w:tabs>
          <w:tab w:leader="none" w:pos="187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and in any event no later than forty-five (45) days after the last day of each fiscal quarter of each fiscal year of Parent</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4472C4"/>
        </w:rPr>
        <w:t>(or ninety (90) days after the last day of each fiscal year of Parent),</w:t>
      </w:r>
      <w:r>
        <w:rPr>
          <w:rFonts w:ascii="Times New Roman" w:cs="Times New Roman" w:eastAsia="Times New Roman" w:hAnsi="Times New Roman"/>
          <w:sz w:val="17"/>
          <w:szCs w:val="17"/>
          <w:color w:val="auto"/>
        </w:rPr>
        <w:t xml:space="preserve"> a copy of the consolidated and consolidating balance sheet of Parent and its Subsidiaries as of the last day of such fiscal quarter and the consolidated and consolidating statements of income, retained earnings, and cash flows of Parent and its Subsidiaries for the fiscal quarter and for the fiscal year-to-date period then ended, each in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7"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24" w:name="page125"/>
    <w:bookmarkEnd w:id="124"/>
    <w:p>
      <w:pPr>
        <w:jc w:val="both"/>
        <w:spacing w:after="0" w:line="275" w:lineRule="auto"/>
        <w:rPr>
          <w:sz w:val="20"/>
          <w:szCs w:val="20"/>
          <w:color w:val="auto"/>
        </w:rPr>
      </w:pPr>
      <w:r>
        <w:rPr>
          <w:rFonts w:ascii="Times New Roman" w:cs="Times New Roman" w:eastAsia="Times New Roman" w:hAnsi="Times New Roman"/>
          <w:sz w:val="17"/>
          <w:szCs w:val="17"/>
          <w:color w:val="auto"/>
        </w:rPr>
        <w:t>reasonable detail showing in comparative form the figures for the corresponding date and period in the previous fiscal year, prepared by Parent in accordance with GAAP (subject to the absence of footnote disclosures and year-end audit adjustments) and certified to by its chief financial officer or another officer of Parent reasonably acceptable to the Administrative Agent;</w:t>
      </w:r>
    </w:p>
    <w:p>
      <w:pPr>
        <w:spacing w:after="0" w:line="163" w:lineRule="exact"/>
        <w:rPr>
          <w:sz w:val="20"/>
          <w:szCs w:val="20"/>
          <w:color w:val="auto"/>
        </w:rPr>
      </w:pPr>
    </w:p>
    <w:p>
      <w:pPr>
        <w:ind w:left="1880" w:hanging="623"/>
        <w:spacing w:after="0"/>
        <w:tabs>
          <w:tab w:leader="none" w:pos="1880" w:val="left"/>
        </w:tabs>
        <w:numPr>
          <w:ilvl w:val="1"/>
          <w:numId w:val="6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as soon as available, and in any event within forty-five (45) days after the last day of each Fiscal Quarter (or ninety</w:t>
      </w:r>
    </w:p>
    <w:p>
      <w:pPr>
        <w:spacing w:after="0" w:line="31" w:lineRule="exact"/>
        <w:rPr>
          <w:rFonts w:ascii="Times New Roman" w:cs="Times New Roman" w:eastAsia="Times New Roman" w:hAnsi="Times New Roman"/>
          <w:sz w:val="17"/>
          <w:szCs w:val="17"/>
          <w:color w:val="FF0000"/>
          <w:strike w:val="1"/>
        </w:rPr>
      </w:pPr>
    </w:p>
    <w:p>
      <w:pPr>
        <w:jc w:val="both"/>
        <w:ind w:firstLine="5"/>
        <w:spacing w:after="0" w:line="264" w:lineRule="auto"/>
        <w:tabs>
          <w:tab w:leader="none" w:pos="341" w:val="left"/>
        </w:tabs>
        <w:numPr>
          <w:ilvl w:val="0"/>
          <w:numId w:val="67"/>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days after the last day of each Fiscal Year) a Borrowing Base Certificate showing the computation of the Borrowing Base in reasonable detail as of the close of business on the last day of such fiscal quarter, prepared by Parent and certified to by its chief financial officer or another officer of Parent acceptable to the Administrative Agent;</w:t>
      </w:r>
    </w:p>
    <w:p>
      <w:pPr>
        <w:spacing w:after="0" w:line="171"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4472C4"/>
        </w:rPr>
        <w:t>(d)​</w:t>
      </w:r>
      <w:r>
        <w:rPr>
          <w:sz w:val="20"/>
          <w:szCs w:val="20"/>
          <w:color w:val="auto"/>
        </w:rPr>
        <w:tab/>
      </w:r>
      <w:r>
        <w:rPr>
          <w:rFonts w:ascii="Times New Roman" w:cs="Times New Roman" w:eastAsia="Times New Roman" w:hAnsi="Times New Roman"/>
          <w:sz w:val="17"/>
          <w:szCs w:val="17"/>
          <w:u w:val="single" w:color="auto"/>
          <w:color w:val="4472C4"/>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11430</wp:posOffset>
            </wp:positionV>
            <wp:extent cx="14547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1454785" cy="825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-4445</wp:posOffset>
            </wp:positionV>
            <wp:extent cx="2692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202" w:lineRule="exact"/>
        <w:rPr>
          <w:sz w:val="20"/>
          <w:szCs w:val="20"/>
          <w:color w:val="auto"/>
        </w:rPr>
      </w:pPr>
    </w:p>
    <w:p>
      <w:pPr>
        <w:jc w:val="both"/>
        <w:ind w:firstLine="1257"/>
        <w:spacing w:after="0" w:line="263" w:lineRule="auto"/>
        <w:tabs>
          <w:tab w:leader="none" w:pos="187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each of the financial statements delivered pursuant to subsections (a) and (b) above, a Compliance Certificate (</w:t>
      </w:r>
      <w:r>
        <w:rPr>
          <w:rFonts w:ascii="Times New Roman" w:cs="Times New Roman" w:eastAsia="Times New Roman" w:hAnsi="Times New Roman"/>
          <w:sz w:val="17"/>
          <w:szCs w:val="17"/>
          <w:i w:val="1"/>
          <w:iCs w:val="1"/>
          <w:color w:val="auto"/>
        </w:rPr>
        <w:t>“Compliance Certificate”</w:t>
      </w:r>
      <w:r>
        <w:rPr>
          <w:rFonts w:ascii="Times New Roman" w:cs="Times New Roman" w:eastAsia="Times New Roman" w:hAnsi="Times New Roman"/>
          <w:sz w:val="17"/>
          <w:szCs w:val="17"/>
          <w:color w:val="auto"/>
        </w:rPr>
        <w:t>) in the form attached hereto as Exhibit E signed by the chief financial officer of Parent or another officer of Parent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w:t>
      </w:r>
    </w:p>
    <w:p>
      <w:pPr>
        <w:spacing w:after="0" w:line="383"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receipt thereof, any additional written reports, management letters or other detailed information contained in writing concerning significant aspects of Parent’s or any Subsidiary’s operations and financial affairs given to it by its independent public accountants;</w:t>
      </w:r>
    </w:p>
    <w:p>
      <w:pPr>
        <w:spacing w:after="0" w:line="162" w:lineRule="exact"/>
        <w:rPr>
          <w:rFonts w:ascii="Times New Roman" w:cs="Times New Roman" w:eastAsia="Times New Roman" w:hAnsi="Times New Roman"/>
          <w:sz w:val="17"/>
          <w:szCs w:val="17"/>
          <w:color w:val="auto"/>
        </w:rPr>
      </w:pPr>
    </w:p>
    <w:p>
      <w:pPr>
        <w:jc w:val="both"/>
        <w:ind w:firstLine="1257"/>
        <w:spacing w:after="0" w:line="268" w:lineRule="auto"/>
        <w:tabs>
          <w:tab w:leader="none" w:pos="187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sending or filing thereof, copies of each financial statement, report, notice or proxy statement sent by Parent or any Subsidiary to its stockholders or other equity holders, and upon written request from the Administrative Agent, copies of each regular, periodic or special report, registration statement or prospectus (including all Form 10-K, Form 10-Q and Form 8-K reports) filed by Parent or any Subsidiary with any securities exchange or the Securities and Exchange Commission or any successor agency;</w:t>
      </w:r>
    </w:p>
    <w:p>
      <w:pPr>
        <w:spacing w:after="0" w:line="169"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receipt thereof, a copy of each audit made by any regulatory agency of the books and records of Parent or any Subsidiary or of notice of any material noncompliance with any applicable law, regulation or guideline relating to Parent or any Subsidiary, or their respective businesses;</w:t>
      </w:r>
    </w:p>
    <w:p>
      <w:pPr>
        <w:spacing w:after="0" w:line="162"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4472C4"/>
        </w:rPr>
        <w:t>[</w:t>
      </w:r>
      <w:r>
        <w:rPr>
          <w:rFonts w:ascii="Times New Roman" w:cs="Times New Roman" w:eastAsia="Times New Roman" w:hAnsi="Times New Roman"/>
          <w:sz w:val="17"/>
          <w:szCs w:val="17"/>
          <w:color w:val="000000"/>
        </w:rPr>
        <w:t>Intentionally</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Deleted;</w:t>
      </w:r>
      <w:r>
        <w:rPr>
          <w:rFonts w:ascii="Times New Roman" w:cs="Times New Roman" w:eastAsia="Times New Roman" w:hAnsi="Times New Roman"/>
          <w:sz w:val="17"/>
          <w:szCs w:val="17"/>
          <w:u w:val="single" w:color="auto"/>
          <w:color w:val="4472C4"/>
        </w:rPr>
        <w:t>Omitted];</w:t>
      </w:r>
    </w:p>
    <w:p>
      <w:pPr>
        <w:spacing w:after="0" w:line="221"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any Change of Control;</w:t>
      </w:r>
    </w:p>
    <w:p>
      <w:pPr>
        <w:spacing w:after="0" w:line="221"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knowledge thereof shall have come to the attention of any Responsible Officer of Parent, written notice of (i) any threatened (in writing) or pending litigation or governmental or arbitration proceeding or labor controversy against Parent or any Subsidiary or any of their Property which could reasonably be expected to have a Material Adverse Effect,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8"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25" w:name="page126"/>
    <w:bookmarkEnd w:id="125"/>
    <w:p>
      <w:pPr>
        <w:jc w:val="both"/>
        <w:ind w:firstLine="5"/>
        <w:spacing w:after="0" w:line="275" w:lineRule="auto"/>
        <w:tabs>
          <w:tab w:leader="none" w:pos="25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matter which could reasonably be expected to have a Material Adverse Effect, (iii) the occurrence of any Default or Event of Default hereunder or (iv) any change in the information provided in the Beneficial Ownership Certification that would result in a change to the list of beneficial owners identified in of such certification;</w:t>
      </w:r>
    </w:p>
    <w:p>
      <w:pPr>
        <w:spacing w:after="0" w:line="162" w:lineRule="exact"/>
        <w:rPr>
          <w:rFonts w:ascii="Times New Roman" w:cs="Times New Roman" w:eastAsia="Times New Roman" w:hAnsi="Times New Roman"/>
          <w:sz w:val="17"/>
          <w:szCs w:val="17"/>
          <w:color w:val="auto"/>
        </w:rPr>
      </w:pPr>
    </w:p>
    <w:p>
      <w:pPr>
        <w:jc w:val="both"/>
        <w:ind w:firstLine="1257"/>
        <w:spacing w:after="0" w:line="265" w:lineRule="auto"/>
        <w:tabs>
          <w:tab w:leader="none" w:pos="187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forty-five (45) days of the end of each of the first three (3) fiscal quarters and within 90 days after the close of the last fiscal quarter of the year (i) a list of all newly formed or acquired Subsidiaries during such quarter (such list shall contain the information relative to such new Subsidiaries as set forth in Schedule 6.2 hereto); </w:t>
      </w:r>
      <w:r>
        <w:rPr>
          <w:rFonts w:ascii="Times New Roman" w:cs="Times New Roman" w:eastAsia="Times New Roman" w:hAnsi="Times New Roman"/>
          <w:sz w:val="17"/>
          <w:szCs w:val="17"/>
          <w:u w:val="single" w:color="auto"/>
          <w:color w:val="4472C4"/>
        </w:rPr>
        <w:t>and</w:t>
      </w:r>
      <w:r>
        <w:rPr>
          <w:rFonts w:ascii="Times New Roman" w:cs="Times New Roman" w:eastAsia="Times New Roman" w:hAnsi="Times New Roman"/>
          <w:sz w:val="17"/>
          <w:szCs w:val="17"/>
          <w:color w:val="auto"/>
        </w:rPr>
        <w:t xml:space="preserve"> (ii) a copy of any notice of a material default by the Borrower or any Guarantor from any ground lessor </w:t>
      </w:r>
      <w:r>
        <w:rPr>
          <w:rFonts w:ascii="Times New Roman" w:cs="Times New Roman" w:eastAsia="Times New Roman" w:hAnsi="Times New Roman"/>
          <w:sz w:val="17"/>
          <w:szCs w:val="17"/>
          <w:color w:val="FF0000"/>
          <w:strike w:val="1"/>
        </w:rPr>
        <w:t>under a Significant Lease</w:t>
      </w:r>
      <w:r>
        <w:rPr>
          <w:rFonts w:ascii="Times New Roman" w:cs="Times New Roman" w:eastAsia="Times New Roman" w:hAnsi="Times New Roman"/>
          <w:sz w:val="17"/>
          <w:szCs w:val="17"/>
          <w:color w:val="auto"/>
        </w:rPr>
        <w:t xml:space="preserve"> during such quarter </w:t>
      </w:r>
      <w:r>
        <w:rPr>
          <w:rFonts w:ascii="Times New Roman" w:cs="Times New Roman" w:eastAsia="Times New Roman" w:hAnsi="Times New Roman"/>
          <w:sz w:val="17"/>
          <w:szCs w:val="17"/>
          <w:color w:val="FF0000"/>
          <w:strike w:val="1"/>
        </w:rPr>
        <w:t>and (iii) a schedule showing for such quarter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any Significant Lease that was or is continuing to be in default with respect to monthly contractual rent payments in excess of 60 days</w:t>
      </w:r>
      <w:r>
        <w:rPr>
          <w:rFonts w:ascii="Times New Roman" w:cs="Times New Roman" w:eastAsia="Times New Roman" w:hAnsi="Times New Roman"/>
          <w:sz w:val="17"/>
          <w:szCs w:val="17"/>
          <w:color w:val="000000"/>
        </w:rPr>
        <w:t>;</w:t>
      </w:r>
    </w:p>
    <w:p>
      <w:pPr>
        <w:spacing w:after="0" w:line="172"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knowledge thereof shall have come to the attention of any Responsible Officer of Parent, written notice to each Lender if amounts payable under a Lease of any Eligible Property or portion thereof included in the </w:t>
      </w:r>
      <w:r>
        <w:rPr>
          <w:rFonts w:ascii="Times New Roman" w:cs="Times New Roman" w:eastAsia="Times New Roman" w:hAnsi="Times New Roman"/>
          <w:sz w:val="17"/>
          <w:szCs w:val="17"/>
          <w:color w:val="FF0000"/>
          <w:strike w:val="1"/>
        </w:rPr>
        <w:t>Borrowing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Base</w:t>
      </w:r>
      <w:r>
        <w:rPr>
          <w:rFonts w:ascii="Times New Roman" w:cs="Times New Roman" w:eastAsia="Times New Roman" w:hAnsi="Times New Roman"/>
          <w:sz w:val="17"/>
          <w:szCs w:val="17"/>
          <w:u w:val="single" w:color="auto"/>
          <w:color w:val="4472C4"/>
        </w:rPr>
        <w:t>Unencumbered Asset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Value is more than sixty (60) days past due; and</w:t>
      </w:r>
    </w:p>
    <w:p>
      <w:pPr>
        <w:spacing w:after="0" w:line="162"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request of any Lender, any other information or report reasonably requested by a Lender.</w:t>
      </w:r>
    </w:p>
    <w:p>
      <w:pPr>
        <w:spacing w:after="0" w:line="220"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to the extent such items set forth above are filed with the Securities and Exchange Commission or otherwise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publicly available, the Borrower shall be deemed to have satisfied this covenant once it provides notice to the Administrative Agent of such availability.</w:t>
      </w:r>
    </w:p>
    <w:p>
      <w:pPr>
        <w:spacing w:after="0" w:line="162" w:lineRule="exact"/>
        <w:rPr>
          <w:sz w:val="20"/>
          <w:szCs w:val="20"/>
          <w:color w:val="auto"/>
        </w:rPr>
      </w:pPr>
    </w:p>
    <w:p>
      <w:pPr>
        <w:ind w:firstLine="626"/>
        <w:spacing w:after="0" w:line="260" w:lineRule="auto"/>
        <w:rPr>
          <w:sz w:val="20"/>
          <w:szCs w:val="20"/>
          <w:color w:val="auto"/>
        </w:rPr>
      </w:pPr>
      <w:r>
        <w:rPr>
          <w:rFonts w:ascii="Times New Roman" w:cs="Times New Roman" w:eastAsia="Times New Roman" w:hAnsi="Times New Roman"/>
          <w:sz w:val="17"/>
          <w:szCs w:val="17"/>
          <w:color w:val="auto"/>
        </w:rPr>
        <w:t xml:space="preserve">Section 8.6. </w:t>
      </w:r>
      <w:r>
        <w:rPr>
          <w:rFonts w:ascii="Times New Roman" w:cs="Times New Roman" w:eastAsia="Times New Roman" w:hAnsi="Times New Roman"/>
          <w:sz w:val="17"/>
          <w:szCs w:val="17"/>
          <w:u w:val="single" w:color="auto"/>
          <w:color w:val="auto"/>
        </w:rPr>
        <w:t>Inspection</w:t>
      </w:r>
      <w:r>
        <w:rPr>
          <w:rFonts w:ascii="Times New Roman" w:cs="Times New Roman" w:eastAsia="Times New Roman" w:hAnsi="Times New Roman"/>
          <w:sz w:val="17"/>
          <w:szCs w:val="17"/>
          <w:color w:val="auto"/>
        </w:rPr>
        <w:t>. The Borrower shall, and shall cause Parent and each Subsidiary to, permit the Administrative Agent, each Lender and each of their duly authorized representatives and agents during normal business hours to visit and inspect any of its Property, corporate books, and financial records, to examine and make copies of its books of accounts and other financial records (which 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Parent hereby authorizes such accountants with Parent present to discuss with the Administrative Agent and such Lenders the finances and affairs of the Parent and its Subsidiaries) at such reasonable times and intervals as the Administrative Agent or any such Lender may designate and, so long as no Default or Event of Default exists, with reasonable prior notice to Parent. The Administrative Agent, and Lenders shall use reasonable efforts to coordinate inspections undertaken in accordance with this Section 8.6 to reduce the administrative burden of such inspections on the Parent and their Subsidiaries.</w:t>
      </w:r>
    </w:p>
    <w:p>
      <w:pPr>
        <w:spacing w:after="0" w:line="175" w:lineRule="exact"/>
        <w:rPr>
          <w:sz w:val="20"/>
          <w:szCs w:val="20"/>
          <w:color w:val="auto"/>
        </w:rPr>
      </w:pPr>
    </w:p>
    <w:p>
      <w:pPr>
        <w:jc w:val="both"/>
        <w:ind w:firstLine="626"/>
        <w:spacing w:after="0" w:line="288" w:lineRule="auto"/>
        <w:rPr>
          <w:sz w:val="20"/>
          <w:szCs w:val="20"/>
          <w:color w:val="auto"/>
        </w:rPr>
      </w:pPr>
      <w:r>
        <w:rPr>
          <w:rFonts w:ascii="Times New Roman" w:cs="Times New Roman" w:eastAsia="Times New Roman" w:hAnsi="Times New Roman"/>
          <w:sz w:val="17"/>
          <w:szCs w:val="17"/>
          <w:color w:val="auto"/>
        </w:rPr>
        <w:t xml:space="preserve">Section 8.7. </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Borrower shall not, nor shall it permit any Subsidiary to, create, incur or permit to exist any Lien of any kind on any Property owned by any such Person;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foregoing shall not apply to nor operate to prevent any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26" w:name="page127"/>
    <w:bookmarkEnd w:id="126"/>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 xml:space="preserve">Section 8.8. </w:t>
      </w:r>
      <w:r>
        <w:rPr>
          <w:rFonts w:ascii="Times New Roman" w:cs="Times New Roman" w:eastAsia="Times New Roman" w:hAnsi="Times New Roman"/>
          <w:sz w:val="17"/>
          <w:szCs w:val="17"/>
          <w:u w:val="single" w:color="auto"/>
          <w:color w:val="auto"/>
        </w:rPr>
        <w:t>Investments, Acquisitions, Loans and Advances</w:t>
      </w:r>
      <w:r>
        <w:rPr>
          <w:rFonts w:ascii="Times New Roman" w:cs="Times New Roman" w:eastAsia="Times New Roman" w:hAnsi="Times New Roman"/>
          <w:sz w:val="17"/>
          <w:szCs w:val="17"/>
          <w:color w:val="auto"/>
        </w:rPr>
        <w:t xml:space="preserve">. The Borrower shall not, nor shall it permit any Subsidiary to (i) directly or indirectly, make, retain or have outstanding any of the following any investments (whether through the purchase of stock or obligations or otherwise) in any Person, real property or improvements on real property, or any loans, advances, lines of credit, mortgage loans or other financings (including pursuant to sale/leaseback transactions) to any other Person, or (ii) acquire any real property, improvements on real property or all or any substantial part of the assets or business of any other Person or division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however, </w:t>
      </w:r>
      <w:r>
        <w:rPr>
          <w:rFonts w:ascii="Times New Roman" w:cs="Times New Roman" w:eastAsia="Times New Roman" w:hAnsi="Times New Roman"/>
          <w:sz w:val="17"/>
          <w:szCs w:val="17"/>
          <w:color w:val="auto"/>
        </w:rPr>
        <w:t>that the foregoing shall not apply to nor operate to prevent, with respect to the Borrower or any Subsidiary, any of the following:</w:t>
      </w:r>
    </w:p>
    <w:p>
      <w:pPr>
        <w:spacing w:after="0" w:line="175" w:lineRule="exact"/>
        <w:rPr>
          <w:sz w:val="20"/>
          <w:szCs w:val="20"/>
          <w:color w:val="auto"/>
        </w:rPr>
      </w:pPr>
    </w:p>
    <w:p>
      <w:pPr>
        <w:jc w:val="both"/>
        <w:ind w:firstLine="1257"/>
        <w:spacing w:after="0" w:line="275" w:lineRule="auto"/>
        <w:tabs>
          <w:tab w:leader="none" w:pos="187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spacing w:after="0" w:line="162"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commercial paper with a Rating of at least P-1 by Moody’s and at least A-1 by S&amp;P maturing within one (1) year of the date of issuance thereof;</w:t>
      </w:r>
    </w:p>
    <w:p>
      <w:pPr>
        <w:spacing w:after="0" w:line="146"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bearing assets or investments in certificates of deposit issued by any Lender or by any United States commercial bank having capital and surplus of not less than $100,000,000 which have a maturity of one (1) year or less;</w:t>
      </w:r>
    </w:p>
    <w:p>
      <w:pPr>
        <w:spacing w:after="0" w:line="146" w:lineRule="exact"/>
        <w:rPr>
          <w:rFonts w:ascii="Times New Roman" w:cs="Times New Roman" w:eastAsia="Times New Roman" w:hAnsi="Times New Roman"/>
          <w:sz w:val="17"/>
          <w:szCs w:val="17"/>
          <w:color w:val="auto"/>
        </w:rPr>
      </w:pPr>
    </w:p>
    <w:p>
      <w:pPr>
        <w:jc w:val="both"/>
        <w:ind w:firstLine="1257"/>
        <w:spacing w:after="0" w:line="268" w:lineRule="auto"/>
        <w:tabs>
          <w:tab w:leader="none" w:pos="187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spacing w:after="0" w:line="169"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money market funds that invest solely, and which are restricted by their respective charters to invest solely, in investments of the type described in the immediately preceding subsections (a), (b), (c), and (d) above;</w:t>
      </w:r>
    </w:p>
    <w:p>
      <w:pPr>
        <w:spacing w:after="0" w:line="146"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Borrower’s investments from time to time in its Subsidiaries, and investments made from time to time by a Subsidiary in one or more of its Subsidiaries;</w:t>
      </w:r>
    </w:p>
    <w:p>
      <w:pPr>
        <w:spacing w:after="0" w:line="146"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advances made from time to time among the Borrower and its Subsidiaries in the ordinary course of business to finance working capital needs;</w:t>
      </w:r>
    </w:p>
    <w:p>
      <w:pPr>
        <w:spacing w:after="0" w:line="146"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from time to time in individual Properties, including Eligible Properties, or in entities which own such individual Properties, including Eligible Properties, provided that such investment does not cause a breach of the financial covenants set forth in Section 8.20 hereof;</w:t>
      </w:r>
    </w:p>
    <w:p>
      <w:pPr>
        <w:spacing w:after="0" w:line="162"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70"/>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cash investments in joint ventures in an amount not to exceed in the aggregate at any one time outstanding 10% of the Total Asset Value of Parent and its Subsidiaries at such time;</w:t>
      </w:r>
    </w:p>
    <w:p>
      <w:pPr>
        <w:spacing w:after="0" w:line="200" w:lineRule="exact"/>
        <w:rPr>
          <w:rFonts w:ascii="Times New Roman" w:cs="Times New Roman" w:eastAsia="Times New Roman" w:hAnsi="Times New Roman"/>
          <w:sz w:val="17"/>
          <w:szCs w:val="17"/>
          <w:color w:val="FF0000"/>
          <w:strike w:val="1"/>
        </w:rPr>
      </w:pPr>
    </w:p>
    <w:p>
      <w:pPr>
        <w:spacing w:after="0" w:line="200" w:lineRule="exact"/>
        <w:rPr>
          <w:rFonts w:ascii="Times New Roman" w:cs="Times New Roman" w:eastAsia="Times New Roman" w:hAnsi="Times New Roman"/>
          <w:sz w:val="17"/>
          <w:szCs w:val="17"/>
          <w:color w:val="FF0000"/>
          <w:strike w:val="1"/>
        </w:rPr>
      </w:pPr>
    </w:p>
    <w:p>
      <w:pPr>
        <w:spacing w:after="0" w:line="372" w:lineRule="exact"/>
        <w:rPr>
          <w:rFonts w:ascii="Times New Roman" w:cs="Times New Roman" w:eastAsia="Times New Roman" w:hAnsi="Times New Roman"/>
          <w:sz w:val="17"/>
          <w:szCs w:val="17"/>
          <w:color w:val="FF0000"/>
          <w:strike w:val="1"/>
        </w:rPr>
      </w:pPr>
    </w:p>
    <w:p>
      <w:pPr>
        <w:ind w:left="4880" w:hanging="104"/>
        <w:spacing w:after="0"/>
        <w:tabs>
          <w:tab w:leader="none" w:pos="4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27" w:name="page128"/>
    <w:bookmarkEnd w:id="127"/>
    <w:p>
      <w:pPr>
        <w:ind w:firstLine="1257"/>
        <w:spacing w:after="0" w:line="294" w:lineRule="auto"/>
        <w:tabs>
          <w:tab w:leader="none" w:pos="1878" w:val="left"/>
        </w:tabs>
        <w:numPr>
          <w:ilvl w:val="0"/>
          <w:numId w:val="7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investments in Assets Under Development in an amount not to exceed in the aggregate at any one time outstanding 10% of the Total Asset Value of Parent and its Subsidiaries at such time; and</w:t>
      </w:r>
    </w:p>
    <w:p>
      <w:pPr>
        <w:spacing w:after="0" w:line="147" w:lineRule="exact"/>
        <w:rPr>
          <w:sz w:val="20"/>
          <w:szCs w:val="20"/>
          <w:color w:val="auto"/>
        </w:rPr>
      </w:pPr>
    </w:p>
    <w:p>
      <w:pPr>
        <w:jc w:val="both"/>
        <w:ind w:firstLine="1252"/>
        <w:spacing w:after="0" w:line="268" w:lineRule="auto"/>
        <w:rPr>
          <w:sz w:val="20"/>
          <w:szCs w:val="20"/>
          <w:color w:val="auto"/>
        </w:rPr>
      </w:pPr>
      <w:r>
        <w:rPr>
          <w:rFonts w:ascii="Times New Roman" w:cs="Times New Roman" w:eastAsia="Times New Roman" w:hAnsi="Times New Roman"/>
          <w:sz w:val="17"/>
          <w:szCs w:val="17"/>
          <w:color w:val="4472C4"/>
        </w:rPr>
        <w:t xml:space="preserve">(i)​ </w:t>
      </w:r>
      <w:r>
        <w:rPr>
          <w:rFonts w:ascii="Times New Roman" w:cs="Times New Roman" w:eastAsia="Times New Roman" w:hAnsi="Times New Roman"/>
          <w:sz w:val="17"/>
          <w:szCs w:val="17"/>
          <w:u w:val="single" w:color="auto"/>
          <w:color w:val="4472C4"/>
        </w:rPr>
        <w:t>investments in (x) corporate debt issued by any real estate company or real estate investment trust and (y) Stock or</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u w:val="single" w:color="auto"/>
          <w:color w:val="4472C4"/>
        </w:rPr>
        <w:t>Stock Equivalents issued by any real estate company or real estate investment trust, so long as in each case the real estate company or real estate investment trust is listed on the New York Stock Exchange, the NYSE American or The NASDAQ Stock Market (investments described in this clause (y), collectively, “Public Investments”);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-417830</wp:posOffset>
            </wp:positionV>
            <wp:extent cx="55003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5500370" cy="8255"/>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-434340</wp:posOffset>
            </wp:positionV>
            <wp:extent cx="2946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294640" cy="8255"/>
                    </a:xfrm>
                    <a:prstGeom prst="rect">
                      <a:avLst/>
                    </a:prstGeom>
                    <a:noFill/>
                  </pic:spPr>
                </pic:pic>
              </a:graphicData>
            </a:graphic>
          </wp:anchor>
        </w:drawing>
      </w:r>
    </w:p>
    <w:p>
      <w:pPr>
        <w:spacing w:after="0" w:line="148" w:lineRule="exact"/>
        <w:rPr>
          <w:sz w:val="20"/>
          <w:szCs w:val="20"/>
          <w:color w:val="auto"/>
        </w:rPr>
      </w:pPr>
    </w:p>
    <w:p>
      <w:pPr>
        <w:jc w:val="both"/>
        <w:ind w:firstLine="1252"/>
        <w:spacing w:after="0" w:line="276" w:lineRule="auto"/>
        <w:rPr>
          <w:sz w:val="20"/>
          <w:szCs w:val="20"/>
          <w:color w:val="auto"/>
        </w:rPr>
      </w:pPr>
      <w:r>
        <w:rPr>
          <w:rFonts w:ascii="Times New Roman" w:cs="Times New Roman" w:eastAsia="Times New Roman" w:hAnsi="Times New Roman"/>
          <w:sz w:val="17"/>
          <w:szCs w:val="17"/>
          <w:color w:val="FF0000"/>
          <w:strike w:val="1"/>
        </w:rPr>
        <w:t>(k</w:t>
      </w:r>
      <w:r>
        <w:rPr>
          <w:rFonts w:ascii="Times New Roman" w:cs="Times New Roman" w:eastAsia="Times New Roman" w:hAnsi="Times New Roman"/>
          <w:sz w:val="17"/>
          <w:szCs w:val="17"/>
          <w:color w:val="4472C4"/>
          <w:strike w:val="1"/>
        </w:rPr>
        <w:t>)</w:t>
      </w:r>
      <w:r>
        <w:rPr>
          <w:rFonts w:ascii="Times New Roman" w:cs="Times New Roman" w:eastAsia="Times New Roman" w:hAnsi="Times New Roman"/>
          <w:sz w:val="17"/>
          <w:szCs w:val="17"/>
          <w:u w:val="single" w:color="auto"/>
          <w:color w:val="4472C4"/>
        </w:rPr>
        <w:t>(j)</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repurchases (including tender offers (</w:t>
      </w:r>
      <w:r>
        <w:rPr>
          <w:rFonts w:ascii="Times New Roman" w:cs="Times New Roman" w:eastAsia="Times New Roman" w:hAnsi="Times New Roman"/>
          <w:sz w:val="17"/>
          <w:szCs w:val="17"/>
          <w:i w:val="1"/>
          <w:iCs w:val="1"/>
          <w:color w:val="000000"/>
        </w:rPr>
        <w:t>e.g.</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Dutch or modified Dutch tender offers)) of Parent’s stock</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if at the time of</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such repurchases, the aggregate purchase price of all stock repurchases during the immediately preceding Rolling Period does not exceed 10% of the Total Asset Value of Parent and its Subsidiaries at such time</w:t>
      </w:r>
      <w:r>
        <w:rPr>
          <w:rFonts w:ascii="Times New Roman" w:cs="Times New Roman" w:eastAsia="Times New Roman" w:hAnsi="Times New Roman"/>
          <w:sz w:val="17"/>
          <w:szCs w:val="17"/>
          <w:u w:val="single" w:color="auto"/>
          <w:color w:val="4472C4"/>
          <w:strike w:val="1"/>
        </w:rPr>
        <w:t>in accordance with the provisions of this Agreement</w:t>
      </w:r>
      <w:r>
        <w:rPr>
          <w:rFonts w:ascii="Times New Roman" w:cs="Times New Roman" w:eastAsia="Times New Roman" w:hAnsi="Times New Roman"/>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-290195</wp:posOffset>
            </wp:positionV>
            <wp:extent cx="3060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306070"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-307340</wp:posOffset>
            </wp:positionV>
            <wp:extent cx="158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158115" cy="8255"/>
                    </a:xfrm>
                    <a:prstGeom prst="rect">
                      <a:avLst/>
                    </a:prstGeom>
                    <a:noFill/>
                  </pic:spPr>
                </pic:pic>
              </a:graphicData>
            </a:graphic>
          </wp:anchor>
        </w:drawing>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FF0000"/>
          <w:strike w:val="1"/>
        </w:rPr>
        <w:t xml:space="preserve">Investments of the type described in clauses (i), (j) and (k) immediately preceding shall at no time exceed in the aggregate at any one time outstanding 30% of the Total Asset Value of Parent and its Subsidiaries at such time. </w:t>
      </w:r>
      <w:r>
        <w:rPr>
          <w:rFonts w:ascii="Times New Roman" w:cs="Times New Roman" w:eastAsia="Times New Roman" w:hAnsi="Times New Roman"/>
          <w:sz w:val="17"/>
          <w:szCs w:val="17"/>
          <w:color w:val="000000"/>
          <w:strike w:val="1"/>
        </w:rPr>
        <w:t>In determining the amount of investments, acquisitions,</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color w:val="000000"/>
          <w:strike w:val="1"/>
        </w:rPr>
        <w:t>loans, and advances permitted under this Section, investments and acquisitions shall always be taken at the book value (as defined in GAAP) thereof, and loans and advances shall be taken at the principal amount thereof then remaining unpaid.</w:t>
      </w:r>
    </w:p>
    <w:p>
      <w:pPr>
        <w:spacing w:after="0" w:line="168"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color w:val="auto"/>
        </w:rPr>
        <w:t xml:space="preserve">Section 8.9. </w:t>
      </w:r>
      <w:r>
        <w:rPr>
          <w:rFonts w:ascii="Times New Roman" w:cs="Times New Roman" w:eastAsia="Times New Roman" w:hAnsi="Times New Roman"/>
          <w:sz w:val="17"/>
          <w:szCs w:val="17"/>
          <w:u w:val="single" w:color="auto"/>
          <w:color w:val="auto"/>
        </w:rPr>
        <w:t>Mergers, Consolidations and Sales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Except with the prior written consent of the Required Lenders (which shall not be unreasonably withheld, conditioned or delayed), the Borrower shall not, nor shall it permit Parent or any Subsidiary to, be a party to any merger or consolidation, or sell, transfer, lease or otherwise dispose of all or substantially all of its Property;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so long as the Borrower and Subsidiaries are in compliance with all covenants and agreements in this Agreement and no Default or Event of Default then exist, this Section shall not apply to nor operate to prevent:</w:t>
      </w:r>
    </w:p>
    <w:p>
      <w:pPr>
        <w:spacing w:after="0" w:line="170" w:lineRule="exact"/>
        <w:rPr>
          <w:sz w:val="20"/>
          <w:szCs w:val="20"/>
          <w:color w:val="auto"/>
        </w:rPr>
      </w:pPr>
    </w:p>
    <w:p>
      <w:pPr>
        <w:ind w:firstLine="1257"/>
        <w:spacing w:after="0" w:line="294" w:lineRule="auto"/>
        <w:tabs>
          <w:tab w:leader="none" w:pos="187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transfer, lease or other disposition of Property of the Borrower and its Subsidiaries to one another in the ordinary course of its business;</w:t>
      </w:r>
    </w:p>
    <w:p>
      <w:pPr>
        <w:spacing w:after="0" w:line="144" w:lineRule="exact"/>
        <w:rPr>
          <w:rFonts w:ascii="Times New Roman" w:cs="Times New Roman" w:eastAsia="Times New Roman" w:hAnsi="Times New Roman"/>
          <w:sz w:val="17"/>
          <w:szCs w:val="17"/>
          <w:color w:val="auto"/>
        </w:rPr>
      </w:pPr>
    </w:p>
    <w:p>
      <w:pPr>
        <w:ind w:firstLine="1257"/>
        <w:spacing w:after="0" w:line="297" w:lineRule="auto"/>
        <w:tabs>
          <w:tab w:leader="none" w:pos="187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merger of any Subsidiary with and into the Borrower or any other Subsidiary,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merger involving the Borrower, the Borrower is the corporation surviving the merger;</w:t>
      </w:r>
    </w:p>
    <w:p>
      <w:pPr>
        <w:spacing w:after="0" w:line="144"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transfer or other disposition of any tangible personal property that, in the reasonable business judgment of the Borrower or its Subsidiary, has become obsolete or worn out, and which is disposed of in the ordinary course of business; and</w:t>
      </w:r>
    </w:p>
    <w:p>
      <w:pPr>
        <w:spacing w:after="0" w:line="146"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8"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28" w:name="page129"/>
    <w:bookmarkEnd w:id="128"/>
    <w:p>
      <w:pPr>
        <w:ind w:left="1880" w:hanging="623"/>
        <w:spacing w:after="0"/>
        <w:tabs>
          <w:tab w:leader="none" w:pos="18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if it results in the simultaneous payoff in immediately available funds of the Obligations; and</w:t>
      </w:r>
    </w:p>
    <w:p>
      <w:pPr>
        <w:spacing w:after="0" w:line="221" w:lineRule="exact"/>
        <w:rPr>
          <w:rFonts w:ascii="Times New Roman" w:cs="Times New Roman" w:eastAsia="Times New Roman" w:hAnsi="Times New Roman"/>
          <w:sz w:val="17"/>
          <w:szCs w:val="17"/>
          <w:color w:val="auto"/>
        </w:rPr>
      </w:pPr>
    </w:p>
    <w:p>
      <w:pPr>
        <w:jc w:val="both"/>
        <w:ind w:firstLine="1257"/>
        <w:spacing w:after="0" w:line="261" w:lineRule="auto"/>
        <w:tabs>
          <w:tab w:leader="none" w:pos="187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directly or indirectly, with any other Person so long as (i) Parent, the Borrower and the Subsidiaries, as applicable, shall be the survivor thereof; (ii) the Borrower shall have given the Administrative Agent and the Lenders at least fifteen (15) Business Days’ prior written notice of such consolidation or merger; (iii) immediately prior thereto, and immediately thereafter and after giving effect thereto, no Default or Event of Default has occurred or would result therefrom; and (iv) at the time the Borrower gives notice pursuant to clause (ii) of this subsection, the Borrower shall have delivered to the Administrative Agent for distribution to each of the Lenders a Compliance Certificate, calculated on a pro forma basis based on information then available to the Borrower, evidencing the continued compliance by Parent, the Borrower and the Subsidiaries with the terms and conditions of this Agreement and the other Loan Documents, including, without limitation, the financial covenants contained in Section 8.20, after giving effect to such consolidation or merger.</w:t>
      </w:r>
    </w:p>
    <w:p>
      <w:pPr>
        <w:spacing w:after="0" w:line="385" w:lineRule="exact"/>
        <w:rPr>
          <w:sz w:val="20"/>
          <w:szCs w:val="20"/>
          <w:color w:val="auto"/>
        </w:rPr>
      </w:pPr>
    </w:p>
    <w:p>
      <w:pPr>
        <w:jc w:val="both"/>
        <w:ind w:firstLine="626"/>
        <w:spacing w:after="0" w:line="264" w:lineRule="auto"/>
        <w:rPr>
          <w:sz w:val="20"/>
          <w:szCs w:val="20"/>
          <w:color w:val="auto"/>
        </w:rPr>
      </w:pPr>
      <w:r>
        <w:rPr>
          <w:rFonts w:ascii="Times New Roman" w:cs="Times New Roman" w:eastAsia="Times New Roman" w:hAnsi="Times New Roman"/>
          <w:sz w:val="17"/>
          <w:szCs w:val="17"/>
          <w:color w:val="auto"/>
        </w:rPr>
        <w:t xml:space="preserve">Section 8.10. </w:t>
      </w:r>
      <w:r>
        <w:rPr>
          <w:rFonts w:ascii="Times New Roman" w:cs="Times New Roman" w:eastAsia="Times New Roman" w:hAnsi="Times New Roman"/>
          <w:sz w:val="17"/>
          <w:szCs w:val="17"/>
          <w:u w:val="single" w:color="auto"/>
          <w:color w:val="auto"/>
        </w:rPr>
        <w:t>Maintenance of Subsidiaries</w:t>
      </w:r>
      <w:r>
        <w:rPr>
          <w:rFonts w:ascii="Times New Roman" w:cs="Times New Roman" w:eastAsia="Times New Roman" w:hAnsi="Times New Roman"/>
          <w:sz w:val="17"/>
          <w:szCs w:val="17"/>
          <w:color w:val="auto"/>
        </w:rPr>
        <w:t xml:space="preserve">. The Borrower shall not assign, sell or transfer, nor shall it permit any Material Subsidiary to issue, assign, sell or transfer, any shares of capital stock or other equity interests of a Material Subsidiary;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foregoing shall not operate to prevent (a) Liens on the capital stock or other equity interests of Material Subsidiaries granted to the Administrative Agent, (b) the issuance, sale and transfer to any person of any shares of capital stock of a Material Subsidiary solely for the purpose of qualifying, and to the extent legally necessary to qualify, such person as a director of such Subsidiary, and (c) any transaction permitted by Section 8.9(b) above.</w:t>
      </w:r>
    </w:p>
    <w:p>
      <w:pPr>
        <w:spacing w:after="0" w:line="383"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 xml:space="preserve">Section 8.11.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Borrower shall, and shall cause each Subsidiary to, promptly pay and discharge all obligations and liabilities arising under ERISA in excess of $1,000,000 of a character which if unpaid or unperformed could reasonably be expected to result in the imposition of a Lien against any of its Property. Upon the Borrower or a Subsidiary obtaining knowledge of any of the following events, the Borrower shall, and shall cause each Subsidiary to, promptly notify the Administrative Agent and each Lender of: (a) the occurrence of any reportable 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any Plan, and (d) 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spacing w:after="0" w:line="391"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8.12.</w:t>
      </w:r>
      <w:r>
        <w:rPr>
          <w:sz w:val="20"/>
          <w:szCs w:val="20"/>
          <w:color w:val="auto"/>
        </w:rPr>
        <w:tab/>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1257"/>
        <w:spacing w:after="0" w:line="275" w:lineRule="auto"/>
        <w:tabs>
          <w:tab w:leader="none" w:pos="187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and shall cause each Subsidiary to, comply in all material respects with the requirements of all federal, state, and local laws, rules, regulations, ordinances and orders applicable to or pertaining to its Property or business operations, where any such non-compliance, individually or in the aggregate, could reasonably be expected to have a Material Adverse Effect.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8"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29" w:name="page130"/>
    <w:bookmarkEnd w:id="129"/>
    <w:p>
      <w:pPr>
        <w:jc w:val="both"/>
        <w:ind w:firstLine="1257"/>
        <w:spacing w:after="0" w:line="257" w:lineRule="auto"/>
        <w:tabs>
          <w:tab w:leader="none" w:pos="1878"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and shall cause each Subsidiary to, at all times, do the following to the extent the failure to do so, individually or in the aggregate, could reasonably be expected to have a Material Adverse Effect: (i) comply in all material respects with, and maintain 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 (iv) cure any material violation by it or at any of the Properties of applicable Environmental Laws; (v) not allow the presence or operation at any of the Properties of any (1) landfill or dump or (2) 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of written notice of any of the following in connection with the Borrower or any Subsidiary or any of the Properties that could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w:t>
      </w:r>
    </w:p>
    <w:p>
      <w:pPr>
        <w:spacing w:after="0" w:line="8" w:lineRule="exact"/>
        <w:rPr>
          <w:rFonts w:ascii="Times New Roman" w:cs="Times New Roman" w:eastAsia="Times New Roman" w:hAnsi="Times New Roman"/>
          <w:sz w:val="17"/>
          <w:szCs w:val="17"/>
          <w:color w:val="auto"/>
        </w:rPr>
      </w:pPr>
    </w:p>
    <w:p>
      <w:pPr>
        <w:jc w:val="both"/>
        <w:ind w:firstLine="5"/>
        <w:spacing w:after="0" w:line="257" w:lineRule="auto"/>
        <w:tabs>
          <w:tab w:leader="none" w:pos="24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the use of the Properties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Properties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spacing w:after="0" w:line="392"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8.13.</w:t>
      </w:r>
      <w:r>
        <w:rPr>
          <w:sz w:val="20"/>
          <w:szCs w:val="20"/>
          <w:color w:val="auto"/>
        </w:rPr>
        <w:tab/>
      </w:r>
      <w:r>
        <w:rPr>
          <w:rFonts w:ascii="Times New Roman" w:cs="Times New Roman" w:eastAsia="Times New Roman" w:hAnsi="Times New Roman"/>
          <w:sz w:val="17"/>
          <w:szCs w:val="17"/>
          <w:u w:val="single" w:color="auto"/>
          <w:color w:val="auto"/>
        </w:rPr>
        <w:t>Compliance with OFAC Sanctions Programs and Anti-Corruption Laws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1257"/>
        <w:spacing w:after="0" w:line="275" w:lineRule="auto"/>
        <w:tabs>
          <w:tab w:leader="none" w:pos="187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at all times comply in all material respects with the requirements of all OFAC Sanctions Programs applicable to the Borrower and shall cause each of its Subsidiaries to comply with the requirements of all OFAC Sanctions Programs applicable to such Subsidiary.</w:t>
      </w:r>
    </w:p>
    <w:p>
      <w:pPr>
        <w:spacing w:after="0" w:line="162" w:lineRule="exact"/>
        <w:rPr>
          <w:rFonts w:ascii="Times New Roman" w:cs="Times New Roman" w:eastAsia="Times New Roman" w:hAnsi="Times New Roman"/>
          <w:sz w:val="17"/>
          <w:szCs w:val="17"/>
          <w:color w:val="auto"/>
        </w:rPr>
      </w:pPr>
    </w:p>
    <w:p>
      <w:pPr>
        <w:jc w:val="both"/>
        <w:ind w:firstLine="1257"/>
        <w:spacing w:after="0" w:line="287" w:lineRule="auto"/>
        <w:tabs>
          <w:tab w:leader="none" w:pos="187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provide the Administrative Agent and the Lenders any information regarding the Borrower, its Affiliates, and its Subsidiaries necessary for the Administrative Agent and the Lenders to comply with all applicable OFAC Sanctions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color w:val="auto"/>
        </w:rPr>
        <w:t>subject however, in the case of Affiliates, to the Borrower’s ability to provide information applicable to them.</w:t>
      </w:r>
    </w:p>
    <w:p>
      <w:pPr>
        <w:spacing w:after="0" w:line="222" w:lineRule="exact"/>
        <w:rPr>
          <w:sz w:val="20"/>
          <w:szCs w:val="20"/>
          <w:color w:val="auto"/>
        </w:rPr>
      </w:pPr>
    </w:p>
    <w:p>
      <w:pPr>
        <w:jc w:val="both"/>
        <w:ind w:firstLine="1257"/>
        <w:spacing w:after="0" w:line="260" w:lineRule="auto"/>
        <w:tabs>
          <w:tab w:leader="none" w:pos="187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Responsible Officer of the Borrower obtains actual knowledge or receives any written notice that the Borrower, any Subsidiary of Borrower, or any officer, director or Affiliate of Borrower or any Subsidiary or that any Person that owns or controls any such Person is the target of any OFAC Sanctions Programs or is located, organized or resident in a country or territory that is, or whose government is, the subject of any OFAC Sanctions Programs (such occurrence, an </w:t>
      </w:r>
      <w:r>
        <w:rPr>
          <w:rFonts w:ascii="Times New Roman" w:cs="Times New Roman" w:eastAsia="Times New Roman" w:hAnsi="Times New Roman"/>
          <w:sz w:val="17"/>
          <w:szCs w:val="17"/>
          <w:i w:val="1"/>
          <w:iCs w:val="1"/>
          <w:color w:val="auto"/>
        </w:rPr>
        <w:t>“OFAC Event”</w:t>
      </w:r>
      <w:r>
        <w:rPr>
          <w:rFonts w:ascii="Times New Roman" w:cs="Times New Roman" w:eastAsia="Times New Roman" w:hAnsi="Times New Roman"/>
          <w:sz w:val="17"/>
          <w:szCs w:val="17"/>
          <w:color w:val="auto"/>
        </w:rPr>
        <w:t>), the Borrower shall promptly (i) give written notice to the Administrative Agent and the Lenders of such OFAC Event, and (ii) comply with all applicable laws with respect to such OFAC Event (regardless of whether the target Person is located within the jurisdiction of the United States of America), including the OFAC Sanctions Programs, and the Borrower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spacing w:after="0" w:line="177" w:lineRule="exact"/>
        <w:rPr>
          <w:rFonts w:ascii="Times New Roman" w:cs="Times New Roman" w:eastAsia="Times New Roman" w:hAnsi="Times New Roman"/>
          <w:sz w:val="17"/>
          <w:szCs w:val="17"/>
          <w:color w:val="auto"/>
        </w:rPr>
      </w:pPr>
    </w:p>
    <w:p>
      <w:pPr>
        <w:jc w:val="both"/>
        <w:ind w:firstLine="1257"/>
        <w:spacing w:after="0" w:line="265" w:lineRule="auto"/>
        <w:tabs>
          <w:tab w:leader="none" w:pos="187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 government is, the subject of any OFAC Sanctions Programs, or (ii) in any other manner that would result in a violation of OFAC Sanctions Programs or Anti-Corruption Laws by any Person (including any Person participating in the Loans, whether as underwriter, lender, advisor, investor, or otherwise).</w:t>
      </w:r>
    </w:p>
    <w:p>
      <w:pPr>
        <w:spacing w:after="0" w:line="172"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will not, nor will it permit any Subsidiary to, violate any Anti-Corruption Law in any material respect.</w:t>
      </w:r>
    </w:p>
    <w:p>
      <w:pPr>
        <w:spacing w:after="0" w:line="221"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and each Subsidiary will maintain in effect policies and procedures designed to ensure compliance by such Persons, their Subsidiaries, and their respective directors, officers, employees, and agents with applicable Anti-Corruption Laws.</w:t>
      </w:r>
    </w:p>
    <w:p>
      <w:pPr>
        <w:spacing w:after="0" w:line="145"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color w:val="auto"/>
        </w:rPr>
        <w:t xml:space="preserve">Section 8.14. </w:t>
      </w:r>
      <w:r>
        <w:rPr>
          <w:rFonts w:ascii="Times New Roman" w:cs="Times New Roman" w:eastAsia="Times New Roman" w:hAnsi="Times New Roman"/>
          <w:sz w:val="17"/>
          <w:szCs w:val="17"/>
          <w:u w:val="single" w:color="auto"/>
          <w:color w:val="auto"/>
        </w:rPr>
        <w:t>Burdensome Contracts With Affiliates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Except (a) compensation, bonus and benefit arrangements with employees, officers and directors approved by Parent’s board of directors or committee thereof, (b) transactions permitted by Section 8.9 hereof, (c) transactions in the ordinary course of business of the Borrower, Parent or its Subsidiaries or (d) transactions approved by the Parent’s board of directors and reasonably acceptable to the Administrative Agent, the Borrower shall not, nor shall it permit Parent or any Subsidiary to, enter into any contract, agreement or business arrangement with any of its Affiliates on terms and conditions which are less favorable to the Borrower, Parent or such Subsidiary than would be usual and customary in similar contracts, agreements or business arrangements between Persons not affiliated with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31" w:name="page132"/>
    <w:bookmarkEnd w:id="131"/>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 xml:space="preserve">Section 8.15. </w:t>
      </w:r>
      <w:r>
        <w:rPr>
          <w:rFonts w:ascii="Times New Roman" w:cs="Times New Roman" w:eastAsia="Times New Roman" w:hAnsi="Times New Roman"/>
          <w:sz w:val="17"/>
          <w:szCs w:val="17"/>
          <w:u w:val="single" w:color="auto"/>
          <w:color w:val="auto"/>
        </w:rPr>
        <w:t>No Changes in Fiscal Year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Fiscal Year of the Parent and its Subsidiaries ends on December 31 of each year; and the Borrower shall not, nor shall it permit Parent or any Subsidiary to, change its Fiscal Year from its present basis.</w:t>
      </w:r>
    </w:p>
    <w:p>
      <w:pPr>
        <w:spacing w:after="0" w:line="142" w:lineRule="exact"/>
        <w:rPr>
          <w:sz w:val="20"/>
          <w:szCs w:val="20"/>
          <w:color w:val="auto"/>
        </w:rPr>
      </w:pPr>
    </w:p>
    <w:p>
      <w:pPr>
        <w:jc w:val="both"/>
        <w:ind w:firstLine="626"/>
        <w:spacing w:after="0" w:line="288" w:lineRule="auto"/>
        <w:rPr>
          <w:sz w:val="20"/>
          <w:szCs w:val="20"/>
          <w:color w:val="auto"/>
        </w:rPr>
      </w:pPr>
      <w:r>
        <w:rPr>
          <w:rFonts w:ascii="Times New Roman" w:cs="Times New Roman" w:eastAsia="Times New Roman" w:hAnsi="Times New Roman"/>
          <w:sz w:val="17"/>
          <w:szCs w:val="17"/>
          <w:color w:val="auto"/>
        </w:rPr>
        <w:t xml:space="preserve">Section 8.16. </w:t>
      </w:r>
      <w:r>
        <w:rPr>
          <w:rFonts w:ascii="Times New Roman" w:cs="Times New Roman" w:eastAsia="Times New Roman" w:hAnsi="Times New Roman"/>
          <w:sz w:val="17"/>
          <w:szCs w:val="17"/>
          <w:u w:val="single" w:color="auto"/>
          <w:color w:val="auto"/>
        </w:rPr>
        <w:t>Formation of Subsidiaries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Promptly upon the formation or acquisition of any Material Subsidiary, the Borrower shall provide the Administrative Agent and the Lenders notice thereof and timely comply with the requirements of Sections 4.2 and 8.24 hereof.</w:t>
      </w:r>
    </w:p>
    <w:p>
      <w:pPr>
        <w:spacing w:after="0" w:line="365"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Section 8.17. </w:t>
      </w:r>
      <w:r>
        <w:rPr>
          <w:rFonts w:ascii="Times New Roman" w:cs="Times New Roman" w:eastAsia="Times New Roman" w:hAnsi="Times New Roman"/>
          <w:sz w:val="17"/>
          <w:szCs w:val="17"/>
          <w:u w:val="single" w:color="auto"/>
          <w:color w:val="auto"/>
        </w:rPr>
        <w:t>Change in the Nature of Business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Borrower shall not, nor shall it permit any Subsidiary to, engage in any business or activity if as a result the general nature of the business of the Borrower or any Subsidiary would be changed in any material respect from the general nature of the business engaged in by it as of the Closing Date.</w:t>
      </w:r>
    </w:p>
    <w:p>
      <w:pPr>
        <w:spacing w:after="0" w:line="162"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 xml:space="preserve">Section 8.18.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Borrower shall use the credit extended under this Agreement solely for the purposes set forth in, or otherwise permitted by, Section 6.4 hereof.</w:t>
      </w:r>
    </w:p>
    <w:p>
      <w:pPr>
        <w:spacing w:after="0" w:line="147"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 xml:space="preserve">Section 8.19. </w:t>
      </w:r>
      <w:r>
        <w:rPr>
          <w:rFonts w:ascii="Times New Roman" w:cs="Times New Roman" w:eastAsia="Times New Roman" w:hAnsi="Times New Roman"/>
          <w:sz w:val="17"/>
          <w:szCs w:val="17"/>
          <w:u w:val="single" w:color="auto"/>
          <w:color w:val="auto"/>
        </w:rPr>
        <w:t>No Restrictions</w:t>
      </w:r>
      <w:r>
        <w:rPr>
          <w:rFonts w:ascii="Times New Roman" w:cs="Times New Roman" w:eastAsia="Times New Roman" w:hAnsi="Times New Roman"/>
          <w:sz w:val="17"/>
          <w:szCs w:val="17"/>
          <w:color w:val="auto"/>
        </w:rPr>
        <w:t>. Except as provided herein, the Borrower shall not, nor shall it permit 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other Subsidiary (other than limitations on Restricted Payments comparable to those in Section 8.25 in any documentation evidencing any Other Unsecured Indebtedness), (b) pay any indebtedness owed to the Borrower or any other Subsidiary, (c) make loans or advances to the Borrower or any other Subsidiary, (d) transfer any of its Property to the Borrower or any other Subsidiary (other than limitations on transfers comparable to those in Section 8.9 in any documentation evidencing any Other Unsecured Indebtedness)</w:t>
      </w:r>
      <w:r>
        <w:rPr>
          <w:rFonts w:ascii="Times New Roman" w:cs="Times New Roman" w:eastAsia="Times New Roman" w:hAnsi="Times New Roman"/>
          <w:sz w:val="17"/>
          <w:szCs w:val="17"/>
          <w:i w:val="1"/>
          <w:iCs w:val="1"/>
          <w:color w:val="auto"/>
        </w:rPr>
        <w:t>; provided however, that</w:t>
      </w:r>
      <w:r>
        <w:rPr>
          <w:rFonts w:ascii="Times New Roman" w:cs="Times New Roman" w:eastAsia="Times New Roman" w:hAnsi="Times New Roman"/>
          <w:sz w:val="17"/>
          <w:szCs w:val="17"/>
          <w:color w:val="auto"/>
        </w:rPr>
        <w:t xml:space="preserve"> the foregoing does not apply to any limitation on transfers of property that is subject to a Permitted Lien or (e) guarantee the Obligations, Hedging Liability, and Funds Transfer and Deposit Account Liability and/or grant Liens on its assets to the Administrative Agent.</w:t>
      </w:r>
    </w:p>
    <w:p>
      <w:pPr>
        <w:spacing w:after="0" w:line="387"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8.20.</w:t>
      </w:r>
      <w:r>
        <w:rPr>
          <w:sz w:val="20"/>
          <w:szCs w:val="20"/>
          <w:color w:val="auto"/>
        </w:rPr>
        <w:tab/>
      </w:r>
      <w:r>
        <w:rPr>
          <w:rFonts w:ascii="Times New Roman" w:cs="Times New Roman" w:eastAsia="Times New Roman" w:hAnsi="Times New Roman"/>
          <w:sz w:val="17"/>
          <w:szCs w:val="17"/>
          <w:u w:val="single" w:color="auto"/>
          <w:color w:val="auto"/>
        </w:rPr>
        <w:t>Financial Covenants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both"/>
        <w:ind w:firstLine="1257"/>
        <w:spacing w:after="0" w:line="259" w:lineRule="auto"/>
        <w:tabs>
          <w:tab w:leader="none" w:pos="1878"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Total Indebtedness to Total Asset Value Ratio</w:t>
      </w:r>
      <w:r>
        <w:rPr>
          <w:rFonts w:ascii="Times New Roman" w:cs="Times New Roman" w:eastAsia="Times New Roman" w:hAnsi="Times New Roman"/>
          <w:sz w:val="17"/>
          <w:szCs w:val="17"/>
          <w:color w:val="auto"/>
        </w:rPr>
        <w:t>. As of the last day of each Fiscal Quarter of the Borrower, the Borrower shall not permit the ratio of Total Indebtedness to Total Asset Value to be greater than 0.60 to 1.00</w:t>
      </w:r>
      <w:r>
        <w:rPr>
          <w:rFonts w:ascii="Times New Roman" w:cs="Times New Roman" w:eastAsia="Times New Roman" w:hAnsi="Times New Roman"/>
          <w:sz w:val="17"/>
          <w:szCs w:val="17"/>
          <w:u w:val="single" w:color="auto"/>
          <w:color w:val="4472C4"/>
        </w:rPr>
        <w:t>; provided, that such ratio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4472C4"/>
        </w:rPr>
        <w:t>increase to up to 0.65 to 1.00 in connection with a Material Acquisition so long as (a) the Borrower completed a Material Acquisition during the quarter in which such ratio first exceeded 0.60 to 1.00, (b) such ratio does not exceed 0.60 to 1.00 for a period of more than three (3) fiscal quarters immediately following the fiscal quarter in which such Material Acquisition was completed, (c) the Borrower has not maintained compliance with this Section 8.20(a) or Section 8.20(e) in reliance on this proviso more than two times during the term of this Agreement, and</w:t>
      </w:r>
    </w:p>
    <w:p>
      <w:pPr>
        <w:spacing w:after="0" w:line="4"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80"/>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such ratio is not greater than 0.65 to 1.00 at any time</w:t>
      </w:r>
      <w:r>
        <w:rPr>
          <w:rFonts w:ascii="Times New Roman" w:cs="Times New Roman" w:eastAsia="Times New Roman" w:hAnsi="Times New Roman"/>
          <w:sz w:val="17"/>
          <w:szCs w:val="17"/>
          <w:color w:val="000000"/>
        </w:rPr>
        <w:t>.</w:t>
      </w:r>
    </w:p>
    <w:p>
      <w:pPr>
        <w:spacing w:after="0" w:line="203" w:lineRule="exact"/>
        <w:rPr>
          <w:rFonts w:ascii="Times New Roman" w:cs="Times New Roman" w:eastAsia="Times New Roman" w:hAnsi="Times New Roman"/>
          <w:sz w:val="17"/>
          <w:szCs w:val="17"/>
          <w:u w:val="single" w:color="auto"/>
          <w:color w:val="4472C4"/>
        </w:rPr>
      </w:pPr>
    </w:p>
    <w:p>
      <w:pPr>
        <w:ind w:firstLine="1257"/>
        <w:spacing w:after="0" w:line="294" w:lineRule="auto"/>
        <w:tabs>
          <w:tab w:leader="none" w:pos="1878"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Secured Indebtedness to Total Asset Value Ratio</w:t>
      </w:r>
      <w:r>
        <w:rPr>
          <w:rFonts w:ascii="Times New Roman" w:cs="Times New Roman" w:eastAsia="Times New Roman" w:hAnsi="Times New Roman"/>
          <w:sz w:val="17"/>
          <w:szCs w:val="17"/>
          <w:color w:val="auto"/>
        </w:rPr>
        <w:t>. As of the last day of each Fiscal Quarter of the Borrower, the Borrower shall not permit the ratio of Secured Indebtedness to Total Asset Value to be greater than 0.40 to 1.00.</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32" w:name="page133"/>
    <w:bookmarkEnd w:id="132"/>
    <w:p>
      <w:pPr>
        <w:jc w:val="both"/>
        <w:ind w:firstLine="1257"/>
        <w:spacing w:after="0" w:line="276" w:lineRule="auto"/>
        <w:tabs>
          <w:tab w:leader="none" w:pos="187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Minimum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Adjusted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EBITDA to Fixed Charges Ratio</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As of the last day of each Fiscal Quarter of the Borrower, the Borrower shall not permit the ratio of </w:t>
      </w:r>
      <w:r>
        <w:rPr>
          <w:rFonts w:ascii="Times New Roman" w:cs="Times New Roman" w:eastAsia="Times New Roman" w:hAnsi="Times New Roman"/>
          <w:sz w:val="17"/>
          <w:szCs w:val="17"/>
          <w:color w:val="FF0000"/>
          <w:strike w:val="1"/>
        </w:rPr>
        <w:t>Adjusted</w:t>
      </w:r>
      <w:r>
        <w:rPr>
          <w:rFonts w:ascii="Times New Roman" w:cs="Times New Roman" w:eastAsia="Times New Roman" w:hAnsi="Times New Roman"/>
          <w:sz w:val="17"/>
          <w:szCs w:val="17"/>
          <w:color w:val="auto"/>
        </w:rPr>
        <w:t xml:space="preserve"> EBITDA for the applicable Rolling Period to Fixed Charges for such Rolling Period to be less than 1.50 to 1.0.</w:t>
      </w:r>
    </w:p>
    <w:p>
      <w:pPr>
        <w:spacing w:after="0" w:line="162"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Secured Recourse Indebtedness to Total Asset Value Ratio</w:t>
      </w:r>
      <w:r>
        <w:rPr>
          <w:rFonts w:ascii="Times New Roman" w:cs="Times New Roman" w:eastAsia="Times New Roman" w:hAnsi="Times New Roman"/>
          <w:sz w:val="17"/>
          <w:szCs w:val="17"/>
          <w:color w:val="auto"/>
        </w:rPr>
        <w:t>. As of the last day of each Fiscal Quarter of the Borrower, the Borrower shall not permit the ratio of Secured Recourse Indebtedness to Total Asset Value to be greater than 0.</w:t>
      </w:r>
      <w:r>
        <w:rPr>
          <w:rFonts w:ascii="Times New Roman" w:cs="Times New Roman" w:eastAsia="Times New Roman" w:hAnsi="Times New Roman"/>
          <w:sz w:val="17"/>
          <w:szCs w:val="17"/>
          <w:color w:val="FF0000"/>
          <w:strike w:val="1"/>
        </w:rPr>
        <w:t>05</w:t>
      </w:r>
      <w:r>
        <w:rPr>
          <w:rFonts w:ascii="Times New Roman" w:cs="Times New Roman" w:eastAsia="Times New Roman" w:hAnsi="Times New Roman"/>
          <w:sz w:val="17"/>
          <w:szCs w:val="17"/>
          <w:u w:val="single" w:color="auto"/>
          <w:color w:val="4472C4"/>
        </w:rPr>
        <w:t>10</w:t>
      </w:r>
      <w:r>
        <w:rPr>
          <w:rFonts w:ascii="Times New Roman" w:cs="Times New Roman" w:eastAsia="Times New Roman" w:hAnsi="Times New Roman"/>
          <w:sz w:val="17"/>
          <w:szCs w:val="17"/>
          <w:color w:val="auto"/>
        </w:rPr>
        <w:t xml:space="preserve"> to 1.0.</w:t>
      </w:r>
    </w:p>
    <w:p>
      <w:pPr>
        <w:spacing w:after="0" w:line="146" w:lineRule="exact"/>
        <w:rPr>
          <w:rFonts w:ascii="Times New Roman" w:cs="Times New Roman" w:eastAsia="Times New Roman" w:hAnsi="Times New Roman"/>
          <w:sz w:val="17"/>
          <w:szCs w:val="17"/>
          <w:color w:val="auto"/>
        </w:rPr>
      </w:pPr>
    </w:p>
    <w:p>
      <w:pPr>
        <w:jc w:val="both"/>
        <w:ind w:firstLine="1257"/>
        <w:spacing w:after="0" w:line="261" w:lineRule="auto"/>
        <w:tabs>
          <w:tab w:leader="none" w:pos="187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Unsecured Indebtedness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 Asset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Value Ratio</w:t>
      </w:r>
      <w:r>
        <w:rPr>
          <w:rFonts w:ascii="Times New Roman" w:cs="Times New Roman" w:eastAsia="Times New Roman" w:hAnsi="Times New Roman"/>
          <w:sz w:val="17"/>
          <w:szCs w:val="17"/>
          <w:color w:val="auto"/>
        </w:rPr>
        <w:t xml:space="preserve">. As of the last day of each Fiscal Quarter of the Borrower, the Borrower shall not permit the ratio of Unsecured Indebtedness to </w:t>
      </w:r>
      <w:r>
        <w:rPr>
          <w:rFonts w:ascii="Times New Roman" w:cs="Times New Roman" w:eastAsia="Times New Roman" w:hAnsi="Times New Roman"/>
          <w:sz w:val="17"/>
          <w:szCs w:val="17"/>
          <w:color w:val="FF0000"/>
          <w:strike w:val="1"/>
        </w:rPr>
        <w:t>Borrowing Base Value to be greater than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0.60 to 1.00</w:t>
      </w:r>
      <w:r>
        <w:rPr>
          <w:rFonts w:ascii="Times New Roman" w:cs="Times New Roman" w:eastAsia="Times New Roman" w:hAnsi="Times New Roman"/>
          <w:sz w:val="17"/>
          <w:szCs w:val="17"/>
          <w:u w:val="single" w:color="auto"/>
          <w:color w:val="4472C4"/>
          <w:strike w:val="1"/>
        </w:rPr>
        <w:t>Unencumbered Asset Value to be greater than 0.60 to 1.00; provided, that such ratio may increase to up to 0.65 to 1.00 in</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u w:val="single" w:color="auto"/>
          <w:color w:val="4472C4"/>
          <w:strike w:val="1"/>
        </w:rPr>
        <w:t>connection with a Material Acquisition so long as (a) the Borrower completed a Material Acquisition during the quarter in which such ratio first exceeded 0.60 to 1.00, (b) such ratio does not exceed 0.60 to 1.00 for a period of more than three (3) fiscal quarters immediately following the fiscal quarter in which such Material Acquisition was completed, (c) the Borrower has not maintained compliance with this Section 8.20(e) or Section 8.20(a) in reliance on this proviso more than two times during the term of this Agreement, and (d) such ratio is not greater than 0.65 to 1.00 at any time</w:t>
      </w:r>
      <w:r>
        <w:rPr>
          <w:rFonts w:ascii="Times New Roman" w:cs="Times New Roman" w:eastAsia="Times New Roman" w:hAnsi="Times New Roman"/>
          <w:sz w:val="17"/>
          <w:szCs w:val="17"/>
          <w:color w:val="000000"/>
          <w:strike w:val="1"/>
        </w:rPr>
        <w:t>.</w:t>
      </w:r>
    </w:p>
    <w:p>
      <w:pPr>
        <w:spacing w:after="0" w:line="176"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7" w:val="left"/>
        </w:tabs>
        <w:numPr>
          <w:ilvl w:val="0"/>
          <w:numId w:val="81"/>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Minimum Property NOI to Unsecured Interest Expense Ratio. As of the last day of each Fiscal Quarter of the Borrower, the Borrower shall not permit the ratio of Unencumbered Pool NOI for the applicable Rolling Period to Unsecured Interest Expense for such Rolling Period to be less than 1.75 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-290195</wp:posOffset>
            </wp:positionV>
            <wp:extent cx="55003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5500370"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-306705</wp:posOffset>
            </wp:positionV>
            <wp:extent cx="2838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143" w:lineRule="exact"/>
        <w:rPr>
          <w:sz w:val="20"/>
          <w:szCs w:val="20"/>
          <w:color w:val="auto"/>
        </w:rPr>
      </w:pPr>
    </w:p>
    <w:p>
      <w:pPr>
        <w:jc w:val="both"/>
        <w:ind w:firstLine="1252"/>
        <w:spacing w:after="0" w:line="275" w:lineRule="auto"/>
        <w:rPr>
          <w:sz w:val="20"/>
          <w:szCs w:val="20"/>
          <w:color w:val="auto"/>
        </w:rPr>
      </w:pPr>
      <w:r>
        <w:rPr>
          <w:rFonts w:ascii="Times New Roman" w:cs="Times New Roman" w:eastAsia="Times New Roman" w:hAnsi="Times New Roman"/>
          <w:sz w:val="17"/>
          <w:szCs w:val="17"/>
          <w:color w:val="FF0000"/>
          <w:strike w:val="1"/>
        </w:rPr>
        <w:t>(f)</w:t>
      </w:r>
      <w:r>
        <w:rPr>
          <w:rFonts w:ascii="Times New Roman" w:cs="Times New Roman" w:eastAsia="Times New Roman" w:hAnsi="Times New Roman"/>
          <w:sz w:val="17"/>
          <w:szCs w:val="17"/>
          <w:u w:val="single" w:color="auto"/>
          <w:color w:val="4472C4"/>
        </w:rPr>
        <w:t>(g)</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Maintenance of Net Worth. The Borrower shall, as of the last day of each Fiscal Quarter, maintain a Tangible Net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Worth of not less than the sum of (a) $</w:t>
      </w:r>
      <w:r>
        <w:rPr>
          <w:rFonts w:ascii="Times New Roman" w:cs="Times New Roman" w:eastAsia="Times New Roman" w:hAnsi="Times New Roman"/>
          <w:sz w:val="17"/>
          <w:szCs w:val="17"/>
          <w:color w:val="FF0000"/>
          <w:strike w:val="1"/>
        </w:rPr>
        <w:t>136,017,557</w:t>
      </w:r>
      <w:r>
        <w:rPr>
          <w:rFonts w:ascii="Times New Roman" w:cs="Times New Roman" w:eastAsia="Times New Roman" w:hAnsi="Times New Roman"/>
          <w:sz w:val="17"/>
          <w:szCs w:val="17"/>
          <w:u w:val="single" w:color="auto"/>
          <w:color w:val="4472C4"/>
        </w:rPr>
        <w:t>212,500,000</w:t>
      </w:r>
      <w:r>
        <w:rPr>
          <w:rFonts w:ascii="Times New Roman" w:cs="Times New Roman" w:eastAsia="Times New Roman" w:hAnsi="Times New Roman"/>
          <w:sz w:val="17"/>
          <w:szCs w:val="17"/>
          <w:color w:val="000000"/>
        </w:rPr>
        <w:t xml:space="preserve">, plus (b) 75% of the aggregate net proceeds received by Parent or any of its Subsidiaries in connection with any offering of Stock or Stock Equivalents of the Borrower, Parent or the Subsidiaries </w:t>
      </w:r>
      <w:r>
        <w:rPr>
          <w:rFonts w:ascii="Times New Roman" w:cs="Times New Roman" w:eastAsia="Times New Roman" w:hAnsi="Times New Roman"/>
          <w:sz w:val="17"/>
          <w:szCs w:val="17"/>
          <w:u w:val="single" w:color="auto"/>
          <w:color w:val="4472C4"/>
        </w:rPr>
        <w:t>since June 30, 2022</w:t>
      </w:r>
      <w:r>
        <w:rPr>
          <w:rFonts w:ascii="Times New Roman" w:cs="Times New Roman" w:eastAsia="Times New Roman" w:hAnsi="Times New Roman"/>
          <w:sz w:val="17"/>
          <w:szCs w:val="17"/>
          <w:color w:val="000000"/>
        </w:rPr>
        <w:t>.</w:t>
      </w:r>
    </w:p>
    <w:p>
      <w:pPr>
        <w:spacing w:after="0" w:line="163"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color w:val="auto"/>
        </w:rPr>
        <w:t xml:space="preserve">Section 8.21. </w:t>
      </w:r>
      <w:r>
        <w:rPr>
          <w:rFonts w:ascii="Times New Roman" w:cs="Times New Roman" w:eastAsia="Times New Roman" w:hAnsi="Times New Roman"/>
          <w:sz w:val="17"/>
          <w:szCs w:val="17"/>
          <w:color w:val="FF0000"/>
          <w:strike w:val="1"/>
        </w:rPr>
        <w:t>Borrowing Base Covenant</w:t>
      </w:r>
      <w:r>
        <w:rPr>
          <w:rFonts w:ascii="Times New Roman" w:cs="Times New Roman" w:eastAsia="Times New Roman" w:hAnsi="Times New Roman"/>
          <w:sz w:val="17"/>
          <w:szCs w:val="17"/>
          <w:u w:val="single" w:color="auto"/>
          <w:color w:val="4472C4"/>
        </w:rPr>
        <w:t>Pool Covenants</w:t>
      </w:r>
      <w:r>
        <w:rPr>
          <w:rFonts w:ascii="Times New Roman" w:cs="Times New Roman" w:eastAsia="Times New Roman" w:hAnsi="Times New Roman"/>
          <w:sz w:val="17"/>
          <w:szCs w:val="17"/>
          <w:color w:val="auto"/>
        </w:rPr>
        <w:t xml:space="preserve">. The Borrower shall cause the </w:t>
      </w:r>
      <w:r>
        <w:rPr>
          <w:rFonts w:ascii="Times New Roman" w:cs="Times New Roman" w:eastAsia="Times New Roman" w:hAnsi="Times New Roman"/>
          <w:sz w:val="17"/>
          <w:szCs w:val="17"/>
          <w:color w:val="FF0000"/>
          <w:strike w:val="1"/>
        </w:rPr>
        <w:t>Eligible Properties in the Borrowing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Base</w:t>
      </w:r>
      <w:r>
        <w:rPr>
          <w:rFonts w:ascii="Times New Roman" w:cs="Times New Roman" w:eastAsia="Times New Roman" w:hAnsi="Times New Roman"/>
          <w:sz w:val="17"/>
          <w:szCs w:val="17"/>
          <w:u w:val="single" w:color="auto"/>
          <w:color w:val="4472C4"/>
        </w:rPr>
        <w:t>Unencumbered Pool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to at all times comply with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 Pool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Requirements (other than with respect to</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Eligible Properties</w:t>
      </w:r>
      <w:r>
        <w:rPr>
          <w:rFonts w:ascii="Times New Roman" w:cs="Times New Roman" w:eastAsia="Times New Roman" w:hAnsi="Times New Roman"/>
          <w:sz w:val="17"/>
          <w:szCs w:val="17"/>
          <w:u w:val="single" w:color="auto"/>
          <w:color w:val="4472C4"/>
        </w:rPr>
        <w:t>Unencumbered Assets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that may exceed concentration limits but still be included in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4472C4"/>
        </w:rPr>
        <w:t>Asset</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Value in compliance with the definition of</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 Pool</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000000"/>
        </w:rPr>
        <w:t>Requirements) and shall exclude from the calculation of</w:t>
      </w:r>
      <w:r>
        <w:rPr>
          <w:rFonts w:ascii="Times New Roman" w:cs="Times New Roman" w:eastAsia="Times New Roman" w:hAnsi="Times New Roman"/>
          <w:sz w:val="17"/>
          <w:szCs w:val="17"/>
          <w:color w:val="4472C4"/>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 Asset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Value any portion of Property NOI or book value of any</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Eligible Properties</w:t>
      </w:r>
      <w:r>
        <w:rPr>
          <w:rFonts w:ascii="Times New Roman" w:cs="Times New Roman" w:eastAsia="Times New Roman" w:hAnsi="Times New Roman"/>
          <w:sz w:val="17"/>
          <w:szCs w:val="17"/>
          <w:u w:val="single" w:color="auto"/>
          <w:color w:val="4472C4"/>
        </w:rPr>
        <w:t>Unencumbered Assets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attributable to any </w:t>
      </w:r>
      <w:r>
        <w:rPr>
          <w:rFonts w:ascii="Times New Roman" w:cs="Times New Roman" w:eastAsia="Times New Roman" w:hAnsi="Times New Roman"/>
          <w:sz w:val="17"/>
          <w:szCs w:val="17"/>
          <w:color w:val="FF0000"/>
          <w:strike w:val="1"/>
        </w:rPr>
        <w:t>Eligible Properties</w:t>
      </w:r>
      <w:r>
        <w:rPr>
          <w:rFonts w:ascii="Times New Roman" w:cs="Times New Roman" w:eastAsia="Times New Roman" w:hAnsi="Times New Roman"/>
          <w:sz w:val="17"/>
          <w:szCs w:val="17"/>
          <w:u w:val="single" w:color="auto"/>
          <w:color w:val="4472C4"/>
        </w:rPr>
        <w:t>Unencumbered Assets</w:t>
      </w:r>
      <w:r>
        <w:rPr>
          <w:rFonts w:ascii="Times New Roman" w:cs="Times New Roman" w:eastAsia="Times New Roman" w:hAnsi="Times New Roman"/>
          <w:sz w:val="17"/>
          <w:szCs w:val="17"/>
          <w:color w:val="000000"/>
        </w:rPr>
        <w:t xml:space="preserve"> that exceed the concentration limits set forth in the </w:t>
      </w:r>
      <w:r>
        <w:rPr>
          <w:rFonts w:ascii="Times New Roman" w:cs="Times New Roman" w:eastAsia="Times New Roman" w:hAnsi="Times New Roman"/>
          <w:sz w:val="17"/>
          <w:szCs w:val="17"/>
          <w:color w:val="FF0000"/>
          <w:strike w:val="1"/>
        </w:rPr>
        <w:t>Borrowing</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FF0000"/>
          <w:strike w:val="1"/>
        </w:rPr>
        <w:t>Base</w:t>
      </w:r>
      <w:r>
        <w:rPr>
          <w:rFonts w:ascii="Times New Roman" w:cs="Times New Roman" w:eastAsia="Times New Roman" w:hAnsi="Times New Roman"/>
          <w:sz w:val="17"/>
          <w:szCs w:val="17"/>
          <w:color w:val="000000"/>
        </w:rPr>
        <w:t>U</w:t>
      </w:r>
      <w:r>
        <w:rPr>
          <w:rFonts w:ascii="Times New Roman" w:cs="Times New Roman" w:eastAsia="Times New Roman" w:hAnsi="Times New Roman"/>
          <w:sz w:val="17"/>
          <w:szCs w:val="17"/>
          <w:u w:val="single" w:color="auto"/>
          <w:color w:val="4472C4"/>
        </w:rPr>
        <w:t>nencumbered Pool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Requirements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4472C4"/>
        </w:rPr>
        <w:t>or that cease to satisfy the conditions to be Unencumbered Assets</w:t>
      </w:r>
      <w:r>
        <w:rPr>
          <w:rFonts w:ascii="Times New Roman" w:cs="Times New Roman" w:eastAsia="Times New Roman" w:hAnsi="Times New Roman"/>
          <w:sz w:val="17"/>
          <w:szCs w:val="17"/>
          <w:color w:val="000000"/>
        </w:rPr>
        <w:t>.</w:t>
      </w:r>
    </w:p>
    <w:p>
      <w:pPr>
        <w:spacing w:after="0" w:line="17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8.22.</w:t>
      </w:r>
      <w:r>
        <w:rPr>
          <w:sz w:val="20"/>
          <w:szCs w:val="20"/>
          <w:color w:val="auto"/>
        </w:rPr>
        <w:tab/>
      </w:r>
      <w:r>
        <w:rPr>
          <w:rFonts w:ascii="Times New Roman" w:cs="Times New Roman" w:eastAsia="Times New Roman" w:hAnsi="Times New Roman"/>
          <w:sz w:val="17"/>
          <w:szCs w:val="17"/>
          <w:u w:val="single" w:color="auto"/>
          <w:color w:val="auto"/>
        </w:rPr>
        <w:t>Electronic Delivery of Certain Information</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ind w:firstLine="1257"/>
        <w:spacing w:after="0" w:line="294" w:lineRule="auto"/>
        <w:tabs>
          <w:tab w:leader="none" w:pos="187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 including financial reports to be delivered pursuant to Section 8.5 hereof, required to be delivered pursuant to this Agreement may be delivered by electronic</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33" w:name="page134"/>
    <w:bookmarkEnd w:id="133"/>
    <w:p>
      <w:pPr>
        <w:jc w:val="both"/>
        <w:spacing w:after="0" w:line="259" w:lineRule="auto"/>
        <w:rPr>
          <w:sz w:val="20"/>
          <w:szCs w:val="20"/>
          <w:color w:val="auto"/>
        </w:rPr>
      </w:pPr>
      <w:r>
        <w:rPr>
          <w:rFonts w:ascii="Times New Roman" w:cs="Times New Roman" w:eastAsia="Times New Roman" w:hAnsi="Times New Roman"/>
          <w:sz w:val="17"/>
          <w:szCs w:val="17"/>
          <w:color w:val="auto"/>
        </w:rPr>
        <w:t>communication and delivery, including, the Internet, including the website maintained by the Securities and Exchange Commission,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Section 1.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New York time on the opening of business on the next business day for the recipient. Notwithstanding anything contained herein, in every instance the Borrower shall be required to provide paper copies of the certificates required by Sections 8.5(d) and 8.5(e) to the 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w:t>
      </w:r>
    </w:p>
    <w:p>
      <w:pPr>
        <w:spacing w:after="0" w:line="176" w:lineRule="exact"/>
        <w:rPr>
          <w:sz w:val="20"/>
          <w:szCs w:val="20"/>
          <w:color w:val="auto"/>
        </w:rPr>
      </w:pPr>
    </w:p>
    <w:p>
      <w:pPr>
        <w:ind w:firstLine="1257"/>
        <w:spacing w:after="0" w:line="294" w:lineRule="auto"/>
        <w:tabs>
          <w:tab w:leader="none" w:pos="187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 required to be delivered pursuant to Section 1 may be delivered electronically to a website provided for such purpose by the Administrative Agent pursuant to the procedures provided to the Borrower by the Administrative Agent.</w:t>
      </w:r>
    </w:p>
    <w:p>
      <w:pPr>
        <w:spacing w:after="0" w:line="146" w:lineRule="exact"/>
        <w:rPr>
          <w:rFonts w:ascii="Times New Roman" w:cs="Times New Roman" w:eastAsia="Times New Roman" w:hAnsi="Times New Roman"/>
          <w:sz w:val="17"/>
          <w:szCs w:val="17"/>
          <w:color w:val="auto"/>
        </w:rPr>
      </w:pPr>
    </w:p>
    <w:p>
      <w:pPr>
        <w:jc w:val="both"/>
        <w:ind w:firstLine="1257"/>
        <w:spacing w:after="0" w:line="258" w:lineRule="auto"/>
        <w:tabs>
          <w:tab w:leader="none" w:pos="1923"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Credit Agreement and any document, amendment, approval, consent, information, notice, certificate, request, statement, disclosure or authorization related to this Credit Agreement (each a “</w:t>
      </w:r>
      <w:r>
        <w:rPr>
          <w:rFonts w:ascii="Times New Roman" w:cs="Times New Roman" w:eastAsia="Times New Roman" w:hAnsi="Times New Roman"/>
          <w:sz w:val="17"/>
          <w:szCs w:val="17"/>
          <w:i w:val="1"/>
          <w:iCs w:val="1"/>
          <w:color w:val="auto"/>
        </w:rPr>
        <w:t>Communication</w:t>
      </w:r>
      <w:r>
        <w:rPr>
          <w:rFonts w:ascii="Times New Roman" w:cs="Times New Roman" w:eastAsia="Times New Roman" w:hAnsi="Times New Roman"/>
          <w:sz w:val="17"/>
          <w:szCs w:val="17"/>
          <w:color w:val="auto"/>
        </w:rPr>
        <w:t>”),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such Loan Party to the same extent as a manual, original signature, and that any Communication entered into by Electronic Signature, will constitute the legal, valid and binding obligation of such Loan Party, enforceable against such Loan Party in accordance with the terms thereof to the same extent as if a manually executed original signature was delivered or a paper-based recordkeeping system was used, as the case may be.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w:t>
      </w:r>
      <w:r>
        <w:rPr>
          <w:rFonts w:ascii="Times New Roman" w:cs="Times New Roman" w:eastAsia="Times New Roman" w:hAnsi="Times New Roman"/>
          <w:sz w:val="17"/>
          <w:szCs w:val="17"/>
          <w:i w:val="1"/>
          <w:iCs w:val="1"/>
          <w:color w:val="auto"/>
        </w:rPr>
        <w:t>Electronic Copy</w:t>
      </w:r>
      <w:r>
        <w:rPr>
          <w:rFonts w:ascii="Times New Roman" w:cs="Times New Roman" w:eastAsia="Times New Roman" w:hAnsi="Times New Roman"/>
          <w:sz w:val="17"/>
          <w:szCs w:val="17"/>
          <w:color w:val="auto"/>
        </w:rPr>
        <w:t>”), which shall be deemed created in the ordinary course of such Person’s business, and destroy the original paper document. All Communications in the form of an Electronic Record, including an Electronic Copy, shall be considered an original for all</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1"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34" w:name="page135"/>
    <w:bookmarkEnd w:id="134"/>
    <w:p>
      <w:pPr>
        <w:jc w:val="both"/>
        <w:spacing w:after="0" w:line="261" w:lineRule="auto"/>
        <w:rPr>
          <w:sz w:val="20"/>
          <w:szCs w:val="20"/>
          <w:color w:val="auto"/>
        </w:rPr>
      </w:pPr>
      <w:r>
        <w:rPr>
          <w:rFonts w:ascii="Times New Roman" w:cs="Times New Roman" w:eastAsia="Times New Roman" w:hAnsi="Times New Roman"/>
          <w:sz w:val="17"/>
          <w:szCs w:val="17"/>
          <w:color w:val="auto"/>
        </w:rPr>
        <w:t>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 (i) to the extent Administrative Agent has agreed to accept such Electronic Signature, Administrative Agent and each of the Lenders shall be entitled to rely on any such Electronic Signature purportedly given by or on behalf of any Loan Party without further verification and (ii) upon the request of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spacing w:after="0" w:line="175"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 xml:space="preserve">Section 8.23. </w:t>
      </w:r>
      <w:r>
        <w:rPr>
          <w:rFonts w:ascii="Times New Roman" w:cs="Times New Roman" w:eastAsia="Times New Roman" w:hAnsi="Times New Roman"/>
          <w:sz w:val="17"/>
          <w:szCs w:val="17"/>
          <w:u w:val="single" w:color="auto"/>
          <w:color w:val="auto"/>
        </w:rPr>
        <w:t>Evidence of Payment of Florida Intangibles Tax</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Within thirty (30) days after the Closing Date (or such longer time period consented to in writing by the Administrative Agent, in its reasonable discretion), the Borrower shall deliver evidence reasonably acceptable to the Administrative Agent of Borrower’s payment in full of all documentary stamp tax required to be paid by the State of Florida with respect to the Loans.</w:t>
      </w:r>
    </w:p>
    <w:p>
      <w:pPr>
        <w:spacing w:after="0" w:line="167"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8.24.</w:t>
      </w:r>
      <w:r>
        <w:rPr>
          <w:sz w:val="20"/>
          <w:szCs w:val="20"/>
          <w:color w:val="auto"/>
        </w:rPr>
        <w:tab/>
      </w:r>
      <w:r>
        <w:rPr>
          <w:rFonts w:ascii="Times New Roman" w:cs="Times New Roman" w:eastAsia="Times New Roman" w:hAnsi="Times New Roman"/>
          <w:sz w:val="17"/>
          <w:szCs w:val="17"/>
          <w:u w:val="single" w:color="auto"/>
          <w:color w:val="auto"/>
        </w:rPr>
        <w:t>REIT Status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Parent shall maintain its status as a REIT.</w:t>
      </w:r>
    </w:p>
    <w:p>
      <w:pPr>
        <w:spacing w:after="0" w:line="222" w:lineRule="exact"/>
        <w:rPr>
          <w:sz w:val="20"/>
          <w:szCs w:val="20"/>
          <w:color w:val="auto"/>
        </w:rPr>
      </w:pPr>
    </w:p>
    <w:p>
      <w:pPr>
        <w:jc w:val="both"/>
        <w:ind w:firstLine="626"/>
        <w:spacing w:after="0" w:line="297" w:lineRule="auto"/>
        <w:rPr>
          <w:sz w:val="20"/>
          <w:szCs w:val="20"/>
          <w:color w:val="auto"/>
        </w:rPr>
      </w:pPr>
      <w:r>
        <w:rPr>
          <w:rFonts w:ascii="Times New Roman" w:cs="Times New Roman" w:eastAsia="Times New Roman" w:hAnsi="Times New Roman"/>
          <w:sz w:val="17"/>
          <w:szCs w:val="17"/>
          <w:color w:val="auto"/>
        </w:rPr>
        <w:t xml:space="preserve">Section 8.25. </w:t>
      </w:r>
      <w:r>
        <w:rPr>
          <w:rFonts w:ascii="Times New Roman" w:cs="Times New Roman" w:eastAsia="Times New Roman" w:hAnsi="Times New Roman"/>
          <w:sz w:val="17"/>
          <w:szCs w:val="17"/>
          <w:u w:val="single" w:color="auto"/>
          <w:color w:val="auto"/>
        </w:rPr>
        <w:t>Restricted Payments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Borrower shall not, nor shall Parent or any Subsidiary to, declare or make any Restricted Payment;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44" w:lineRule="exact"/>
        <w:rPr>
          <w:sz w:val="20"/>
          <w:szCs w:val="20"/>
          <w:color w:val="auto"/>
        </w:rPr>
      </w:pPr>
    </w:p>
    <w:p>
      <w:pPr>
        <w:jc w:val="both"/>
        <w:ind w:firstLine="1257"/>
        <w:spacing w:after="0" w:line="262" w:lineRule="auto"/>
        <w:tabs>
          <w:tab w:leader="none" w:pos="187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Parent may declare or make cash distributions to its equity holders in an aggregate amount not to exceed the greater of (x) ninety-five percent (95%) of Parent’s Adjusted FFO for each Fiscal Quarter ending thereafter, or (y) the amount necessary for Parent to be able to make distributions required to maintain its status as a REIT and to avoid the imposition of any federal or state income tax, and to avoid the imposition of the excise tax described by Section 4981 of the Code, in each case on Parent; provided further that, in either case, </w:t>
      </w:r>
      <w:r>
        <w:rPr>
          <w:rFonts w:ascii="Times New Roman" w:cs="Times New Roman" w:eastAsia="Times New Roman" w:hAnsi="Times New Roman"/>
          <w:sz w:val="17"/>
          <w:szCs w:val="17"/>
          <w:color w:val="FF0000"/>
          <w:strike w:val="1"/>
        </w:rPr>
        <w:t>(A)</w:t>
      </w:r>
      <w:r>
        <w:rPr>
          <w:rFonts w:ascii="Times New Roman" w:cs="Times New Roman" w:eastAsia="Times New Roman" w:hAnsi="Times New Roman"/>
          <w:sz w:val="17"/>
          <w:szCs w:val="17"/>
          <w:color w:val="auto"/>
        </w:rPr>
        <w:t xml:space="preserve"> during the continuance of an Event of Default, </w:t>
      </w:r>
      <w:r>
        <w:rPr>
          <w:rFonts w:ascii="Times New Roman" w:cs="Times New Roman" w:eastAsia="Times New Roman" w:hAnsi="Times New Roman"/>
          <w:sz w:val="17"/>
          <w:szCs w:val="17"/>
          <w:u w:val="single" w:color="auto"/>
          <w:color w:val="4472C4"/>
        </w:rPr>
        <w:t>(A)</w:t>
      </w:r>
      <w:r>
        <w:rPr>
          <w:rFonts w:ascii="Times New Roman" w:cs="Times New Roman" w:eastAsia="Times New Roman" w:hAnsi="Times New Roman"/>
          <w:sz w:val="17"/>
          <w:szCs w:val="17"/>
          <w:color w:val="auto"/>
        </w:rPr>
        <w:t xml:space="preserve"> Restricted Payments made pursuant to this clause (a) shall not exceed the amounts described in clause (y), and (B) </w:t>
      </w:r>
      <w:r>
        <w:rPr>
          <w:rFonts w:ascii="Times New Roman" w:cs="Times New Roman" w:eastAsia="Times New Roman" w:hAnsi="Times New Roman"/>
          <w:sz w:val="17"/>
          <w:szCs w:val="17"/>
          <w:color w:val="FF0000"/>
          <w:strike w:val="1"/>
        </w:rPr>
        <w:t>following a Bankruptcy Event with respect to the Borrower or the acceleration of the Obligations,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Parent shall not make any</w:t>
      </w:r>
      <w:r>
        <w:rPr>
          <w:rFonts w:ascii="Times New Roman" w:cs="Times New Roman" w:eastAsia="Times New Roman" w:hAnsi="Times New Roman"/>
          <w:sz w:val="17"/>
          <w:szCs w:val="17"/>
          <w:u w:val="single" w:color="auto"/>
          <w:color w:val="4472C4"/>
        </w:rPr>
        <w:t>no other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cash distributions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4472C4"/>
        </w:rPr>
        <w:t>will be permitted</w:t>
      </w:r>
      <w:r>
        <w:rPr>
          <w:rFonts w:ascii="Times New Roman" w:cs="Times New Roman" w:eastAsia="Times New Roman" w:hAnsi="Times New Roman"/>
          <w:sz w:val="17"/>
          <w:szCs w:val="17"/>
          <w:color w:val="000000"/>
        </w:rPr>
        <w:t>;</w:t>
      </w:r>
    </w:p>
    <w:p>
      <w:pPr>
        <w:spacing w:after="0" w:line="175"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make Restricted Payments ratably to the holders of its Equity Interests to permit Parent to make the Restricted Payments permitted under clause (a) above;</w:t>
      </w:r>
    </w:p>
    <w:p>
      <w:pPr>
        <w:spacing w:after="0" w:line="146"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Subsidiary may make Restricted Payments ratably to the holders of its Equity Interests;</w:t>
      </w:r>
    </w:p>
    <w:p>
      <w:pPr>
        <w:spacing w:after="0" w:line="221" w:lineRule="exact"/>
        <w:rPr>
          <w:rFonts w:ascii="Times New Roman" w:cs="Times New Roman" w:eastAsia="Times New Roman" w:hAnsi="Times New Roman"/>
          <w:sz w:val="17"/>
          <w:szCs w:val="17"/>
          <w:color w:val="auto"/>
        </w:rPr>
      </w:pPr>
    </w:p>
    <w:p>
      <w:pPr>
        <w:jc w:val="both"/>
        <w:ind w:firstLine="1257"/>
        <w:spacing w:after="0" w:line="263" w:lineRule="auto"/>
        <w:tabs>
          <w:tab w:leader="none" w:pos="187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the Borrower or any Guarantor may declare and make dividend payments or other distributions payable solely in the common equity interests or other equity interests of such entity including (i) “cashless exercises” of options granted under any share option plan adopted by such entity, (ii) distributions of rights or equity securities under any rights plan adopted by such entity and</w:t>
      </w:r>
    </w:p>
    <w:p>
      <w:pPr>
        <w:spacing w:after="0" w:line="1" w:lineRule="exact"/>
        <w:rPr>
          <w:rFonts w:ascii="Times New Roman" w:cs="Times New Roman" w:eastAsia="Times New Roman" w:hAnsi="Times New Roman"/>
          <w:sz w:val="17"/>
          <w:szCs w:val="17"/>
          <w:color w:val="auto"/>
        </w:rPr>
      </w:pPr>
    </w:p>
    <w:p>
      <w:pPr>
        <w:ind w:firstLine="5"/>
        <w:spacing w:after="0" w:line="272" w:lineRule="auto"/>
        <w:tabs>
          <w:tab w:leader="none" w:pos="31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(or effect stock splits or reverse stock splits) with respect to its equity interests payable solely in additional shares of its equity interests;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0"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35" w:name="page136"/>
    <w:bookmarkEnd w:id="135"/>
    <w:p>
      <w:pPr>
        <w:jc w:val="both"/>
        <w:ind w:firstLine="1257"/>
        <w:spacing w:after="0" w:line="275" w:lineRule="auto"/>
        <w:tabs>
          <w:tab w:leader="none" w:pos="187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the Borrower and each Guarantor may make cash payments in lieu of the issuance of fractional shares representing insignificant interests in connection with the exercise of warrants, options or other securities convertible into or exchangeable for equity interests of Parent, the Borrower or any Subsidiary;</w:t>
      </w:r>
    </w:p>
    <w:p>
      <w:pPr>
        <w:spacing w:after="0" w:line="162"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Change of Control results therefrom, Parent,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spacing w:after="0" w:line="162"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Change of Control results therefrom, the Borrower and each Subsidiary that is a Guarantor may make dividends or distributions to allow Parent to make payments in connection with share purchase programs, to the extent not otherwise prohibited by the terms of this Agreement; and</w:t>
      </w:r>
    </w:p>
    <w:p>
      <w:pPr>
        <w:spacing w:after="0" w:line="162"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may exercise any redemption or conversion rights with respect to its Equity Interests in accordance with the terms of the governing documents setting out any such rights.</w:t>
      </w:r>
    </w:p>
    <w:p>
      <w:pPr>
        <w:spacing w:after="0" w:line="147" w:lineRule="exact"/>
        <w:rPr>
          <w:sz w:val="20"/>
          <w:szCs w:val="20"/>
          <w:color w:val="auto"/>
        </w:rPr>
      </w:pPr>
    </w:p>
    <w:p>
      <w:pPr>
        <w:jc w:val="both"/>
        <w:ind w:firstLine="626"/>
        <w:spacing w:after="0" w:line="267" w:lineRule="auto"/>
        <w:rPr>
          <w:sz w:val="20"/>
          <w:szCs w:val="20"/>
          <w:color w:val="auto"/>
        </w:rPr>
      </w:pPr>
      <w:r>
        <w:rPr>
          <w:rFonts w:ascii="Times New Roman" w:cs="Times New Roman" w:eastAsia="Times New Roman" w:hAnsi="Times New Roman"/>
          <w:sz w:val="17"/>
          <w:szCs w:val="17"/>
          <w:color w:val="auto"/>
        </w:rPr>
        <w:t xml:space="preserve">Section 8.26. </w:t>
      </w:r>
      <w:r>
        <w:rPr>
          <w:rFonts w:ascii="Times New Roman" w:cs="Times New Roman" w:eastAsia="Times New Roman" w:hAnsi="Times New Roman"/>
          <w:sz w:val="17"/>
          <w:szCs w:val="17"/>
          <w:u w:val="single" w:color="auto"/>
          <w:color w:val="auto"/>
        </w:rPr>
        <w:t>Other Unsecured Indebtedness Guarantees</w:t>
      </w:r>
      <w:r>
        <w:rPr>
          <w:rFonts w:ascii="Times New Roman" w:cs="Times New Roman" w:eastAsia="Times New Roman" w:hAnsi="Times New Roman"/>
          <w:sz w:val="17"/>
          <w:szCs w:val="17"/>
          <w:color w:val="auto"/>
        </w:rPr>
        <w:t>. No Subsidiary shall guaranty the payment of, or agree to enter into a guaranty of the payment of, any Other Unsecured Indebtedness without simultaneously entering into and delivering to the Administrative Agent, for the benefit of the Lenders, a comparable guaranty of the payment of the Obligations; provided, that the foregoing shall not restrict or prohibit any Subsidiary guaranty of any Property level Indebtedness for Borrowed Money which otherwise remains in compliance with Section 8.20.</w:t>
      </w:r>
    </w:p>
    <w:p>
      <w:pPr>
        <w:spacing w:after="0" w:line="38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9.</w:t>
      </w:r>
      <w:r>
        <w:rPr>
          <w:sz w:val="20"/>
          <w:szCs w:val="20"/>
          <w:color w:val="auto"/>
        </w:rPr>
        <w:tab/>
      </w:r>
      <w:r>
        <w:rPr>
          <w:rFonts w:ascii="Times New Roman" w:cs="Times New Roman" w:eastAsia="Times New Roman" w:hAnsi="Times New Roman"/>
          <w:sz w:val="17"/>
          <w:szCs w:val="17"/>
          <w:color w:val="auto"/>
        </w:rPr>
        <w:t>EVENTS OF DEFAULT AND REMEDIES</w:t>
      </w:r>
    </w:p>
    <w:p>
      <w:pPr>
        <w:spacing w:after="0" w:line="220"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9.1.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Any one or more of the following shall constitute an</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i w:val="1"/>
          <w:iCs w:val="1"/>
          <w:color w:val="auto"/>
        </w:rPr>
        <w:t>“Event of Default”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hereunder:</w:t>
      </w:r>
    </w:p>
    <w:p>
      <w:pPr>
        <w:spacing w:after="0" w:line="224" w:lineRule="exact"/>
        <w:rPr>
          <w:sz w:val="20"/>
          <w:szCs w:val="20"/>
          <w:color w:val="auto"/>
        </w:rPr>
      </w:pPr>
    </w:p>
    <w:p>
      <w:pPr>
        <w:jc w:val="both"/>
        <w:ind w:firstLine="1257"/>
        <w:spacing w:after="0" w:line="275" w:lineRule="auto"/>
        <w:tabs>
          <w:tab w:leader="none" w:pos="187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when due of all or any part of the principal of any Loan (whether at the stated maturity thereof or at any other time provided for in this Agreement); or default for a period of three (3) Business Days in the payment when due of any interest, fee or other Obligation payable hereunder or under any other Loan Document;</w:t>
      </w:r>
    </w:p>
    <w:p>
      <w:pPr>
        <w:spacing w:after="0" w:line="162" w:lineRule="exact"/>
        <w:rPr>
          <w:rFonts w:ascii="Times New Roman" w:cs="Times New Roman" w:eastAsia="Times New Roman" w:hAnsi="Times New Roman"/>
          <w:sz w:val="17"/>
          <w:szCs w:val="17"/>
          <w:color w:val="auto"/>
        </w:rPr>
      </w:pPr>
    </w:p>
    <w:p>
      <w:pPr>
        <w:jc w:val="both"/>
        <w:ind w:firstLine="1257"/>
        <w:spacing w:after="0" w:line="268" w:lineRule="auto"/>
        <w:tabs>
          <w:tab w:leader="none" w:pos="187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observance or performance of any covenant set forth in Sections 8.1 (only with respect to the first sentence thereof), 8.5 (for a period of five (5) days), 8.7, 8.8, 8.9, 8.10, 8.20, 8.21 (if not replaced with another Eligible Property or Eligible Properties in accordance with Section 7.3 hereof within ten (10) Business Days after the period of notice required by Section 7.3), 8.23 or 8.25 hereof;</w:t>
      </w:r>
    </w:p>
    <w:p>
      <w:pPr>
        <w:spacing w:after="0" w:line="169" w:lineRule="exact"/>
        <w:rPr>
          <w:rFonts w:ascii="Times New Roman" w:cs="Times New Roman" w:eastAsia="Times New Roman" w:hAnsi="Times New Roman"/>
          <w:sz w:val="17"/>
          <w:szCs w:val="17"/>
          <w:color w:val="auto"/>
        </w:rPr>
      </w:pPr>
    </w:p>
    <w:p>
      <w:pPr>
        <w:jc w:val="both"/>
        <w:ind w:firstLine="1257"/>
        <w:spacing w:after="0" w:line="267" w:lineRule="auto"/>
        <w:tabs>
          <w:tab w:leader="none" w:pos="187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default in the observance or performance of any other provision hereof or of any other Loan Document which is not remedied within thirty (30) days after the earlier of (i) the date on which such failure shall first become known to any Responsible Officer of the Borrower or (ii) written notice thereof is given to the Borrower by the Administrative Agent;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if such a default is susceptible of cure but cannot reasonably be cured within such thirty (30) day period and provided further that the Borrower shall have commenced to cure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7"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36" w:name="page137"/>
    <w:bookmarkEnd w:id="136"/>
    <w:p>
      <w:pPr>
        <w:jc w:val="both"/>
        <w:spacing w:after="0" w:line="275" w:lineRule="auto"/>
        <w:rPr>
          <w:sz w:val="20"/>
          <w:szCs w:val="20"/>
          <w:color w:val="auto"/>
        </w:rPr>
      </w:pPr>
      <w:r>
        <w:rPr>
          <w:rFonts w:ascii="Times New Roman" w:cs="Times New Roman" w:eastAsia="Times New Roman" w:hAnsi="Times New Roman"/>
          <w:sz w:val="17"/>
          <w:szCs w:val="17"/>
          <w:color w:val="auto"/>
        </w:rPr>
        <w:t>such default within such thirty (30) day period and thereafter diligently and expeditiously proceeds to cure the same, such thirty (30) day period shall be extended for such time as is reasonably necessary for the Borrower in the exercise of due diligence to cure such default, provided such additional period shall not exceed sixty (60) days;</w:t>
      </w:r>
    </w:p>
    <w:p>
      <w:pPr>
        <w:spacing w:after="0" w:line="163" w:lineRule="exact"/>
        <w:rPr>
          <w:sz w:val="20"/>
          <w:szCs w:val="20"/>
          <w:color w:val="auto"/>
        </w:rPr>
      </w:pPr>
    </w:p>
    <w:p>
      <w:pPr>
        <w:jc w:val="both"/>
        <w:ind w:firstLine="1257"/>
        <w:spacing w:after="0" w:line="263" w:lineRule="auto"/>
        <w:tabs>
          <w:tab w:leader="none" w:pos="1878"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w:t>
      </w:r>
    </w:p>
    <w:p>
      <w:pPr>
        <w:spacing w:after="0" w:line="175" w:lineRule="exact"/>
        <w:rPr>
          <w:rFonts w:ascii="Times New Roman" w:cs="Times New Roman" w:eastAsia="Times New Roman" w:hAnsi="Times New Roman"/>
          <w:sz w:val="17"/>
          <w:szCs w:val="17"/>
          <w:color w:val="auto"/>
        </w:rPr>
      </w:pPr>
    </w:p>
    <w:p>
      <w:pPr>
        <w:jc w:val="both"/>
        <w:ind w:firstLine="1257"/>
        <w:spacing w:after="0" w:line="268" w:lineRule="auto"/>
        <w:tabs>
          <w:tab w:leader="none" w:pos="1878"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 except as expressly permitted by the terms hereof;</w:t>
      </w:r>
    </w:p>
    <w:p>
      <w:pPr>
        <w:spacing w:after="0" w:line="169" w:lineRule="exact"/>
        <w:rPr>
          <w:rFonts w:ascii="Times New Roman" w:cs="Times New Roman" w:eastAsia="Times New Roman" w:hAnsi="Times New Roman"/>
          <w:sz w:val="17"/>
          <w:szCs w:val="17"/>
          <w:color w:val="auto"/>
        </w:rPr>
      </w:pPr>
    </w:p>
    <w:p>
      <w:pPr>
        <w:jc w:val="both"/>
        <w:ind w:firstLine="1257"/>
        <w:spacing w:after="0" w:line="262" w:lineRule="auto"/>
        <w:tabs>
          <w:tab w:leader="none" w:pos="1878"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default and expiration of any cure periods related thereto shall occur under (x) any </w:t>
      </w:r>
      <w:r>
        <w:rPr>
          <w:rFonts w:ascii="Times New Roman" w:cs="Times New Roman" w:eastAsia="Times New Roman" w:hAnsi="Times New Roman"/>
          <w:sz w:val="17"/>
          <w:szCs w:val="17"/>
          <w:u w:val="single" w:color="auto"/>
          <w:color w:val="4472C4"/>
        </w:rPr>
        <w:t>nonrecourse</w:t>
      </w:r>
      <w:r>
        <w:rPr>
          <w:rFonts w:ascii="Times New Roman" w:cs="Times New Roman" w:eastAsia="Times New Roman" w:hAnsi="Times New Roman"/>
          <w:sz w:val="17"/>
          <w:szCs w:val="17"/>
          <w:color w:val="auto"/>
        </w:rPr>
        <w:t xml:space="preserve"> Indebtedness for Borrowed Money issued, assumed or guaranteed by the Borrower or any Subsidiary aggregating in excess of $</w:t>
      </w:r>
      <w:r>
        <w:rPr>
          <w:rFonts w:ascii="Times New Roman" w:cs="Times New Roman" w:eastAsia="Times New Roman" w:hAnsi="Times New Roman"/>
          <w:sz w:val="17"/>
          <w:szCs w:val="17"/>
          <w:color w:val="FF0000"/>
          <w:strike w:val="1"/>
        </w:rPr>
        <w:t>10</w:t>
      </w:r>
      <w:r>
        <w:rPr>
          <w:rFonts w:ascii="Times New Roman" w:cs="Times New Roman" w:eastAsia="Times New Roman" w:hAnsi="Times New Roman"/>
          <w:sz w:val="17"/>
          <w:szCs w:val="17"/>
          <w:u w:val="single" w:color="auto"/>
          <w:color w:val="4472C4"/>
        </w:rPr>
        <w:t>30</w:t>
      </w:r>
      <w:r>
        <w:rPr>
          <w:rFonts w:ascii="Times New Roman" w:cs="Times New Roman" w:eastAsia="Times New Roman" w:hAnsi="Times New Roman"/>
          <w:sz w:val="17"/>
          <w:szCs w:val="17"/>
          <w:color w:val="auto"/>
        </w:rPr>
        <w:t>,000,000 or (y) any recourse Indebtedness for Borrowed Money issued, assumed or guaranteed by the Borrower or any Subsidiary aggregating in excess of $</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4472C4"/>
        </w:rPr>
        <w:t>10</w:t>
      </w:r>
      <w:r>
        <w:rPr>
          <w:rFonts w:ascii="Times New Roman" w:cs="Times New Roman" w:eastAsia="Times New Roman" w:hAnsi="Times New Roman"/>
          <w:sz w:val="17"/>
          <w:szCs w:val="17"/>
          <w:color w:val="auto"/>
        </w:rPr>
        <w:t>,000,000, or a default and expiration of any cure periods related thereto, shall occur under any indenture, agreement or other instrument under which such Indebtedness for Borrowed Money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spacing w:after="0" w:line="175" w:lineRule="exact"/>
        <w:rPr>
          <w:rFonts w:ascii="Times New Roman" w:cs="Times New Roman" w:eastAsia="Times New Roman" w:hAnsi="Times New Roman"/>
          <w:sz w:val="17"/>
          <w:szCs w:val="17"/>
          <w:color w:val="auto"/>
        </w:rPr>
      </w:pPr>
    </w:p>
    <w:p>
      <w:pPr>
        <w:jc w:val="both"/>
        <w:ind w:firstLine="1257"/>
        <w:spacing w:after="0" w:line="268" w:lineRule="auto"/>
        <w:tabs>
          <w:tab w:leader="none" w:pos="1878"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judgment or judgments, writ or writs or warrant or warrants of attachment, or any similar process or processes, shall be entered or filed against the Borrower or any Subsidiary, or against any of its Property, in an aggregate amount in excess of $5,000,000 (except to the extent fully covered by insurance pursuant to which the insurer has accepted liability therefor in writing), and which remains undischarged, unvacated, unbonded or unstayed for a period of thirty (30) days;</w:t>
      </w:r>
    </w:p>
    <w:p>
      <w:pPr>
        <w:spacing w:after="0" w:line="169" w:lineRule="exact"/>
        <w:rPr>
          <w:rFonts w:ascii="Times New Roman" w:cs="Times New Roman" w:eastAsia="Times New Roman" w:hAnsi="Times New Roman"/>
          <w:sz w:val="17"/>
          <w:szCs w:val="17"/>
          <w:color w:val="auto"/>
        </w:rPr>
      </w:pPr>
    </w:p>
    <w:p>
      <w:pPr>
        <w:jc w:val="both"/>
        <w:ind w:firstLine="1257"/>
        <w:spacing w:after="0" w:line="263" w:lineRule="auto"/>
        <w:tabs>
          <w:tab w:leader="none" w:pos="1878"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w:t>
      </w:r>
      <w:r>
        <w:rPr>
          <w:rFonts w:ascii="Times New Roman" w:cs="Times New Roman" w:eastAsia="Times New Roman" w:hAnsi="Times New Roman"/>
          <w:sz w:val="17"/>
          <w:szCs w:val="17"/>
          <w:i w:val="1"/>
          <w:iCs w:val="1"/>
          <w:color w:val="auto"/>
        </w:rPr>
        <w:t>“Material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shall be filed under Title IV of ERISA by the Borrower or any Subsidiary, or any other member of its Controlled Group, any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administrator or any combination of the foregoing; or the PBGC shall institute proceedings under Title IV of ERISA to terminate or to cause a trustee to be appointed to administer any Material Plan or a</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37" w:name="page138"/>
    <w:bookmarkEnd w:id="137"/>
    <w:p>
      <w:pPr>
        <w:jc w:val="both"/>
        <w:spacing w:after="0" w:line="272" w:lineRule="auto"/>
        <w:rPr>
          <w:sz w:val="20"/>
          <w:szCs w:val="20"/>
          <w:color w:val="auto"/>
        </w:rPr>
      </w:pPr>
      <w:r>
        <w:rPr>
          <w:rFonts w:ascii="Times New Roman" w:cs="Times New Roman" w:eastAsia="Times New Roman" w:hAnsi="Times New Roman"/>
          <w:sz w:val="17"/>
          <w:szCs w:val="17"/>
          <w:color w:val="auto"/>
        </w:rPr>
        <w:t>proceeding shall be instituted by a fiduciary of any Material Plan against the Borrower or any Subsidiary,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w:t>
      </w:r>
    </w:p>
    <w:p>
      <w:pPr>
        <w:spacing w:after="0" w:line="378" w:lineRule="exact"/>
        <w:rPr>
          <w:sz w:val="20"/>
          <w:szCs w:val="20"/>
          <w:color w:val="auto"/>
        </w:rPr>
      </w:pPr>
    </w:p>
    <w:p>
      <w:pPr>
        <w:ind w:left="1880" w:hanging="623"/>
        <w:spacing w:after="0"/>
        <w:tabs>
          <w:tab w:leader="none" w:pos="188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of Control shall occur;</w:t>
      </w:r>
    </w:p>
    <w:p>
      <w:pPr>
        <w:spacing w:after="0" w:line="221" w:lineRule="exact"/>
        <w:rPr>
          <w:rFonts w:ascii="Times New Roman" w:cs="Times New Roman" w:eastAsia="Times New Roman" w:hAnsi="Times New Roman"/>
          <w:sz w:val="17"/>
          <w:szCs w:val="17"/>
          <w:color w:val="auto"/>
        </w:rPr>
      </w:pPr>
    </w:p>
    <w:p>
      <w:pPr>
        <w:jc w:val="both"/>
        <w:ind w:firstLine="1257"/>
        <w:spacing w:after="0" w:line="267" w:lineRule="auto"/>
        <w:tabs>
          <w:tab w:leader="none" w:pos="1878"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or any Material Subsidiary shall (i) have entered involuntarily against it an order for relief under the United States Bankruptcy Code, as amended, (ii) not pay, or admit in writing its inability to pay, its debts generally as they become due,</w:t>
      </w:r>
    </w:p>
    <w:p>
      <w:pPr>
        <w:jc w:val="both"/>
        <w:ind w:firstLine="5"/>
        <w:spacing w:after="0" w:line="258" w:lineRule="auto"/>
        <w:tabs>
          <w:tab w:leader="none" w:pos="30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 assignment for the benefit of creditors, (iv) apply for, seek, consent to or acquiesce in, the appointment of a receiver, custodian, trustee, examiner, liquidator or similar official for it or any substantial part of its Property,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 (vii) fail to contest in good faith any appointment or proceeding described in Section 9.1(k) hereof;</w:t>
      </w:r>
    </w:p>
    <w:p>
      <w:pPr>
        <w:spacing w:after="0" w:line="388" w:lineRule="exact"/>
        <w:rPr>
          <w:rFonts w:ascii="Times New Roman" w:cs="Times New Roman" w:eastAsia="Times New Roman" w:hAnsi="Times New Roman"/>
          <w:sz w:val="17"/>
          <w:szCs w:val="17"/>
          <w:color w:val="auto"/>
        </w:rPr>
      </w:pPr>
    </w:p>
    <w:p>
      <w:pPr>
        <w:jc w:val="both"/>
        <w:ind w:firstLine="1257"/>
        <w:spacing w:after="0" w:line="268" w:lineRule="auto"/>
        <w:tabs>
          <w:tab w:leader="none" w:pos="187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custodian, receiver, trustee, examiner, liquidator or similar official shall be appointed for the Borrower or any Subsidiary, or any substantial part of any of its Property, or a proceeding described in Section 9.1(j)(v) shall be instituted against the Borrower or any Subsidiary, and such appointment continues undischarged or such proceeding continues undismissed or unstayed for a period of sixty (60) days;</w:t>
      </w:r>
    </w:p>
    <w:p>
      <w:pPr>
        <w:spacing w:after="0" w:line="169"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of Parent fails to be duly listed on the New York Stock Exchange, the NYSE American or The NASDAQ Stock Market; or</w:t>
      </w:r>
    </w:p>
    <w:p>
      <w:pPr>
        <w:spacing w:after="0" w:line="146" w:lineRule="exact"/>
        <w:rPr>
          <w:rFonts w:ascii="Times New Roman" w:cs="Times New Roman" w:eastAsia="Times New Roman" w:hAnsi="Times New Roman"/>
          <w:sz w:val="17"/>
          <w:szCs w:val="17"/>
          <w:color w:val="auto"/>
        </w:rPr>
      </w:pPr>
    </w:p>
    <w:p>
      <w:pPr>
        <w:jc w:val="both"/>
        <w:ind w:firstLine="1257"/>
        <w:spacing w:after="0" w:line="263" w:lineRule="auto"/>
        <w:tabs>
          <w:tab w:leader="none" w:pos="187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provision of any Loan Document, at any time after its execution and delivery and for any reason other than in accordance with the terms hereof or thereof, or satisfaction in full or all the Obligations, is revoked, terminated, cancelled or rescinded, without the prior written approval of the Administrative Agent; or any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 ruling to the effect that, any one or more of the Loan Documents is illegal, invalid or unenforceable as to any material terms thereof.</w:t>
      </w:r>
    </w:p>
    <w:p>
      <w:pPr>
        <w:spacing w:after="0" w:line="173"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Non-Bankruptcy Defaults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When any Event of Default (other than those described in subsection (j) or (k) of Section 9.1 hereof)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and (b) if so directed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38" w:name="page139"/>
    <w:bookmarkEnd w:id="138"/>
    <w:p>
      <w:pPr>
        <w:jc w:val="both"/>
        <w:spacing w:after="0" w:line="265" w:lineRule="auto"/>
        <w:rPr>
          <w:sz w:val="20"/>
          <w:szCs w:val="20"/>
          <w:color w:val="auto"/>
        </w:rPr>
      </w:pPr>
      <w:r>
        <w:rPr>
          <w:rFonts w:ascii="Times New Roman" w:cs="Times New Roman" w:eastAsia="Times New Roman" w:hAnsi="Times New Roman"/>
          <w:sz w:val="17"/>
          <w:szCs w:val="17"/>
          <w:color w:val="auto"/>
        </w:rPr>
        <w:t>by the Required Lenders, declare the principal of and the accrued interest on all outstanding Term Loans and Incremental Term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The Administrative Agent, after giving notice to the Borrower pursuant to Section 9.1(c) or this Section 9.2, shall also promptly send a copy of such notice to the other Lenders, but the failure to do so shall not impair or annul the effect of such notice.</w:t>
      </w:r>
    </w:p>
    <w:p>
      <w:pPr>
        <w:spacing w:after="0" w:line="172"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 xml:space="preserve">Section 9.3. </w:t>
      </w:r>
      <w:r>
        <w:rPr>
          <w:rFonts w:ascii="Times New Roman" w:cs="Times New Roman" w:eastAsia="Times New Roman" w:hAnsi="Times New Roman"/>
          <w:sz w:val="17"/>
          <w:szCs w:val="17"/>
          <w:u w:val="single" w:color="auto"/>
          <w:color w:val="auto"/>
        </w:rPr>
        <w:t>Bankruptcy Defaults</w:t>
      </w:r>
      <w:r>
        <w:rPr>
          <w:rFonts w:ascii="Times New Roman" w:cs="Times New Roman" w:eastAsia="Times New Roman" w:hAnsi="Times New Roman"/>
          <w:sz w:val="17"/>
          <w:szCs w:val="17"/>
          <w:color w:val="auto"/>
        </w:rPr>
        <w:t>. When any Event of Default described in subsections (j) or (k) of Section 9.1 hereof has occurred and is continuing, then all outstanding Loans shall immediately become due and payable together with all other amounts payable under the Loan Documents without presentment, demand, protest or notice of any kind.</w:t>
      </w:r>
    </w:p>
    <w:p>
      <w:pPr>
        <w:spacing w:after="0" w:line="163"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 xml:space="preserve">Section 9.4. </w:t>
      </w:r>
      <w:r>
        <w:rPr>
          <w:rFonts w:ascii="Times New Roman" w:cs="Times New Roman" w:eastAsia="Times New Roman" w:hAnsi="Times New Roman"/>
          <w:sz w:val="17"/>
          <w:szCs w:val="17"/>
          <w:u w:val="single" w:color="auto"/>
          <w:color w:val="auto"/>
        </w:rPr>
        <w:t>Notice of Default</w:t>
      </w:r>
      <w:r>
        <w:rPr>
          <w:rFonts w:ascii="Times New Roman" w:cs="Times New Roman" w:eastAsia="Times New Roman" w:hAnsi="Times New Roman"/>
          <w:sz w:val="17"/>
          <w:szCs w:val="17"/>
          <w:color w:val="auto"/>
        </w:rPr>
        <w:t>. The Administrative Agent shall give notice to the Borrower under Section 9.1 hereof promptly upon being requested to do so by any Lender and shall thereupon notify all the Lenders thereof.</w:t>
      </w:r>
    </w:p>
    <w:p>
      <w:pPr>
        <w:spacing w:after="0" w:line="14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10.</w:t>
        <w:tab/>
        <w:t>CHANGE IN CIRCUMSTANCES.</w:t>
      </w:r>
    </w:p>
    <w:p>
      <w:pPr>
        <w:spacing w:after="0" w:line="222"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Change of Law</w:t>
      </w:r>
      <w:r>
        <w:rPr>
          <w:rFonts w:ascii="Times New Roman" w:cs="Times New Roman" w:eastAsia="Times New Roman" w:hAnsi="Times New Roman"/>
          <w:sz w:val="17"/>
          <w:szCs w:val="17"/>
          <w:color w:val="auto"/>
        </w:rPr>
        <w:t xml:space="preserve">. Notwithstanding any other provisions of this Agreement or any other Loan Document, if at any time any Change in Law makes it unlawful for any Lender to make or continue to maintain any SOFR Loans or to perform its obligations as contemplated hereby related to SOFR Loans, such Lender shall promptly give written notice thereof to the Borrower and such Lender’s obligations to make or maintain SOFR Loans under this Agreement shall be suspended until it is no longer unlawful for such Lender to make or maintain SOFR Loans. The Borrower shall promptly prepay the outstanding principal amount of any such affected SOFR Loans, together with all interest accrued thereon and all other amounts then due and payable to such Lender under this Agreement or, subject to all of the terms and conditions of this Agreement, convert such affected SOFR Loans into Base Rate Loans;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subject to all of the terms and conditions of this Agreement (unless the affected SOFR Loans are converted into Base Rate Loans), the Borrower may then elect to borrow the principal amount of the affected SOFR Loans from such Lender by means of Base Rate Loans from such Lender, which Base Rate Loans shall not be made ratably by the Lenders but only from such affected Lender.</w:t>
      </w:r>
    </w:p>
    <w:p>
      <w:pPr>
        <w:spacing w:after="0" w:line="177"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Temporary Inability to Determine Rates Alternate Rate of Interest</w:t>
      </w:r>
      <w:r>
        <w:rPr>
          <w:rFonts w:ascii="Times New Roman" w:cs="Times New Roman" w:eastAsia="Times New Roman" w:hAnsi="Times New Roman"/>
          <w:sz w:val="17"/>
          <w:szCs w:val="17"/>
          <w:color w:val="auto"/>
        </w:rPr>
        <w:t>. If (A) the Administrative Agent determines (which determination shall be conclusive and binding absent manifest error) that Adjusted Daily Simple SOFR or Adjusted Term SOFR cannot be determined pursuant to the definition thereof or (B) the Required Lenders determine that for any reason in connection with any request for a SOFR Loan or a conversion thereto or a continuation thereof that Adjusted Daily Simple SOFR or Adjusted Term SOFR for any requested Interest Period with respect to a proposed SOFR Loan does not adequately and fairly reflect the cost to such Lenders of funding such Loan, and the Required Lenders have provided notice of such determination to the Administrative Agent, in each case of (A) and (B), on or prior to the first day of any Interest Period, the Administrative Agent will promptly so notify the Borrower and each Lender. Upon notice thereof by the Administrative Agent to the Borrower, (i)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39" w:name="page140"/>
    <w:bookmarkEnd w:id="139"/>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obligation of the Lenders to make or continue the applicable SOFR Loans or to convert Base Rate Loans to SOFR Loans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 Upon receipt of such notice, (i) the Borrower may revoke any pending request for a borrowing of, conversion to or continuation of any applicable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in respect of Term SOFR Loans, or immediately in respect of Daily Simple SOFR Loans. Upon any such conversion, the Borrower shall also pay accrued interest on the amount so converted, together with any additional amounts required pursuant to Section 1.11. If the Administrative Agent determines (which determination shall be conclusive and binding absent manifest error) that “Adjusted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The Administrative Agent shall promptly revoke any such determination promptly upon the circumstances leading to such determination ceasing to exist.Section 10.3. </w:t>
      </w:r>
      <w:r>
        <w:rPr>
          <w:rFonts w:ascii="Times New Roman" w:cs="Times New Roman" w:eastAsia="Times New Roman" w:hAnsi="Times New Roman"/>
          <w:sz w:val="17"/>
          <w:szCs w:val="17"/>
          <w:u w:val="single" w:color="auto"/>
          <w:color w:val="auto"/>
        </w:rPr>
        <w:t>Increased Cost and Reduced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Return</w:t>
      </w:r>
      <w:r>
        <w:rPr>
          <w:rFonts w:ascii="Times New Roman" w:cs="Times New Roman" w:eastAsia="Times New Roman" w:hAnsi="Times New Roman"/>
          <w:sz w:val="17"/>
          <w:szCs w:val="17"/>
          <w:color w:val="auto"/>
        </w:rPr>
        <w:t>.</w:t>
      </w:r>
    </w:p>
    <w:p>
      <w:pPr>
        <w:spacing w:after="0" w:line="396" w:lineRule="exact"/>
        <w:rPr>
          <w:sz w:val="20"/>
          <w:szCs w:val="20"/>
          <w:color w:val="auto"/>
        </w:rPr>
      </w:pPr>
    </w:p>
    <w:p>
      <w:pPr>
        <w:ind w:left="1880" w:hanging="623"/>
        <w:spacing w:after="0"/>
        <w:tabs>
          <w:tab w:leader="none" w:pos="18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Change in Law shall:</w:t>
      </w:r>
    </w:p>
    <w:p>
      <w:pPr>
        <w:spacing w:after="0" w:line="221" w:lineRule="exact"/>
        <w:rPr>
          <w:rFonts w:ascii="Times New Roman" w:cs="Times New Roman" w:eastAsia="Times New Roman" w:hAnsi="Times New Roman"/>
          <w:sz w:val="17"/>
          <w:szCs w:val="17"/>
          <w:color w:val="auto"/>
        </w:rPr>
      </w:pPr>
    </w:p>
    <w:p>
      <w:pPr>
        <w:jc w:val="both"/>
        <w:ind w:left="640" w:firstLine="1243"/>
        <w:spacing w:after="0" w:line="265" w:lineRule="auto"/>
        <w:tabs>
          <w:tab w:leader="none" w:pos="2517"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any Lender (or its Lending Office) to any Tax (other than (A) Indemnified Taxes, (B) Taxes described in clauses (b) through (d) of the definition of Excluded Taxes, and (C) Connection Income Taxes) with respect to its SOFR Loans, its Notes or any other amounts due under this Agreement or any other Loan Document in respect of its SOFR Loans, (except for changes in the basis or rate of (A) Indemnified Taxes, (B) Taxes described in clauses (b) through (d) of the definition of Excluded Taxes and (C) Connection Income Taxes); or</w:t>
      </w:r>
    </w:p>
    <w:p>
      <w:pPr>
        <w:spacing w:after="0" w:line="172" w:lineRule="exact"/>
        <w:rPr>
          <w:rFonts w:ascii="Times New Roman" w:cs="Times New Roman" w:eastAsia="Times New Roman" w:hAnsi="Times New Roman"/>
          <w:sz w:val="17"/>
          <w:szCs w:val="17"/>
          <w:color w:val="auto"/>
        </w:rPr>
      </w:pPr>
    </w:p>
    <w:p>
      <w:pPr>
        <w:jc w:val="both"/>
        <w:ind w:left="640" w:firstLine="1243"/>
        <w:spacing w:after="0" w:line="268" w:lineRule="auto"/>
        <w:tabs>
          <w:tab w:leader="none" w:pos="2517"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modify or deem applicable any reserve, special deposit, compulsory loan, insurance charge or similar requirement (including, without limitation, any such requirement imposed by the Board of Governors of the Federal Reserve System) against assets of, deposits with or for the account of, or credit extended by, and Lender (or its Lending Office)or on the interbank market any other condition affecting its SOFR Loans, it Notes or its obligations to make SOFR Loans;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and the result of any of the foregoing is to increase the cost to such Lender (or its Lending Office) or to reduce the amount of any sum received or receivable by such Lender (or its Lending Office) or under any other Loan Document with respect thereto, by an amount deemed by such Lender to be material, then, within 15 days after demand by such Lender (with a copy to the Administrative Agent), the Borrower shall be obligated to pay to such Lender such additional amount or amounts as will compensate such Lender for such increased cost or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40" w:name="page141"/>
    <w:bookmarkEnd w:id="140"/>
    <w:p>
      <w:pPr>
        <w:jc w:val="both"/>
        <w:ind w:firstLine="1257"/>
        <w:spacing w:after="0" w:line="261" w:lineRule="auto"/>
        <w:tabs>
          <w:tab w:leader="none" w:pos="187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within 15 days after demand by such Lender (with a copy to the Administrative Agent), the Borrower shall pay to such Lender, as the case may be, such additional amount or amounts as will compensate such Lender or such Lender’s holding company for any such reduction suffered.</w:t>
      </w:r>
    </w:p>
    <w:p>
      <w:pPr>
        <w:spacing w:after="0" w:line="176"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a Lender claiming compensation under Sections 1.11, 10.1, 10.3 and 12.1 and setting forth the additional amount or amounts to be paid to it hereunder shall be conclusive if reasonably determined. In determining such amount, such Lender may use any reasonable averaging and attribution methods.</w:t>
      </w:r>
    </w:p>
    <w:p>
      <w:pPr>
        <w:spacing w:after="0" w:line="162" w:lineRule="exact"/>
        <w:rPr>
          <w:rFonts w:ascii="Times New Roman" w:cs="Times New Roman" w:eastAsia="Times New Roman" w:hAnsi="Times New Roman"/>
          <w:sz w:val="17"/>
          <w:szCs w:val="17"/>
          <w:color w:val="auto"/>
        </w:rPr>
      </w:pPr>
    </w:p>
    <w:p>
      <w:pPr>
        <w:jc w:val="both"/>
        <w:ind w:firstLine="1257"/>
        <w:spacing w:after="0" w:line="263" w:lineRule="auto"/>
        <w:tabs>
          <w:tab w:leader="none" w:pos="187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Borrower shall not be required to compensate a Lender pursuant to this Section for any increased costs incurred or reductions suffered more than nine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5"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u w:val="single" w:color="auto"/>
          <w:color w:val="auto"/>
        </w:rPr>
        <w:t>Lending Offices</w:t>
      </w:r>
      <w:r>
        <w:rPr>
          <w:rFonts w:ascii="Times New Roman" w:cs="Times New Roman" w:eastAsia="Times New Roman" w:hAnsi="Times New Roman"/>
          <w:sz w:val="17"/>
          <w:szCs w:val="17"/>
          <w:color w:val="auto"/>
        </w:rPr>
        <w:t xml:space="preserve">. Each Lender may, at its option, elect to make its Loans hereunder at the branch, office or affiliate specified on the appropriate signature page hereof (each a </w:t>
      </w:r>
      <w:r>
        <w:rPr>
          <w:rFonts w:ascii="Times New Roman" w:cs="Times New Roman" w:eastAsia="Times New Roman" w:hAnsi="Times New Roman"/>
          <w:sz w:val="17"/>
          <w:szCs w:val="17"/>
          <w:i w:val="1"/>
          <w:iCs w:val="1"/>
          <w:color w:val="auto"/>
        </w:rPr>
        <w:t>“Lending Office”</w:t>
      </w:r>
      <w:r>
        <w:rPr>
          <w:rFonts w:ascii="Times New Roman" w:cs="Times New Roman" w:eastAsia="Times New Roman" w:hAnsi="Times New Roman"/>
          <w:sz w:val="17"/>
          <w:szCs w:val="17"/>
          <w:color w:val="auto"/>
        </w:rPr>
        <w:t>) for each type of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SOFR Loans to reduce any liability of the Borrower to such Lender under Section 10.3 hereof or to avoid the unavailability of SOFR Loans under Section 10.2 hereof, so long as such designation is not otherwise disadvantageous to the Lender.</w:t>
      </w:r>
    </w:p>
    <w:p>
      <w:pPr>
        <w:spacing w:after="0" w:line="173"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Discretion of Lender as to Manner of Funding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Notwithstanding any other provision of this Agreement, each Lender shall be entitled to fund and maintain its funding of all or any part of its Loans in any manner it sees fit, it being understood, however, that for the purposes of this Agreement all determinations hereunder with respect to SOFR Loans shall be made as if each Lender had actually funded and maintained each SOFR Loan through the purchase of deposits in the applicable interbank market having a maturity corresponding to such Loan’s Interest Period, and bearing an interest rate equal to the applicable SOFR for any applicable Interest Period.</w:t>
      </w:r>
    </w:p>
    <w:p>
      <w:pPr>
        <w:spacing w:after="0" w:line="170"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10.6.</w:t>
      </w:r>
      <w:r>
        <w:rPr>
          <w:sz w:val="20"/>
          <w:szCs w:val="20"/>
          <w:color w:val="auto"/>
        </w:rPr>
        <w:tab/>
      </w:r>
      <w:r>
        <w:rPr>
          <w:rFonts w:ascii="Times New Roman" w:cs="Times New Roman" w:eastAsia="Times New Roman" w:hAnsi="Times New Roman"/>
          <w:sz w:val="17"/>
          <w:szCs w:val="17"/>
          <w:u w:val="single" w:color="auto"/>
          <w:color w:val="auto"/>
        </w:rPr>
        <w:t>Permanent Inability to Determine Rate; Benchmark Replacement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41" w:name="page142"/>
    <w:bookmarkEnd w:id="141"/>
    <w:p>
      <w:pPr>
        <w:jc w:val="both"/>
        <w:ind w:left="-460" w:firstLine="1257"/>
        <w:spacing w:after="0" w:line="262" w:lineRule="auto"/>
        <w:tabs>
          <w:tab w:leader="none" w:pos="141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Boston, Massachusetts time,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No replacement of the then-current Benchmark with a Benchmark Replacement pursuant to this Section 10.6 will occur prior to the applicable Benchmark Transition Start Date.</w:t>
      </w:r>
    </w:p>
    <w:p>
      <w:pPr>
        <w:spacing w:after="0" w:line="175" w:lineRule="exact"/>
        <w:rPr>
          <w:rFonts w:ascii="Times New Roman" w:cs="Times New Roman" w:eastAsia="Times New Roman" w:hAnsi="Times New Roman"/>
          <w:sz w:val="17"/>
          <w:szCs w:val="17"/>
          <w:color w:val="auto"/>
        </w:rPr>
      </w:pPr>
    </w:p>
    <w:p>
      <w:pPr>
        <w:jc w:val="both"/>
        <w:ind w:left="-460" w:firstLine="1257"/>
        <w:spacing w:after="0" w:line="265" w:lineRule="auto"/>
        <w:tabs>
          <w:tab w:leader="none" w:pos="141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Replacement Conforming Changes</w:t>
      </w:r>
      <w:r>
        <w:rPr>
          <w:rFonts w:ascii="Times New Roman" w:cs="Times New Roman" w:eastAsia="Times New Roman" w:hAnsi="Times New Roman"/>
          <w:sz w:val="17"/>
          <w:szCs w:val="17"/>
          <w:color w:val="auto"/>
        </w:rPr>
        <w:t>.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2" w:lineRule="exact"/>
        <w:rPr>
          <w:rFonts w:ascii="Times New Roman" w:cs="Times New Roman" w:eastAsia="Times New Roman" w:hAnsi="Times New Roman"/>
          <w:sz w:val="17"/>
          <w:szCs w:val="17"/>
          <w:color w:val="auto"/>
        </w:rPr>
      </w:pPr>
    </w:p>
    <w:p>
      <w:pPr>
        <w:jc w:val="both"/>
        <w:ind w:left="-460" w:firstLine="1257"/>
        <w:spacing w:after="0" w:line="262" w:lineRule="auto"/>
        <w:tabs>
          <w:tab w:leader="none" w:pos="141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Standards for Decisions and Determinations</w:t>
      </w:r>
      <w:r>
        <w:rPr>
          <w:rFonts w:ascii="Times New Roman" w:cs="Times New Roman" w:eastAsia="Times New Roman" w:hAnsi="Times New Roman"/>
          <w:sz w:val="17"/>
          <w:szCs w:val="17"/>
          <w:color w:val="auto"/>
        </w:rPr>
        <w:t>. The Administrative Agent will promptly notify the Borrower and the Lenders of the implementation of any Benchmark Replacement and the effectiveness of any Conforming Changes. The Administrative Agent will notify the Borrower of (x) the removal or reinstatement of any tenor of a Benchmark and (y) the commencement of any Benchmark Unavailability Period. Any determination, decision or election that may be made by the Administrative Agent or Lenders pursuant to this Section 10.6,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10.6.</w:t>
      </w:r>
    </w:p>
    <w:p>
      <w:pPr>
        <w:spacing w:after="0" w:line="383" w:lineRule="exact"/>
        <w:rPr>
          <w:rFonts w:ascii="Times New Roman" w:cs="Times New Roman" w:eastAsia="Times New Roman" w:hAnsi="Times New Roman"/>
          <w:sz w:val="17"/>
          <w:szCs w:val="17"/>
          <w:color w:val="auto"/>
        </w:rPr>
      </w:pPr>
    </w:p>
    <w:p>
      <w:pPr>
        <w:jc w:val="both"/>
        <w:ind w:left="-460" w:firstLine="1257"/>
        <w:spacing w:after="0" w:line="259" w:lineRule="auto"/>
        <w:tabs>
          <w:tab w:leader="none" w:pos="141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Unavailability of Tenor of Benchmark</w:t>
      </w:r>
      <w:r>
        <w:rPr>
          <w:rFonts w:ascii="Times New Roman" w:cs="Times New Roman" w:eastAsia="Times New Roman" w:hAnsi="Times New Roman"/>
          <w:sz w:val="17"/>
          <w:szCs w:val="17"/>
          <w:color w:val="auto"/>
        </w:rPr>
        <w:t>. Notwithstanding anything to the contrary herein or in any other Loan Document, at any time (including in connection with the implementation of a Benchmark Replacement), (i) if any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ind w:left="4420" w:hanging="104"/>
        <w:spacing w:after="0"/>
        <w:tabs>
          <w:tab w:leader="none" w:pos="442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60"/>
          </w:cols>
          <w:pgMar w:left="1440" w:top="851" w:right="999" w:bottom="1440" w:gutter="0" w:footer="0" w:header="0"/>
        </w:sectPr>
      </w:pPr>
    </w:p>
    <w:bookmarkStart w:id="142" w:name="page143"/>
    <w:bookmarkEnd w:id="142"/>
    <w:p>
      <w:pPr>
        <w:spacing w:after="0" w:line="294" w:lineRule="auto"/>
        <w:rPr>
          <w:sz w:val="20"/>
          <w:szCs w:val="20"/>
          <w:color w:val="auto"/>
        </w:rPr>
      </w:pPr>
      <w:r>
        <w:rPr>
          <w:rFonts w:ascii="Times New Roman" w:cs="Times New Roman" w:eastAsia="Times New Roman" w:hAnsi="Times New Roman"/>
          <w:sz w:val="17"/>
          <w:szCs w:val="17"/>
          <w:color w:val="auto"/>
        </w:rPr>
        <w:t>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47" w:lineRule="exact"/>
        <w:rPr>
          <w:sz w:val="20"/>
          <w:szCs w:val="20"/>
          <w:color w:val="auto"/>
        </w:rPr>
      </w:pPr>
    </w:p>
    <w:p>
      <w:pPr>
        <w:jc w:val="both"/>
        <w:ind w:firstLine="1257"/>
        <w:spacing w:after="0" w:line="263" w:lineRule="auto"/>
        <w:tabs>
          <w:tab w:leader="none" w:pos="187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Unavailability Period</w:t>
      </w:r>
      <w:r>
        <w:rPr>
          <w:rFonts w:ascii="Times New Roman" w:cs="Times New Roman" w:eastAsia="Times New Roman" w:hAnsi="Times New Roman"/>
          <w:sz w:val="17"/>
          <w:szCs w:val="17"/>
          <w:color w:val="auto"/>
        </w:rPr>
        <w:t>. Upon the Borrower’s receipt of notice of the commencement of a Benchmark Unavailability Period, the Borrower may revoke any request for the applicable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Adjusted Term SOFR (or then-current Benchmark) will not be used in any determination of Base Rate.</w:t>
      </w:r>
    </w:p>
    <w:p>
      <w:pPr>
        <w:spacing w:after="0" w:line="17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11.</w:t>
        <w:tab/>
        <w:t>THE ADMINISTRATIVE AGENT.</w:t>
      </w:r>
    </w:p>
    <w:p>
      <w:pPr>
        <w:spacing w:after="0" w:line="222"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u w:val="single" w:color="auto"/>
          <w:color w:val="auto"/>
        </w:rPr>
        <w:t>Appointment and Authority</w:t>
      </w:r>
      <w:r>
        <w:rPr>
          <w:rFonts w:ascii="Times New Roman" w:cs="Times New Roman" w:eastAsia="Times New Roman" w:hAnsi="Times New Roman"/>
          <w:sz w:val="17"/>
          <w:szCs w:val="17"/>
          <w:color w:val="auto"/>
        </w:rPr>
        <w:t>. Each of the Lenders hereby irrevocably appoints Truist 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the Lenders, and neither the Borrower nor any Guarantor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383"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Rights as a Lender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386"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11.3.</w:t>
      </w:r>
      <w:r>
        <w:rPr>
          <w:sz w:val="20"/>
          <w:szCs w:val="20"/>
          <w:color w:val="auto"/>
        </w:rPr>
        <w:tab/>
      </w:r>
      <w:r>
        <w:rPr>
          <w:rFonts w:ascii="Times New Roman" w:cs="Times New Roman" w:eastAsia="Times New Roman" w:hAnsi="Times New Roman"/>
          <w:sz w:val="17"/>
          <w:szCs w:val="17"/>
          <w:u w:val="single" w:color="auto"/>
          <w:color w:val="auto"/>
        </w:rPr>
        <w:t>Action by Administrative Agent; Exculpatory Provisions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1257"/>
        <w:spacing w:after="0" w:line="275" w:lineRule="auto"/>
        <w:tabs>
          <w:tab w:leader="none" w:pos="187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8"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43" w:name="page144"/>
    <w:bookmarkEnd w:id="143"/>
    <w:p>
      <w:pPr>
        <w:ind w:left="2040" w:hanging="617"/>
        <w:spacing w:after="0"/>
        <w:tabs>
          <w:tab w:leader="none" w:pos="20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be subject to any fiduciary or other implied duties, regardless of whether a Default has occurred</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and is continuing;</w:t>
      </w:r>
    </w:p>
    <w:p>
      <w:pPr>
        <w:spacing w:after="0" w:line="204" w:lineRule="exact"/>
        <w:rPr>
          <w:sz w:val="20"/>
          <w:szCs w:val="20"/>
          <w:color w:val="auto"/>
        </w:rPr>
      </w:pPr>
    </w:p>
    <w:p>
      <w:pPr>
        <w:jc w:val="both"/>
        <w:ind w:left="180" w:firstLine="1243"/>
        <w:spacing w:after="0" w:line="259" w:lineRule="auto"/>
        <w:tabs>
          <w:tab w:leader="none" w:pos="2057"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spacing w:after="0" w:line="182" w:lineRule="exact"/>
        <w:rPr>
          <w:rFonts w:ascii="Times New Roman" w:cs="Times New Roman" w:eastAsia="Times New Roman" w:hAnsi="Times New Roman"/>
          <w:sz w:val="17"/>
          <w:szCs w:val="17"/>
          <w:color w:val="auto"/>
        </w:rPr>
      </w:pPr>
    </w:p>
    <w:p>
      <w:pPr>
        <w:jc w:val="both"/>
        <w:ind w:left="180" w:firstLine="1243"/>
        <w:spacing w:after="0" w:line="268" w:lineRule="auto"/>
        <w:tabs>
          <w:tab w:leader="none" w:pos="2057"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except as expressly set forth herein and in the other Loan Documents, have any duty or responsibility to disclose, and shall not be liable for the failure to disclose, any information relating to Borrower or any of its Affiliates or any Guarantor or any of their Affiliates that is communicated to or obtained by the Person serving as the Administrative Agent or any of its Affiliates in any capacity.</w:t>
      </w:r>
    </w:p>
    <w:p>
      <w:pPr>
        <w:spacing w:after="0" w:line="169" w:lineRule="exact"/>
        <w:rPr>
          <w:rFonts w:ascii="Times New Roman" w:cs="Times New Roman" w:eastAsia="Times New Roman" w:hAnsi="Times New Roman"/>
          <w:sz w:val="17"/>
          <w:szCs w:val="17"/>
          <w:color w:val="auto"/>
        </w:rPr>
      </w:pPr>
    </w:p>
    <w:p>
      <w:pPr>
        <w:jc w:val="both"/>
        <w:ind w:left="-460" w:firstLine="1257"/>
        <w:spacing w:after="0" w:line="261" w:lineRule="auto"/>
        <w:tabs>
          <w:tab w:leader="none" w:pos="141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9.2, 9.3, 9.4, 9.5 and 12.13),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a Lender.</w:t>
      </w:r>
    </w:p>
    <w:p>
      <w:pPr>
        <w:spacing w:after="0" w:line="176" w:lineRule="exact"/>
        <w:rPr>
          <w:rFonts w:ascii="Times New Roman" w:cs="Times New Roman" w:eastAsia="Times New Roman" w:hAnsi="Times New Roman"/>
          <w:sz w:val="17"/>
          <w:szCs w:val="17"/>
          <w:color w:val="auto"/>
        </w:rPr>
      </w:pPr>
    </w:p>
    <w:p>
      <w:pPr>
        <w:jc w:val="both"/>
        <w:ind w:left="-460" w:firstLine="1257"/>
        <w:spacing w:after="0" w:line="263" w:lineRule="auto"/>
        <w:tabs>
          <w:tab w:leader="none" w:pos="141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Administrative Agent nor any of its Related Parties 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Section 7.1 or 7.2 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4420" w:hanging="104"/>
        <w:spacing w:after="0"/>
        <w:tabs>
          <w:tab w:leader="none" w:pos="4420" w:val="left"/>
        </w:tabs>
        <w:numPr>
          <w:ilvl w:val="2"/>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60"/>
          </w:cols>
          <w:pgMar w:left="1440" w:top="851"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color w:val="auto"/>
        </w:rPr>
        <w:t>elsewhere herein, other than to confirm receipt of items expressly required to be delivered to the Administrative Agent.</w:t>
      </w:r>
    </w:p>
    <w:p>
      <w:pPr>
        <w:spacing w:after="0" w:line="222"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 xml:space="preserve">Section 11.4. </w:t>
      </w:r>
      <w:r>
        <w:rPr>
          <w:rFonts w:ascii="Times New Roman" w:cs="Times New Roman" w:eastAsia="Times New Roman" w:hAnsi="Times New Roman"/>
          <w:sz w:val="17"/>
          <w:szCs w:val="17"/>
          <w:u w:val="single" w:color="auto"/>
          <w:color w:val="auto"/>
        </w:rPr>
        <w:t>Reliance by Administrative Agent</w:t>
      </w:r>
      <w:r>
        <w:rPr>
          <w:rFonts w:ascii="Times New Roman" w:cs="Times New Roman" w:eastAsia="Times New Roman" w:hAnsi="Times New Roman"/>
          <w:sz w:val="17"/>
          <w:szCs w:val="17"/>
          <w:color w:val="auto"/>
        </w:rPr>
        <w:t>.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Guarantors), independent accountants and other experts selected by it, and shall not be liable for any action taken or not taken by it in accordance with the advice of any such counsel, accountants or experts.</w:t>
      </w:r>
    </w:p>
    <w:p>
      <w:pPr>
        <w:spacing w:after="0" w:line="177"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color w:val="auto"/>
        </w:rPr>
        <w:t xml:space="preserve">Section 11.5. </w:t>
      </w:r>
      <w:r>
        <w:rPr>
          <w:rFonts w:ascii="Times New Roman" w:cs="Times New Roman" w:eastAsia="Times New Roman" w:hAnsi="Times New Roman"/>
          <w:sz w:val="17"/>
          <w:szCs w:val="17"/>
          <w:u w:val="single" w:color="auto"/>
          <w:color w:val="auto"/>
        </w:rPr>
        <w:t>Delegation of Duties</w:t>
      </w:r>
      <w:r>
        <w:rPr>
          <w:rFonts w:ascii="Times New Roman" w:cs="Times New Roman" w:eastAsia="Times New Roman" w:hAnsi="Times New Roman"/>
          <w:sz w:val="17"/>
          <w:szCs w:val="17"/>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7"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11.6.</w:t>
      </w:r>
      <w:r>
        <w:rPr>
          <w:sz w:val="20"/>
          <w:szCs w:val="20"/>
          <w:color w:val="auto"/>
        </w:rPr>
        <w:tab/>
      </w:r>
      <w:r>
        <w:rPr>
          <w:rFonts w:ascii="Times New Roman" w:cs="Times New Roman" w:eastAsia="Times New Roman" w:hAnsi="Times New Roman"/>
          <w:sz w:val="17"/>
          <w:szCs w:val="17"/>
          <w:u w:val="single" w:color="auto"/>
          <w:color w:val="auto"/>
        </w:rPr>
        <w:t>Resignation of Administrative Agent; Removal of Administrative Agent</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1257"/>
        <w:spacing w:after="0" w:line="260" w:lineRule="auto"/>
        <w:tabs>
          <w:tab w:leader="none" w:pos="187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may at any time give notice of its resignation to the Lenders,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Times New Roman" w:cs="Times New Roman" w:eastAsia="Times New Roman" w:hAnsi="Times New Roman"/>
          <w:sz w:val="17"/>
          <w:szCs w:val="17"/>
          <w:i w:val="1"/>
          <w:iCs w:val="1"/>
          <w:color w:val="auto"/>
        </w:rPr>
        <w:t>“Resignation Effective Date”</w:t>
      </w:r>
      <w:r>
        <w:rPr>
          <w:rFonts w:ascii="Times New Roman" w:cs="Times New Roman" w:eastAsia="Times New Roman" w:hAnsi="Times New Roman"/>
          <w:sz w:val="17"/>
          <w:szCs w:val="17"/>
          <w:color w:val="auto"/>
        </w:rPr>
        <w:t>), then the retiring Administrative Agent may (but shall not be obligated to), on behalf of the Lenders, appoint a successor Administrative Agent meeting the qualifications set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45" w:name="page146"/>
    <w:bookmarkEnd w:id="145"/>
    <w:p>
      <w:pPr>
        <w:spacing w:after="0" w:line="294" w:lineRule="auto"/>
        <w:rPr>
          <w:sz w:val="20"/>
          <w:szCs w:val="20"/>
          <w:color w:val="auto"/>
        </w:rPr>
      </w:pPr>
      <w:r>
        <w:rPr>
          <w:rFonts w:ascii="Times New Roman" w:cs="Times New Roman" w:eastAsia="Times New Roman" w:hAnsi="Times New Roman"/>
          <w:sz w:val="17"/>
          <w:szCs w:val="17"/>
          <w:color w:val="auto"/>
        </w:rPr>
        <w:t>forth above. Whether or not a successor has been appointed, such resignation or removal shall become effective in accordance with such notice on the Resignation Effective Date.</w:t>
      </w:r>
    </w:p>
    <w:p>
      <w:pPr>
        <w:spacing w:after="0" w:line="147" w:lineRule="exact"/>
        <w:rPr>
          <w:sz w:val="20"/>
          <w:szCs w:val="20"/>
          <w:color w:val="auto"/>
        </w:rPr>
      </w:pPr>
    </w:p>
    <w:p>
      <w:pPr>
        <w:jc w:val="both"/>
        <w:ind w:firstLine="1257"/>
        <w:spacing w:after="0" w:line="259" w:lineRule="auto"/>
        <w:tabs>
          <w:tab w:leader="none" w:pos="187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from the Resignation Effective Date, (i) the retiring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11 and Section 12.15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389"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 xml:space="preserve">Section 11.7. </w:t>
      </w:r>
      <w:r>
        <w:rPr>
          <w:rFonts w:ascii="Times New Roman" w:cs="Times New Roman" w:eastAsia="Times New Roman" w:hAnsi="Times New Roman"/>
          <w:sz w:val="17"/>
          <w:szCs w:val="17"/>
          <w:u w:val="single" w:color="auto"/>
          <w:color w:val="auto"/>
        </w:rPr>
        <w:t>Non-Reliance on Administrative Agent and Other Lenders</w:t>
      </w:r>
      <w:r>
        <w:rPr>
          <w:rFonts w:ascii="Times New Roman" w:cs="Times New Roman" w:eastAsia="Times New Roman" w:hAnsi="Times New Roman"/>
          <w:sz w:val="17"/>
          <w:szCs w:val="17"/>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384"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 xml:space="preserve">Upon a Lender’s written request, the Administrative Agent agrees to forward to such Lender, when complete, copies of any field audit, examination, or appraisal report prepared by or for the Administrative Agent with respect to the Borrower or any Material Subsidiary (herein, </w:t>
      </w:r>
      <w:r>
        <w:rPr>
          <w:rFonts w:ascii="Times New Roman" w:cs="Times New Roman" w:eastAsia="Times New Roman" w:hAnsi="Times New Roman"/>
          <w:sz w:val="17"/>
          <w:szCs w:val="17"/>
          <w:i w:val="1"/>
          <w:iCs w:val="1"/>
          <w:color w:val="auto"/>
        </w:rPr>
        <w:t>“Reports”</w:t>
      </w:r>
      <w:r>
        <w:rPr>
          <w:rFonts w:ascii="Times New Roman" w:cs="Times New Roman" w:eastAsia="Times New Roman" w:hAnsi="Times New Roman"/>
          <w:sz w:val="17"/>
          <w:szCs w:val="17"/>
          <w:color w:val="auto"/>
        </w:rPr>
        <w:t>). 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Material Subsidiaries and will rely significantly upon the books and records of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46" w:name="page147"/>
    <w:bookmarkEnd w:id="146"/>
    <w:p>
      <w:pPr>
        <w:jc w:val="both"/>
        <w:spacing w:after="0" w:line="268" w:lineRule="auto"/>
        <w:rPr>
          <w:sz w:val="20"/>
          <w:szCs w:val="20"/>
          <w:color w:val="auto"/>
        </w:rPr>
      </w:pPr>
      <w:r>
        <w:rPr>
          <w:rFonts w:ascii="Times New Roman" w:cs="Times New Roman" w:eastAsia="Times New Roman" w:hAnsi="Times New Roman"/>
          <w:sz w:val="17"/>
          <w:szCs w:val="17"/>
          <w:color w:val="auto"/>
        </w:rPr>
        <w:t>this Agreement; and (e) without limiting the generality of any other indemnification provision contained in this Agreement,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spacing w:after="0" w:line="170"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11.8.</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26"/>
        <w:spacing w:after="0" w:line="258" w:lineRule="auto"/>
        <w:rPr>
          <w:sz w:val="20"/>
          <w:szCs w:val="20"/>
          <w:color w:val="auto"/>
        </w:rPr>
      </w:pPr>
      <w:r>
        <w:rPr>
          <w:rFonts w:ascii="Times New Roman" w:cs="Times New Roman" w:eastAsia="Times New Roman" w:hAnsi="Times New Roman"/>
          <w:sz w:val="17"/>
          <w:szCs w:val="17"/>
          <w:color w:val="auto"/>
        </w:rPr>
        <w:t xml:space="preserve">Section 11.9. </w:t>
      </w:r>
      <w:r>
        <w:rPr>
          <w:rFonts w:ascii="Times New Roman" w:cs="Times New Roman" w:eastAsia="Times New Roman" w:hAnsi="Times New Roman"/>
          <w:sz w:val="17"/>
          <w:szCs w:val="17"/>
          <w:u w:val="single" w:color="auto"/>
          <w:color w:val="auto"/>
        </w:rPr>
        <w:t>Hedging Liability and Funds Transfer and Deposit Account Liability</w:t>
      </w:r>
      <w:r>
        <w:rPr>
          <w:rFonts w:ascii="Times New Roman" w:cs="Times New Roman" w:eastAsia="Times New Roman" w:hAnsi="Times New Roman"/>
          <w:sz w:val="17"/>
          <w:szCs w:val="17"/>
          <w:color w:val="auto"/>
        </w:rPr>
        <w:t>. By virtue of a Lender’s execution of this Agreement or an assignment agreement pursuant to Section 12.10, as the case may be, any Affiliate of such Lender (including any Qualifying Counterparty)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Guaranties as more fully set forth in Section 10.5. In connection with any such distribution of payments and collections, or any request for the release of the Guaranties and the Administrative Agent’s Liens in connection with the termination of the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Guaranties and Liens. Without limiting the generality of the foregoing, (i) each such Affiliate shall, for the avoidance of doubt, be deemed to have agreed to the provisions of Section 3.1(c) and (ii) no such Affiliate shall have any right to notice of any action or to consent to, direct or object to any action hereunder or under any other Loan Document or otherwise in respect of the Collateral (including the release or impairment of any Collateral). Notwithstanding any other provision of this Section 11.9 to the contrary, the Administrative Agent shall not be required to verify the payment of, or that other satisfactory arrangements have been made with respect to Hedging Liability or Funds Transfer and Deposit Account Liability unless the Administrative Agent has received written notice of such Hedging Liability or Funds Transfer and Deposit Account Liability, together with such supporting documentation as the Administrative Agent may request, from the applicable Lender or Affiliate.</w:t>
      </w:r>
    </w:p>
    <w:p>
      <w:pPr>
        <w:spacing w:after="0" w:line="181" w:lineRule="exact"/>
        <w:rPr>
          <w:sz w:val="20"/>
          <w:szCs w:val="20"/>
          <w:color w:val="auto"/>
        </w:rPr>
      </w:pPr>
    </w:p>
    <w:p>
      <w:pPr>
        <w:jc w:val="both"/>
        <w:ind w:firstLine="626"/>
        <w:spacing w:after="0" w:line="265" w:lineRule="auto"/>
        <w:rPr>
          <w:sz w:val="20"/>
          <w:szCs w:val="20"/>
          <w:color w:val="auto"/>
        </w:rPr>
      </w:pPr>
      <w:r>
        <w:rPr>
          <w:rFonts w:ascii="Times New Roman" w:cs="Times New Roman" w:eastAsia="Times New Roman" w:hAnsi="Times New Roman"/>
          <w:sz w:val="17"/>
          <w:szCs w:val="17"/>
          <w:color w:val="auto"/>
        </w:rPr>
        <w:t xml:space="preserve">Section 11.10. </w:t>
      </w:r>
      <w:r>
        <w:rPr>
          <w:rFonts w:ascii="Times New Roman" w:cs="Times New Roman" w:eastAsia="Times New Roman" w:hAnsi="Times New Roman"/>
          <w:sz w:val="17"/>
          <w:szCs w:val="17"/>
          <w:u w:val="single" w:color="auto"/>
          <w:color w:val="auto"/>
        </w:rPr>
        <w:t>Designation of Additional Agents</w:t>
      </w:r>
      <w:r>
        <w:rPr>
          <w:rFonts w:ascii="Times New Roman" w:cs="Times New Roman" w:eastAsia="Times New Roman" w:hAnsi="Times New Roman"/>
          <w:sz w:val="17"/>
          <w:szCs w:val="17"/>
          <w:color w:val="auto"/>
        </w:rPr>
        <w:t>. The Administrative Agent shall have the 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spacing w:after="0" w:line="172"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11.11.</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47" w:name="page148"/>
    <w:bookmarkEnd w:id="147"/>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Section 11.12. </w:t>
      </w:r>
      <w:r>
        <w:rPr>
          <w:rFonts w:ascii="Times New Roman" w:cs="Times New Roman" w:eastAsia="Times New Roman" w:hAnsi="Times New Roman"/>
          <w:sz w:val="17"/>
          <w:szCs w:val="17"/>
          <w:u w:val="single" w:color="auto"/>
          <w:color w:val="auto"/>
        </w:rPr>
        <w:t>Authorization to Release Guaranties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Administrative Agent is hereby irrevocably authorized by each of the Lenders and their Affiliates to release any Material Subsidiary from its obligations as a Guarantor if such Person ceases to be a Material Subsidiary as a result of a transaction permitted under the Loan Documents. Upon the Administrative Agent’s request, the Required Lenders will confirm in writing the Administrative Agent’s authority to release any Material Subsidiary from its obligations as a Guarantor under the Loan Documents.</w:t>
      </w:r>
    </w:p>
    <w:p>
      <w:pPr>
        <w:spacing w:after="0" w:line="379"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color w:val="auto"/>
        </w:rPr>
        <w:t xml:space="preserve">Section 11.13. </w:t>
      </w:r>
      <w:r>
        <w:rPr>
          <w:rFonts w:ascii="Times New Roman" w:cs="Times New Roman" w:eastAsia="Times New Roman" w:hAnsi="Times New Roman"/>
          <w:sz w:val="17"/>
          <w:szCs w:val="17"/>
          <w:u w:val="single" w:color="auto"/>
          <w:color w:val="auto"/>
        </w:rPr>
        <w:t>Authorization of Administrative Agent to File Proofs of Claim</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case of the pendency of any proceeding under any Debtor Relief Law or any other judicial proceeding relative to Borrower or any Guarantor,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0" w:lineRule="exact"/>
        <w:rPr>
          <w:sz w:val="20"/>
          <w:szCs w:val="20"/>
          <w:color w:val="auto"/>
        </w:rPr>
      </w:pPr>
    </w:p>
    <w:p>
      <w:pPr>
        <w:jc w:val="both"/>
        <w:ind w:firstLine="1257"/>
        <w:spacing w:after="0" w:line="264" w:lineRule="auto"/>
        <w:tabs>
          <w:tab w:leader="none" w:pos="187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the Loan Documents including, but not limited to, Sections 1.1, 10.3, 1.11, and 12.15) allowed in such judicial proceeding; and</w:t>
      </w:r>
    </w:p>
    <w:p>
      <w:pPr>
        <w:spacing w:after="0" w:line="385"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collect and receive any monies or other property payable or deliverable on any such claims and to distribute the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same;</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2.1 and 12.15.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7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12.</w:t>
        <w:tab/>
        <w:t>MISCELLANEOUS.</w:t>
      </w:r>
    </w:p>
    <w:p>
      <w:pPr>
        <w:spacing w:after="0" w:line="222"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12.1.</w:t>
      </w:r>
      <w:r>
        <w:rPr>
          <w:sz w:val="20"/>
          <w:szCs w:val="20"/>
          <w:color w:val="auto"/>
        </w:rPr>
        <w:tab/>
      </w: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1257"/>
        <w:spacing w:after="0" w:line="275" w:lineRule="auto"/>
        <w:tabs>
          <w:tab w:leader="none" w:pos="187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Free of Withholding</w:t>
      </w:r>
      <w:r>
        <w:rPr>
          <w:rFonts w:ascii="Times New Roman" w:cs="Times New Roman" w:eastAsia="Times New Roman" w:hAnsi="Times New Roman"/>
          <w:sz w:val="17"/>
          <w:szCs w:val="17"/>
          <w:color w:val="auto"/>
        </w:rPr>
        <w:t>. Except as otherwise required by law and subject to Section 12.1(b) hereof, each payment by the Borrower and the Guarantors under this Agreement or the other Loan Documents shall be made without withholding for or on account of any present or future Indemnified Taxes. If any such withholding is so required, the Borrower 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8"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48" w:name="page149"/>
    <w:bookmarkEnd w:id="148"/>
    <w:p>
      <w:pPr>
        <w:jc w:val="both"/>
        <w:spacing w:after="0" w:line="263" w:lineRule="auto"/>
        <w:rPr>
          <w:sz w:val="20"/>
          <w:szCs w:val="20"/>
          <w:color w:val="auto"/>
        </w:rPr>
      </w:pPr>
      <w:r>
        <w:rPr>
          <w:rFonts w:ascii="Times New Roman" w:cs="Times New Roman" w:eastAsia="Times New Roman" w:hAnsi="Times New Roman"/>
          <w:sz w:val="17"/>
          <w:szCs w:val="17"/>
          <w:color w:val="auto"/>
        </w:rPr>
        <w:t>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and the Administrative Agent free and clear of such taxes (including such taxes on such additional amount) is equal to the amount which that Lender or the Administrative Agent (as the case may be) would have received had such withholding not been made. If the Administrative Agent, or any Lender pays any amount in respect of any such taxes, penalties or interest, the Borrower or such Guarantor shall reimburse the Administrative Agent or such Lender for that payment on demand in the currency in which such payment was made.</w:t>
      </w:r>
    </w:p>
    <w:p>
      <w:pPr>
        <w:spacing w:after="0" w:line="175" w:lineRule="exact"/>
        <w:rPr>
          <w:sz w:val="20"/>
          <w:szCs w:val="20"/>
          <w:color w:val="auto"/>
        </w:rPr>
      </w:pPr>
    </w:p>
    <w:p>
      <w:pPr>
        <w:jc w:val="both"/>
        <w:ind w:firstLine="1257"/>
        <w:spacing w:after="0" w:line="258" w:lineRule="auto"/>
        <w:tabs>
          <w:tab w:leader="none" w:pos="1878"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 Withholding Tax Exemptions</w:t>
      </w:r>
      <w:r>
        <w:rPr>
          <w:rFonts w:ascii="Times New Roman" w:cs="Times New Roman" w:eastAsia="Times New Roman" w:hAnsi="Times New Roman"/>
          <w:sz w:val="17"/>
          <w:szCs w:val="17"/>
          <w:color w:val="auto"/>
        </w:rPr>
        <w:t>. Each Lender that is not a United States person (as such term is defined in Section 7701(a)(30) of the Code) shall submit to the Borrower and the Administrative Agent on or before the date, if later, the date such financial institution becomes a Lender hereunder, two duly completed and signed copies of (i) either Form W-8 BEN-E (relating to such Lender and entitling it to a complete exemption from withholding under the Code on all amounts to be received by such Lender, including fees, pursuant to the Loan Documents and the Obligations) or Form W-8 ECI (relating to all amounts to be received by such Lender,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W-8 BEN-E, or any successor form prescribed by the Internal Revenue Service, and a certificate representing that such Lender is not a bank for purposes of Section 881(c) of the Code, is not a ten (10)-percent shareholder (within the meaning of Section 871(h)</w:t>
      </w:r>
    </w:p>
    <w:p>
      <w:pPr>
        <w:spacing w:after="0" w:line="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(3)(B) of the Code) of the Borrower and is not a controlled foreign corporation related to the Borrower (within the meaning of Section 864(d)</w:t>
      </w:r>
    </w:p>
    <w:p>
      <w:pPr>
        <w:spacing w:after="0" w:line="13" w:lineRule="exact"/>
        <w:rPr>
          <w:rFonts w:ascii="Times New Roman" w:cs="Times New Roman" w:eastAsia="Times New Roman" w:hAnsi="Times New Roman"/>
          <w:sz w:val="17"/>
          <w:szCs w:val="17"/>
          <w:color w:val="auto"/>
        </w:rPr>
      </w:pPr>
    </w:p>
    <w:p>
      <w:pPr>
        <w:jc w:val="both"/>
        <w:ind w:firstLine="5"/>
        <w:spacing w:after="0" w:line="258" w:lineRule="auto"/>
        <w:tabs>
          <w:tab w:leader="none" w:pos="257"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Thereafter and from time to time, each Lender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and (ii) required under then-current United States law or regulations to avoid or reduce United States withholding taxes on payments in respect of all amounts to be received by such Lender, including fees, pursuant to the Loan Documents or the Obligations. Upon the request of the Borrower or the Administrative Agent, each Lender that is a United States person (as such term is defined in Section 7701(a)(30) of the Code) shall submit to the Borrower and the Administrative Agent a certificate to the effect that it is such a United States person.</w:t>
      </w:r>
    </w:p>
    <w:p>
      <w:pPr>
        <w:spacing w:after="0" w:line="178" w:lineRule="exact"/>
        <w:rPr>
          <w:rFonts w:ascii="Times New Roman" w:cs="Times New Roman" w:eastAsia="Times New Roman" w:hAnsi="Times New Roman"/>
          <w:sz w:val="17"/>
          <w:szCs w:val="17"/>
          <w:color w:val="auto"/>
        </w:rPr>
      </w:pPr>
    </w:p>
    <w:p>
      <w:pPr>
        <w:jc w:val="both"/>
        <w:ind w:firstLine="1257"/>
        <w:spacing w:after="0" w:line="263" w:lineRule="auto"/>
        <w:tabs>
          <w:tab w:leader="none" w:pos="1878"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Inability of Lender to Submit Forms</w:t>
      </w:r>
      <w:r>
        <w:rPr>
          <w:rFonts w:ascii="Times New Roman" w:cs="Times New Roman" w:eastAsia="Times New Roman" w:hAnsi="Times New Roman"/>
          <w:sz w:val="17"/>
          <w:szCs w:val="17"/>
          <w:color w:val="auto"/>
        </w:rPr>
        <w:t>. If any Lender determines, as a result of any change in applicable law, regulation or treaty, or in any official application or interpretation thereof, that it is unable to submit to the Borrower or the Administrative Agent any form or certificate that such Lender is obligated to submit pursuant to subsection (b) of this Section 12.1 or that such Lender is required to withdraw or cancel any such form or certificate previously submitted or any such form or certificate otherwise becomes ineffective or inaccurate, such Lender shall promptly notify the Borrower and Administrative Agent of such fact and the Lender shall to that extent not be obligated to provide any such form or certificate and will be entitled to withdraw or cancel any affected form or certificate, as applicable.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2"/>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49" w:name="page150"/>
    <w:bookmarkEnd w:id="149"/>
    <w:p>
      <w:pPr>
        <w:jc w:val="both"/>
        <w:ind w:left="-460" w:firstLine="1257"/>
        <w:spacing w:after="0" w:line="261" w:lineRule="auto"/>
        <w:tabs>
          <w:tab w:leader="none" w:pos="141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FATCA</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cs="Times New Roman" w:eastAsia="Times New Roman" w:hAnsi="Times New Roman"/>
          <w:sz w:val="17"/>
          <w:szCs w:val="17"/>
          <w:i w:val="1"/>
          <w:iCs w:val="1"/>
          <w:color w:val="auto"/>
        </w:rPr>
        <w:t xml:space="preserve">“FATCA” </w:t>
      </w:r>
      <w:r>
        <w:rPr>
          <w:rFonts w:ascii="Times New Roman" w:cs="Times New Roman" w:eastAsia="Times New Roman" w:hAnsi="Times New Roman"/>
          <w:sz w:val="17"/>
          <w:szCs w:val="17"/>
          <w:color w:val="auto"/>
        </w:rPr>
        <w:t>shall include any amendments made to FATCA after the date of this Agreement.</w:t>
      </w:r>
    </w:p>
    <w:p>
      <w:pPr>
        <w:spacing w:after="0" w:line="174" w:lineRule="exact"/>
        <w:rPr>
          <w:rFonts w:ascii="Times New Roman" w:cs="Times New Roman" w:eastAsia="Times New Roman" w:hAnsi="Times New Roman"/>
          <w:sz w:val="17"/>
          <w:szCs w:val="17"/>
          <w:color w:val="auto"/>
        </w:rPr>
      </w:pPr>
    </w:p>
    <w:p>
      <w:pPr>
        <w:jc w:val="both"/>
        <w:ind w:left="-460" w:firstLine="1257"/>
        <w:spacing w:after="0" w:line="259" w:lineRule="auto"/>
        <w:tabs>
          <w:tab w:leader="none" w:pos="141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Lenders</w:t>
      </w:r>
      <w:r>
        <w:rPr>
          <w:rFonts w:ascii="Times New Roman" w:cs="Times New Roman" w:eastAsia="Times New Roman" w:hAnsi="Times New Roman"/>
          <w:sz w:val="17"/>
          <w:szCs w:val="17"/>
          <w:color w:val="auto"/>
        </w:rPr>
        <w:t>. Each Lender shall severally indemnify the Administrative Agent, within ten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 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182" w:lineRule="exact"/>
        <w:rPr>
          <w:rFonts w:ascii="Times New Roman" w:cs="Times New Roman" w:eastAsia="Times New Roman" w:hAnsi="Times New Roman"/>
          <w:sz w:val="17"/>
          <w:szCs w:val="17"/>
          <w:color w:val="auto"/>
        </w:rPr>
      </w:pPr>
    </w:p>
    <w:p>
      <w:pPr>
        <w:jc w:val="both"/>
        <w:ind w:left="-460" w:firstLine="1257"/>
        <w:spacing w:after="0" w:line="259" w:lineRule="auto"/>
        <w:tabs>
          <w:tab w:leader="none" w:pos="141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Certain Refunds</w:t>
      </w:r>
      <w:r>
        <w:rPr>
          <w:rFonts w:ascii="Times New Roman" w:cs="Times New Roman" w:eastAsia="Times New Roman" w:hAnsi="Times New Roman"/>
          <w:sz w:val="17"/>
          <w:szCs w:val="17"/>
          <w:color w:val="auto"/>
        </w:rPr>
        <w:t xml:space="preserve">. If any Lender determines, in its sole discretion exercised in good faith, that it has received a refund in respect of any taxes as to which indemnification or additional amounts have been paid to it by the Borrower or a Guarantor pursuant to this Section 12.1, it shall pay to the indemnifying party an amount equal to such refund (but only to the extent of indemnity payments made under this Section with respect to the taxes giving rise to such refund), net of all out-of-pocket expenses of such Lender and without interest (other than any interest paid by the relevant Governmental Authority with respect to such refund);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Borrower or such Guarantor, upon the request of such Lender, agrees to promptly repay the amount paid over with respect to such refund (plus any penalties, interest or other charges imposed by the relevant Governmental Authority) to such Lender in the event such Lender is required to repay such refund to the relevant Governmental Authority. Nothing herein contained shall interfere with the right of a Lender arrange its tax affairs in whatever manner it thinks fit nor oblige any Lender to claim any tax refund or to make available its tax returns or disclose any information relating to its tax affairs or any computations in respect thereof or any other confidential information or require any Lender to do anything that would prejudice its ability to benefit from any other refunds, credits, reliefs, remissions or repayments to which it may be entitled.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7" w:lineRule="exact"/>
        <w:rPr>
          <w:rFonts w:ascii="Times New Roman" w:cs="Times New Roman" w:eastAsia="Times New Roman" w:hAnsi="Times New Roman"/>
          <w:sz w:val="17"/>
          <w:szCs w:val="17"/>
          <w:color w:val="auto"/>
        </w:rPr>
      </w:pPr>
    </w:p>
    <w:p>
      <w:pPr>
        <w:ind w:left="4420" w:hanging="104"/>
        <w:spacing w:after="0"/>
        <w:tabs>
          <w:tab w:leader="none" w:pos="442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60"/>
          </w:cols>
          <w:pgMar w:left="1440" w:top="849" w:right="999" w:bottom="1440" w:gutter="0" w:footer="0" w:header="0"/>
        </w:sectPr>
      </w:pPr>
    </w:p>
    <w:bookmarkStart w:id="150" w:name="page151"/>
    <w:bookmarkEnd w:id="150"/>
    <w:p>
      <w:pPr>
        <w:jc w:val="both"/>
        <w:ind w:firstLine="1257"/>
        <w:spacing w:after="0" w:line="269" w:lineRule="auto"/>
        <w:tabs>
          <w:tab w:leader="none" w:pos="187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Evidence of Payments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As soon as practicable after any payment of Taxes by the Borrower or a Guarantor to a Governmental Authority pursuant to this Section, the Borrower or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7" w:lineRule="exact"/>
        <w:rPr>
          <w:sz w:val="20"/>
          <w:szCs w:val="20"/>
          <w:color w:val="auto"/>
        </w:rPr>
      </w:pPr>
    </w:p>
    <w:p>
      <w:pPr>
        <w:jc w:val="both"/>
        <w:ind w:firstLine="626"/>
        <w:spacing w:after="0" w:line="265" w:lineRule="auto"/>
        <w:rPr>
          <w:sz w:val="20"/>
          <w:szCs w:val="20"/>
          <w:color w:val="auto"/>
        </w:rPr>
      </w:pPr>
      <w:r>
        <w:rPr>
          <w:rFonts w:ascii="Times New Roman" w:cs="Times New Roman" w:eastAsia="Times New Roman" w:hAnsi="Times New Roman"/>
          <w:sz w:val="17"/>
          <w:szCs w:val="17"/>
          <w:color w:val="auto"/>
        </w:rPr>
        <w:t xml:space="preserve">Section 12.2. </w:t>
      </w:r>
      <w:r>
        <w:rPr>
          <w:rFonts w:ascii="Times New Roman" w:cs="Times New Roman" w:eastAsia="Times New Roman" w:hAnsi="Times New Roman"/>
          <w:sz w:val="17"/>
          <w:szCs w:val="17"/>
          <w:u w:val="single" w:color="auto"/>
          <w:color w:val="auto"/>
        </w:rPr>
        <w:t>No Waiver, Cumulative Remedies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 delay or failure on the part of the Administrative Agent,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spacing w:after="0" w:line="381"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color w:val="auto"/>
        </w:rPr>
        <w:t xml:space="preserve">Section 12.3. </w:t>
      </w:r>
      <w:r>
        <w:rPr>
          <w:rFonts w:ascii="Times New Roman" w:cs="Times New Roman" w:eastAsia="Times New Roman" w:hAnsi="Times New Roman"/>
          <w:sz w:val="17"/>
          <w:szCs w:val="17"/>
          <w:u w:val="single" w:color="auto"/>
          <w:color w:val="auto"/>
        </w:rPr>
        <w:t>Non-Business Days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68"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Section 12.4. </w:t>
      </w:r>
      <w:r>
        <w:rPr>
          <w:rFonts w:ascii="Times New Roman" w:cs="Times New Roman" w:eastAsia="Times New Roman" w:hAnsi="Times New Roman"/>
          <w:sz w:val="17"/>
          <w:szCs w:val="17"/>
          <w:u w:val="single" w:color="auto"/>
          <w:color w:val="auto"/>
        </w:rPr>
        <w:t>Documentary Taxes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Borrower agrees to pay on demand any U.S.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160"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Section 12.5. </w:t>
      </w:r>
      <w:r>
        <w:rPr>
          <w:rFonts w:ascii="Times New Roman" w:cs="Times New Roman" w:eastAsia="Times New Roman" w:hAnsi="Times New Roman"/>
          <w:sz w:val="17"/>
          <w:szCs w:val="17"/>
          <w:u w:val="single" w:color="auto"/>
          <w:color w:val="auto"/>
        </w:rPr>
        <w:t>Survival of Representations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160" w:lineRule="exact"/>
        <w:rPr>
          <w:sz w:val="20"/>
          <w:szCs w:val="20"/>
          <w:color w:val="auto"/>
        </w:rPr>
      </w:pPr>
    </w:p>
    <w:p>
      <w:pPr>
        <w:jc w:val="both"/>
        <w:ind w:firstLine="626"/>
        <w:spacing w:after="0" w:line="273" w:lineRule="auto"/>
        <w:rPr>
          <w:sz w:val="20"/>
          <w:szCs w:val="20"/>
          <w:color w:val="auto"/>
        </w:rPr>
      </w:pPr>
      <w:r>
        <w:rPr>
          <w:rFonts w:ascii="Times New Roman" w:cs="Times New Roman" w:eastAsia="Times New Roman" w:hAnsi="Times New Roman"/>
          <w:sz w:val="17"/>
          <w:szCs w:val="17"/>
          <w:color w:val="auto"/>
        </w:rPr>
        <w:t xml:space="preserve">Section 12.6. </w:t>
      </w:r>
      <w:r>
        <w:rPr>
          <w:rFonts w:ascii="Times New Roman" w:cs="Times New Roman" w:eastAsia="Times New Roman" w:hAnsi="Times New Roman"/>
          <w:sz w:val="17"/>
          <w:szCs w:val="17"/>
          <w:u w:val="single" w:color="auto"/>
          <w:color w:val="auto"/>
        </w:rPr>
        <w:t>Survival of Indemnities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All indemnities and other provisions relative to reimbursement to the Lenders of amounts sufficient to protect the yield of the Lenders with respect to the Loans, including, but not limited to, Sections 1.11, 10.3, and 12.15 hereof, shall (subject to Section 10.3(c) hereof) survive the termination of this Agreement and the other Loan Documents and the payment of the Obligations.</w:t>
      </w:r>
    </w:p>
    <w:p>
      <w:pPr>
        <w:spacing w:after="0" w:line="376"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 xml:space="preserve">Section 12.7. </w:t>
      </w:r>
      <w:r>
        <w:rPr>
          <w:rFonts w:ascii="Times New Roman" w:cs="Times New Roman" w:eastAsia="Times New Roman" w:hAnsi="Times New Roman"/>
          <w:sz w:val="17"/>
          <w:szCs w:val="17"/>
          <w:u w:val="single" w:color="auto"/>
          <w:color w:val="auto"/>
        </w:rPr>
        <w:t>Sharing of Set-Off</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Lender agrees with each other Lender a party hereto that if such Lender shall receive and retain any payment, whether by set-off or application of deposit balances or otherwise, on any of the Loans in excess of its ratable share of payments on all such Obligations then outstanding to the Lenders, then such Lender shall purchase for cash at face value, but without recourse, ratably from each of the other Lenders such amount of the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51" w:name="page152"/>
    <w:bookmarkEnd w:id="151"/>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Loans held by each such other Lenders (or interest therein) as shall be necessary to cause such Lender to share such excess payment ratably with all the other Lenders;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w:t>
      </w:r>
    </w:p>
    <w:p>
      <w:pPr>
        <w:spacing w:after="0" w:line="170"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color w:val="auto"/>
        </w:rPr>
        <w:t xml:space="preserve">Section 12.8.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Except as otherwise specified herein, all notices hereunder and 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shall be addressed to its respective address or telecopier number set forth below:</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52" w:name="page153"/>
    <w:bookmarkEnd w:id="152"/>
    <w:tbl>
      <w:tblPr>
        <w:tblLayout w:type="fixed"/>
        <w:tblInd w:w="1000" w:type="dxa"/>
        <w:tblCellMar>
          <w:top w:w="0" w:type="dxa"/>
          <w:left w:w="0" w:type="dxa"/>
          <w:bottom w:w="0" w:type="dxa"/>
          <w:right w:w="0" w:type="dxa"/>
        </w:tblCellMar>
      </w:tblPr>
      <w:tr>
        <w:trPr>
          <w:trHeight w:val="227"/>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to the Borrower:</w:t>
            </w: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to the Administrative Agent:</w:t>
            </w:r>
          </w:p>
        </w:tc>
        <w:tc>
          <w:tcPr>
            <w:tcW w:w="0" w:type="dxa"/>
            <w:vAlign w:val="bottom"/>
          </w:tcPr>
          <w:p>
            <w:pPr>
              <w:spacing w:after="0"/>
              <w:rPr>
                <w:sz w:val="1"/>
                <w:szCs w:val="1"/>
                <w:color w:val="auto"/>
              </w:rPr>
            </w:pPr>
          </w:p>
        </w:tc>
      </w:tr>
      <w:tr>
        <w:trPr>
          <w:trHeight w:val="399"/>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Truist Bank</w:t>
            </w:r>
          </w:p>
        </w:tc>
        <w:tc>
          <w:tcPr>
            <w:tcW w:w="0" w:type="dxa"/>
            <w:vAlign w:val="bottom"/>
          </w:tcPr>
          <w:p>
            <w:pPr>
              <w:spacing w:after="0"/>
              <w:rPr>
                <w:sz w:val="1"/>
                <w:szCs w:val="1"/>
                <w:color w:val="auto"/>
              </w:rPr>
            </w:pPr>
          </w:p>
        </w:tc>
      </w:tr>
      <w:tr>
        <w:trPr>
          <w:trHeight w:val="209"/>
        </w:trPr>
        <w:tc>
          <w:tcPr>
            <w:tcW w:w="2040" w:type="dxa"/>
            <w:vAlign w:val="bottom"/>
            <w:gridSpan w:val="9"/>
          </w:tcPr>
          <w:p>
            <w:pPr>
              <w:spacing w:after="0"/>
              <w:rPr>
                <w:sz w:val="20"/>
                <w:szCs w:val="20"/>
                <w:color w:val="auto"/>
              </w:rPr>
            </w:pPr>
            <w:r>
              <w:rPr>
                <w:rFonts w:ascii="Times New Roman" w:cs="Times New Roman" w:eastAsia="Times New Roman" w:hAnsi="Times New Roman"/>
                <w:sz w:val="17"/>
                <w:szCs w:val="17"/>
                <w:color w:val="FF0000"/>
                <w:strike w:val="1"/>
              </w:rPr>
              <w:t>1140 Williamson Boulevard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CRE Loan Admin Charlotte Office</w:t>
            </w:r>
          </w:p>
        </w:tc>
        <w:tc>
          <w:tcPr>
            <w:tcW w:w="0" w:type="dxa"/>
            <w:vAlign w:val="bottom"/>
          </w:tcPr>
          <w:p>
            <w:pPr>
              <w:spacing w:after="0"/>
              <w:rPr>
                <w:sz w:val="1"/>
                <w:szCs w:val="1"/>
                <w:color w:val="auto"/>
              </w:rPr>
            </w:pPr>
          </w:p>
        </w:tc>
      </w:tr>
      <w:tr>
        <w:trPr>
          <w:trHeight w:val="188"/>
        </w:trPr>
        <w:tc>
          <w:tcPr>
            <w:tcW w:w="2040" w:type="dxa"/>
            <w:vAlign w:val="bottom"/>
            <w:gridSpan w:val="9"/>
          </w:tcPr>
          <w:p>
            <w:pPr>
              <w:spacing w:after="0" w:line="188" w:lineRule="exact"/>
              <w:rPr>
                <w:sz w:val="20"/>
                <w:szCs w:val="20"/>
                <w:color w:val="auto"/>
              </w:rPr>
            </w:pPr>
            <w:r>
              <w:rPr>
                <w:rFonts w:ascii="Times New Roman" w:cs="Times New Roman" w:eastAsia="Times New Roman" w:hAnsi="Times New Roman"/>
                <w:sz w:val="17"/>
                <w:szCs w:val="17"/>
                <w:color w:val="4472C4"/>
              </w:rPr>
              <w:t xml:space="preserve">369 N. New York Ave. </w:t>
            </w:r>
            <w:r>
              <w:rPr>
                <w:rFonts w:ascii="Times New Roman" w:cs="Times New Roman" w:eastAsia="Times New Roman" w:hAnsi="Times New Roman"/>
                <w:sz w:val="17"/>
                <w:szCs w:val="17"/>
                <w:color w:val="000000"/>
              </w:rPr>
              <w:t>Suite</w:t>
            </w:r>
          </w:p>
        </w:tc>
        <w:tc>
          <w:tcPr>
            <w:tcW w:w="26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FF0000"/>
                <w:strike w:val="1"/>
                <w:w w:val="93"/>
              </w:rPr>
              <w:t>140</w:t>
            </w:r>
          </w:p>
        </w:tc>
        <w:tc>
          <w:tcPr>
            <w:tcW w:w="380" w:type="dxa"/>
            <w:vAlign w:val="bottom"/>
            <w:gridSpan w:val="2"/>
          </w:tcPr>
          <w:p>
            <w:pPr>
              <w:jc w:val="right"/>
              <w:ind w:right="33"/>
              <w:spacing w:after="0" w:line="188" w:lineRule="exact"/>
              <w:rPr>
                <w:sz w:val="20"/>
                <w:szCs w:val="20"/>
                <w:color w:val="auto"/>
              </w:rPr>
            </w:pPr>
            <w:r>
              <w:rPr>
                <w:rFonts w:ascii="Times New Roman" w:cs="Times New Roman" w:eastAsia="Times New Roman" w:hAnsi="Times New Roman"/>
                <w:sz w:val="17"/>
                <w:szCs w:val="17"/>
                <w:color w:val="4472C4"/>
                <w:w w:val="93"/>
              </w:rPr>
              <w:t>201</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80" w:type="dxa"/>
            <w:vAlign w:val="bottom"/>
          </w:tcPr>
          <w:p>
            <w:pPr>
              <w:ind w:left="1160"/>
              <w:spacing w:after="0" w:line="188" w:lineRule="exact"/>
              <w:rPr>
                <w:sz w:val="20"/>
                <w:szCs w:val="20"/>
                <w:color w:val="auto"/>
              </w:rPr>
            </w:pPr>
            <w:r>
              <w:rPr>
                <w:rFonts w:ascii="Times New Roman" w:cs="Times New Roman" w:eastAsia="Times New Roman" w:hAnsi="Times New Roman"/>
                <w:sz w:val="17"/>
                <w:szCs w:val="17"/>
                <w:color w:val="auto"/>
              </w:rPr>
              <w:t>Attention: Loan Servicing</w:t>
            </w:r>
          </w:p>
        </w:tc>
        <w:tc>
          <w:tcPr>
            <w:tcW w:w="0" w:type="dxa"/>
            <w:vAlign w:val="bottom"/>
          </w:tcPr>
          <w:p>
            <w:pPr>
              <w:spacing w:after="0"/>
              <w:rPr>
                <w:sz w:val="1"/>
                <w:szCs w:val="1"/>
                <w:color w:val="auto"/>
              </w:rPr>
            </w:pPr>
          </w:p>
        </w:tc>
      </w:tr>
      <w:tr>
        <w:trPr>
          <w:trHeight w:val="20"/>
        </w:trPr>
        <w:tc>
          <w:tcPr>
            <w:tcW w:w="400" w:type="dxa"/>
            <w:vAlign w:val="bottom"/>
            <w:tcBorders>
              <w:top w:val="single" w:sz="8" w:color="4472C4"/>
              <w:bottom w:val="single" w:sz="8" w:color="4472C4"/>
            </w:tcBorders>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0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gridSpan w:val="2"/>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89"/>
              </w:rPr>
              <w:t>32114</w:t>
            </w:r>
          </w:p>
        </w:tc>
        <w:tc>
          <w:tcPr>
            <w:tcW w:w="44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4472C4"/>
                <w:w w:val="98"/>
              </w:rPr>
              <w:t>32789</w:t>
            </w:r>
          </w:p>
        </w:tc>
        <w:tc>
          <w:tcPr>
            <w:tcW w:w="3680" w:type="dxa"/>
            <w:vAlign w:val="bottom"/>
            <w:vMerge w:val="restart"/>
          </w:tcPr>
          <w:p>
            <w:pPr>
              <w:ind w:left="1160"/>
              <w:spacing w:after="0" w:line="189" w:lineRule="exact"/>
              <w:rPr>
                <w:sz w:val="20"/>
                <w:szCs w:val="20"/>
                <w:color w:val="auto"/>
              </w:rPr>
            </w:pPr>
            <w:r>
              <w:rPr>
                <w:rFonts w:ascii="Times New Roman" w:cs="Times New Roman" w:eastAsia="Times New Roman" w:hAnsi="Times New Roman"/>
                <w:sz w:val="17"/>
                <w:szCs w:val="17"/>
                <w:color w:val="auto"/>
              </w:rPr>
              <w:t>4777 Sharon Road, Suite 300</w:t>
            </w:r>
          </w:p>
        </w:tc>
        <w:tc>
          <w:tcPr>
            <w:tcW w:w="0" w:type="dxa"/>
            <w:vAlign w:val="bottom"/>
          </w:tcPr>
          <w:p>
            <w:pPr>
              <w:spacing w:after="0" w:line="20" w:lineRule="exact"/>
              <w:rPr>
                <w:sz w:val="1"/>
                <w:szCs w:val="1"/>
                <w:color w:val="auto"/>
              </w:rPr>
            </w:pPr>
          </w:p>
        </w:tc>
      </w:tr>
      <w:tr>
        <w:trPr>
          <w:trHeight w:val="149"/>
        </w:trPr>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FF0000"/>
                <w:strike w:val="1"/>
                <w:w w:val="99"/>
              </w:rPr>
              <w:t>Daytona Beach</w:t>
            </w:r>
          </w:p>
        </w:tc>
        <w:tc>
          <w:tcPr>
            <w:tcW w:w="54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4472C4"/>
              </w:rPr>
              <w:t>Winter</w:t>
            </w:r>
          </w:p>
        </w:tc>
        <w:tc>
          <w:tcPr>
            <w:tcW w:w="96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7"/>
                <w:szCs w:val="17"/>
                <w:color w:val="4472C4"/>
                <w:w w:val="99"/>
              </w:rPr>
              <w:t>Park</w:t>
            </w:r>
            <w:r>
              <w:rPr>
                <w:rFonts w:ascii="Times New Roman" w:cs="Times New Roman" w:eastAsia="Times New Roman" w:hAnsi="Times New Roman"/>
                <w:sz w:val="17"/>
                <w:szCs w:val="17"/>
                <w:color w:val="000000"/>
                <w:w w:val="99"/>
              </w:rPr>
              <w:t>, Florida</w:t>
            </w:r>
          </w:p>
        </w:tc>
        <w:tc>
          <w:tcPr>
            <w:tcW w:w="40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Attention:</w:t>
            </w: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0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gridSpan w:val="3"/>
          </w:tcPr>
          <w:p>
            <w:pPr>
              <w:spacing w:after="0" w:line="20" w:lineRule="exact"/>
              <w:rPr>
                <w:sz w:val="1"/>
                <w:szCs w:val="1"/>
                <w:color w:val="auto"/>
              </w:rPr>
            </w:pPr>
          </w:p>
        </w:tc>
        <w:tc>
          <w:tcPr>
            <w:tcW w:w="106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7"/>
                <w:szCs w:val="17"/>
                <w:color w:val="auto"/>
              </w:rPr>
              <w:t>Partridge</w:t>
            </w:r>
          </w:p>
        </w:tc>
        <w:tc>
          <w:tcPr>
            <w:tcW w:w="440" w:type="dxa"/>
            <w:vAlign w:val="bottom"/>
            <w:tcBorders>
              <w:top w:val="single" w:sz="8" w:color="4472C4"/>
              <w:bottom w:val="single" w:sz="8" w:color="4472C4"/>
            </w:tcBorders>
          </w:tcPr>
          <w:p>
            <w:pPr>
              <w:spacing w:after="0" w:line="20" w:lineRule="exact"/>
              <w:rPr>
                <w:sz w:val="1"/>
                <w:szCs w:val="1"/>
                <w:color w:val="auto"/>
              </w:rPr>
            </w:pPr>
          </w:p>
        </w:tc>
        <w:tc>
          <w:tcPr>
            <w:tcW w:w="368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color w:val="auto"/>
              </w:rPr>
              <w:t>Mail Code: NC-Charlotte-0300</w:t>
            </w:r>
          </w:p>
        </w:tc>
        <w:tc>
          <w:tcPr>
            <w:tcW w:w="0" w:type="dxa"/>
            <w:vAlign w:val="bottom"/>
          </w:tcPr>
          <w:p>
            <w:pPr>
              <w:spacing w:after="0" w:line="20" w:lineRule="exact"/>
              <w:rPr>
                <w:sz w:val="1"/>
                <w:szCs w:val="1"/>
                <w:color w:val="auto"/>
              </w:rPr>
            </w:pPr>
          </w:p>
        </w:tc>
      </w:tr>
      <w:tr>
        <w:trPr>
          <w:trHeight w:val="169"/>
        </w:trPr>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7"/>
                <w:szCs w:val="17"/>
                <w:color w:val="auto"/>
              </w:rPr>
              <w:t>Matthew</w:t>
            </w:r>
          </w:p>
        </w:tc>
        <w:tc>
          <w:tcPr>
            <w:tcW w:w="10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Telephone:</w:t>
            </w:r>
          </w:p>
        </w:tc>
        <w:tc>
          <w:tcPr>
            <w:tcW w:w="124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386-944-5643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Charlotte, NC 28210</w:t>
            </w:r>
          </w:p>
        </w:tc>
        <w:tc>
          <w:tcPr>
            <w:tcW w:w="0" w:type="dxa"/>
            <w:vAlign w:val="bottom"/>
          </w:tcPr>
          <w:p>
            <w:pPr>
              <w:spacing w:after="0"/>
              <w:rPr>
                <w:sz w:val="1"/>
                <w:szCs w:val="1"/>
                <w:color w:val="auto"/>
              </w:rPr>
            </w:pPr>
          </w:p>
        </w:tc>
      </w:tr>
      <w:tr>
        <w:trPr>
          <w:trHeight w:val="209"/>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Email: mpartridge@alpinereit.com</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FF0000"/>
                <w:strike w:val="1"/>
              </w:rPr>
              <w:t>Fax:</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FF0000"/>
                <w:strike w:val="1"/>
              </w:rPr>
              <w:t>386-274-1223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Truist Bank</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303 Peachtree Street, 25th Floor</w:t>
            </w:r>
          </w:p>
        </w:tc>
        <w:tc>
          <w:tcPr>
            <w:tcW w:w="0" w:type="dxa"/>
            <w:vAlign w:val="bottom"/>
          </w:tcPr>
          <w:p>
            <w:pPr>
              <w:spacing w:after="0"/>
              <w:rPr>
                <w:sz w:val="1"/>
                <w:szCs w:val="1"/>
                <w:color w:val="auto"/>
              </w:rPr>
            </w:pPr>
          </w:p>
        </w:tc>
      </w:tr>
      <w:tr>
        <w:trPr>
          <w:trHeight w:val="209"/>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Mail Code 7662</w:t>
            </w:r>
          </w:p>
        </w:tc>
        <w:tc>
          <w:tcPr>
            <w:tcW w:w="0" w:type="dxa"/>
            <w:vAlign w:val="bottom"/>
          </w:tcPr>
          <w:p>
            <w:pPr>
              <w:spacing w:after="0"/>
              <w:rPr>
                <w:sz w:val="1"/>
                <w:szCs w:val="1"/>
                <w:color w:val="auto"/>
              </w:rPr>
            </w:pPr>
          </w:p>
        </w:tc>
      </w:tr>
      <w:tr>
        <w:trPr>
          <w:trHeight w:val="209"/>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1140 Williamson Boulevard</w:t>
            </w: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Atlanta, Georgia 30308</w:t>
            </w: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Suite 140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Attention: Agency Services</w:t>
            </w:r>
          </w:p>
        </w:tc>
        <w:tc>
          <w:tcPr>
            <w:tcW w:w="0" w:type="dxa"/>
            <w:vAlign w:val="bottom"/>
          </w:tcPr>
          <w:p>
            <w:pPr>
              <w:spacing w:after="0"/>
              <w:rPr>
                <w:sz w:val="1"/>
                <w:szCs w:val="1"/>
                <w:color w:val="auto"/>
              </w:rPr>
            </w:pPr>
          </w:p>
        </w:tc>
      </w:tr>
      <w:tr>
        <w:trPr>
          <w:trHeight w:val="209"/>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Daytona Beach, Florida 32114</w:t>
            </w: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Email: Agency.Services@truist.com</w:t>
            </w: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Attention:</w:t>
            </w:r>
          </w:p>
        </w:tc>
        <w:tc>
          <w:tcPr>
            <w:tcW w:w="2340" w:type="dxa"/>
            <w:vAlign w:val="bottom"/>
            <w:gridSpan w:val="11"/>
          </w:tcPr>
          <w:p>
            <w:pPr>
              <w:ind w:left="20"/>
              <w:spacing w:after="0"/>
              <w:rPr>
                <w:sz w:val="20"/>
                <w:szCs w:val="20"/>
                <w:color w:val="auto"/>
              </w:rPr>
            </w:pPr>
            <w:r>
              <w:rPr>
                <w:rFonts w:ascii="Times New Roman" w:cs="Times New Roman" w:eastAsia="Times New Roman" w:hAnsi="Times New Roman"/>
                <w:sz w:val="17"/>
                <w:szCs w:val="17"/>
                <w:color w:val="auto"/>
              </w:rPr>
              <w:t>Lisa Vorkoun</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Telephone:</w:t>
            </w:r>
          </w:p>
        </w:tc>
        <w:tc>
          <w:tcPr>
            <w:tcW w:w="12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386-944-5641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With a copy to:</w:t>
            </w:r>
          </w:p>
        </w:tc>
        <w:tc>
          <w:tcPr>
            <w:tcW w:w="0" w:type="dxa"/>
            <w:vAlign w:val="bottom"/>
          </w:tcPr>
          <w:p>
            <w:pPr>
              <w:spacing w:after="0"/>
              <w:rPr>
                <w:sz w:val="1"/>
                <w:szCs w:val="1"/>
                <w:color w:val="auto"/>
              </w:rPr>
            </w:pPr>
          </w:p>
        </w:tc>
      </w:tr>
      <w:tr>
        <w:trPr>
          <w:trHeight w:val="209"/>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Email: lvorkoun@alpinereit.com</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FF0000"/>
                <w:strike w:val="1"/>
              </w:rPr>
              <w:t>Fax:</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FF0000"/>
                <w:strike w:val="1"/>
              </w:rPr>
              <w:t>386-274-1223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Riemer &amp; Braunstein LP</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 Cambridge Street</w:t>
            </w:r>
          </w:p>
        </w:tc>
        <w:tc>
          <w:tcPr>
            <w:tcW w:w="0" w:type="dxa"/>
            <w:vAlign w:val="bottom"/>
          </w:tcPr>
          <w:p>
            <w:pPr>
              <w:spacing w:after="0"/>
              <w:rPr>
                <w:sz w:val="1"/>
                <w:szCs w:val="1"/>
                <w:color w:val="auto"/>
              </w:rPr>
            </w:pPr>
          </w:p>
        </w:tc>
      </w:tr>
      <w:tr>
        <w:trPr>
          <w:trHeight w:val="209"/>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With copy to:</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Boston, MA 02114</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Attention: Kevin J. Lyons</w:t>
            </w:r>
          </w:p>
        </w:tc>
        <w:tc>
          <w:tcPr>
            <w:tcW w:w="0" w:type="dxa"/>
            <w:vAlign w:val="bottom"/>
          </w:tcPr>
          <w:p>
            <w:pPr>
              <w:spacing w:after="0"/>
              <w:rPr>
                <w:sz w:val="1"/>
                <w:szCs w:val="1"/>
                <w:color w:val="auto"/>
              </w:rPr>
            </w:pPr>
          </w:p>
        </w:tc>
      </w:tr>
      <w:tr>
        <w:trPr>
          <w:trHeight w:val="209"/>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Vinson &amp; Elkins LLP</w:t>
            </w: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Email: klyons@riemerlaw.com</w:t>
            </w:r>
          </w:p>
        </w:tc>
        <w:tc>
          <w:tcPr>
            <w:tcW w:w="0" w:type="dxa"/>
            <w:vAlign w:val="bottom"/>
          </w:tcPr>
          <w:p>
            <w:pPr>
              <w:spacing w:after="0"/>
              <w:rPr>
                <w:sz w:val="1"/>
                <w:szCs w:val="1"/>
                <w:color w:val="auto"/>
              </w:rPr>
            </w:pPr>
          </w:p>
        </w:tc>
      </w:tr>
      <w:tr>
        <w:trPr>
          <w:trHeight w:val="188"/>
        </w:trPr>
        <w:tc>
          <w:tcPr>
            <w:tcW w:w="1400" w:type="dxa"/>
            <w:vAlign w:val="bottom"/>
            <w:gridSpan w:val="5"/>
          </w:tcPr>
          <w:p>
            <w:pPr>
              <w:spacing w:after="0" w:line="188" w:lineRule="exact"/>
              <w:rPr>
                <w:sz w:val="20"/>
                <w:szCs w:val="20"/>
                <w:color w:val="auto"/>
              </w:rPr>
            </w:pPr>
            <w:r>
              <w:rPr>
                <w:rFonts w:ascii="Times New Roman" w:cs="Times New Roman" w:eastAsia="Times New Roman" w:hAnsi="Times New Roman"/>
                <w:sz w:val="17"/>
                <w:szCs w:val="17"/>
                <w:color w:val="FF0000"/>
                <w:strike w:val="1"/>
              </w:rPr>
              <w:t>1001 Fannin Street,</w:t>
            </w:r>
          </w:p>
        </w:tc>
        <w:tc>
          <w:tcPr>
            <w:tcW w:w="2000" w:type="dxa"/>
            <w:vAlign w:val="bottom"/>
            <w:gridSpan w:val="9"/>
          </w:tcPr>
          <w:p>
            <w:pPr>
              <w:jc w:val="right"/>
              <w:ind w:right="633"/>
              <w:spacing w:after="0" w:line="188" w:lineRule="exact"/>
              <w:rPr>
                <w:sz w:val="20"/>
                <w:szCs w:val="20"/>
                <w:color w:val="auto"/>
              </w:rPr>
            </w:pPr>
            <w:r>
              <w:rPr>
                <w:rFonts w:ascii="Times New Roman" w:cs="Times New Roman" w:eastAsia="Times New Roman" w:hAnsi="Times New Roman"/>
                <w:sz w:val="17"/>
                <w:szCs w:val="17"/>
                <w:color w:val="4472C4"/>
                <w:w w:val="98"/>
              </w:rPr>
              <w:t>845 Texas Avenue</w:t>
            </w:r>
          </w:p>
        </w:tc>
        <w:tc>
          <w:tcPr>
            <w:tcW w:w="3680" w:type="dxa"/>
            <w:vAlign w:val="bottom"/>
          </w:tcPr>
          <w:p>
            <w:pPr>
              <w:ind w:left="1160"/>
              <w:spacing w:after="0" w:line="188" w:lineRule="exact"/>
              <w:rPr>
                <w:sz w:val="20"/>
                <w:szCs w:val="20"/>
                <w:color w:val="auto"/>
              </w:rPr>
            </w:pPr>
            <w:r>
              <w:rPr>
                <w:rFonts w:ascii="Times New Roman" w:cs="Times New Roman" w:eastAsia="Times New Roman" w:hAnsi="Times New Roman"/>
                <w:sz w:val="17"/>
                <w:szCs w:val="17"/>
                <w:color w:val="auto"/>
              </w:rPr>
              <w:t>Telephone: 617-880-3433</w:t>
            </w: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Suite</w:t>
            </w:r>
          </w:p>
        </w:tc>
        <w:tc>
          <w:tcPr>
            <w:tcW w:w="34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2500</w:t>
            </w:r>
          </w:p>
        </w:tc>
        <w:tc>
          <w:tcPr>
            <w:tcW w:w="360" w:type="dxa"/>
            <w:vAlign w:val="bottom"/>
            <w:gridSpan w:val="2"/>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4472C4"/>
                <w:w w:val="99"/>
              </w:rPr>
              <w:t>4700</w:t>
            </w:r>
          </w:p>
        </w:tc>
        <w:tc>
          <w:tcPr>
            <w:tcW w:w="300" w:type="dxa"/>
            <w:vAlign w:val="bottom"/>
            <w:vMerge w:val="restart"/>
          </w:tcPr>
          <w:p>
            <w:pPr>
              <w:spacing w:after="0" w:line="20" w:lineRule="exact"/>
              <w:rPr>
                <w:sz w:val="1"/>
                <w:szCs w:val="1"/>
                <w:color w:val="auto"/>
              </w:rPr>
            </w:pPr>
          </w:p>
        </w:tc>
        <w:tc>
          <w:tcPr>
            <w:tcW w:w="640" w:type="dxa"/>
            <w:vAlign w:val="bottom"/>
            <w:tcBorders>
              <w:top w:val="single" w:sz="8" w:color="4472C4"/>
              <w:bottom w:val="single" w:sz="8" w:color="4472C4"/>
            </w:tcBorders>
            <w:gridSpan w:val="4"/>
          </w:tcPr>
          <w:p>
            <w:pPr>
              <w:spacing w:after="0" w:line="20" w:lineRule="exact"/>
              <w:rPr>
                <w:sz w:val="1"/>
                <w:szCs w:val="1"/>
                <w:color w:val="auto"/>
              </w:rPr>
            </w:pPr>
          </w:p>
        </w:tc>
        <w:tc>
          <w:tcPr>
            <w:tcW w:w="640" w:type="dxa"/>
            <w:vAlign w:val="bottom"/>
            <w:tcBorders>
              <w:top w:val="single" w:sz="8" w:color="4472C4"/>
              <w:bottom w:val="single" w:sz="8" w:color="4472C4"/>
            </w:tcBorders>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8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color w:val="auto"/>
              </w:rPr>
              <w:t>Attention: Kristen J. Fallon</w:t>
            </w:r>
          </w:p>
        </w:tc>
        <w:tc>
          <w:tcPr>
            <w:tcW w:w="0" w:type="dxa"/>
            <w:vAlign w:val="bottom"/>
          </w:tcPr>
          <w:p>
            <w:pPr>
              <w:spacing w:after="0" w:line="20" w:lineRule="exact"/>
              <w:rPr>
                <w:sz w:val="1"/>
                <w:szCs w:val="1"/>
                <w:color w:val="auto"/>
              </w:rPr>
            </w:pPr>
          </w:p>
        </w:tc>
      </w:tr>
      <w:tr>
        <w:trPr>
          <w:trHeight w:val="154"/>
        </w:trPr>
        <w:tc>
          <w:tcPr>
            <w:tcW w:w="40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360" w:type="dxa"/>
            <w:vAlign w:val="bottom"/>
            <w:tcBorders>
              <w:bottom w:val="single" w:sz="8" w:color="4472C4"/>
            </w:tcBorders>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bottom w:val="single" w:sz="8" w:color="4472C4"/>
            </w:tcBorders>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gridSpan w:val="14"/>
          </w:tcPr>
          <w:p>
            <w:pPr>
              <w:spacing w:after="0" w:line="169" w:lineRule="exact"/>
              <w:rPr>
                <w:sz w:val="20"/>
                <w:szCs w:val="20"/>
                <w:color w:val="auto"/>
              </w:rPr>
            </w:pPr>
            <w:r>
              <w:rPr>
                <w:rFonts w:ascii="Times New Roman" w:cs="Times New Roman" w:eastAsia="Times New Roman" w:hAnsi="Times New Roman"/>
                <w:sz w:val="17"/>
                <w:szCs w:val="17"/>
                <w:color w:val="auto"/>
              </w:rPr>
              <w:t>Houston, TX 77002</w:t>
            </w:r>
          </w:p>
        </w:tc>
        <w:tc>
          <w:tcPr>
            <w:tcW w:w="3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Attention: Noelle C. Alix</w:t>
            </w: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Email: kfallon@riemerlaw.com</w:t>
            </w:r>
          </w:p>
        </w:tc>
        <w:tc>
          <w:tcPr>
            <w:tcW w:w="0" w:type="dxa"/>
            <w:vAlign w:val="bottom"/>
          </w:tcPr>
          <w:p>
            <w:pPr>
              <w:spacing w:after="0"/>
              <w:rPr>
                <w:sz w:val="1"/>
                <w:szCs w:val="1"/>
                <w:color w:val="auto"/>
              </w:rPr>
            </w:pPr>
          </w:p>
        </w:tc>
      </w:tr>
      <w:tr>
        <w:trPr>
          <w:trHeight w:val="209"/>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Telephone: 713-758-1124</w:t>
            </w:r>
          </w:p>
        </w:tc>
        <w:tc>
          <w:tcPr>
            <w:tcW w:w="3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Telephone: 617-880-3425</w:t>
            </w:r>
          </w:p>
        </w:tc>
        <w:tc>
          <w:tcPr>
            <w:tcW w:w="0" w:type="dxa"/>
            <w:vAlign w:val="bottom"/>
          </w:tcPr>
          <w:p>
            <w:pPr>
              <w:spacing w:after="0"/>
              <w:rPr>
                <w:sz w:val="1"/>
                <w:szCs w:val="1"/>
                <w:color w:val="auto"/>
              </w:rPr>
            </w:pPr>
          </w:p>
        </w:tc>
      </w:tr>
      <w:tr>
        <w:trPr>
          <w:trHeight w:val="227"/>
        </w:trPr>
        <w:tc>
          <w:tcPr>
            <w:tcW w:w="340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Email: nalix@velaw.com</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 (ii) if given by mail, upon receipt or first refusal of delivery or (iii) if given by any other means, when delivered at the addresses specified in this Section 12.8 or in the relevant Administrative Questionnaire;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notice given pursuant to Section 1 hereof shall be effective only upon receipt.</w:t>
      </w:r>
    </w:p>
    <w:p>
      <w:pPr>
        <w:spacing w:after="0" w:line="172"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Section 12.9.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and by the different parties hereto on separate counterpart signature pages, and all such counterparts taken together shall be deemed to constitute one and the same instrument. The words “execution”, “executed”, “signed”, “signature” and words of similar import in or related to this Agreement and the other Loan Documents shall be deemed to include electronic signatures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1073" w:right="999" w:bottom="1440" w:gutter="0" w:footer="0" w:header="0"/>
        </w:sectPr>
      </w:pPr>
    </w:p>
    <w:bookmarkStart w:id="153" w:name="page154"/>
    <w:bookmarkEnd w:id="153"/>
    <w:p>
      <w:pPr>
        <w:jc w:val="both"/>
        <w:spacing w:after="0" w:line="265" w:lineRule="auto"/>
        <w:rPr>
          <w:sz w:val="20"/>
          <w:szCs w:val="20"/>
          <w:color w:val="auto"/>
        </w:rPr>
      </w:pPr>
      <w:r>
        <w:rPr>
          <w:rFonts w:ascii="Times New Roman" w:cs="Times New Roman" w:eastAsia="Times New Roman" w:hAnsi="Times New Roman"/>
          <w:sz w:val="17"/>
          <w:szCs w:val="17"/>
          <w:color w:val="auto"/>
        </w:rPr>
        <w:t>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w:t>
      </w:r>
    </w:p>
    <w:p>
      <w:pPr>
        <w:spacing w:after="0" w:line="172"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Section 12.10.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Agreement shall be binding upon the Borrower, the Guarantors and their respective successors and permitted assigns, and shall inure to the benefit of the Administrative Agent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w:t>
      </w:r>
    </w:p>
    <w:p>
      <w:pPr>
        <w:spacing w:after="0" w:line="170" w:lineRule="exact"/>
        <w:rPr>
          <w:sz w:val="20"/>
          <w:szCs w:val="20"/>
          <w:color w:val="auto"/>
        </w:rPr>
      </w:pPr>
    </w:p>
    <w:p>
      <w:pPr>
        <w:jc w:val="both"/>
        <w:ind w:firstLine="626"/>
        <w:spacing w:after="0" w:line="258" w:lineRule="auto"/>
        <w:rPr>
          <w:sz w:val="20"/>
          <w:szCs w:val="20"/>
          <w:color w:val="auto"/>
        </w:rPr>
      </w:pPr>
      <w:r>
        <w:rPr>
          <w:rFonts w:ascii="Times New Roman" w:cs="Times New Roman" w:eastAsia="Times New Roman" w:hAnsi="Times New Roman"/>
          <w:sz w:val="17"/>
          <w:szCs w:val="17"/>
          <w:color w:val="auto"/>
        </w:rPr>
        <w:t xml:space="preserve">Section 12.11. </w:t>
      </w:r>
      <w:r>
        <w:rPr>
          <w:rFonts w:ascii="Times New Roman" w:cs="Times New Roman" w:eastAsia="Times New Roman" w:hAnsi="Times New Roman"/>
          <w:sz w:val="17"/>
          <w:szCs w:val="17"/>
          <w:u w:val="single" w:color="auto"/>
          <w:color w:val="auto"/>
        </w:rPr>
        <w:t>Participants</w:t>
      </w:r>
      <w:r>
        <w:rPr>
          <w:rFonts w:ascii="Times New Roman" w:cs="Times New Roman" w:eastAsia="Times New Roman" w:hAnsi="Times New Roman"/>
          <w:sz w:val="17"/>
          <w:szCs w:val="17"/>
          <w:color w:val="auto"/>
        </w:rPr>
        <w:t xml:space="preserve">. Each Lender shall have the right at its own cost to grant participations (to be evidenced by one or more agreements or certificates of participation) in the Loans made and/or Commitments held by such Lender at any time and from time to time to one or more other Persons; provided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prior to any such disclosure any such participant or prospective participant shall agree in writing to be subject to the confidentiality provisions contained herein. No participation may be granted or sold to the Borrower, any Guarantor, any Affiliate or Subsidiary of Borrower or Guarantor, any Defaulting Lender or any natural person.</w:t>
      </w:r>
    </w:p>
    <w:p>
      <w:pPr>
        <w:spacing w:after="0" w:line="186"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12.12.</w:t>
      </w:r>
      <w:r>
        <w:rPr>
          <w:sz w:val="20"/>
          <w:szCs w:val="20"/>
          <w:color w:val="auto"/>
        </w:rPr>
        <w:tab/>
      </w:r>
      <w:r>
        <w:rPr>
          <w:rFonts w:ascii="Times New Roman" w:cs="Times New Roman" w:eastAsia="Times New Roman" w:hAnsi="Times New Roman"/>
          <w:sz w:val="17"/>
          <w:szCs w:val="17"/>
          <w:u w:val="single" w:color="auto"/>
          <w:color w:val="auto"/>
        </w:rPr>
        <w:t>Assignments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1257"/>
        <w:spacing w:after="0" w:line="275" w:lineRule="auto"/>
        <w:tabs>
          <w:tab w:leader="none" w:pos="1878"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Lender may at any time assign to one or more Eligible Assignees all or a portion of such Lender’s rights and obligations under this Agreement (including all or a portion of its Commitment and the Loans at the time owing to 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assignment shall be subject to the following conditions:</w:t>
      </w:r>
    </w:p>
    <w:p>
      <w:pPr>
        <w:spacing w:after="0" w:line="162" w:lineRule="exact"/>
        <w:rPr>
          <w:rFonts w:ascii="Times New Roman" w:cs="Times New Roman" w:eastAsia="Times New Roman" w:hAnsi="Times New Roman"/>
          <w:sz w:val="17"/>
          <w:szCs w:val="17"/>
          <w:color w:val="auto"/>
        </w:rPr>
      </w:pPr>
    </w:p>
    <w:p>
      <w:pPr>
        <w:ind w:left="640" w:firstLine="1243"/>
        <w:spacing w:after="0" w:line="294" w:lineRule="auto"/>
        <w:tabs>
          <w:tab w:leader="none" w:pos="2517"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Minimum Amounts</w:t>
      </w:r>
      <w:r>
        <w:rPr>
          <w:rFonts w:ascii="Times New Roman" w:cs="Times New Roman" w:eastAsia="Times New Roman" w:hAnsi="Times New Roman"/>
          <w:sz w:val="17"/>
          <w:szCs w:val="17"/>
          <w:color w:val="auto"/>
        </w:rPr>
        <w:t>. (A) In the case of an assignment of the entire remaining amount of the assigning Lender’s Commitment and the Loans at the time owing</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2"/>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54" w:name="page155"/>
    <w:bookmarkEnd w:id="154"/>
    <w:p>
      <w:pPr>
        <w:jc w:val="both"/>
        <w:ind w:left="640"/>
        <w:spacing w:after="0" w:line="262" w:lineRule="auto"/>
        <w:rPr>
          <w:sz w:val="20"/>
          <w:szCs w:val="20"/>
          <w:color w:val="auto"/>
        </w:rPr>
      </w:pPr>
      <w:r>
        <w:rPr>
          <w:rFonts w:ascii="Times New Roman" w:cs="Times New Roman" w:eastAsia="Times New Roman" w:hAnsi="Times New Roman"/>
          <w:sz w:val="17"/>
          <w:szCs w:val="17"/>
          <w:color w:val="auto"/>
        </w:rPr>
        <w:t>to it or in the case of an assignment to a Lender, an Affiliate of a Lender or an Approved Fund, no minimum amount need be assigned; and (B) in any case not described in subsection (a)(i)(A) of this Section 12.12, the aggregate amount of the Commitment or, if the Commitment is not then in effect, the principal outstanding balance of the Loans (determined as of the date the Assignment and Acceptance with respect to such assignment is delivered to the Administrative Agent or, if “Effective Date” is specified in the Assignment and Acceptance, as of the Effective Date specified in such Assignment and Acceptance) shall not be less than $5,000,000 unless each of the Administrative Agent and, so long as no Event of Default has occurred and is continuing, the Borrower otherwise consents (each such consent not to be unreasonably withheld or delayed);</w:t>
      </w:r>
    </w:p>
    <w:p>
      <w:pPr>
        <w:spacing w:after="0" w:line="175" w:lineRule="exact"/>
        <w:rPr>
          <w:sz w:val="20"/>
          <w:szCs w:val="20"/>
          <w:color w:val="auto"/>
        </w:rPr>
      </w:pPr>
    </w:p>
    <w:p>
      <w:pPr>
        <w:jc w:val="both"/>
        <w:ind w:left="640" w:firstLine="1243"/>
        <w:spacing w:after="0" w:line="275" w:lineRule="auto"/>
        <w:tabs>
          <w:tab w:leader="none" w:pos="251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Proportionate Amounts</w:t>
      </w:r>
      <w:r>
        <w:rPr>
          <w:rFonts w:ascii="Times New Roman" w:cs="Times New Roman" w:eastAsia="Times New Roman" w:hAnsi="Times New Roman"/>
          <w:sz w:val="17"/>
          <w:szCs w:val="17"/>
          <w:color w:val="auto"/>
        </w:rPr>
        <w:t>. Each partial assignment shall be made as an assignment of a proportionate part of all the assigning Lender’s rights and obligations under this Agreement with respect to the Term Loan, Incremental Term Loan or the Commitment.</w:t>
      </w:r>
    </w:p>
    <w:p>
      <w:pPr>
        <w:spacing w:after="0" w:line="162" w:lineRule="exact"/>
        <w:rPr>
          <w:rFonts w:ascii="Times New Roman" w:cs="Times New Roman" w:eastAsia="Times New Roman" w:hAnsi="Times New Roman"/>
          <w:sz w:val="17"/>
          <w:szCs w:val="17"/>
          <w:color w:val="auto"/>
        </w:rPr>
      </w:pPr>
    </w:p>
    <w:p>
      <w:pPr>
        <w:ind w:left="640" w:firstLine="1243"/>
        <w:spacing w:after="0" w:line="294" w:lineRule="auto"/>
        <w:tabs>
          <w:tab w:leader="none" w:pos="251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Consents</w:t>
      </w:r>
      <w:r>
        <w:rPr>
          <w:rFonts w:ascii="Times New Roman" w:cs="Times New Roman" w:eastAsia="Times New Roman" w:hAnsi="Times New Roman"/>
          <w:sz w:val="17"/>
          <w:szCs w:val="17"/>
          <w:color w:val="auto"/>
        </w:rPr>
        <w:t>. No consent shall be required for any assignment except to the extent required by Section 12.12(a)(i)(B) and, in addition:</w:t>
      </w:r>
    </w:p>
    <w:p>
      <w:pPr>
        <w:spacing w:after="0" w:line="146" w:lineRule="exact"/>
        <w:rPr>
          <w:rFonts w:ascii="Times New Roman" w:cs="Times New Roman" w:eastAsia="Times New Roman" w:hAnsi="Times New Roman"/>
          <w:sz w:val="17"/>
          <w:szCs w:val="17"/>
          <w:color w:val="auto"/>
        </w:rPr>
      </w:pPr>
    </w:p>
    <w:p>
      <w:pPr>
        <w:jc w:val="both"/>
        <w:ind w:left="1260" w:firstLine="1248"/>
        <w:spacing w:after="0" w:line="268" w:lineRule="auto"/>
        <w:tabs>
          <w:tab w:leader="none" w:pos="3137"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 and</w:t>
      </w:r>
    </w:p>
    <w:p>
      <w:pPr>
        <w:spacing w:after="0" w:line="169" w:lineRule="exact"/>
        <w:rPr>
          <w:rFonts w:ascii="Times New Roman" w:cs="Times New Roman" w:eastAsia="Times New Roman" w:hAnsi="Times New Roman"/>
          <w:sz w:val="17"/>
          <w:szCs w:val="17"/>
          <w:color w:val="auto"/>
        </w:rPr>
      </w:pPr>
    </w:p>
    <w:p>
      <w:pPr>
        <w:jc w:val="both"/>
        <w:ind w:left="1260" w:firstLine="1248"/>
        <w:spacing w:after="0" w:line="272" w:lineRule="auto"/>
        <w:tabs>
          <w:tab w:leader="none" w:pos="3137"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Administrative Agent (such consent not to be unreasonably withheld or delayed and to be given or denied within five (5) Business Days of written request therefor) shall be required if such assignment is to a Person that is not a Lender with a Commitment, an Affiliate of such Lender or an Approved Fund with respect to such Lender.</w:t>
      </w:r>
    </w:p>
    <w:p>
      <w:pPr>
        <w:spacing w:after="0" w:line="378" w:lineRule="exact"/>
        <w:rPr>
          <w:rFonts w:ascii="Times New Roman" w:cs="Times New Roman" w:eastAsia="Times New Roman" w:hAnsi="Times New Roman"/>
          <w:sz w:val="17"/>
          <w:szCs w:val="17"/>
          <w:color w:val="auto"/>
        </w:rPr>
      </w:pPr>
    </w:p>
    <w:p>
      <w:pPr>
        <w:jc w:val="both"/>
        <w:ind w:left="640" w:firstLine="1243"/>
        <w:spacing w:after="0" w:line="275" w:lineRule="auto"/>
        <w:tabs>
          <w:tab w:leader="none" w:pos="251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and Acceptance</w:t>
      </w:r>
      <w:r>
        <w:rPr>
          <w:rFonts w:ascii="Times New Roman" w:cs="Times New Roman" w:eastAsia="Times New Roman" w:hAnsi="Times New Roman"/>
          <w:sz w:val="17"/>
          <w:szCs w:val="17"/>
          <w:color w:val="auto"/>
        </w:rPr>
        <w:t>. The parties to each assignment shall execute and deliver to the Administrative Agent an Assignment and Acceptance, together with a processing and recordation fee of $3,500, and the assignee, if it is not a Lender, shall deliver to the Administrative Agent an Administrative Questionnaire.</w:t>
      </w:r>
    </w:p>
    <w:p>
      <w:pPr>
        <w:spacing w:after="0" w:line="162" w:lineRule="exact"/>
        <w:rPr>
          <w:rFonts w:ascii="Times New Roman" w:cs="Times New Roman" w:eastAsia="Times New Roman" w:hAnsi="Times New Roman"/>
          <w:sz w:val="17"/>
          <w:szCs w:val="17"/>
          <w:color w:val="auto"/>
        </w:rPr>
      </w:pPr>
    </w:p>
    <w:p>
      <w:pPr>
        <w:ind w:left="640" w:firstLine="1243"/>
        <w:spacing w:after="0" w:line="294" w:lineRule="auto"/>
        <w:tabs>
          <w:tab w:leader="none" w:pos="251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Assignment to Borrower, Guarantors, Affiliates or Subsidiaries</w:t>
      </w:r>
      <w:r>
        <w:rPr>
          <w:rFonts w:ascii="Times New Roman" w:cs="Times New Roman" w:eastAsia="Times New Roman" w:hAnsi="Times New Roman"/>
          <w:sz w:val="17"/>
          <w:szCs w:val="17"/>
          <w:color w:val="auto"/>
        </w:rPr>
        <w:t>. No such assignment shall be made to the Borrower, any Guarantor or any Affiliate or Subsidiary of the Borrower or any Guarantor.</w:t>
      </w:r>
    </w:p>
    <w:p>
      <w:pPr>
        <w:spacing w:after="0" w:line="146" w:lineRule="exact"/>
        <w:rPr>
          <w:rFonts w:ascii="Times New Roman" w:cs="Times New Roman" w:eastAsia="Times New Roman" w:hAnsi="Times New Roman"/>
          <w:sz w:val="17"/>
          <w:szCs w:val="17"/>
          <w:color w:val="auto"/>
        </w:rPr>
      </w:pPr>
    </w:p>
    <w:p>
      <w:pPr>
        <w:ind w:left="2500" w:hanging="617"/>
        <w:spacing w:after="0"/>
        <w:tabs>
          <w:tab w:leader="none" w:pos="25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Assignment to Natural Persons.</w:t>
      </w:r>
      <w:r>
        <w:rPr>
          <w:rFonts w:ascii="Times New Roman" w:cs="Times New Roman" w:eastAsia="Times New Roman" w:hAnsi="Times New Roman"/>
          <w:sz w:val="17"/>
          <w:szCs w:val="17"/>
          <w:color w:val="auto"/>
        </w:rPr>
        <w:t xml:space="preserve"> No such assignment shall be made to a natural person.</w:t>
      </w:r>
    </w:p>
    <w:p>
      <w:pPr>
        <w:spacing w:after="0" w:line="219" w:lineRule="exact"/>
        <w:rPr>
          <w:rFonts w:ascii="Times New Roman" w:cs="Times New Roman" w:eastAsia="Times New Roman" w:hAnsi="Times New Roman"/>
          <w:sz w:val="17"/>
          <w:szCs w:val="17"/>
          <w:color w:val="auto"/>
        </w:rPr>
      </w:pPr>
    </w:p>
    <w:p>
      <w:pPr>
        <w:ind w:left="2500" w:hanging="617"/>
        <w:spacing w:after="0"/>
        <w:tabs>
          <w:tab w:leader="none" w:pos="25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Assignment to Defaulting Lender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 such assignment shall be made to a Defaulting Lender.</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Subject to acceptance and recording thereof by the Administrative Agent pursuant to Section 12.12(b) hereof, from and after the effective date specified in each Assignment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55" w:name="page156"/>
    <w:bookmarkEnd w:id="155"/>
    <w:p>
      <w:pPr>
        <w:jc w:val="both"/>
        <w:spacing w:after="0" w:line="261" w:lineRule="auto"/>
        <w:rPr>
          <w:sz w:val="20"/>
          <w:szCs w:val="20"/>
          <w:color w:val="auto"/>
        </w:rPr>
      </w:pPr>
      <w:r>
        <w:rPr>
          <w:rFonts w:ascii="Times New Roman" w:cs="Times New Roman" w:eastAsia="Times New Roman" w:hAnsi="Times New Roman"/>
          <w:sz w:val="17"/>
          <w:szCs w:val="17"/>
          <w:color w:val="auto"/>
        </w:rPr>
        <w:t>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12.11 hereof.</w:t>
      </w:r>
    </w:p>
    <w:p>
      <w:pPr>
        <w:spacing w:after="0" w:line="177" w:lineRule="exact"/>
        <w:rPr>
          <w:sz w:val="20"/>
          <w:szCs w:val="20"/>
          <w:color w:val="auto"/>
        </w:rPr>
      </w:pPr>
    </w:p>
    <w:p>
      <w:pPr>
        <w:jc w:val="both"/>
        <w:ind w:firstLine="1257"/>
        <w:spacing w:after="0" w:line="258" w:lineRule="auto"/>
        <w:tabs>
          <w:tab w:leader="none" w:pos="187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xml:space="preserve">. The Administrative Agent, acting solely for this purpose as an agent of the Borrower, shall maintain at one of its offices in New York, New York, a copy of each Assignment and Acceptance delivered to it and a register for the recordation of the names and addresses of the Lenders, and the Commitments of, and principal amounts of the Loans owing to, each Lender pursuant to the terms hereof from time to time (the </w:t>
      </w:r>
      <w:r>
        <w:rPr>
          <w:rFonts w:ascii="Times New Roman" w:cs="Times New Roman" w:eastAsia="Times New Roman" w:hAnsi="Times New Roman"/>
          <w:sz w:val="17"/>
          <w:szCs w:val="17"/>
          <w:i w:val="1"/>
          <w:iCs w:val="1"/>
          <w:color w:val="auto"/>
        </w:rPr>
        <w:t>“Register”</w:t>
      </w:r>
      <w:r>
        <w:rPr>
          <w:rFonts w:ascii="Times New Roman" w:cs="Times New Roman" w:eastAsia="Times New Roman" w:hAnsi="Times New Roman"/>
          <w:sz w:val="17"/>
          <w:szCs w:val="17"/>
          <w:color w:val="auto"/>
        </w:rPr>
        <w:t xml:space="preserve">).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shall, acting solely for this purpose as an agent of the Borrower, maintain a register on which it enters the name and address of each participant and the principal amounts (and stated interest) of each participant's interest in the Loans made and Commitments or other obligations under this Agreement (the </w:t>
      </w:r>
      <w:r>
        <w:rPr>
          <w:rFonts w:ascii="Times New Roman" w:cs="Times New Roman" w:eastAsia="Times New Roman" w:hAnsi="Times New Roman"/>
          <w:sz w:val="17"/>
          <w:szCs w:val="17"/>
          <w:i w:val="1"/>
          <w:iCs w:val="1"/>
          <w:color w:val="auto"/>
        </w:rPr>
        <w:t>“Participant Register”</w:t>
      </w:r>
      <w:r>
        <w:rPr>
          <w:rFonts w:ascii="Times New Roman" w:cs="Times New Roman" w:eastAsia="Times New Roman" w:hAnsi="Times New Roman"/>
          <w:sz w:val="17"/>
          <w:szCs w:val="17"/>
          <w:color w:val="auto"/>
        </w:rPr>
        <w:t>); provided that no Lender shall have any obligation to disclose all or any portion of the Participant Register to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 (including the identity of any participant or any information relating to a participant's interest in any Loans made and/or Commitments or other obligations under this Agreement) except to the extent that such disclosure is necessary to establish that such Obligation or Commitment is in registered form under Section 5f.103-1(c) of the Treasury Regulations or is otherwise required by this Agreement. The entries in the Participant Register shall be conclusive absent manifest error and such Lender shall treat which person whose name is recorded in the Participant Register as the owner of such participation for all purposes of this Agreement notwithstanding any notice to the contrary.</w:t>
      </w:r>
    </w:p>
    <w:p>
      <w:pPr>
        <w:spacing w:after="0" w:line="185" w:lineRule="exact"/>
        <w:rPr>
          <w:rFonts w:ascii="Times New Roman" w:cs="Times New Roman" w:eastAsia="Times New Roman" w:hAnsi="Times New Roman"/>
          <w:sz w:val="17"/>
          <w:szCs w:val="17"/>
          <w:color w:val="auto"/>
        </w:rPr>
      </w:pPr>
    </w:p>
    <w:p>
      <w:pPr>
        <w:jc w:val="both"/>
        <w:ind w:firstLine="1257"/>
        <w:spacing w:after="0" w:line="263" w:lineRule="auto"/>
        <w:tabs>
          <w:tab w:leader="none" w:pos="187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pledge or grant of a security interest shall release a Lender from any of its obligations hereunder or substitute any such pledgee or secured party for such Lender as a party hereto;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however, </w:t>
      </w:r>
      <w:r>
        <w:rPr>
          <w:rFonts w:ascii="Times New Roman" w:cs="Times New Roman" w:eastAsia="Times New Roman" w:hAnsi="Times New Roman"/>
          <w:sz w:val="17"/>
          <w:szCs w:val="17"/>
          <w:color w:val="auto"/>
        </w:rPr>
        <w:t>the right of any such pledgee or grantee (other than any Federal Reserve Bank) to further transfer all or any portion of the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pledged or granted to it, whether by means of foreclosure or otherwise, shall be at all times subject to the terms of this Agreement.</w:t>
      </w:r>
    </w:p>
    <w:p>
      <w:pPr>
        <w:spacing w:after="0" w:line="175" w:lineRule="exact"/>
        <w:rPr>
          <w:sz w:val="20"/>
          <w:szCs w:val="20"/>
          <w:color w:val="auto"/>
        </w:rPr>
      </w:pPr>
    </w:p>
    <w:p>
      <w:pPr>
        <w:ind w:firstLine="626"/>
        <w:spacing w:after="0" w:line="294" w:lineRule="auto"/>
        <w:rPr>
          <w:sz w:val="20"/>
          <w:szCs w:val="20"/>
          <w:color w:val="auto"/>
        </w:rPr>
      </w:pPr>
      <w:r>
        <w:rPr>
          <w:rFonts w:ascii="Times New Roman" w:cs="Times New Roman" w:eastAsia="Times New Roman" w:hAnsi="Times New Roman"/>
          <w:sz w:val="17"/>
          <w:szCs w:val="17"/>
          <w:color w:val="auto"/>
        </w:rPr>
        <w:t xml:space="preserve">Section 12.13.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Any provision of this Agreement or the other Loan Documents may be amended or waived if, but only if, such amendment or waiver is in writing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56" w:name="page157"/>
    <w:bookmarkEnd w:id="156"/>
    <w:p>
      <w:pPr>
        <w:spacing w:after="0" w:line="294" w:lineRule="auto"/>
        <w:rPr>
          <w:sz w:val="20"/>
          <w:szCs w:val="20"/>
          <w:color w:val="auto"/>
        </w:rPr>
      </w:pPr>
      <w:r>
        <w:rPr>
          <w:rFonts w:ascii="Times New Roman" w:cs="Times New Roman" w:eastAsia="Times New Roman" w:hAnsi="Times New Roman"/>
          <w:sz w:val="17"/>
          <w:szCs w:val="17"/>
          <w:color w:val="auto"/>
        </w:rPr>
        <w:t>and is signed by (a) the Borrower, and (b) the Required Lenders (or Administrative Agent acting at the direction of the Required Lenders); provided that:</w:t>
      </w:r>
    </w:p>
    <w:p>
      <w:pPr>
        <w:spacing w:after="0" w:line="147" w:lineRule="exact"/>
        <w:rPr>
          <w:sz w:val="20"/>
          <w:szCs w:val="20"/>
          <w:color w:val="auto"/>
        </w:rPr>
      </w:pPr>
    </w:p>
    <w:p>
      <w:pPr>
        <w:jc w:val="both"/>
        <w:ind w:left="640" w:firstLine="1243"/>
        <w:spacing w:after="0" w:line="265" w:lineRule="auto"/>
        <w:tabs>
          <w:tab w:leader="none" w:pos="2517"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amendment or waiver pursuant to this Section 12.13 shall (A) increase any Commitment of any Lender without the consent of such Lender or (B) reduce the amount of or postpone the date for any payment (including any mandatory prepayment) of any principal of or interest on any Loan or of any fee payable hereunder (including by way of a waiver of a Default or Event of Default under Section 9.1(a)) without the consent of the Lender to which such payment is owing or which has committed to make such Loan hereunder;</w:t>
      </w:r>
    </w:p>
    <w:p>
      <w:pPr>
        <w:spacing w:after="0" w:line="172" w:lineRule="exact"/>
        <w:rPr>
          <w:rFonts w:ascii="Times New Roman" w:cs="Times New Roman" w:eastAsia="Times New Roman" w:hAnsi="Times New Roman"/>
          <w:sz w:val="17"/>
          <w:szCs w:val="17"/>
          <w:color w:val="auto"/>
        </w:rPr>
      </w:pPr>
    </w:p>
    <w:p>
      <w:pPr>
        <w:jc w:val="both"/>
        <w:ind w:left="640" w:firstLine="1243"/>
        <w:spacing w:after="0" w:line="262" w:lineRule="auto"/>
        <w:tabs>
          <w:tab w:leader="none" w:pos="2517"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amendment or waiver pursuant to this Section 12.13 shall, unless signed by each Lender, extend the Maturity Date, change the definitions of Required Lenders, </w:t>
      </w:r>
      <w:r>
        <w:rPr>
          <w:rFonts w:ascii="Times New Roman" w:cs="Times New Roman" w:eastAsia="Times New Roman" w:hAnsi="Times New Roman"/>
          <w:sz w:val="17"/>
          <w:szCs w:val="17"/>
          <w:color w:val="FF0000"/>
          <w:strike w:val="1"/>
        </w:rPr>
        <w:t>Borrowing Base, Borrowing Base</w:t>
      </w:r>
      <w:r>
        <w:rPr>
          <w:rFonts w:ascii="Times New Roman" w:cs="Times New Roman" w:eastAsia="Times New Roman" w:hAnsi="Times New Roman"/>
          <w:sz w:val="17"/>
          <w:szCs w:val="17"/>
          <w:u w:val="single" w:color="auto"/>
          <w:color w:val="4472C4"/>
        </w:rPr>
        <w:t>Unencumbered Pool</w:t>
      </w:r>
      <w:r>
        <w:rPr>
          <w:rFonts w:ascii="Times New Roman" w:cs="Times New Roman" w:eastAsia="Times New Roman" w:hAnsi="Times New Roman"/>
          <w:sz w:val="17"/>
          <w:szCs w:val="17"/>
          <w:color w:val="auto"/>
        </w:rPr>
        <w:t xml:space="preserve"> NOI, </w:t>
      </w:r>
      <w:r>
        <w:rPr>
          <w:rFonts w:ascii="Times New Roman" w:cs="Times New Roman" w:eastAsia="Times New Roman" w:hAnsi="Times New Roman"/>
          <w:sz w:val="17"/>
          <w:szCs w:val="17"/>
          <w:color w:val="FF0000"/>
          <w:strike w:val="1"/>
        </w:rPr>
        <w:t>Borrowing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Base</w:t>
      </w:r>
      <w:r>
        <w:rPr>
          <w:rFonts w:ascii="Times New Roman" w:cs="Times New Roman" w:eastAsia="Times New Roman" w:hAnsi="Times New Roman"/>
          <w:sz w:val="17"/>
          <w:szCs w:val="17"/>
          <w:u w:val="single" w:color="auto"/>
          <w:color w:val="4472C4"/>
        </w:rPr>
        <w:t>Unencumbered Pool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Requirements,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Unencumbered Asset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Value or Adjusted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Borrowing Base</w:t>
      </w:r>
      <w:r>
        <w:rPr>
          <w:rFonts w:ascii="Times New Roman" w:cs="Times New Roman" w:eastAsia="Times New Roman" w:hAnsi="Times New Roman"/>
          <w:sz w:val="17"/>
          <w:szCs w:val="17"/>
          <w:u w:val="single" w:color="auto"/>
          <w:color w:val="4472C4"/>
        </w:rPr>
        <w:t>Availability</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change the provisions of Section 8.21, change the provisions of this Section 12.13, affect the number of Lenders required to take any action hereunder or under any other Loan Document, change the pro rata application of payments or order of application of payments and collections set forth in Section 3.1 or Section 12.7 of this Agreement or release any Guarantor (except as expressly contemplated in this Agreement); and</w:t>
      </w:r>
    </w:p>
    <w:p>
      <w:pPr>
        <w:spacing w:after="0" w:line="175" w:lineRule="exact"/>
        <w:rPr>
          <w:rFonts w:ascii="Times New Roman" w:cs="Times New Roman" w:eastAsia="Times New Roman" w:hAnsi="Times New Roman"/>
          <w:sz w:val="17"/>
          <w:szCs w:val="17"/>
          <w:color w:val="auto"/>
        </w:rPr>
      </w:pPr>
    </w:p>
    <w:p>
      <w:pPr>
        <w:ind w:left="2500" w:hanging="617"/>
        <w:spacing w:after="0"/>
        <w:tabs>
          <w:tab w:leader="none" w:pos="25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amendment to Section 13 hereof shall be made without the consent of the Guarantors affected thereby.</w:t>
      </w:r>
    </w:p>
    <w:p>
      <w:pPr>
        <w:spacing w:after="0" w:line="220" w:lineRule="exact"/>
        <w:rPr>
          <w:sz w:val="20"/>
          <w:szCs w:val="20"/>
          <w:color w:val="auto"/>
        </w:rPr>
      </w:pPr>
    </w:p>
    <w:p>
      <w:pPr>
        <w:ind w:firstLine="626"/>
        <w:spacing w:after="0" w:line="297" w:lineRule="auto"/>
        <w:rPr>
          <w:sz w:val="20"/>
          <w:szCs w:val="20"/>
          <w:color w:val="auto"/>
        </w:rPr>
      </w:pPr>
      <w:r>
        <w:rPr>
          <w:rFonts w:ascii="Times New Roman" w:cs="Times New Roman" w:eastAsia="Times New Roman" w:hAnsi="Times New Roman"/>
          <w:sz w:val="17"/>
          <w:szCs w:val="17"/>
          <w:color w:val="auto"/>
        </w:rPr>
        <w:t xml:space="preserve">Section 12.14.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Section headings used in this Agreement are for reference only and shall not affect the construction of this Agreement.</w:t>
      </w:r>
    </w:p>
    <w:p>
      <w:pPr>
        <w:spacing w:after="0" w:line="144"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12.15.</w:t>
      </w:r>
      <w:r>
        <w:rPr>
          <w:sz w:val="20"/>
          <w:szCs w:val="20"/>
          <w:color w:val="auto"/>
        </w:rPr>
        <w:tab/>
      </w:r>
      <w:r>
        <w:rPr>
          <w:rFonts w:ascii="Times New Roman" w:cs="Times New Roman" w:eastAsia="Times New Roman" w:hAnsi="Times New Roman"/>
          <w:sz w:val="17"/>
          <w:szCs w:val="17"/>
          <w:u w:val="single" w:color="auto"/>
          <w:color w:val="auto"/>
        </w:rPr>
        <w:t>Costs and Expenses; Indemnification</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firstLine="1257"/>
        <w:spacing w:after="0" w:line="259" w:lineRule="auto"/>
        <w:tabs>
          <w:tab w:leader="none" w:pos="187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agrees to pay all reasonable costs and expenses of the Administrative Agent in connection with the preparation, negotiation, syndication, and administration of the Loan Documents, including, without limitation, the reasonable fees and disbursements of counsel to the Administrative Agent, in connection with the preparation and execution of the Loan Documents, and any amendment, waiver or consent related thereto, whether or not the transactions contemplated herein are consummated. The Borrower agrees to pay to the Administrative Agent and each Lender all costs and expenses reasonably incurred or paid by the Administrative Agent,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 a debtor thereunder). The Borrower further agrees to indemnify the Administrative Agent, each Lender, and any security trustee therefor, and their respective directors, officers, employees, agents, financial advisors, and consultants (each such Person being called an </w:t>
      </w:r>
      <w:r>
        <w:rPr>
          <w:rFonts w:ascii="Times New Roman" w:cs="Times New Roman" w:eastAsia="Times New Roman" w:hAnsi="Times New Roman"/>
          <w:sz w:val="17"/>
          <w:szCs w:val="17"/>
          <w:i w:val="1"/>
          <w:iCs w:val="1"/>
          <w:color w:val="auto"/>
        </w:rPr>
        <w:t>“Indemnitee”</w:t>
      </w:r>
      <w:r>
        <w:rPr>
          <w:rFonts w:ascii="Times New Roman" w:cs="Times New Roman" w:eastAsia="Times New Roman" w:hAnsi="Times New Roman"/>
          <w:sz w:val="17"/>
          <w:szCs w:val="17"/>
          <w:color w:val="auto"/>
        </w:rPr>
        <w:t>) against all losses, claims, damages, penalties, judgments, liabilities and expenses (including, without limitation, all reasonable fees and disbursements of counsel for any such Indemnitee and all reasonable expenses of litigation or preparation therefor,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57" w:name="page158"/>
    <w:bookmarkEnd w:id="157"/>
    <w:p>
      <w:pPr>
        <w:jc w:val="both"/>
        <w:spacing w:after="0" w:line="259" w:lineRule="auto"/>
        <w:rPr>
          <w:sz w:val="20"/>
          <w:szCs w:val="20"/>
          <w:color w:val="auto"/>
        </w:rPr>
      </w:pPr>
      <w:r>
        <w:rPr>
          <w:rFonts w:ascii="Times New Roman" w:cs="Times New Roman" w:eastAsia="Times New Roman" w:hAnsi="Times New Roman"/>
          <w:sz w:val="17"/>
          <w:szCs w:val="17"/>
          <w:color w:val="auto"/>
        </w:rPr>
        <w:t>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Loan, other than those which arise from the gross negligence or willful misconduct of the party claiming indemnification. The Borrower, upon demand by the Administrative Agent, or a Lender at any time, shall reimburse the Administrative Agent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the use of the proceeds thereof. The obligations of the parties under this Section 12.15 shall survive the termination of this Agreement.</w:t>
      </w:r>
    </w:p>
    <w:p>
      <w:pPr>
        <w:spacing w:after="0" w:line="181" w:lineRule="exact"/>
        <w:rPr>
          <w:sz w:val="20"/>
          <w:szCs w:val="20"/>
          <w:color w:val="auto"/>
        </w:rPr>
      </w:pPr>
    </w:p>
    <w:p>
      <w:pPr>
        <w:jc w:val="both"/>
        <w:ind w:firstLine="1257"/>
        <w:spacing w:after="0" w:line="258" w:lineRule="auto"/>
        <w:tabs>
          <w:tab w:leader="none" w:pos="187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 following: (i) any presence, release, threatened release or disposal of any hazardous or toxic substance or petroleum by the Borrower or any Subsidiary or otherwise occurring on or with respect to its Property (whether owned or leased), (ii) the operation or violation of any environmental law, whether federal, state, or local, and any regulations promulgated thereunder, by the Borrower or any Subsidiary or otherwise occurring on or with respect to its Property (whether owned or leased), (iii) any claim for personal injury or property damage in connection with the Borrower or any Subsidiary or otherwise occurring on or with respect to its Property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This indemnification 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spacing w:after="0" w:line="396" w:lineRule="exact"/>
        <w:rPr>
          <w:sz w:val="20"/>
          <w:szCs w:val="20"/>
          <w:color w:val="auto"/>
        </w:rPr>
      </w:pPr>
    </w:p>
    <w:p>
      <w:pPr>
        <w:jc w:val="both"/>
        <w:ind w:firstLine="626"/>
        <w:spacing w:after="0" w:line="265" w:lineRule="auto"/>
        <w:rPr>
          <w:sz w:val="20"/>
          <w:szCs w:val="20"/>
          <w:color w:val="auto"/>
        </w:rPr>
      </w:pPr>
      <w:r>
        <w:rPr>
          <w:rFonts w:ascii="Times New Roman" w:cs="Times New Roman" w:eastAsia="Times New Roman" w:hAnsi="Times New Roman"/>
          <w:sz w:val="17"/>
          <w:szCs w:val="17"/>
          <w:color w:val="auto"/>
        </w:rPr>
        <w:t xml:space="preserve">Section 12.16. </w:t>
      </w:r>
      <w:r>
        <w:rPr>
          <w:rFonts w:ascii="Times New Roman" w:cs="Times New Roman" w:eastAsia="Times New Roman" w:hAnsi="Times New Roman"/>
          <w:sz w:val="17"/>
          <w:szCs w:val="17"/>
          <w:u w:val="single" w:color="auto"/>
          <w:color w:val="auto"/>
        </w:rPr>
        <w:t>Set-off</w:t>
      </w:r>
      <w:r>
        <w:rPr>
          <w:rFonts w:ascii="Times New Roman" w:cs="Times New Roman" w:eastAsia="Times New Roman" w:hAnsi="Times New Roman"/>
          <w:sz w:val="17"/>
          <w:szCs w:val="17"/>
          <w:color w:val="auto"/>
        </w:rPr>
        <w:t>. In addition to any rights now or hereafter granted under the Loan Documents or applicable law and not by way of limitation of any such rights, during the continuance of any Event of Default, with the prior written consent of the Administrative Agent, each Lender, each subsequent holder of any Obligation, and each of their respective affiliates, is hereby authorized by the Borrower and each Guarantor at any time or from time to time, without notice to the Borrower or such Guarantor or to any other Person, any such notice being hereby expressly waived, to set-off and to appropriate and to apply any and all deposits (general or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58" w:name="page159"/>
    <w:bookmarkEnd w:id="158"/>
    <w:p>
      <w:pPr>
        <w:jc w:val="both"/>
        <w:spacing w:after="0" w:line="263" w:lineRule="auto"/>
        <w:rPr>
          <w:sz w:val="20"/>
          <w:szCs w:val="20"/>
          <w:color w:val="auto"/>
        </w:rPr>
      </w:pPr>
      <w:r>
        <w:rPr>
          <w:rFonts w:ascii="Times New Roman" w:cs="Times New Roman" w:eastAsia="Times New Roman" w:hAnsi="Times New Roman"/>
          <w:sz w:val="17"/>
          <w:szCs w:val="17"/>
          <w:color w:val="auto"/>
        </w:rPr>
        <w:t>special, including, but not limited to, indebtedness evidenced by certificates of deposit, whether matured or unmatured, and in whatever currency denominated, but not including trust accounts) and any other indebtedness at any time held or owing by that Lender, subsequent holder, or affiliate, to or for the credit or the account of the Borrower or such Guarantor, whether or not matured, against and on account of the Obligations then due of the Borrower or such Guarantor to that Lender, or subsequent holder under the Loan Documents, including, but not limited to, all claims of any nature or description arising out of or connected with the Loan Documents, irrespective of whether or not that Lender or subsequent holder shall have made any demand hereunder.</w:t>
      </w:r>
    </w:p>
    <w:p>
      <w:pPr>
        <w:spacing w:after="0" w:line="175"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 xml:space="preserve">Section 12.17.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The Loan Documents constitute the entire understanding of the parties thereto with respect to the subject matter thereof and any prior agreements, whether written or oral, with respect thereto are superseded hereby.</w:t>
      </w:r>
    </w:p>
    <w:p>
      <w:pPr>
        <w:spacing w:after="0" w:line="147"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 xml:space="preserve">Section 12.18.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the other Loan Documents (except as otherwise specified therein), and the rights and duties of the parties hereto, shall be construed and determined in accordance with the internal laws of the State of New York.</w:t>
      </w:r>
    </w:p>
    <w:p>
      <w:pPr>
        <w:spacing w:after="0" w:line="145"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color w:val="auto"/>
        </w:rPr>
        <w:t xml:space="preserve">Section 12.19. </w:t>
      </w:r>
      <w:r>
        <w:rPr>
          <w:rFonts w:ascii="Times New Roman" w:cs="Times New Roman" w:eastAsia="Times New Roman" w:hAnsi="Times New Roman"/>
          <w:sz w:val="17"/>
          <w:szCs w:val="17"/>
          <w:u w:val="single" w:color="auto"/>
          <w:color w:val="auto"/>
        </w:rPr>
        <w:t>Severability of Provisions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177" w:lineRule="exact"/>
        <w:rPr>
          <w:sz w:val="20"/>
          <w:szCs w:val="20"/>
          <w:color w:val="auto"/>
        </w:rPr>
      </w:pPr>
    </w:p>
    <w:p>
      <w:pPr>
        <w:jc w:val="both"/>
        <w:ind w:firstLine="626"/>
        <w:spacing w:after="0" w:line="259" w:lineRule="auto"/>
        <w:rPr>
          <w:sz w:val="20"/>
          <w:szCs w:val="20"/>
          <w:color w:val="auto"/>
        </w:rPr>
      </w:pPr>
      <w:r>
        <w:rPr>
          <w:rFonts w:ascii="Times New Roman" w:cs="Times New Roman" w:eastAsia="Times New Roman" w:hAnsi="Times New Roman"/>
          <w:sz w:val="17"/>
          <w:szCs w:val="17"/>
          <w:color w:val="auto"/>
        </w:rPr>
        <w:t xml:space="preserve">Section 12.20. </w:t>
      </w:r>
      <w:r>
        <w:rPr>
          <w:rFonts w:ascii="Times New Roman" w:cs="Times New Roman" w:eastAsia="Times New Roman" w:hAnsi="Times New Roman"/>
          <w:sz w:val="17"/>
          <w:szCs w:val="17"/>
          <w:u w:val="single" w:color="auto"/>
          <w:color w:val="auto"/>
        </w:rPr>
        <w:t>Excess Interest</w:t>
      </w:r>
      <w:r>
        <w:rPr>
          <w:rFonts w:ascii="Times New Roman" w:cs="Times New Roman" w:eastAsia="Times New Roman" w:hAnsi="Times New Roman"/>
          <w:sz w:val="17"/>
          <w:szCs w:val="17"/>
          <w:color w:val="auto"/>
        </w:rPr>
        <w:t>. 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Times New Roman" w:cs="Times New Roman" w:eastAsia="Times New Roman" w:hAnsi="Times New Roman"/>
          <w:sz w:val="17"/>
          <w:szCs w:val="17"/>
          <w:i w:val="1"/>
          <w:iCs w:val="1"/>
          <w:color w:val="auto"/>
        </w:rPr>
        <w:t>“Excess Interest”</w:t>
      </w:r>
      <w:r>
        <w:rPr>
          <w:rFonts w:ascii="Times New Roman" w:cs="Times New Roman" w:eastAsia="Times New Roman" w:hAnsi="Times New Roman"/>
          <w:sz w:val="17"/>
          <w:szCs w:val="17"/>
          <w:color w:val="auto"/>
        </w:rPr>
        <w:t>). If any Excess Interest is provided for, or is adjudicated to be provided for, 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w:t>
      </w:r>
    </w:p>
    <w:p>
      <w:pPr>
        <w:spacing w:after="0" w:line="2" w:lineRule="exact"/>
        <w:rPr>
          <w:sz w:val="20"/>
          <w:szCs w:val="20"/>
          <w:color w:val="auto"/>
        </w:rPr>
      </w:pPr>
    </w:p>
    <w:p>
      <w:pPr>
        <w:jc w:val="both"/>
        <w:ind w:firstLine="5"/>
        <w:spacing w:after="0" w:line="259" w:lineRule="auto"/>
        <w:tabs>
          <w:tab w:leader="none" w:pos="214"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Times New Roman" w:cs="Times New Roman" w:eastAsia="Times New Roman" w:hAnsi="Times New Roman"/>
          <w:sz w:val="17"/>
          <w:szCs w:val="17"/>
          <w:i w:val="1"/>
          <w:iCs w:val="1"/>
          <w:color w:val="auto"/>
        </w:rPr>
        <w:t>“Maximum Rate”</w:t>
      </w:r>
      <w:r>
        <w:rPr>
          <w:rFonts w:ascii="Times New Roman" w:cs="Times New Roman" w:eastAsia="Times New Roman" w:hAnsi="Times New Roman"/>
          <w:sz w:val="17"/>
          <w:szCs w:val="17"/>
          <w:color w:val="auto"/>
        </w:rPr>
        <w:t>), and this Agreement and the other Loan Documents shall be deemed to have been, and shall be, reformed and modified to reflect such reduction in the relevant interest rate, and (e) neither the Borrower nor any guarantor or endorser shall have any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2"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59" w:name="page160"/>
    <w:bookmarkEnd w:id="159"/>
    <w:p>
      <w:pPr>
        <w:jc w:val="both"/>
        <w:spacing w:after="0" w:line="263" w:lineRule="auto"/>
        <w:rPr>
          <w:sz w:val="20"/>
          <w:szCs w:val="20"/>
          <w:color w:val="auto"/>
        </w:rPr>
      </w:pPr>
      <w:r>
        <w:rPr>
          <w:rFonts w:ascii="Times New Roman" w:cs="Times New Roman" w:eastAsia="Times New Roman" w:hAnsi="Times New Roman"/>
          <w:sz w:val="17"/>
          <w:szCs w:val="17"/>
          <w:color w:val="auto"/>
        </w:rPr>
        <w:t>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spacing w:after="0" w:line="175"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Section 12.21. </w:t>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The parties acknowledge and agree that the Loan 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w:t>
      </w:r>
    </w:p>
    <w:p>
      <w:pPr>
        <w:spacing w:after="0" w:line="170"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 xml:space="preserve">Section 12.22. </w:t>
      </w:r>
      <w:r>
        <w:rPr>
          <w:rFonts w:ascii="Times New Roman" w:cs="Times New Roman" w:eastAsia="Times New Roman" w:hAnsi="Times New Roman"/>
          <w:sz w:val="17"/>
          <w:szCs w:val="17"/>
          <w:u w:val="single" w:color="auto"/>
          <w:color w:val="auto"/>
        </w:rPr>
        <w:t>Lender’s Obligations Several</w:t>
      </w:r>
      <w:r>
        <w:rPr>
          <w:rFonts w:ascii="Times New Roman" w:cs="Times New Roman" w:eastAsia="Times New Roman" w:hAnsi="Times New Roman"/>
          <w:sz w:val="17"/>
          <w:szCs w:val="17"/>
          <w:color w:val="auto"/>
        </w:rPr>
        <w:t>. The obligations of the Lenders hereunder are several and not joint. Nothing contained in this Agreement and no action taken by the Lenders pursuant hereto shall be deemed to constitute the Lenders a partnership, association, joint venture or other entity.</w:t>
      </w:r>
    </w:p>
    <w:p>
      <w:pPr>
        <w:spacing w:after="0" w:line="163"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 xml:space="preserve">Section 12.23. </w:t>
      </w:r>
      <w:r>
        <w:rPr>
          <w:rFonts w:ascii="Times New Roman" w:cs="Times New Roman" w:eastAsia="Times New Roman" w:hAnsi="Times New Roman"/>
          <w:sz w:val="17"/>
          <w:szCs w:val="17"/>
          <w:u w:val="single" w:color="auto"/>
          <w:color w:val="auto"/>
        </w:rPr>
        <w:t>Submission to Jurisdiction; Waiver of Jury Trial</w:t>
      </w:r>
      <w:r>
        <w:rPr>
          <w:rFonts w:ascii="Times New Roman" w:cs="Times New Roman" w:eastAsia="Times New Roman" w:hAnsi="Times New Roman"/>
          <w:sz w:val="17"/>
          <w:szCs w:val="17"/>
          <w:color w:val="auto"/>
        </w:rPr>
        <w:t>. The Borrower and each Guarantor hereby submits to the nonexclusive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BORROWER, EACH GUARANTOR, THE ADMINISTRATIVE AGENT AND THE LENDERS HEREBY IRREVOCABLY WAIVE ANY AND ALL RIGHT TO TRIAL BY JURY IN ANY LEGAL PROCEEDING ARISING OUT OF OR RELATING TO ANY LOAN DOCUMENT OR THE TRANSACTIONS CONTEMPLATED THEREBY.</w:t>
      </w:r>
    </w:p>
    <w:p>
      <w:pPr>
        <w:spacing w:after="0" w:line="180"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Section 12.24. </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 Each Lender that is subject to the requirements of the Patriot Act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70"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 xml:space="preserve">Section 12.25.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Administrative Agent and the Lenders, severally agrees to maintain the confidentiality of the Information (as defined below), except that Information may be disclosed in compliance with applicable law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60" w:name="page161"/>
    <w:bookmarkEnd w:id="160"/>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Association of Insurance Commissioners), (c) to the extent required by applicable laws or regulations or by any subpoena or similar legal process,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practicable and permitted by applicable law, the party requested to disclose 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 (d) 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reasonably practicable, the party requested to disclose any such information will provide prompt written notice of such 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on a non-confidential basis from a source other than the Borrower or any Subsidiary or any of their directors, officers, employees or agents, including accountants, legal counsel and other advisors;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Administrative Agent, any Lender may use such Information as permitted by clause (a) above, but the Administrative Agent, any Lender shall not otherwise disclose such Information except as permitted by clauses (b) - (g), (i), (j) or (k) of this Section 12.25, (i) to rating agencies if requested or required by such agencies in connection with a rating relating to the Loans or the Commitments hereunder, (j) 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only basic information about the pricing and structure of the transaction evidenced hereby may be disclosed pursuant to this subsection (j). For purposes of this Section 12.25,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 xml:space="preserve">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on a non-confidential basis prior to disclosure by the Borrower or any of its Subsidiaries or from any other Person on behalf of the Borrower or any of the Subsidiaries. Each of the Administrative Agent, the Lenders specifically acknowledges that the common stock of Parent is traded on the New York Stock Exchange under the trading symbol “PINE.” Each of the Administrative Agent, the Lenders further expressly acknowledges that it is aware that the securities laws of the United States prohibit any person who has received from an issuer material, non-public information, including information concerning the matters that are the subject of this Agreement, from purchasing or selling securities of such issuer on the basis of material, non-public information concerning the issuer of such securities or, subject to certain limited exceptions, from communicating such information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61" w:name="page162"/>
    <w:bookmarkEnd w:id="161"/>
    <w:p>
      <w:pPr>
        <w:jc w:val="both"/>
        <w:ind w:firstLine="626"/>
        <w:spacing w:after="0" w:line="262" w:lineRule="auto"/>
        <w:rPr>
          <w:sz w:val="20"/>
          <w:szCs w:val="20"/>
          <w:color w:val="auto"/>
        </w:rPr>
      </w:pPr>
      <w:r>
        <w:rPr>
          <w:rFonts w:ascii="Times New Roman" w:cs="Times New Roman" w:eastAsia="Times New Roman" w:hAnsi="Times New Roman"/>
          <w:sz w:val="17"/>
          <w:szCs w:val="17"/>
          <w:color w:val="auto"/>
        </w:rPr>
        <w:t xml:space="preserve">Section 12.26. </w:t>
      </w:r>
      <w:r>
        <w:rPr>
          <w:rFonts w:ascii="Times New Roman" w:cs="Times New Roman" w:eastAsia="Times New Roman" w:hAnsi="Times New Roman"/>
          <w:sz w:val="17"/>
          <w:szCs w:val="17"/>
          <w:u w:val="single" w:color="auto"/>
          <w:color w:val="auto"/>
        </w:rPr>
        <w:t>Limitation of Recourse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There shall be full recourse to the Borrower and the Guarantors and all of their assets and properties for the Obligations and any other liability under 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spacing w:after="0" w:line="177" w:lineRule="exact"/>
        <w:rPr>
          <w:sz w:val="20"/>
          <w:szCs w:val="20"/>
          <w:color w:val="auto"/>
        </w:rPr>
      </w:pPr>
    </w:p>
    <w:p>
      <w:pPr>
        <w:jc w:val="both"/>
        <w:ind w:firstLine="626"/>
        <w:spacing w:after="0" w:line="272" w:lineRule="auto"/>
        <w:rPr>
          <w:sz w:val="20"/>
          <w:szCs w:val="20"/>
          <w:color w:val="auto"/>
        </w:rPr>
      </w:pPr>
      <w:r>
        <w:rPr>
          <w:rFonts w:ascii="Times New Roman" w:cs="Times New Roman" w:eastAsia="Times New Roman" w:hAnsi="Times New Roman"/>
          <w:sz w:val="17"/>
          <w:szCs w:val="17"/>
          <w:color w:val="auto"/>
        </w:rPr>
        <w:t xml:space="preserve">Section 12.27. </w:t>
      </w: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 The Borrower agrees to pay on demand, and indemnify and hold the Administrative Agent and the Lenders harmless from, any Other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376"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 xml:space="preserve">Section 12.28. </w:t>
      </w:r>
      <w:r>
        <w:rPr>
          <w:rFonts w:ascii="Times New Roman" w:cs="Times New Roman" w:eastAsia="Times New Roman" w:hAnsi="Times New Roman"/>
          <w:sz w:val="17"/>
          <w:szCs w:val="17"/>
          <w:u w:val="single" w:color="auto"/>
          <w:color w:val="auto"/>
        </w:rPr>
        <w:t>Acknowledgement and Consent to Bail-In of Affected Financial Institutions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69" w:lineRule="exact"/>
        <w:rPr>
          <w:sz w:val="20"/>
          <w:szCs w:val="20"/>
          <w:color w:val="auto"/>
        </w:rPr>
      </w:pPr>
    </w:p>
    <w:p>
      <w:pPr>
        <w:ind w:firstLine="1257"/>
        <w:spacing w:after="0" w:line="294" w:lineRule="auto"/>
        <w:tabs>
          <w:tab w:leader="none" w:pos="187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6"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any Bail-In Action on any such liability, including, if applicable:</w:t>
      </w:r>
    </w:p>
    <w:p>
      <w:pPr>
        <w:spacing w:after="0" w:line="221" w:lineRule="exact"/>
        <w:rPr>
          <w:rFonts w:ascii="Times New Roman" w:cs="Times New Roman" w:eastAsia="Times New Roman" w:hAnsi="Times New Roman"/>
          <w:sz w:val="17"/>
          <w:szCs w:val="17"/>
          <w:color w:val="auto"/>
        </w:rPr>
      </w:pPr>
    </w:p>
    <w:p>
      <w:pPr>
        <w:ind w:left="2500" w:hanging="617"/>
        <w:spacing w:after="0"/>
        <w:tabs>
          <w:tab w:leader="none" w:pos="250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full or in part or cancellation of any such liability;</w:t>
      </w:r>
    </w:p>
    <w:p>
      <w:pPr>
        <w:spacing w:after="0" w:line="221" w:lineRule="exact"/>
        <w:rPr>
          <w:rFonts w:ascii="Times New Roman" w:cs="Times New Roman" w:eastAsia="Times New Roman" w:hAnsi="Times New Roman"/>
          <w:sz w:val="17"/>
          <w:szCs w:val="17"/>
          <w:color w:val="auto"/>
        </w:rPr>
      </w:pPr>
    </w:p>
    <w:p>
      <w:pPr>
        <w:jc w:val="both"/>
        <w:ind w:left="640" w:firstLine="1243"/>
        <w:spacing w:after="0" w:line="268" w:lineRule="auto"/>
        <w:tabs>
          <w:tab w:leader="none" w:pos="2517"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9" w:lineRule="exact"/>
        <w:rPr>
          <w:rFonts w:ascii="Times New Roman" w:cs="Times New Roman" w:eastAsia="Times New Roman" w:hAnsi="Times New Roman"/>
          <w:sz w:val="17"/>
          <w:szCs w:val="17"/>
          <w:color w:val="auto"/>
        </w:rPr>
      </w:pPr>
    </w:p>
    <w:p>
      <w:pPr>
        <w:ind w:left="640" w:firstLine="1243"/>
        <w:spacing w:after="0" w:line="294" w:lineRule="auto"/>
        <w:tabs>
          <w:tab w:leader="none" w:pos="2517"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variation of the terms of such liability in connection with the exercise of the write-down and conversion powers of any Affected Resolution Authority.</w:t>
      </w:r>
    </w:p>
    <w:p>
      <w:pPr>
        <w:spacing w:after="0" w:line="145"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 xml:space="preserve">Section 12.29. </w:t>
      </w:r>
      <w:r>
        <w:rPr>
          <w:rFonts w:ascii="Times New Roman" w:cs="Times New Roman" w:eastAsia="Times New Roman" w:hAnsi="Times New Roman"/>
          <w:sz w:val="17"/>
          <w:szCs w:val="17"/>
          <w:u w:val="single" w:color="auto"/>
          <w:color w:val="auto"/>
        </w:rPr>
        <w:t>Acknowledgement Regarding Any Supported QFCs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7"/>
          <w:szCs w:val="17"/>
          <w:i w:val="1"/>
          <w:iCs w:val="1"/>
          <w:color w:val="auto"/>
        </w:rPr>
        <w:t>“QFC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Support” </w:t>
      </w:r>
      <w:r>
        <w:rPr>
          <w:rFonts w:ascii="Times New Roman" w:cs="Times New Roman" w:eastAsia="Times New Roman" w:hAnsi="Times New Roman"/>
          <w:sz w:val="17"/>
          <w:szCs w:val="17"/>
          <w:color w:val="auto"/>
        </w:rPr>
        <w:t>and each such QFC a</w:t>
      </w:r>
      <w:r>
        <w:rPr>
          <w:rFonts w:ascii="Times New Roman" w:cs="Times New Roman" w:eastAsia="Times New Roman" w:hAnsi="Times New Roman"/>
          <w:sz w:val="17"/>
          <w:szCs w:val="17"/>
          <w:i w:val="1"/>
          <w:iCs w:val="1"/>
          <w:color w:val="auto"/>
        </w:rPr>
        <w:t xml:space="preserve"> “Supported QFC”</w:t>
      </w:r>
      <w:r>
        <w:rPr>
          <w:rFonts w:ascii="Times New Roman" w:cs="Times New Roman" w:eastAsia="Times New Roman" w:hAnsi="Times New Roman"/>
          <w:sz w:val="17"/>
          <w:szCs w:val="17"/>
          <w:color w:val="auto"/>
        </w:rPr>
        <w:t>), the parties acknowledge and agree as follows with respect to the resolution power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Deposit Insurance Corporation under the Federal Deposit Insurance Act and Title II of the Dodd-Frank Wall Street Reform and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62" w:name="page163"/>
    <w:bookmarkEnd w:id="162"/>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Consumer Protection Act (together with the regulations promulgated thereunder, the </w:t>
      </w:r>
      <w:r>
        <w:rPr>
          <w:rFonts w:ascii="Times New Roman" w:cs="Times New Roman" w:eastAsia="Times New Roman" w:hAnsi="Times New Roman"/>
          <w:sz w:val="17"/>
          <w:szCs w:val="17"/>
          <w:i w:val="1"/>
          <w:iCs w:val="1"/>
          <w:color w:val="auto"/>
        </w:rPr>
        <w:t>“U.S. Special Resolution Regimes”</w:t>
      </w:r>
      <w:r>
        <w:rPr>
          <w:rFonts w:ascii="Times New Roman" w:cs="Times New Roman" w:eastAsia="Times New Roman" w:hAnsi="Times New Roman"/>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7" w:lineRule="exact"/>
        <w:rPr>
          <w:sz w:val="20"/>
          <w:szCs w:val="20"/>
          <w:color w:val="auto"/>
        </w:rPr>
      </w:pPr>
    </w:p>
    <w:p>
      <w:pPr>
        <w:jc w:val="both"/>
        <w:ind w:firstLine="1257"/>
        <w:spacing w:after="0" w:line="259" w:lineRule="auto"/>
        <w:tabs>
          <w:tab w:leader="none" w:pos="1878"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a Covered Entity that is party to a Supported QFC (each, a </w:t>
      </w:r>
      <w:r>
        <w:rPr>
          <w:rFonts w:ascii="Times New Roman" w:cs="Times New Roman" w:eastAsia="Times New Roman" w:hAnsi="Times New Roman"/>
          <w:sz w:val="17"/>
          <w:szCs w:val="17"/>
          <w:i w:val="1"/>
          <w:iCs w:val="1"/>
          <w:color w:val="auto"/>
        </w:rPr>
        <w:t>“Covered Party”</w:t>
      </w:r>
      <w:r>
        <w:rPr>
          <w:rFonts w:ascii="Times New Roman" w:cs="Times New Roman" w:eastAsia="Times New Roman" w:hAnsi="Times New Roman"/>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Section, the following terms have the following meanings: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“BHC Act Affiliate” </w:t>
      </w:r>
      <w:r>
        <w:rPr>
          <w:rFonts w:ascii="Times New Roman" w:cs="Times New Roman" w:eastAsia="Times New Roman" w:hAnsi="Times New Roman"/>
          <w:sz w:val="17"/>
          <w:szCs w:val="17"/>
          <w:color w:val="auto"/>
        </w:rPr>
        <w:t>of a party means an “affiliate” (as such term is defined under, and interpreted in accordance with, 12 U.S.C.</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1841(k)) of such party.</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“Covered Entity</w:t>
      </w:r>
      <w:r>
        <w:rPr>
          <w:rFonts w:ascii="Times New Roman" w:cs="Times New Roman" w:eastAsia="Times New Roman" w:hAnsi="Times New Roman"/>
          <w:sz w:val="17"/>
          <w:szCs w:val="17"/>
          <w:color w:val="auto"/>
        </w:rPr>
        <w:t>” means any of the following:</w:t>
      </w:r>
    </w:p>
    <w:p>
      <w:pPr>
        <w:spacing w:after="0" w:line="224" w:lineRule="exact"/>
        <w:rPr>
          <w:sz w:val="20"/>
          <w:szCs w:val="20"/>
          <w:color w:val="auto"/>
        </w:rPr>
      </w:pPr>
    </w:p>
    <w:p>
      <w:pPr>
        <w:ind w:left="2500" w:hanging="617"/>
        <w:spacing w:after="0"/>
        <w:tabs>
          <w:tab w:leader="none" w:pos="25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entity” as that term is defined in, and interpreted in accordance with, 12 C.F.R. §252.82(b);</w:t>
      </w:r>
    </w:p>
    <w:p>
      <w:pPr>
        <w:spacing w:after="0" w:line="221" w:lineRule="exact"/>
        <w:rPr>
          <w:rFonts w:ascii="Times New Roman" w:cs="Times New Roman" w:eastAsia="Times New Roman" w:hAnsi="Times New Roman"/>
          <w:sz w:val="17"/>
          <w:szCs w:val="17"/>
          <w:color w:val="auto"/>
        </w:rPr>
      </w:pPr>
    </w:p>
    <w:p>
      <w:pPr>
        <w:ind w:left="2500" w:hanging="617"/>
        <w:spacing w:after="0"/>
        <w:tabs>
          <w:tab w:leader="none" w:pos="25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bank” as that term is defined in, and interpreted in accordance with, 12 C.F.R. §47.3(b); or</w:t>
      </w:r>
    </w:p>
    <w:p>
      <w:pPr>
        <w:spacing w:after="0" w:line="221" w:lineRule="exact"/>
        <w:rPr>
          <w:rFonts w:ascii="Times New Roman" w:cs="Times New Roman" w:eastAsia="Times New Roman" w:hAnsi="Times New Roman"/>
          <w:sz w:val="17"/>
          <w:szCs w:val="17"/>
          <w:color w:val="auto"/>
        </w:rPr>
      </w:pPr>
    </w:p>
    <w:p>
      <w:pPr>
        <w:ind w:left="2500" w:hanging="617"/>
        <w:spacing w:after="0"/>
        <w:tabs>
          <w:tab w:leader="none" w:pos="25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FSI” as that term is defined in, and interpreted in accordance with, 12 C.F.R. §382.2(b).</w:t>
      </w:r>
    </w:p>
    <w:p>
      <w:pPr>
        <w:spacing w:after="0" w:line="220" w:lineRule="exact"/>
        <w:rPr>
          <w:sz w:val="20"/>
          <w:szCs w:val="20"/>
          <w:color w:val="auto"/>
        </w:rPr>
      </w:pPr>
    </w:p>
    <w:p>
      <w:pPr>
        <w:ind w:left="640"/>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“Default Rights” </w:t>
      </w:r>
      <w:r>
        <w:rPr>
          <w:rFonts w:ascii="Times New Roman" w:cs="Times New Roman" w:eastAsia="Times New Roman" w:hAnsi="Times New Roman"/>
          <w:sz w:val="17"/>
          <w:szCs w:val="17"/>
          <w:color w:val="auto"/>
        </w:rPr>
        <w:t>has the meaning assigned to that term in, and shall be interpreted in accordance with, 12 C.F.R. §§252.81, 47.2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382.1, as applicable.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“QFC” </w:t>
      </w:r>
      <w:r>
        <w:rPr>
          <w:rFonts w:ascii="Times New Roman" w:cs="Times New Roman" w:eastAsia="Times New Roman" w:hAnsi="Times New Roman"/>
          <w:sz w:val="17"/>
          <w:szCs w:val="17"/>
          <w:color w:val="auto"/>
        </w:rPr>
        <w:t>has the meaning assigned to the term “qualified financial contract” in, and shall be interpreted in accordance with, 12 U.S.C.</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5390(c)(8)(D).</w:t>
      </w:r>
    </w:p>
    <w:p>
      <w:pPr>
        <w:spacing w:after="0" w:line="204"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12.30.</w:t>
      </w:r>
      <w:r>
        <w:rPr>
          <w:sz w:val="20"/>
          <w:szCs w:val="20"/>
          <w:color w:val="auto"/>
        </w:rPr>
        <w:tab/>
      </w:r>
      <w:r>
        <w:rPr>
          <w:rFonts w:ascii="Times New Roman" w:cs="Times New Roman" w:eastAsia="Times New Roman" w:hAnsi="Times New Roman"/>
          <w:sz w:val="17"/>
          <w:szCs w:val="17"/>
          <w:u w:val="single" w:color="auto"/>
          <w:color w:val="auto"/>
        </w:rPr>
        <w:t>Erroneous Payment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63" w:name="page164"/>
    <w:bookmarkEnd w:id="163"/>
    <w:p>
      <w:pPr>
        <w:jc w:val="both"/>
        <w:ind w:left="-460" w:firstLine="1257"/>
        <w:spacing w:after="0" w:line="258" w:lineRule="auto"/>
        <w:tabs>
          <w:tab w:leader="none" w:pos="1418"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Administrative Agent notifies a Lender or Secured Party, or any Person who has received funds on behalf of a Lender or Secured Party (any such Lender, Secured Party or other recipient, a “</w:t>
      </w:r>
      <w:r>
        <w:rPr>
          <w:rFonts w:ascii="Times New Roman" w:cs="Times New Roman" w:eastAsia="Times New Roman" w:hAnsi="Times New Roman"/>
          <w:sz w:val="17"/>
          <w:szCs w:val="17"/>
          <w:i w:val="1"/>
          <w:iCs w:val="1"/>
          <w:color w:val="auto"/>
        </w:rPr>
        <w:t>Payment Recipient</w:t>
      </w:r>
      <w:r>
        <w:rPr>
          <w:rFonts w:ascii="Times New Roman" w:cs="Times New Roman" w:eastAsia="Times New Roman" w:hAnsi="Times New Roman"/>
          <w:sz w:val="17"/>
          <w:szCs w:val="17"/>
          <w:color w:val="auto"/>
        </w:rPr>
        <w:t>”) that Administrative Agent has determined in its sole discretion (whether or not after receipt of any notice under Section 12.30(b)) that any funds received by such Payment Recipient from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7"/>
          <w:szCs w:val="17"/>
          <w:i w:val="1"/>
          <w:iCs w:val="1"/>
          <w:color w:val="auto"/>
        </w:rPr>
        <w:t>Erroneous Payment</w:t>
      </w:r>
      <w:r>
        <w:rPr>
          <w:rFonts w:ascii="Times New Roman" w:cs="Times New Roman" w:eastAsia="Times New Roman" w:hAnsi="Times New Roman"/>
          <w:sz w:val="17"/>
          <w:szCs w:val="17"/>
          <w:color w:val="auto"/>
        </w:rPr>
        <w:t>”) and demands the return of such Erroneous Payment (or a portion thereof), such Erroneous Payment shall at all times remain the property of Administrative Agent and shall be segregated by the Payment Recipient and held in trust for the benefit of Administrative Agent, and such Lender or Secured Party shall (or, with respect to any Payment Recipient who received such funds on its behalf, shall cause such Payment Recipient to) promptly, but in no event later than two (2) Business Days thereafter, return to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Administrative Agent in same day funds at the greater of the Federal Funds Effective Rate and a rate determined by Administrative Agent in accordance with banking industry rules on interbank compensation from time to time in effect. A notice of Administrative Agent to any Payment Recipient under this Section 12.30(a) shall be conclusive, absent manifest error.</w:t>
      </w:r>
    </w:p>
    <w:p>
      <w:pPr>
        <w:spacing w:after="0" w:line="394" w:lineRule="exact"/>
        <w:rPr>
          <w:rFonts w:ascii="Times New Roman" w:cs="Times New Roman" w:eastAsia="Times New Roman" w:hAnsi="Times New Roman"/>
          <w:sz w:val="17"/>
          <w:szCs w:val="17"/>
          <w:color w:val="auto"/>
        </w:rPr>
      </w:pPr>
    </w:p>
    <w:p>
      <w:pPr>
        <w:jc w:val="both"/>
        <w:ind w:left="-460" w:firstLine="1257"/>
        <w:spacing w:after="0" w:line="262" w:lineRule="auto"/>
        <w:tabs>
          <w:tab w:leader="none" w:pos="1418"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provisions of Section 12.30(a), each Payment Recipient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spacing w:after="0" w:line="175" w:lineRule="exact"/>
        <w:rPr>
          <w:sz w:val="20"/>
          <w:szCs w:val="20"/>
          <w:color w:val="auto"/>
        </w:rPr>
      </w:pPr>
    </w:p>
    <w:p>
      <w:pPr>
        <w:jc w:val="both"/>
        <w:ind w:left="-460" w:firstLine="1257"/>
        <w:spacing w:after="0" w:line="275" w:lineRule="auto"/>
        <w:tabs>
          <w:tab w:leader="none" w:pos="1418"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immediately preceding clauses (x) or (y), an error shall be presumed to have been made (absent written confirmation from Administrative Agent to the contrary) or (B) in the case of immediately preceding clause (z), an error has been made, in each case, with respect to such payment, prepayment or repayment; and</w:t>
      </w:r>
    </w:p>
    <w:p>
      <w:pPr>
        <w:spacing w:after="0" w:line="162" w:lineRule="exact"/>
        <w:rPr>
          <w:rFonts w:ascii="Times New Roman" w:cs="Times New Roman" w:eastAsia="Times New Roman" w:hAnsi="Times New Roman"/>
          <w:sz w:val="17"/>
          <w:szCs w:val="17"/>
          <w:color w:val="auto"/>
        </w:rPr>
      </w:pPr>
    </w:p>
    <w:p>
      <w:pPr>
        <w:jc w:val="both"/>
        <w:ind w:left="-460" w:firstLine="1257"/>
        <w:spacing w:after="0" w:line="268" w:lineRule="auto"/>
        <w:tabs>
          <w:tab w:leader="none" w:pos="1418"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or Secured Party shall (and shall cause any other recipient that receives funds on its respective behalf to) promptly (and, in all events, within one Business Day of its knowledge of such error) notify Administrative Agent of its receipt of such payment, prepayment or repayment, the details thereof (in reasonable detail) and that it is so notifying Administrative Agent pursuant to this Section 12.30(b).</w:t>
      </w:r>
    </w:p>
    <w:p>
      <w:pPr>
        <w:spacing w:after="0" w:line="170" w:lineRule="exact"/>
        <w:rPr>
          <w:sz w:val="20"/>
          <w:szCs w:val="20"/>
          <w:color w:val="auto"/>
        </w:rPr>
      </w:pPr>
    </w:p>
    <w:p>
      <w:pPr>
        <w:ind w:left="1420" w:hanging="623"/>
        <w:spacing w:after="0"/>
        <w:tabs>
          <w:tab w:leader="none" w:pos="142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or Secured Party hereby authorizes Administrative Agent to set off, net and apply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7" w:lineRule="exact"/>
        <w:rPr>
          <w:rFonts w:ascii="Times New Roman" w:cs="Times New Roman" w:eastAsia="Times New Roman" w:hAnsi="Times New Roman"/>
          <w:sz w:val="17"/>
          <w:szCs w:val="17"/>
          <w:color w:val="auto"/>
        </w:rPr>
      </w:pPr>
    </w:p>
    <w:p>
      <w:pPr>
        <w:ind w:left="4420" w:hanging="104"/>
        <w:spacing w:after="0"/>
        <w:tabs>
          <w:tab w:leader="none" w:pos="44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60"/>
          </w:cols>
          <w:pgMar w:left="1440" w:top="852" w:right="999" w:bottom="1440" w:gutter="0" w:footer="0" w:header="0"/>
        </w:sectPr>
      </w:pPr>
    </w:p>
    <w:bookmarkStart w:id="164" w:name="page165"/>
    <w:bookmarkEnd w:id="164"/>
    <w:p>
      <w:pPr>
        <w:jc w:val="both"/>
        <w:spacing w:after="0" w:line="275" w:lineRule="auto"/>
        <w:rPr>
          <w:sz w:val="20"/>
          <w:szCs w:val="20"/>
          <w:color w:val="auto"/>
        </w:rPr>
      </w:pPr>
      <w:r>
        <w:rPr>
          <w:rFonts w:ascii="Times New Roman" w:cs="Times New Roman" w:eastAsia="Times New Roman" w:hAnsi="Times New Roman"/>
          <w:sz w:val="17"/>
          <w:szCs w:val="17"/>
          <w:color w:val="auto"/>
        </w:rPr>
        <w:t>any and all amounts at any time owing to such Lender or Secured Party under any Loan Document, or otherwise payable or distributable by Administrative Agent to such Lender or Secured Party from any source, against any amount due to Administrative Agent under Section 12.30(a) or under the indemnification provisions of this Agreement.</w:t>
      </w:r>
    </w:p>
    <w:p>
      <w:pPr>
        <w:spacing w:after="0" w:line="163" w:lineRule="exact"/>
        <w:rPr>
          <w:sz w:val="20"/>
          <w:szCs w:val="20"/>
          <w:color w:val="auto"/>
        </w:rPr>
      </w:pPr>
    </w:p>
    <w:p>
      <w:pPr>
        <w:jc w:val="both"/>
        <w:ind w:firstLine="1257"/>
        <w:spacing w:after="0" w:line="257" w:lineRule="auto"/>
        <w:tabs>
          <w:tab w:leader="none" w:pos="1878"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 Erroneous Payment (or portion thereof) is not recovered by Administrative Agent for any reason, after demand therefor by Administrative Agent in accordance with Section 12.30(a),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7"/>
          <w:szCs w:val="17"/>
          <w:i w:val="1"/>
          <w:iCs w:val="1"/>
          <w:color w:val="auto"/>
        </w:rPr>
        <w:t>Erroneous Payment Return Deficiency</w:t>
      </w:r>
      <w:r>
        <w:rPr>
          <w:rFonts w:ascii="Times New Roman" w:cs="Times New Roman" w:eastAsia="Times New Roman" w:hAnsi="Times New Roman"/>
          <w:sz w:val="17"/>
          <w:szCs w:val="17"/>
          <w:color w:val="auto"/>
        </w:rPr>
        <w:t>”), upon Administrative Agent’s notice to such Lender at any time, (i) such Lender shall be deemed to have assigned its Loans (but not its Commitments) of the relevant Class with respect to which such Erroneous Payment was made (the “</w:t>
      </w:r>
      <w:r>
        <w:rPr>
          <w:rFonts w:ascii="Times New Roman" w:cs="Times New Roman" w:eastAsia="Times New Roman" w:hAnsi="Times New Roman"/>
          <w:sz w:val="17"/>
          <w:szCs w:val="17"/>
          <w:i w:val="1"/>
          <w:iCs w:val="1"/>
          <w:color w:val="auto"/>
        </w:rPr>
        <w:t>Erroneous Payment Impacted Class</w:t>
      </w:r>
      <w:r>
        <w:rPr>
          <w:rFonts w:ascii="Times New Roman" w:cs="Times New Roman" w:eastAsia="Times New Roman" w:hAnsi="Times New Roman"/>
          <w:sz w:val="17"/>
          <w:szCs w:val="17"/>
          <w:color w:val="auto"/>
        </w:rPr>
        <w:t>”) in an amount equal to the Erroneous Payment Return Deficiency (or such lesser amount as Administrative Agent may specify) (such assignment of the Loans (but not Commitments) of the Erroneous Payment Impacted Class, the “</w:t>
      </w:r>
      <w:r>
        <w:rPr>
          <w:rFonts w:ascii="Times New Roman" w:cs="Times New Roman" w:eastAsia="Times New Roman" w:hAnsi="Times New Roman"/>
          <w:sz w:val="17"/>
          <w:szCs w:val="17"/>
          <w:i w:val="1"/>
          <w:iCs w:val="1"/>
          <w:color w:val="auto"/>
        </w:rPr>
        <w:t>Erroneous Payment Deficiency Assignment</w:t>
      </w:r>
      <w:r>
        <w:rPr>
          <w:rFonts w:ascii="Times New Roman" w:cs="Times New Roman" w:eastAsia="Times New Roman" w:hAnsi="Times New Roman"/>
          <w:sz w:val="17"/>
          <w:szCs w:val="17"/>
          <w:color w:val="auto"/>
        </w:rPr>
        <w:t>”) at par plus any accrued and unpaid interest (with the assignment fee to be waived by Administrative Agent in such instance), and is hereby (together with Borrower) deemed to execute and deliver an Assignment and Acceptance with respect to such Erroneous Payment Deficiency Assignment, and such Lender shall deliver any Notes evidencing such Loans to Borrower Representative or Administrative Agent, (ii) Administrative Agent as the assignee Lender shall be deemed to acquire the Erroneous Payment Deficiency Assignment, (iii)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Administrative Agent may reflect in the Register its ownership interest in the Loans subject to the Erroneous Payment Deficiency Assignment.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Administrative Agent has sold a Loan (or portion thereof) acquired pursuant to an Erroneous Payment Deficiency Assignment, and irrespective of whether Administrative Agent may be equitably subrogated, Administrative Agent shall be contractually subrogated to all the rights and interests of the applicable Lender or Secured Party under the Loan Documents with respect to each Erroneous Payment Return Deficiency (the “</w:t>
      </w:r>
      <w:r>
        <w:rPr>
          <w:rFonts w:ascii="Times New Roman" w:cs="Times New Roman" w:eastAsia="Times New Roman" w:hAnsi="Times New Roman"/>
          <w:sz w:val="17"/>
          <w:szCs w:val="17"/>
          <w:i w:val="1"/>
          <w:iCs w:val="1"/>
          <w:color w:val="auto"/>
        </w:rPr>
        <w:t>Erroneous Payment Subrogation Rights</w:t>
      </w:r>
      <w:r>
        <w:rPr>
          <w:rFonts w:ascii="Times New Roman" w:cs="Times New Roman" w:eastAsia="Times New Roman" w:hAnsi="Times New Roman"/>
          <w:sz w:val="17"/>
          <w:szCs w:val="17"/>
          <w:color w:val="auto"/>
        </w:rPr>
        <w:t>”).</w:t>
      </w:r>
    </w:p>
    <w:p>
      <w:pPr>
        <w:spacing w:after="0" w:line="399" w:lineRule="exact"/>
        <w:rPr>
          <w:rFonts w:ascii="Times New Roman" w:cs="Times New Roman" w:eastAsia="Times New Roman" w:hAnsi="Times New Roman"/>
          <w:sz w:val="17"/>
          <w:szCs w:val="17"/>
          <w:color w:val="auto"/>
        </w:rPr>
      </w:pPr>
    </w:p>
    <w:p>
      <w:pPr>
        <w:jc w:val="both"/>
        <w:ind w:firstLine="1257"/>
        <w:spacing w:after="0" w:line="268" w:lineRule="auto"/>
        <w:tabs>
          <w:tab w:leader="none" w:pos="1878"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agree that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Administrative Agent from the Borrower for the purpose of making such Erroneous Payment.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5" w:lineRule="exact"/>
        <w:rPr>
          <w:rFonts w:ascii="Times New Roman" w:cs="Times New Roman" w:eastAsia="Times New Roman" w:hAnsi="Times New Roman"/>
          <w:sz w:val="17"/>
          <w:szCs w:val="17"/>
          <w:color w:val="auto"/>
        </w:rPr>
      </w:pPr>
    </w:p>
    <w:p>
      <w:pPr>
        <w:ind w:left="4880" w:hanging="104"/>
        <w:spacing w:after="0"/>
        <w:tabs>
          <w:tab w:leader="none" w:pos="488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65" w:name="page166"/>
    <w:bookmarkEnd w:id="165"/>
    <w:p>
      <w:pPr>
        <w:jc w:val="both"/>
        <w:ind w:firstLine="1257"/>
        <w:spacing w:after="0" w:line="268" w:lineRule="auto"/>
        <w:tabs>
          <w:tab w:leader="none" w:pos="187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waiver of any defense based on “discharge for value” or any similar doctrine.</w:t>
      </w:r>
    </w:p>
    <w:p>
      <w:pPr>
        <w:spacing w:after="0" w:line="169"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party’s obligations, agreements and waivers under this Section 10.18 shall survive the resignation or replacement of Administrative Agent, any transfer of rights or obligations by, or the replacement of, a Lender, the termination of the Commitments and/or the repayment, satisfaction or discharge of all Obligations (or any portion thereof).</w:t>
      </w:r>
    </w:p>
    <w:p>
      <w:pPr>
        <w:spacing w:after="0" w:line="16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SECTION 13.</w:t>
        <w:tab/>
        <w:t>THE GUARANTEES.</w:t>
      </w:r>
    </w:p>
    <w:p>
      <w:pPr>
        <w:spacing w:after="0" w:line="222" w:lineRule="exact"/>
        <w:rPr>
          <w:sz w:val="20"/>
          <w:szCs w:val="20"/>
          <w:color w:val="auto"/>
        </w:rPr>
      </w:pPr>
    </w:p>
    <w:p>
      <w:pPr>
        <w:jc w:val="both"/>
        <w:ind w:firstLine="626"/>
        <w:spacing w:after="0" w:line="259" w:lineRule="auto"/>
        <w:rPr>
          <w:sz w:val="20"/>
          <w:szCs w:val="20"/>
          <w:color w:val="auto"/>
        </w:rPr>
      </w:pPr>
      <w:r>
        <w:rPr>
          <w:rFonts w:ascii="Times New Roman" w:cs="Times New Roman" w:eastAsia="Times New Roman" w:hAnsi="Times New Roman"/>
          <w:sz w:val="17"/>
          <w:szCs w:val="17"/>
          <w:color w:val="auto"/>
        </w:rPr>
        <w:t xml:space="preserve">Section 13.1. </w:t>
      </w:r>
      <w:r>
        <w:rPr>
          <w:rFonts w:ascii="Times New Roman" w:cs="Times New Roman" w:eastAsia="Times New Roman" w:hAnsi="Times New Roman"/>
          <w:sz w:val="17"/>
          <w:szCs w:val="17"/>
          <w:u w:val="single" w:color="auto"/>
          <w:color w:val="auto"/>
        </w:rPr>
        <w:t>The Guarantees</w:t>
      </w:r>
      <w:r>
        <w:rPr>
          <w:rFonts w:ascii="Times New Roman" w:cs="Times New Roman" w:eastAsia="Times New Roman" w:hAnsi="Times New Roman"/>
          <w:sz w:val="17"/>
          <w:szCs w:val="17"/>
          <w:color w:val="auto"/>
        </w:rPr>
        <w:t>. To induce the Lenders to provide the credits described herein and in consideration of benefits expected to accrue to the Borrower by reason of the Commitments and for other good and valuable consideration, receipt of which is hereby acknowledged, Parent and each Material Subsidiary party hereto (including any Material Subsidiary formed or acquired after the Closing Date executing an Additional Guarantor Supplement in the form attached hereto as Exhibit G or such other form acceptable to the Administrative Agent) hereby unconditionally and irrevocably guarantees jointly and severally to the Administrative Agent, the Lenders, and their Affiliates, the due and punctual payment of all present and future Obligations, including, but not limited to, the due and punctual payment of principal of and interest on the Loans, Hedging Liability, Funds Transfer and Deposit Account Liability,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178"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 xml:space="preserve">Section 13.2. </w:t>
      </w:r>
      <w:r>
        <w:rPr>
          <w:rFonts w:ascii="Times New Roman" w:cs="Times New Roman" w:eastAsia="Times New Roman" w:hAnsi="Times New Roman"/>
          <w:sz w:val="17"/>
          <w:szCs w:val="17"/>
          <w:u w:val="single" w:color="auto"/>
          <w:color w:val="auto"/>
        </w:rPr>
        <w:t>Guarantee Unconditional</w:t>
      </w:r>
      <w:r>
        <w:rPr>
          <w:rFonts w:ascii="Times New Roman" w:cs="Times New Roman" w:eastAsia="Times New Roman" w:hAnsi="Times New Roman"/>
          <w:sz w:val="17"/>
          <w:szCs w:val="17"/>
          <w:color w:val="auto"/>
        </w:rPr>
        <w:t>. The obligations of each Guarantor under this Section 13 shall be unconditional and absolute and, without limiting the generality of the foregoing, shall not be released, discharged, or otherwise affected by:</w:t>
      </w:r>
    </w:p>
    <w:p>
      <w:pPr>
        <w:spacing w:after="0" w:line="147" w:lineRule="exact"/>
        <w:rPr>
          <w:sz w:val="20"/>
          <w:szCs w:val="20"/>
          <w:color w:val="auto"/>
        </w:rPr>
      </w:pPr>
    </w:p>
    <w:p>
      <w:pPr>
        <w:ind w:firstLine="1257"/>
        <w:spacing w:after="0" w:line="294" w:lineRule="auto"/>
        <w:tabs>
          <w:tab w:leader="none" w:pos="187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extension, renewal, settlement, compromise, waiver, or release in respect of any obligation of the Borrower or other obligor or of any other guarantor under this Agreement or any other Loan Document or by operation of law or otherwise;</w:t>
      </w:r>
    </w:p>
    <w:p>
      <w:pPr>
        <w:spacing w:after="0" w:line="146" w:lineRule="exact"/>
        <w:rPr>
          <w:rFonts w:ascii="Times New Roman" w:cs="Times New Roman" w:eastAsia="Times New Roman" w:hAnsi="Times New Roman"/>
          <w:sz w:val="17"/>
          <w:szCs w:val="17"/>
          <w:color w:val="auto"/>
        </w:rPr>
      </w:pPr>
    </w:p>
    <w:p>
      <w:pPr>
        <w:ind w:left="1880" w:hanging="623"/>
        <w:spacing w:after="0"/>
        <w:tabs>
          <w:tab w:leader="none" w:pos="188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modification or amendment of or supplement to this Agreement or any other Loan Document;</w:t>
      </w:r>
    </w:p>
    <w:p>
      <w:pPr>
        <w:spacing w:after="0" w:line="221"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corporate existence, structure, or ownership of, or any insolvency, bankruptcy, reorganization, or other similar proceeding affecting, the Borrower 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ind w:left="4840" w:hanging="108"/>
        <w:spacing w:after="0"/>
        <w:tabs>
          <w:tab w:leader="none" w:pos="48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66" w:name="page167"/>
    <w:bookmarkEnd w:id="166"/>
    <w:p>
      <w:pPr>
        <w:spacing w:after="0" w:line="294" w:lineRule="auto"/>
        <w:rPr>
          <w:sz w:val="20"/>
          <w:szCs w:val="20"/>
          <w:color w:val="auto"/>
        </w:rPr>
      </w:pPr>
      <w:r>
        <w:rPr>
          <w:rFonts w:ascii="Times New Roman" w:cs="Times New Roman" w:eastAsia="Times New Roman" w:hAnsi="Times New Roman"/>
          <w:sz w:val="17"/>
          <w:szCs w:val="17"/>
          <w:color w:val="auto"/>
        </w:rPr>
        <w:t>other obligor, any other guarantor, or any of their respective assets, or any resulting release or discharge of any obligation of the Borrower or other obligor or of any other guarantor contained in any Loan Document;</w:t>
      </w:r>
    </w:p>
    <w:p>
      <w:pPr>
        <w:spacing w:after="0" w:line="147" w:lineRule="exact"/>
        <w:rPr>
          <w:sz w:val="20"/>
          <w:szCs w:val="20"/>
          <w:color w:val="auto"/>
        </w:rPr>
      </w:pPr>
    </w:p>
    <w:p>
      <w:pPr>
        <w:ind w:firstLine="1257"/>
        <w:spacing w:after="0" w:line="294" w:lineRule="auto"/>
        <w:tabs>
          <w:tab w:leader="none" w:pos="187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any claim, set-off, or other rights which the Borrower or other obligor or any other guarantor may have at any time against the Administrative Agent, any Lender, or any other Person, whether or not arising in connection herewith;</w:t>
      </w:r>
    </w:p>
    <w:p>
      <w:pPr>
        <w:spacing w:after="0" w:line="146"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to assert, or any assertion of, any claim or demand or any exercise of, or failure to exercise, any rights or remedies against the Borrower or other obligor, any other guarantor, or any other Person or Property;</w:t>
      </w:r>
    </w:p>
    <w:p>
      <w:pPr>
        <w:spacing w:after="0" w:line="146" w:lineRule="exact"/>
        <w:rPr>
          <w:rFonts w:ascii="Times New Roman" w:cs="Times New Roman" w:eastAsia="Times New Roman" w:hAnsi="Times New Roman"/>
          <w:sz w:val="17"/>
          <w:szCs w:val="17"/>
          <w:color w:val="auto"/>
        </w:rPr>
      </w:pPr>
    </w:p>
    <w:p>
      <w:pPr>
        <w:ind w:firstLine="1257"/>
        <w:spacing w:after="0" w:line="294" w:lineRule="auto"/>
        <w:tabs>
          <w:tab w:leader="none" w:pos="187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application of any sums by whomsoever paid or howsoever realized to any obligation of the Borrower or other obligor, regardless of what obligations of the Borrower or other obligor remain unpaid;</w:t>
      </w:r>
    </w:p>
    <w:p>
      <w:pPr>
        <w:spacing w:after="0" w:line="146" w:lineRule="exact"/>
        <w:rPr>
          <w:rFonts w:ascii="Times New Roman" w:cs="Times New Roman" w:eastAsia="Times New Roman" w:hAnsi="Times New Roman"/>
          <w:sz w:val="17"/>
          <w:szCs w:val="17"/>
          <w:color w:val="auto"/>
        </w:rPr>
      </w:pPr>
    </w:p>
    <w:p>
      <w:pPr>
        <w:jc w:val="both"/>
        <w:ind w:firstLine="1257"/>
        <w:spacing w:after="0" w:line="268" w:lineRule="auto"/>
        <w:tabs>
          <w:tab w:leader="none" w:pos="187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Loan or any other amount payable under the Loan Documents; or</w:t>
      </w:r>
    </w:p>
    <w:p>
      <w:pPr>
        <w:spacing w:after="0" w:line="169" w:lineRule="exact"/>
        <w:rPr>
          <w:rFonts w:ascii="Times New Roman" w:cs="Times New Roman" w:eastAsia="Times New Roman" w:hAnsi="Times New Roman"/>
          <w:sz w:val="17"/>
          <w:szCs w:val="17"/>
          <w:color w:val="auto"/>
        </w:rPr>
      </w:pPr>
    </w:p>
    <w:p>
      <w:pPr>
        <w:jc w:val="both"/>
        <w:ind w:firstLine="1257"/>
        <w:spacing w:after="0" w:line="275" w:lineRule="auto"/>
        <w:tabs>
          <w:tab w:leader="none" w:pos="187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spacing w:after="0" w:line="163"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color w:val="auto"/>
        </w:rPr>
        <w:t xml:space="preserve">Section 13.3. </w:t>
      </w:r>
      <w:r>
        <w:rPr>
          <w:rFonts w:ascii="Times New Roman" w:cs="Times New Roman" w:eastAsia="Times New Roman" w:hAnsi="Times New Roman"/>
          <w:sz w:val="17"/>
          <w:szCs w:val="17"/>
          <w:u w:val="single" w:color="auto"/>
          <w:color w:val="auto"/>
        </w:rPr>
        <w:t>Discharge Only upon Payment in Full; Reinstatement in Certain Circumstances</w:t>
      </w:r>
      <w:r>
        <w:rPr>
          <w:rFonts w:ascii="Times New Roman" w:cs="Times New Roman" w:eastAsia="Times New Roman" w:hAnsi="Times New Roman"/>
          <w:sz w:val="17"/>
          <w:szCs w:val="17"/>
          <w:color w:val="auto"/>
        </w:rPr>
        <w:t>. Each Guarantor’s obligations under this Section 13 shall remain in full force and effect until the Commitments are terminated, and the principal of and interest on the Loans and all other amounts payable by the Borrower and the Guarantors under this Agreement and all other Loan Documents have been paid in full. If at any time any payment of the principal of or interest on any Loan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spacing w:after="0" w:line="175"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 xml:space="preserve">Section 13.4. </w:t>
      </w:r>
      <w:r>
        <w:rPr>
          <w:rFonts w:ascii="Times New Roman" w:cs="Times New Roman" w:eastAsia="Times New Roman" w:hAnsi="Times New Roman"/>
          <w:sz w:val="17"/>
          <w:szCs w:val="17"/>
          <w:u w:val="single" w:color="auto"/>
          <w:color w:val="auto"/>
        </w:rPr>
        <w:t>Subrogation</w:t>
      </w:r>
      <w:r>
        <w:rPr>
          <w:rFonts w:ascii="Times New Roman" w:cs="Times New Roman" w:eastAsia="Times New Roman" w:hAnsi="Times New Roman"/>
          <w:sz w:val="17"/>
          <w:szCs w:val="17"/>
          <w:color w:val="auto"/>
        </w:rPr>
        <w:t>. Each Guarantor agrees it will not exercise any rights which it may acquire by way of subrogation by any payment made hereunder, or otherwise, until all the obligations guaranteed hereby shall have been paid in full subsequent to the termination of all the Commitments. If any amount shall be paid to a Guarantor on account of such subrogation rights at any time prior to the later of (x) the payment in full of the Obligations, Funds Transfer and Deposit Account Liability and Hedging Liability and all other amounts payable by the Borrower hereunder and the other Loan Documents and (y) the termination of the Commitments, such amount shall be held in trust for the benefit of the Administrative Agent and the Lenders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1" w:right="999" w:bottom="1440" w:gutter="0" w:footer="0" w:header="0"/>
        </w:sectPr>
      </w:pPr>
    </w:p>
    <w:bookmarkStart w:id="167" w:name="page168"/>
    <w:bookmarkEnd w:id="167"/>
    <w:p>
      <w:pPr>
        <w:jc w:val="both"/>
        <w:spacing w:after="0" w:line="275" w:lineRule="auto"/>
        <w:rPr>
          <w:sz w:val="20"/>
          <w:szCs w:val="20"/>
          <w:color w:val="auto"/>
        </w:rPr>
      </w:pPr>
      <w:r>
        <w:rPr>
          <w:rFonts w:ascii="Times New Roman" w:cs="Times New Roman" w:eastAsia="Times New Roman" w:hAnsi="Times New Roman"/>
          <w:sz w:val="17"/>
          <w:szCs w:val="17"/>
          <w:color w:val="auto"/>
        </w:rPr>
        <w:t>their Affiliates) and shall forthwith be paid to the Administrative Agent for the benefit of the Lenders (and their Affiliates) or be credited and applied upon the Obligations, Funds Transfer and Deposit Account Liability and Hedging Liability, whether matured or unmatured, in accordance with the terms of this Agreement.</w:t>
      </w:r>
    </w:p>
    <w:p>
      <w:pPr>
        <w:spacing w:after="0" w:line="163"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 xml:space="preserve">Section 13.5. </w:t>
      </w:r>
      <w:r>
        <w:rPr>
          <w:rFonts w:ascii="Times New Roman" w:cs="Times New Roman" w:eastAsia="Times New Roman" w:hAnsi="Times New Roman"/>
          <w:sz w:val="17"/>
          <w:szCs w:val="17"/>
          <w:u w:val="single" w:color="auto"/>
          <w:color w:val="auto"/>
        </w:rPr>
        <w:t>Waivers</w:t>
      </w:r>
      <w:r>
        <w:rPr>
          <w:rFonts w:ascii="Times New Roman" w:cs="Times New Roman" w:eastAsia="Times New Roman" w:hAnsi="Times New Roman"/>
          <w:sz w:val="17"/>
          <w:szCs w:val="17"/>
          <w:color w:val="auto"/>
        </w:rPr>
        <w:t>. Each Guarantor irrevocably waives acceptance hereof, presentment, demand, 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spacing w:after="0" w:line="163"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 xml:space="preserve">Section 13.6. </w:t>
      </w:r>
      <w:r>
        <w:rPr>
          <w:rFonts w:ascii="Times New Roman" w:cs="Times New Roman" w:eastAsia="Times New Roman" w:hAnsi="Times New Roman"/>
          <w:sz w:val="17"/>
          <w:szCs w:val="17"/>
          <w:u w:val="single" w:color="auto"/>
          <w:color w:val="auto"/>
        </w:rPr>
        <w:t>Limit on Recovery</w:t>
      </w:r>
      <w:r>
        <w:rPr>
          <w:rFonts w:ascii="Times New Roman" w:cs="Times New Roman" w:eastAsia="Times New Roman" w:hAnsi="Times New Roman"/>
          <w:sz w:val="17"/>
          <w:szCs w:val="17"/>
          <w:color w:val="auto"/>
        </w:rPr>
        <w:t>. Notwithstanding any other provision hereof, the right of recovery against each Guarantor under this Section 13 shall not exceed $1.00 less than the lowest amount which would render such Guarantor’s obligations under this Section 13 void or voidable under applicable law, including, without limitation, fraudulent conveyance law.</w:t>
      </w:r>
    </w:p>
    <w:p>
      <w:pPr>
        <w:spacing w:after="0" w:line="163" w:lineRule="exact"/>
        <w:rPr>
          <w:sz w:val="20"/>
          <w:szCs w:val="20"/>
          <w:color w:val="auto"/>
        </w:rPr>
      </w:pPr>
    </w:p>
    <w:p>
      <w:pPr>
        <w:jc w:val="both"/>
        <w:ind w:firstLine="626"/>
        <w:spacing w:after="0" w:line="267" w:lineRule="auto"/>
        <w:rPr>
          <w:sz w:val="20"/>
          <w:szCs w:val="20"/>
          <w:color w:val="auto"/>
        </w:rPr>
      </w:pPr>
      <w:r>
        <w:rPr>
          <w:rFonts w:ascii="Times New Roman" w:cs="Times New Roman" w:eastAsia="Times New Roman" w:hAnsi="Times New Roman"/>
          <w:sz w:val="17"/>
          <w:szCs w:val="17"/>
          <w:color w:val="auto"/>
        </w:rPr>
        <w:t xml:space="preserve">Section 13.7. </w:t>
      </w:r>
      <w:r>
        <w:rPr>
          <w:rFonts w:ascii="Times New Roman" w:cs="Times New Roman" w:eastAsia="Times New Roman" w:hAnsi="Times New Roman"/>
          <w:sz w:val="17"/>
          <w:szCs w:val="17"/>
          <w:u w:val="single" w:color="auto"/>
          <w:color w:val="auto"/>
        </w:rPr>
        <w:t>Stay of Acceleration</w:t>
      </w:r>
      <w:r>
        <w:rPr>
          <w:rFonts w:ascii="Times New Roman" w:cs="Times New Roman" w:eastAsia="Times New Roman" w:hAnsi="Times New Roman"/>
          <w:sz w:val="17"/>
          <w:szCs w:val="17"/>
          <w:color w:val="auto"/>
        </w:rPr>
        <w:t>. If acceleration of the time for payment of any 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spacing w:after="0" w:line="382"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 xml:space="preserve">Section 13.8. </w:t>
      </w:r>
      <w:r>
        <w:rPr>
          <w:rFonts w:ascii="Times New Roman" w:cs="Times New Roman" w:eastAsia="Times New Roman" w:hAnsi="Times New Roman"/>
          <w:sz w:val="17"/>
          <w:szCs w:val="17"/>
          <w:u w:val="single" w:color="auto"/>
          <w:color w:val="auto"/>
        </w:rPr>
        <w:t>Benefit to Guarantors</w:t>
      </w:r>
      <w:r>
        <w:rPr>
          <w:rFonts w:ascii="Times New Roman" w:cs="Times New Roman" w:eastAsia="Times New Roman" w:hAnsi="Times New Roman"/>
          <w:sz w:val="17"/>
          <w:szCs w:val="17"/>
          <w:color w:val="auto"/>
        </w:rPr>
        <w:t>. 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spacing w:after="0" w:line="161"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Section 13.9. </w:t>
      </w:r>
      <w:r>
        <w:rPr>
          <w:rFonts w:ascii="Times New Roman" w:cs="Times New Roman" w:eastAsia="Times New Roman" w:hAnsi="Times New Roman"/>
          <w:sz w:val="17"/>
          <w:szCs w:val="17"/>
          <w:u w:val="single" w:color="auto"/>
          <w:color w:val="auto"/>
        </w:rPr>
        <w:t>Guarantor Covenants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Guarantor shall take such action as the Borrower is required by this Agreement to cause such Guarantor to take, and shall refrain from taking such action as the Borrower is required by this Agreement to prohibit such Guarantor from taking.</w:t>
      </w:r>
    </w:p>
    <w:p>
      <w:pPr>
        <w:spacing w:after="0" w:line="160"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17"/>
          <w:szCs w:val="17"/>
          <w:color w:val="auto"/>
        </w:rPr>
        <w:t xml:space="preserve">Section 13.10. </w:t>
      </w:r>
      <w:r>
        <w:rPr>
          <w:rFonts w:ascii="Times New Roman" w:cs="Times New Roman" w:eastAsia="Times New Roman" w:hAnsi="Times New Roman"/>
          <w:sz w:val="17"/>
          <w:szCs w:val="17"/>
          <w:u w:val="single" w:color="auto"/>
          <w:color w:val="auto"/>
        </w:rPr>
        <w:t>Keepwell</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Qualified ECP Guarantor hereby jointly and severally 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7"/>
          <w:szCs w:val="17"/>
          <w:color w:val="auto"/>
        </w:rPr>
        <w:t>[SIGNATURE PAGES TO FOLLOW]</w:t>
      </w:r>
    </w:p>
    <w:p>
      <w:pPr>
        <w:sectPr>
          <w:pgSz w:w="11900" w:h="16838" w:orient="portrait"/>
          <w:cols w:equalWidth="0" w:num="1">
            <w:col w:w="9019"/>
          </w:cols>
          <w:pgMar w:left="1440" w:top="8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019"/>
          </w:cols>
          <w:pgMar w:left="1440" w:top="851" w:right="1440" w:bottom="1440" w:gutter="0" w:footer="0" w:header="0"/>
          <w:type w:val="continuous"/>
        </w:sectPr>
      </w:pPr>
    </w:p>
    <w:bookmarkStart w:id="169" w:name="page170"/>
    <w:bookmarkEnd w:id="169"/>
    <w:p>
      <w:pPr>
        <w:ind w:left="180"/>
        <w:spacing w:after="0"/>
        <w:rPr>
          <w:sz w:val="20"/>
          <w:szCs w:val="20"/>
          <w:color w:val="auto"/>
        </w:rPr>
      </w:pPr>
      <w:r>
        <w:rPr>
          <w:rFonts w:ascii="Times New Roman" w:cs="Times New Roman" w:eastAsia="Times New Roman" w:hAnsi="Times New Roman"/>
          <w:sz w:val="17"/>
          <w:szCs w:val="17"/>
          <w:color w:val="auto"/>
        </w:rPr>
        <w:t>This Credit Agreement is entered into between us for the uses and purposes hereinabove set forth as of the date first above written.</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BORROWER</w:t>
      </w:r>
      <w:r>
        <w:rPr>
          <w:rFonts w:ascii="Times New Roman" w:cs="Times New Roman" w:eastAsia="Times New Roman" w:hAnsi="Times New Roman"/>
          <w:sz w:val="17"/>
          <w:szCs w:val="17"/>
          <w:i w:val="1"/>
          <w:iCs w:val="1"/>
          <w:color w:val="auto"/>
        </w:rPr>
        <w:t>”</w:t>
      </w: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ALPINE INCOME PROPERTY OP,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 Delaware limited partnership</w:t>
      </w:r>
    </w:p>
    <w:p>
      <w:pPr>
        <w:spacing w:after="0" w:line="204" w:lineRule="exact"/>
        <w:rPr>
          <w:sz w:val="20"/>
          <w:szCs w:val="20"/>
          <w:color w:val="auto"/>
        </w:rPr>
      </w:pPr>
    </w:p>
    <w:p>
      <w:pPr>
        <w:ind w:left="4900" w:right="20" w:hanging="379"/>
        <w:spacing w:after="0" w:line="294" w:lineRule="auto"/>
        <w:tabs>
          <w:tab w:leader="none" w:pos="4880" w:val="left"/>
        </w:tabs>
        <w:rPr>
          <w:sz w:val="20"/>
          <w:szCs w:val="20"/>
          <w:color w:val="auto"/>
        </w:rPr>
      </w:pPr>
      <w:r>
        <w:rPr>
          <w:rFonts w:ascii="Times New Roman" w:cs="Times New Roman" w:eastAsia="Times New Roman" w:hAnsi="Times New Roman"/>
          <w:sz w:val="17"/>
          <w:szCs w:val="17"/>
          <w:color w:val="auto"/>
        </w:rPr>
        <w:t>BY:</w:t>
        <w:tab/>
        <w:t>Alpine Income Property GP, LLC, a Delaware limited liability company, its General Partner</w:t>
      </w:r>
    </w:p>
    <w:p>
      <w:pPr>
        <w:spacing w:after="0" w:line="14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BY:  Alpine Income Property Trust, Inc., a Maryland</w:t>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corporation, its sole member</w:t>
      </w:r>
    </w:p>
    <w:p>
      <w:pPr>
        <w:spacing w:after="0" w:line="20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5300"/>
        <w:spacing w:after="0"/>
        <w:tabs>
          <w:tab w:leader="none" w:pos="5980" w:val="left"/>
        </w:tabs>
        <w:rPr>
          <w:sz w:val="20"/>
          <w:szCs w:val="20"/>
          <w:color w:val="auto"/>
        </w:rPr>
      </w:pPr>
      <w:r>
        <w:rPr>
          <w:rFonts w:ascii="Times New Roman" w:cs="Times New Roman" w:eastAsia="Times New Roman" w:hAnsi="Times New Roman"/>
          <w:sz w:val="17"/>
          <w:szCs w:val="17"/>
          <w:color w:val="auto"/>
        </w:rPr>
        <w:t>Name:</w:t>
        <w:tab/>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-123190</wp:posOffset>
            </wp:positionV>
            <wp:extent cx="26409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6" w:lineRule="exact"/>
        <w:rPr>
          <w:sz w:val="20"/>
          <w:szCs w:val="20"/>
          <w:color w:val="auto"/>
        </w:rPr>
      </w:pPr>
    </w:p>
    <w:p>
      <w:pPr>
        <w:ind w:left="5300"/>
        <w:spacing w:after="0"/>
        <w:tabs>
          <w:tab w:leader="none" w:pos="59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1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20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[SIGNATURE PAGE TO CREDIT AGREEMENT-ALPINE INCOME PROPERTY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260"/>
          </w:cols>
          <w:pgMar w:left="1440" w:top="1060" w:right="1199" w:bottom="1440" w:gutter="0" w:footer="0" w:header="0"/>
        </w:sectPr>
      </w:pPr>
    </w:p>
    <w:bookmarkStart w:id="170" w:name="page171"/>
    <w:bookmarkEnd w:id="170"/>
    <w:p>
      <w:pPr>
        <w:ind w:left="4500"/>
        <w:spacing w:after="0"/>
        <w:rPr>
          <w:sz w:val="20"/>
          <w:szCs w:val="20"/>
          <w:color w:val="auto"/>
        </w:rPr>
      </w:pPr>
      <w:r>
        <w:rPr>
          <w:rFonts w:ascii="Times New Roman" w:cs="Times New Roman" w:eastAsia="Times New Roman" w:hAnsi="Times New Roman"/>
          <w:sz w:val="17"/>
          <w:szCs w:val="17"/>
          <w:b w:val="1"/>
          <w:bCs w:val="1"/>
          <w:i w:val="1"/>
          <w:iCs w:val="1"/>
          <w:color w:val="auto"/>
        </w:rPr>
        <w:t>“GUARANTORS”</w:t>
      </w: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i w:val="1"/>
          <w:iCs w:val="1"/>
          <w:color w:val="auto"/>
        </w:rPr>
        <w:t>“PARENT”</w:t>
      </w: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ALPINE INCOME PROPERTY TRUST,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 Maryland corporation</w:t>
      </w:r>
    </w:p>
    <w:p>
      <w:pPr>
        <w:spacing w:after="0" w:line="20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500"/>
        <w:spacing w:after="0"/>
        <w:tabs>
          <w:tab w:leader="none" w:pos="5180" w:val="left"/>
        </w:tabs>
        <w:rPr>
          <w:sz w:val="20"/>
          <w:szCs w:val="20"/>
          <w:color w:val="auto"/>
        </w:rPr>
      </w:pPr>
      <w:r>
        <w:rPr>
          <w:rFonts w:ascii="Times New Roman" w:cs="Times New Roman" w:eastAsia="Times New Roman" w:hAnsi="Times New Roman"/>
          <w:sz w:val="17"/>
          <w:szCs w:val="17"/>
          <w:color w:val="auto"/>
        </w:rPr>
        <w:t>Name:</w:t>
        <w:tab/>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-123190</wp:posOffset>
            </wp:positionV>
            <wp:extent cx="26993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6" w:lineRule="exact"/>
        <w:rPr>
          <w:sz w:val="20"/>
          <w:szCs w:val="20"/>
          <w:color w:val="auto"/>
        </w:rPr>
      </w:pPr>
    </w:p>
    <w:p>
      <w:pPr>
        <w:ind w:left="4500"/>
        <w:spacing w:after="0"/>
        <w:tabs>
          <w:tab w:leader="none" w:pos="51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i w:val="1"/>
          <w:iCs w:val="1"/>
          <w:color w:val="auto"/>
        </w:rPr>
        <w:t>“MATERIAL SUBSIDIARIES”</w:t>
      </w: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i w:val="1"/>
          <w:iCs w:val="1"/>
          <w:color w:val="FF0000"/>
          <w:strike w:val="1"/>
        </w:rPr>
        <w:t>CTO16 RALEIGH LLC,</w:t>
      </w:r>
    </w:p>
    <w:p>
      <w:pPr>
        <w:spacing w:after="0" w:line="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i w:val="1"/>
          <w:iCs w:val="1"/>
          <w:color w:val="FF0000"/>
          <w:strike w:val="1"/>
        </w:rPr>
        <w:t>CTO17 SAUGUS LLC,</w:t>
      </w:r>
    </w:p>
    <w:p>
      <w:pPr>
        <w:spacing w:after="0" w:line="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INDIGO HENRY LLC</w:t>
      </w:r>
    </w:p>
    <w:p>
      <w:pPr>
        <w:spacing w:after="0" w:line="204" w:lineRule="exact"/>
        <w:rPr>
          <w:sz w:val="20"/>
          <w:szCs w:val="20"/>
          <w:color w:val="auto"/>
        </w:rPr>
      </w:pPr>
    </w:p>
    <w:p>
      <w:pPr>
        <w:ind w:left="4500"/>
        <w:spacing w:after="0"/>
        <w:tabs>
          <w:tab w:leader="none" w:pos="4880" w:val="left"/>
        </w:tabs>
        <w:rPr>
          <w:sz w:val="20"/>
          <w:szCs w:val="20"/>
          <w:color w:val="auto"/>
        </w:rPr>
      </w:pPr>
      <w:r>
        <w:rPr>
          <w:rFonts w:ascii="Times New Roman" w:cs="Times New Roman" w:eastAsia="Times New Roman" w:hAnsi="Times New Roman"/>
          <w:sz w:val="17"/>
          <w:szCs w:val="17"/>
          <w:color w:val="auto"/>
        </w:rPr>
        <w:t>By:</w:t>
        <w:tab/>
        <w:t>Alpine Income Property OP, LP,</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a Delaware limited partnership, its member</w:t>
      </w:r>
    </w:p>
    <w:p>
      <w:pPr>
        <w:spacing w:after="0" w:line="204" w:lineRule="exact"/>
        <w:rPr>
          <w:sz w:val="20"/>
          <w:szCs w:val="20"/>
          <w:color w:val="auto"/>
        </w:rPr>
      </w:pPr>
    </w:p>
    <w:p>
      <w:pPr>
        <w:ind w:left="4900" w:right="80" w:hanging="399"/>
        <w:spacing w:after="0" w:line="294" w:lineRule="auto"/>
        <w:tabs>
          <w:tab w:leader="none" w:pos="4880" w:val="left"/>
        </w:tabs>
        <w:rPr>
          <w:sz w:val="20"/>
          <w:szCs w:val="20"/>
          <w:color w:val="auto"/>
        </w:rPr>
      </w:pPr>
      <w:r>
        <w:rPr>
          <w:rFonts w:ascii="Times New Roman" w:cs="Times New Roman" w:eastAsia="Times New Roman" w:hAnsi="Times New Roman"/>
          <w:sz w:val="17"/>
          <w:szCs w:val="17"/>
          <w:color w:val="auto"/>
        </w:rPr>
        <w:t>By:</w:t>
        <w:tab/>
        <w:t>Alpine Income Property GP, LLC, a Delaware limited liability company, its General Partner,</w:t>
      </w:r>
    </w:p>
    <w:p>
      <w:pPr>
        <w:spacing w:after="0" w:line="147" w:lineRule="exact"/>
        <w:rPr>
          <w:sz w:val="20"/>
          <w:szCs w:val="20"/>
          <w:color w:val="auto"/>
        </w:rPr>
      </w:pPr>
    </w:p>
    <w:p>
      <w:pPr>
        <w:ind w:left="4900" w:hanging="399"/>
        <w:spacing w:after="0" w:line="294" w:lineRule="auto"/>
        <w:tabs>
          <w:tab w:leader="none" w:pos="4880" w:val="left"/>
        </w:tabs>
        <w:rPr>
          <w:sz w:val="20"/>
          <w:szCs w:val="20"/>
          <w:color w:val="auto"/>
        </w:rPr>
      </w:pPr>
      <w:r>
        <w:rPr>
          <w:rFonts w:ascii="Times New Roman" w:cs="Times New Roman" w:eastAsia="Times New Roman" w:hAnsi="Times New Roman"/>
          <w:sz w:val="17"/>
          <w:szCs w:val="17"/>
          <w:color w:val="auto"/>
        </w:rPr>
        <w:t>By:</w:t>
        <w:tab/>
        <w:t>Alpine Income Property Trust, Inc., a Maryland corporation, its sole member</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900"/>
        <w:spacing w:after="0"/>
        <w:tabs>
          <w:tab w:leader="none" w:pos="5580" w:val="left"/>
        </w:tabs>
        <w:rPr>
          <w:sz w:val="20"/>
          <w:szCs w:val="20"/>
          <w:color w:val="auto"/>
        </w:rPr>
      </w:pPr>
      <w:r>
        <w:rPr>
          <w:rFonts w:ascii="Times New Roman" w:cs="Times New Roman" w:eastAsia="Times New Roman" w:hAnsi="Times New Roman"/>
          <w:sz w:val="17"/>
          <w:szCs w:val="17"/>
          <w:color w:val="auto"/>
        </w:rPr>
        <w:t>Name:</w:t>
        <w:tab/>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-123190</wp:posOffset>
            </wp:positionV>
            <wp:extent cx="28981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6" w:lineRule="exact"/>
        <w:rPr>
          <w:sz w:val="20"/>
          <w:szCs w:val="20"/>
          <w:color w:val="auto"/>
        </w:rPr>
      </w:pPr>
    </w:p>
    <w:p>
      <w:pPr>
        <w:ind w:left="4900"/>
        <w:spacing w:after="0"/>
        <w:tabs>
          <w:tab w:leader="none" w:pos="55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1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20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[SIGNATURE PAGE TO CREDIT AGREEMENT-ALPINE INCOME PROPERTY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300"/>
          </w:cols>
          <w:pgMar w:left="1440" w:top="1069" w:right="1159" w:bottom="1440" w:gutter="0" w:footer="0" w:header="0"/>
        </w:sectPr>
      </w:pPr>
    </w:p>
    <w:bookmarkStart w:id="171" w:name="page172"/>
    <w:bookmarkEnd w:id="171"/>
    <w:p>
      <w:pPr>
        <w:ind w:left="4520"/>
        <w:spacing w:after="0"/>
        <w:rPr>
          <w:sz w:val="20"/>
          <w:szCs w:val="20"/>
          <w:color w:val="auto"/>
        </w:rPr>
      </w:pPr>
      <w:r>
        <w:rPr>
          <w:rFonts w:ascii="Times New Roman" w:cs="Times New Roman" w:eastAsia="Times New Roman" w:hAnsi="Times New Roman"/>
          <w:sz w:val="17"/>
          <w:szCs w:val="17"/>
          <w:color w:val="FF0000"/>
          <w:strike w:val="1"/>
        </w:rPr>
        <w:t>CTO17 HILLSBORO OR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FF0000"/>
          <w:strike w:val="1"/>
        </w:rPr>
        <w:t>BLUEBIRD METROWEST ORLANDO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FF0000"/>
          <w:strike w:val="1"/>
        </w:rPr>
        <w:t>LHC15 GLENDALE AZ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CTO19 TROY WI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CTO17 BRANDON FL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CTO19 ALBANY GA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BLANDING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FF0000"/>
          <w:strike w:val="1"/>
        </w:rPr>
        <w:t>PINE19 GEORGETOWN</w:t>
      </w:r>
      <w:r>
        <w:rPr>
          <w:rFonts w:ascii="Times New Roman" w:cs="Times New Roman" w:eastAsia="Times New Roman" w:hAnsi="Times New Roman"/>
          <w:sz w:val="17"/>
          <w:szCs w:val="17"/>
          <w:u w:val="single" w:color="auto"/>
          <w:color w:val="4472C4"/>
        </w:rPr>
        <w:t>PINE20 HURST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TX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FF0000"/>
          <w:strike w:val="1"/>
        </w:rPr>
        <w:t>PINE20 HURST TX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FF0000"/>
          <w:strike w:val="1"/>
        </w:rPr>
        <w:t>PINE19 SLAUGHTER AUSTIN TX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TULSA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HIGHLAND KY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TYN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ARDEN NC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BARKER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BINGHAM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CHAZY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HAMMOND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HARRISVILLE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HEUVELTON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HOWELL MI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LIMESTONE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MILFORD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NEWTONSVILLE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PINE20 ODESSA LLC</w:t>
      </w:r>
    </w:p>
    <w:p>
      <w:pPr>
        <w:spacing w:after="0" w:line="204"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7"/>
          <w:szCs w:val="17"/>
          <w:color w:val="auto"/>
        </w:rPr>
        <w:t>By:</w:t>
        <w:tab/>
        <w:t>Alpine Income Property OP, LP,</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a Delaware limited partnership, its Manager</w:t>
      </w:r>
    </w:p>
    <w:p>
      <w:pPr>
        <w:spacing w:after="0" w:line="204" w:lineRule="exact"/>
        <w:rPr>
          <w:sz w:val="20"/>
          <w:szCs w:val="20"/>
          <w:color w:val="auto"/>
        </w:rPr>
      </w:pPr>
    </w:p>
    <w:p>
      <w:pPr>
        <w:ind w:left="4920"/>
        <w:spacing w:after="0"/>
        <w:tabs>
          <w:tab w:leader="none" w:pos="5300" w:val="left"/>
        </w:tabs>
        <w:rPr>
          <w:sz w:val="20"/>
          <w:szCs w:val="20"/>
          <w:color w:val="auto"/>
        </w:rPr>
      </w:pPr>
      <w:r>
        <w:rPr>
          <w:rFonts w:ascii="Times New Roman" w:cs="Times New Roman" w:eastAsia="Times New Roman" w:hAnsi="Times New Roman"/>
          <w:sz w:val="17"/>
          <w:szCs w:val="17"/>
          <w:color w:val="auto"/>
        </w:rPr>
        <w:t>By:</w:t>
        <w:tab/>
        <w:t>Alpine Income Property GP, LLC, a Delaware limited</w:t>
      </w:r>
    </w:p>
    <w:p>
      <w:pPr>
        <w:spacing w:after="0" w:line="3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liability company, its General Partner,</w:t>
      </w:r>
    </w:p>
    <w:p>
      <w:pPr>
        <w:spacing w:after="0" w:line="204" w:lineRule="exact"/>
        <w:rPr>
          <w:sz w:val="20"/>
          <w:szCs w:val="20"/>
          <w:color w:val="auto"/>
        </w:rPr>
      </w:pPr>
    </w:p>
    <w:p>
      <w:pPr>
        <w:ind w:left="5320"/>
        <w:spacing w:after="0"/>
        <w:tabs>
          <w:tab w:leader="none" w:pos="5680" w:val="left"/>
        </w:tabs>
        <w:rPr>
          <w:sz w:val="20"/>
          <w:szCs w:val="20"/>
          <w:color w:val="auto"/>
        </w:rPr>
      </w:pPr>
      <w:r>
        <w:rPr>
          <w:rFonts w:ascii="Times New Roman" w:cs="Times New Roman" w:eastAsia="Times New Roman" w:hAnsi="Times New Roman"/>
          <w:sz w:val="17"/>
          <w:szCs w:val="17"/>
          <w:color w:val="auto"/>
        </w:rPr>
        <w:t>By:</w:t>
        <w:tab/>
        <w:t>Alpine Income Property Trust, Inc., a Maryland</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corporation, its sole member</w:t>
      </w:r>
    </w:p>
    <w:p>
      <w:pPr>
        <w:spacing w:after="0" w:line="200" w:lineRule="exact"/>
        <w:rPr>
          <w:sz w:val="20"/>
          <w:szCs w:val="20"/>
          <w:color w:val="auto"/>
        </w:rPr>
      </w:pPr>
    </w:p>
    <w:p>
      <w:pPr>
        <w:spacing w:after="0" w:line="21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tbl>
      <w:tblPr>
        <w:tblLayout w:type="fixed"/>
        <w:tblInd w:w="6100" w:type="dxa"/>
        <w:tblCellMar>
          <w:top w:w="0" w:type="dxa"/>
          <w:left w:w="0" w:type="dxa"/>
          <w:bottom w:w="0" w:type="dxa"/>
          <w:right w:w="0" w:type="dxa"/>
        </w:tblCellMar>
      </w:tblPr>
      <w:tr>
        <w:trPr>
          <w:trHeight w:val="183"/>
        </w:trPr>
        <w:tc>
          <w:tcPr>
            <w:tcW w:w="58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2780" w:type="dxa"/>
            <w:vAlign w:val="bottom"/>
            <w:tcBorders>
              <w:top w:val="single" w:sz="8" w:color="auto"/>
            </w:tcBorders>
          </w:tcPr>
          <w:p>
            <w:pPr>
              <w:ind w:left="100"/>
              <w:spacing w:after="0" w:line="184" w:lineRule="exact"/>
              <w:rPr>
                <w:sz w:val="20"/>
                <w:szCs w:val="20"/>
                <w:color w:val="auto"/>
              </w:rPr>
            </w:pPr>
            <w:r>
              <w:rPr>
                <w:rFonts w:ascii="Times New Roman" w:cs="Times New Roman" w:eastAsia="Times New Roman" w:hAnsi="Times New Roman"/>
                <w:sz w:val="17"/>
                <w:szCs w:val="17"/>
                <w:color w:val="auto"/>
              </w:rPr>
              <w:t>Matthew M. Partridge</w:t>
            </w: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Senior Vice President, Chief Financial</w:t>
            </w:r>
          </w:p>
        </w:tc>
      </w:tr>
      <w:tr>
        <w:trPr>
          <w:trHeight w:val="227"/>
        </w:trPr>
        <w:tc>
          <w:tcPr>
            <w:tcW w:w="580" w:type="dxa"/>
            <w:vAlign w:val="bottom"/>
          </w:tcPr>
          <w:p>
            <w:pPr>
              <w:spacing w:after="0"/>
              <w:rPr>
                <w:sz w:val="19"/>
                <w:szCs w:val="19"/>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Officer, and Treasurer</w:t>
            </w:r>
          </w:p>
        </w:tc>
      </w:tr>
    </w:tbl>
    <w:p>
      <w:pPr>
        <w:spacing w:after="0" w:line="1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[SIGNATURE PAGE TO CREDIT AGREEMENT-ALPINE INCOME PROPERTY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60"/>
          </w:cols>
          <w:pgMar w:left="1440" w:top="1060" w:right="999" w:bottom="1440" w:gutter="0" w:footer="0" w:header="0"/>
        </w:sectPr>
      </w:pPr>
    </w:p>
    <w:bookmarkStart w:id="172" w:name="page173"/>
    <w:bookmarkEnd w:id="172"/>
    <w:p>
      <w:pPr>
        <w:ind w:left="4520"/>
        <w:spacing w:after="0"/>
        <w:rPr>
          <w:sz w:val="20"/>
          <w:szCs w:val="20"/>
          <w:color w:val="auto"/>
        </w:rPr>
      </w:pPr>
      <w:r>
        <w:rPr>
          <w:rFonts w:ascii="Times New Roman" w:cs="Times New Roman" w:eastAsia="Times New Roman" w:hAnsi="Times New Roman"/>
          <w:sz w:val="17"/>
          <w:szCs w:val="17"/>
          <w:color w:val="auto"/>
        </w:rPr>
        <w:t>CTO16 RENO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FF0000"/>
          <w:strike w:val="1"/>
        </w:rPr>
        <w:t>CTO19 WINSTON SALEM NC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CTLC18 LYNN MA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FF0000"/>
          <w:strike w:val="1"/>
        </w:rPr>
        <w:t>CTO16 HUNTERSVILLE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CTO19 BIRMINGHAM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PINE19 ALPHARETTA GA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FF0000"/>
          <w:strike w:val="1"/>
        </w:rPr>
        <w:t>PINE19 JACKSONVILLE FL</w:t>
      </w:r>
      <w:r>
        <w:rPr>
          <w:rFonts w:ascii="Times New Roman" w:cs="Times New Roman" w:eastAsia="Times New Roman" w:hAnsi="Times New Roman"/>
          <w:sz w:val="17"/>
          <w:szCs w:val="17"/>
          <w:u w:val="single" w:color="auto"/>
          <w:color w:val="4472C4"/>
        </w:rPr>
        <w:t>PINE20 SALEM</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LLC</w:t>
      </w:r>
      <w:r>
        <w:rPr>
          <w:rFonts w:ascii="Times New Roman" w:cs="Times New Roman" w:eastAsia="Times New Roman" w:hAnsi="Times New Roman"/>
          <w:sz w:val="17"/>
          <w:szCs w:val="17"/>
          <w:u w:val="single" w:color="auto"/>
          <w:color w:val="4472C4"/>
        </w:rPr>
        <w:t>,</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PINE20 </w:t>
      </w:r>
      <w:r>
        <w:rPr>
          <w:rFonts w:ascii="Times New Roman" w:cs="Times New Roman" w:eastAsia="Times New Roman" w:hAnsi="Times New Roman"/>
          <w:sz w:val="17"/>
          <w:szCs w:val="17"/>
          <w:color w:val="FF0000"/>
          <w:strike w:val="1"/>
        </w:rPr>
        <w:t>SALEM</w:t>
      </w:r>
      <w:r>
        <w:rPr>
          <w:rFonts w:ascii="Times New Roman" w:cs="Times New Roman" w:eastAsia="Times New Roman" w:hAnsi="Times New Roman"/>
          <w:sz w:val="17"/>
          <w:szCs w:val="17"/>
          <w:u w:val="single" w:color="auto"/>
          <w:color w:val="4472C4"/>
        </w:rPr>
        <w:t>SEVERN</w:t>
      </w:r>
      <w:r>
        <w:rPr>
          <w:rFonts w:ascii="Times New Roman" w:cs="Times New Roman" w:eastAsia="Times New Roman" w:hAnsi="Times New Roman"/>
          <w:sz w:val="17"/>
          <w:szCs w:val="17"/>
          <w:color w:val="auto"/>
        </w:rPr>
        <w:t xml:space="preserv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PINE20 </w:t>
      </w:r>
      <w:r>
        <w:rPr>
          <w:rFonts w:ascii="Times New Roman" w:cs="Times New Roman" w:eastAsia="Times New Roman" w:hAnsi="Times New Roman"/>
          <w:sz w:val="17"/>
          <w:szCs w:val="17"/>
          <w:color w:val="FF0000"/>
          <w:strike w:val="1"/>
        </w:rPr>
        <w:t>SEVERN</w:t>
      </w:r>
      <w:r>
        <w:rPr>
          <w:rFonts w:ascii="Times New Roman" w:cs="Times New Roman" w:eastAsia="Times New Roman" w:hAnsi="Times New Roman"/>
          <w:sz w:val="17"/>
          <w:szCs w:val="17"/>
          <w:u w:val="single" w:color="auto"/>
          <w:color w:val="4472C4"/>
        </w:rPr>
        <w:t>SOMERVILLE</w:t>
      </w:r>
      <w:r>
        <w:rPr>
          <w:rFonts w:ascii="Times New Roman" w:cs="Times New Roman" w:eastAsia="Times New Roman" w:hAnsi="Times New Roman"/>
          <w:sz w:val="17"/>
          <w:szCs w:val="17"/>
          <w:color w:val="auto"/>
        </w:rPr>
        <w:t xml:space="preserv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PINE20 </w:t>
      </w:r>
      <w:r>
        <w:rPr>
          <w:rFonts w:ascii="Times New Roman" w:cs="Times New Roman" w:eastAsia="Times New Roman" w:hAnsi="Times New Roman"/>
          <w:sz w:val="17"/>
          <w:szCs w:val="17"/>
          <w:color w:val="FF0000"/>
          <w:strike w:val="1"/>
        </w:rPr>
        <w:t>SOMERVILLE</w:t>
      </w:r>
      <w:r>
        <w:rPr>
          <w:rFonts w:ascii="Times New Roman" w:cs="Times New Roman" w:eastAsia="Times New Roman" w:hAnsi="Times New Roman"/>
          <w:sz w:val="17"/>
          <w:szCs w:val="17"/>
          <w:u w:val="single" w:color="auto"/>
          <w:color w:val="4472C4"/>
        </w:rPr>
        <w:t>WILLIS</w:t>
      </w:r>
      <w:r>
        <w:rPr>
          <w:rFonts w:ascii="Times New Roman" w:cs="Times New Roman" w:eastAsia="Times New Roman" w:hAnsi="Times New Roman"/>
          <w:sz w:val="17"/>
          <w:szCs w:val="17"/>
          <w:color w:val="auto"/>
        </w:rPr>
        <w:t xml:space="preserv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PINE20 </w:t>
      </w:r>
      <w:r>
        <w:rPr>
          <w:rFonts w:ascii="Times New Roman" w:cs="Times New Roman" w:eastAsia="Times New Roman" w:hAnsi="Times New Roman"/>
          <w:sz w:val="17"/>
          <w:szCs w:val="17"/>
          <w:color w:val="FF0000"/>
          <w:strike w:val="1"/>
        </w:rPr>
        <w:t>WILLIS</w:t>
      </w:r>
      <w:r>
        <w:rPr>
          <w:rFonts w:ascii="Times New Roman" w:cs="Times New Roman" w:eastAsia="Times New Roman" w:hAnsi="Times New Roman"/>
          <w:sz w:val="17"/>
          <w:szCs w:val="17"/>
          <w:u w:val="single" w:color="auto"/>
          <w:color w:val="4472C4"/>
        </w:rPr>
        <w:t>WINTHROP</w:t>
      </w:r>
      <w:r>
        <w:rPr>
          <w:rFonts w:ascii="Times New Roman" w:cs="Times New Roman" w:eastAsia="Times New Roman" w:hAnsi="Times New Roman"/>
          <w:sz w:val="17"/>
          <w:szCs w:val="17"/>
          <w:color w:val="auto"/>
        </w:rPr>
        <w:t xml:space="preserv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PINE20 </w:t>
      </w:r>
      <w:r>
        <w:rPr>
          <w:rFonts w:ascii="Times New Roman" w:cs="Times New Roman" w:eastAsia="Times New Roman" w:hAnsi="Times New Roman"/>
          <w:sz w:val="17"/>
          <w:szCs w:val="17"/>
          <w:color w:val="FF0000"/>
          <w:strike w:val="1"/>
        </w:rPr>
        <w:t>WINTHROP</w:t>
      </w:r>
      <w:r>
        <w:rPr>
          <w:rFonts w:ascii="Times New Roman" w:cs="Times New Roman" w:eastAsia="Times New Roman" w:hAnsi="Times New Roman"/>
          <w:sz w:val="17"/>
          <w:szCs w:val="17"/>
          <w:u w:val="single" w:color="auto"/>
          <w:color w:val="4472C4"/>
        </w:rPr>
        <w:t>KERMIT</w:t>
      </w:r>
      <w:r>
        <w:rPr>
          <w:rFonts w:ascii="Times New Roman" w:cs="Times New Roman" w:eastAsia="Times New Roman" w:hAnsi="Times New Roman"/>
          <w:sz w:val="17"/>
          <w:szCs w:val="17"/>
          <w:color w:val="auto"/>
        </w:rPr>
        <w:t xml:space="preserv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PINE20 </w:t>
      </w:r>
      <w:r>
        <w:rPr>
          <w:rFonts w:ascii="Times New Roman" w:cs="Times New Roman" w:eastAsia="Times New Roman" w:hAnsi="Times New Roman"/>
          <w:sz w:val="17"/>
          <w:szCs w:val="17"/>
          <w:color w:val="FF0000"/>
          <w:strike w:val="1"/>
        </w:rPr>
        <w:t>GLENDALE</w:t>
      </w:r>
      <w:r>
        <w:rPr>
          <w:rFonts w:ascii="Times New Roman" w:cs="Times New Roman" w:eastAsia="Times New Roman" w:hAnsi="Times New Roman"/>
          <w:sz w:val="17"/>
          <w:szCs w:val="17"/>
          <w:u w:val="single" w:color="auto"/>
          <w:color w:val="4472C4"/>
        </w:rPr>
        <w:t>TACOMA</w:t>
      </w:r>
      <w:r>
        <w:rPr>
          <w:rFonts w:ascii="Times New Roman" w:cs="Times New Roman" w:eastAsia="Times New Roman" w:hAnsi="Times New Roman"/>
          <w:sz w:val="17"/>
          <w:szCs w:val="17"/>
          <w:color w:val="auto"/>
        </w:rPr>
        <w:t xml:space="preserv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PINE20 </w:t>
      </w:r>
      <w:r>
        <w:rPr>
          <w:rFonts w:ascii="Times New Roman" w:cs="Times New Roman" w:eastAsia="Times New Roman" w:hAnsi="Times New Roman"/>
          <w:sz w:val="17"/>
          <w:szCs w:val="17"/>
          <w:color w:val="FF0000"/>
          <w:strike w:val="1"/>
        </w:rPr>
        <w:t>KERMIT</w:t>
      </w:r>
      <w:r>
        <w:rPr>
          <w:rFonts w:ascii="Times New Roman" w:cs="Times New Roman" w:eastAsia="Times New Roman" w:hAnsi="Times New Roman"/>
          <w:sz w:val="17"/>
          <w:szCs w:val="17"/>
          <w:u w:val="single" w:color="auto"/>
          <w:color w:val="4472C4"/>
        </w:rPr>
        <w:t>CUT &amp; SHOOT</w:t>
      </w:r>
      <w:r>
        <w:rPr>
          <w:rFonts w:ascii="Times New Roman" w:cs="Times New Roman" w:eastAsia="Times New Roman" w:hAnsi="Times New Roman"/>
          <w:sz w:val="17"/>
          <w:szCs w:val="17"/>
          <w:color w:val="auto"/>
        </w:rPr>
        <w:t xml:space="preserv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PINE20 </w:t>
      </w:r>
      <w:r>
        <w:rPr>
          <w:rFonts w:ascii="Times New Roman" w:cs="Times New Roman" w:eastAsia="Times New Roman" w:hAnsi="Times New Roman"/>
          <w:sz w:val="17"/>
          <w:szCs w:val="17"/>
          <w:color w:val="FF0000"/>
          <w:strike w:val="1"/>
        </w:rPr>
        <w:t>TACOMA</w:t>
      </w:r>
      <w:r>
        <w:rPr>
          <w:rFonts w:ascii="Times New Roman" w:cs="Times New Roman" w:eastAsia="Times New Roman" w:hAnsi="Times New Roman"/>
          <w:sz w:val="17"/>
          <w:szCs w:val="17"/>
          <w:u w:val="single" w:color="auto"/>
          <w:color w:val="4472C4"/>
        </w:rPr>
        <w:t>DEL RIO</w:t>
      </w:r>
      <w:r>
        <w:rPr>
          <w:rFonts w:ascii="Times New Roman" w:cs="Times New Roman" w:eastAsia="Times New Roman" w:hAnsi="Times New Roman"/>
          <w:sz w:val="17"/>
          <w:szCs w:val="17"/>
          <w:color w:val="auto"/>
        </w:rPr>
        <w:t xml:space="preserv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PINE20 </w:t>
      </w:r>
      <w:r>
        <w:rPr>
          <w:rFonts w:ascii="Times New Roman" w:cs="Times New Roman" w:eastAsia="Times New Roman" w:hAnsi="Times New Roman"/>
          <w:sz w:val="17"/>
          <w:szCs w:val="17"/>
          <w:color w:val="FF0000"/>
          <w:strike w:val="1"/>
        </w:rPr>
        <w:t>CUT &amp; SHOOT</w:t>
      </w:r>
      <w:r>
        <w:rPr>
          <w:rFonts w:ascii="Times New Roman" w:cs="Times New Roman" w:eastAsia="Times New Roman" w:hAnsi="Times New Roman"/>
          <w:sz w:val="17"/>
          <w:szCs w:val="17"/>
          <w:u w:val="single" w:color="auto"/>
          <w:color w:val="4472C4"/>
        </w:rPr>
        <w:t>SEGUIN</w:t>
      </w:r>
      <w:r>
        <w:rPr>
          <w:rFonts w:ascii="Times New Roman" w:cs="Times New Roman" w:eastAsia="Times New Roman" w:hAnsi="Times New Roman"/>
          <w:sz w:val="17"/>
          <w:szCs w:val="17"/>
          <w:color w:val="auto"/>
        </w:rPr>
        <w:t xml:space="preserv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FF0000"/>
          <w:strike w:val="1"/>
        </w:rPr>
        <w:t>PINE20 DEL RIO</w:t>
      </w:r>
      <w:r>
        <w:rPr>
          <w:rFonts w:ascii="Times New Roman" w:cs="Times New Roman" w:eastAsia="Times New Roman" w:hAnsi="Times New Roman"/>
          <w:sz w:val="17"/>
          <w:szCs w:val="17"/>
          <w:u w:val="single" w:color="auto"/>
          <w:color w:val="4472C4"/>
        </w:rPr>
        <w:t>PINE21 ACQUISITIONS II</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FF0000"/>
          <w:strike w:val="1"/>
        </w:rPr>
        <w:t>PINE20 SEGUIN</w:t>
      </w:r>
      <w:r>
        <w:rPr>
          <w:rFonts w:ascii="Times New Roman" w:cs="Times New Roman" w:eastAsia="Times New Roman" w:hAnsi="Times New Roman"/>
          <w:sz w:val="17"/>
          <w:szCs w:val="17"/>
          <w:u w:val="single" w:color="auto"/>
          <w:color w:val="4472C4"/>
        </w:rPr>
        <w:t>PINE21 ACQUISITIONS III</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LLC</w:t>
      </w:r>
      <w:r>
        <w:rPr>
          <w:rFonts w:ascii="Times New Roman" w:cs="Times New Roman" w:eastAsia="Times New Roman" w:hAnsi="Times New Roman"/>
          <w:sz w:val="17"/>
          <w:szCs w:val="17"/>
          <w:u w:val="single" w:color="auto"/>
          <w:color w:val="4472C4"/>
        </w:rPr>
        <w:t>,</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PINE21 ACQUISITIONS IV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PINE21 ACQUISITIONS V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PINE21 ACQUISITIONS VI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PINE21 ACQUISITIONS VIII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PINE21 ACQUISITIONS X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 MEX OH,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 MEX OH 2, LLC</w:t>
      </w:r>
    </w:p>
    <w:p>
      <w:pPr>
        <w:spacing w:after="0" w:line="204"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7"/>
          <w:szCs w:val="17"/>
          <w:color w:val="auto"/>
        </w:rPr>
        <w:t>By:</w:t>
        <w:tab/>
        <w:t>Alpine Income Property OP, LP,</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a Delaware limited partnership, its Manager</w:t>
      </w:r>
    </w:p>
    <w:p>
      <w:pPr>
        <w:spacing w:after="0" w:line="204" w:lineRule="exact"/>
        <w:rPr>
          <w:sz w:val="20"/>
          <w:szCs w:val="20"/>
          <w:color w:val="auto"/>
        </w:rPr>
      </w:pPr>
    </w:p>
    <w:p>
      <w:pPr>
        <w:ind w:left="4920"/>
        <w:spacing w:after="0"/>
        <w:tabs>
          <w:tab w:leader="none" w:pos="5300" w:val="left"/>
        </w:tabs>
        <w:rPr>
          <w:sz w:val="20"/>
          <w:szCs w:val="20"/>
          <w:color w:val="auto"/>
        </w:rPr>
      </w:pPr>
      <w:r>
        <w:rPr>
          <w:rFonts w:ascii="Times New Roman" w:cs="Times New Roman" w:eastAsia="Times New Roman" w:hAnsi="Times New Roman"/>
          <w:sz w:val="17"/>
          <w:szCs w:val="17"/>
          <w:color w:val="auto"/>
        </w:rPr>
        <w:t>By:</w:t>
        <w:tab/>
        <w:t>Alpine Income Property GP, LLC, a Delaware limited</w:t>
      </w:r>
    </w:p>
    <w:p>
      <w:pPr>
        <w:spacing w:after="0" w:line="3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liability company, its General Partner,</w:t>
      </w:r>
    </w:p>
    <w:p>
      <w:pPr>
        <w:spacing w:after="0" w:line="204" w:lineRule="exact"/>
        <w:rPr>
          <w:sz w:val="20"/>
          <w:szCs w:val="20"/>
          <w:color w:val="auto"/>
        </w:rPr>
      </w:pPr>
    </w:p>
    <w:p>
      <w:pPr>
        <w:ind w:left="5320"/>
        <w:spacing w:after="0"/>
        <w:tabs>
          <w:tab w:leader="none" w:pos="5680" w:val="left"/>
        </w:tabs>
        <w:rPr>
          <w:sz w:val="20"/>
          <w:szCs w:val="20"/>
          <w:color w:val="auto"/>
        </w:rPr>
      </w:pPr>
      <w:r>
        <w:rPr>
          <w:rFonts w:ascii="Times New Roman" w:cs="Times New Roman" w:eastAsia="Times New Roman" w:hAnsi="Times New Roman"/>
          <w:sz w:val="17"/>
          <w:szCs w:val="17"/>
          <w:color w:val="auto"/>
        </w:rPr>
        <w:t>By:</w:t>
        <w:tab/>
        <w:t>Alpine Income Property Trust, Inc., a Maryland</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corporation, its sole member</w:t>
      </w:r>
    </w:p>
    <w:p>
      <w:pPr>
        <w:spacing w:after="0" w:line="20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6100"/>
        <w:spacing w:after="0"/>
        <w:tabs>
          <w:tab w:leader="none" w:pos="6760" w:val="left"/>
        </w:tabs>
        <w:rPr>
          <w:sz w:val="20"/>
          <w:szCs w:val="20"/>
          <w:color w:val="auto"/>
        </w:rPr>
      </w:pPr>
      <w:r>
        <w:rPr>
          <w:rFonts w:ascii="Times New Roman" w:cs="Times New Roman" w:eastAsia="Times New Roman" w:hAnsi="Times New Roman"/>
          <w:sz w:val="17"/>
          <w:szCs w:val="17"/>
          <w:color w:val="auto"/>
        </w:rPr>
        <w:t>Name:</w:t>
        <w:tab/>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-123190</wp:posOffset>
            </wp:positionV>
            <wp:extent cx="21361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2136140" cy="8255"/>
                    </a:xfrm>
                    <a:prstGeom prst="rect">
                      <a:avLst/>
                    </a:prstGeom>
                    <a:noFill/>
                  </pic:spPr>
                </pic:pic>
              </a:graphicData>
            </a:graphic>
          </wp:anchor>
        </w:drawing>
      </w:r>
    </w:p>
    <w:p>
      <w:pPr>
        <w:spacing w:after="0" w:line="6" w:lineRule="exact"/>
        <w:rPr>
          <w:sz w:val="20"/>
          <w:szCs w:val="20"/>
          <w:color w:val="auto"/>
        </w:rPr>
      </w:pPr>
    </w:p>
    <w:p>
      <w:pPr>
        <w:ind w:left="6100"/>
        <w:spacing w:after="0"/>
        <w:tabs>
          <w:tab w:leader="none" w:pos="67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20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4472C4"/>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[SIGNATURE PAGE TO CREDIT AGREEMENT-ALPINE INCOME PROPERTY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40"/>
          </w:cols>
          <w:pgMar w:left="1440" w:top="1073" w:right="1019" w:bottom="1440" w:gutter="0" w:footer="0" w:header="0"/>
        </w:sectPr>
      </w:pPr>
    </w:p>
    <w:bookmarkStart w:id="173" w:name="page174"/>
    <w:bookmarkEnd w:id="173"/>
    <w:p>
      <w:pPr>
        <w:ind w:left="4520"/>
        <w:spacing w:after="0"/>
        <w:rPr>
          <w:sz w:val="20"/>
          <w:szCs w:val="20"/>
          <w:color w:val="auto"/>
        </w:rPr>
      </w:pPr>
      <w:r>
        <w:rPr>
          <w:rFonts w:ascii="Times New Roman" w:cs="Times New Roman" w:eastAsia="Times New Roman" w:hAnsi="Times New Roman"/>
          <w:sz w:val="17"/>
          <w:szCs w:val="17"/>
          <w:u w:val="single" w:color="auto"/>
          <w:color w:val="4472C4"/>
        </w:rPr>
        <w:t>9603 WESTHEIMER ROAD,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PINE21 ACQUISITIONS VII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PINE21 HOUSTON EAST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PINE21 HOUSTON WEST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PINE21 SPORTS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PINE22 CAESAR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PINE22 MAPLE LLC,</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u w:val="single" w:color="auto"/>
          <w:color w:val="4472C4"/>
        </w:rPr>
        <w:t>PINE22 WASH MO LLC</w:t>
      </w:r>
    </w:p>
    <w:p>
      <w:pPr>
        <w:spacing w:after="0" w:line="200" w:lineRule="exact"/>
        <w:rPr>
          <w:sz w:val="20"/>
          <w:szCs w:val="20"/>
          <w:color w:val="auto"/>
        </w:rPr>
      </w:pPr>
    </w:p>
    <w:p>
      <w:pPr>
        <w:spacing w:after="0" w:line="212"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7"/>
          <w:szCs w:val="17"/>
          <w:u w:val="single" w:color="auto"/>
          <w:color w:val="4472C4"/>
        </w:rPr>
        <w:t>By:</w:t>
        <w:tab/>
        <w:t>Alpine Income Property OP, LP,</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u w:val="single" w:color="auto"/>
          <w:color w:val="4472C4"/>
        </w:rPr>
        <w:t>a Delaware limited partnership, its Manager</w:t>
      </w:r>
    </w:p>
    <w:p>
      <w:pPr>
        <w:spacing w:after="0" w:line="204" w:lineRule="exact"/>
        <w:rPr>
          <w:sz w:val="20"/>
          <w:szCs w:val="20"/>
          <w:color w:val="auto"/>
        </w:rPr>
      </w:pPr>
    </w:p>
    <w:p>
      <w:pPr>
        <w:ind w:left="4920"/>
        <w:spacing w:after="0"/>
        <w:tabs>
          <w:tab w:leader="none" w:pos="5300" w:val="left"/>
        </w:tabs>
        <w:rPr>
          <w:sz w:val="20"/>
          <w:szCs w:val="20"/>
          <w:color w:val="auto"/>
        </w:rPr>
      </w:pPr>
      <w:r>
        <w:rPr>
          <w:rFonts w:ascii="Times New Roman" w:cs="Times New Roman" w:eastAsia="Times New Roman" w:hAnsi="Times New Roman"/>
          <w:sz w:val="17"/>
          <w:szCs w:val="17"/>
          <w:u w:val="single" w:color="auto"/>
          <w:color w:val="4472C4"/>
        </w:rPr>
        <w:t>By:</w:t>
        <w:tab/>
        <w:t>Alpine Income Property GP, LLC, a Delaware limited</w:t>
      </w:r>
    </w:p>
    <w:p>
      <w:pPr>
        <w:spacing w:after="0" w:line="3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u w:val="single" w:color="auto"/>
          <w:color w:val="4472C4"/>
        </w:rPr>
        <w:t>liability company, its General Partner,</w:t>
      </w:r>
    </w:p>
    <w:p>
      <w:pPr>
        <w:spacing w:after="0" w:line="204" w:lineRule="exact"/>
        <w:rPr>
          <w:sz w:val="20"/>
          <w:szCs w:val="20"/>
          <w:color w:val="auto"/>
        </w:rPr>
      </w:pPr>
    </w:p>
    <w:p>
      <w:pPr>
        <w:ind w:left="5320"/>
        <w:spacing w:after="0"/>
        <w:tabs>
          <w:tab w:leader="none" w:pos="5680" w:val="left"/>
        </w:tabs>
        <w:rPr>
          <w:sz w:val="20"/>
          <w:szCs w:val="20"/>
          <w:color w:val="auto"/>
        </w:rPr>
      </w:pPr>
      <w:r>
        <w:rPr>
          <w:rFonts w:ascii="Times New Roman" w:cs="Times New Roman" w:eastAsia="Times New Roman" w:hAnsi="Times New Roman"/>
          <w:sz w:val="17"/>
          <w:szCs w:val="17"/>
          <w:u w:val="single" w:color="auto"/>
          <w:color w:val="4472C4"/>
        </w:rPr>
        <w:t>By:</w:t>
        <w:tab/>
        <w:t>Alpine Income Property Trust, Inc., a Maryland</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u w:val="single" w:color="auto"/>
          <w:color w:val="4472C4"/>
        </w:rPr>
        <w:t>corporation, its sole member</w:t>
      </w:r>
    </w:p>
    <w:p>
      <w:pPr>
        <w:spacing w:after="0" w:line="20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u w:val="single" w:color="auto"/>
          <w:color w:val="4472C4"/>
        </w:rPr>
        <w:t>By:</w:t>
      </w:r>
    </w:p>
    <w:p>
      <w:pPr>
        <w:spacing w:after="0" w:line="31" w:lineRule="exact"/>
        <w:rPr>
          <w:sz w:val="20"/>
          <w:szCs w:val="20"/>
          <w:color w:val="auto"/>
        </w:rPr>
      </w:pPr>
    </w:p>
    <w:p>
      <w:pPr>
        <w:ind w:left="6100"/>
        <w:spacing w:after="0"/>
        <w:tabs>
          <w:tab w:leader="none" w:pos="6760" w:val="left"/>
        </w:tabs>
        <w:rPr>
          <w:sz w:val="20"/>
          <w:szCs w:val="20"/>
          <w:color w:val="auto"/>
        </w:rPr>
      </w:pPr>
      <w:r>
        <w:rPr>
          <w:rFonts w:ascii="Times New Roman" w:cs="Times New Roman" w:eastAsia="Times New Roman" w:hAnsi="Times New Roman"/>
          <w:sz w:val="17"/>
          <w:szCs w:val="17"/>
          <w:u w:val="single" w:color="auto"/>
          <w:color w:val="4472C4"/>
        </w:rPr>
        <w:t>Name:</w:t>
        <w:tab/>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-123190</wp:posOffset>
            </wp:positionV>
            <wp:extent cx="21361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2136140" cy="8255"/>
                    </a:xfrm>
                    <a:prstGeom prst="rect">
                      <a:avLst/>
                    </a:prstGeom>
                    <a:noFill/>
                  </pic:spPr>
                </pic:pic>
              </a:graphicData>
            </a:graphic>
          </wp:anchor>
        </w:drawing>
      </w:r>
    </w:p>
    <w:p>
      <w:pPr>
        <w:spacing w:after="0" w:line="6" w:lineRule="exact"/>
        <w:rPr>
          <w:sz w:val="20"/>
          <w:szCs w:val="20"/>
          <w:color w:val="auto"/>
        </w:rPr>
      </w:pPr>
    </w:p>
    <w:p>
      <w:pPr>
        <w:ind w:left="6100"/>
        <w:spacing w:after="0"/>
        <w:tabs>
          <w:tab w:leader="none" w:pos="6760" w:val="left"/>
        </w:tabs>
        <w:rPr>
          <w:sz w:val="20"/>
          <w:szCs w:val="20"/>
          <w:color w:val="auto"/>
        </w:rPr>
      </w:pPr>
      <w:r>
        <w:rPr>
          <w:rFonts w:ascii="Times New Roman" w:cs="Times New Roman" w:eastAsia="Times New Roman" w:hAnsi="Times New Roman"/>
          <w:sz w:val="17"/>
          <w:szCs w:val="17"/>
          <w:u w:val="single" w:color="auto"/>
          <w:color w:val="4472C4"/>
        </w:rPr>
        <w:t>Title:</w:t>
      </w:r>
      <w:r>
        <w:rPr>
          <w:sz w:val="20"/>
          <w:szCs w:val="20"/>
          <w:color w:val="auto"/>
        </w:rPr>
        <w:tab/>
      </w:r>
      <w:r>
        <w:rPr>
          <w:rFonts w:ascii="Times New Roman" w:cs="Times New Roman" w:eastAsia="Times New Roman" w:hAnsi="Times New Roman"/>
          <w:sz w:val="17"/>
          <w:szCs w:val="17"/>
          <w:u w:val="single" w:color="auto"/>
          <w:color w:val="4472C4"/>
        </w:rPr>
        <w:t>Senior Vice President,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4472C4"/>
        </w:rPr>
        <w:t>Chief Financial Officer, and Treasurer</w:t>
      </w:r>
    </w:p>
    <w:p>
      <w:pPr>
        <w:spacing w:after="0" w:line="20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[SIGNATURE PAGE TO CREDIT AGREEMENT-ALPINE INCOME PROPERTY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40"/>
          </w:cols>
          <w:pgMar w:left="1440" w:top="1060" w:right="1019" w:bottom="1440" w:gutter="0" w:footer="0" w:header="0"/>
        </w:sectPr>
      </w:pPr>
    </w:p>
    <w:bookmarkStart w:id="174" w:name="page175"/>
    <w:bookmarkEnd w:id="174"/>
    <w:p>
      <w:pPr>
        <w:ind w:left="4520"/>
        <w:spacing w:after="0"/>
        <w:rPr>
          <w:sz w:val="20"/>
          <w:szCs w:val="20"/>
          <w:color w:val="auto"/>
        </w:rPr>
      </w:pPr>
      <w:r>
        <w:rPr>
          <w:rFonts w:ascii="Times New Roman" w:cs="Times New Roman" w:eastAsia="Times New Roman" w:hAnsi="Times New Roman"/>
          <w:sz w:val="17"/>
          <w:szCs w:val="17"/>
          <w:b w:val="1"/>
          <w:bCs w:val="1"/>
          <w:i w:val="1"/>
          <w:iCs w:val="1"/>
          <w:color w:val="auto"/>
        </w:rPr>
        <w:t>“ADMINISTRATIVE AGENT”</w:t>
      </w: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TRUIST BANK, N.A.,</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Administrative Agent</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-123190</wp:posOffset>
            </wp:positionV>
            <wp:extent cx="26993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2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LENDERS</w:t>
      </w:r>
      <w:r>
        <w:rPr>
          <w:rFonts w:ascii="Times New Roman" w:cs="Times New Roman" w:eastAsia="Times New Roman" w:hAnsi="Times New Roman"/>
          <w:sz w:val="17"/>
          <w:szCs w:val="17"/>
          <w:i w:val="1"/>
          <w:iCs w:val="1"/>
          <w:color w:val="auto"/>
        </w:rPr>
        <w:t>”</w:t>
      </w: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TRUIST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-123190</wp:posOffset>
            </wp:positionV>
            <wp:extent cx="26993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jc w:val="center"/>
        <w:ind w:right="-380"/>
        <w:spacing w:after="0"/>
        <w:rPr>
          <w:sz w:val="20"/>
          <w:szCs w:val="20"/>
          <w:color w:val="auto"/>
        </w:rPr>
      </w:pPr>
      <w:r>
        <w:rPr>
          <w:rFonts w:ascii="Times New Roman" w:cs="Times New Roman" w:eastAsia="Times New Roman" w:hAnsi="Times New Roman"/>
          <w:sz w:val="17"/>
          <w:szCs w:val="17"/>
          <w:color w:val="auto"/>
        </w:rPr>
        <w:t>Title: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CREDIT AGREEMENT-ALPINE INCOME PROPERTY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019"/>
          </w:cols>
          <w:pgMar w:left="1440" w:top="1069" w:right="1440" w:bottom="1440" w:gutter="0" w:footer="0" w:header="0"/>
        </w:sectPr>
      </w:pPr>
    </w:p>
    <w:bookmarkStart w:id="175" w:name="page176"/>
    <w:bookmarkEnd w:id="175"/>
    <w:p>
      <w:pPr>
        <w:ind w:left="4520"/>
        <w:spacing w:after="0"/>
        <w:rPr>
          <w:sz w:val="20"/>
          <w:szCs w:val="20"/>
          <w:color w:val="auto"/>
        </w:rPr>
      </w:pPr>
      <w:r>
        <w:rPr>
          <w:rFonts w:ascii="Times New Roman" w:cs="Times New Roman" w:eastAsia="Times New Roman" w:hAnsi="Times New Roman"/>
          <w:sz w:val="17"/>
          <w:szCs w:val="17"/>
          <w:color w:val="auto"/>
        </w:rPr>
        <w:t>RAYMOND JAMES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-123190</wp:posOffset>
            </wp:positionV>
            <wp:extent cx="26993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16510</wp:posOffset>
            </wp:positionV>
            <wp:extent cx="26993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2699385" cy="825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-123190</wp:posOffset>
            </wp:positionV>
            <wp:extent cx="26993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CREDIT AGREEMENT-ALPINE INCOME PROPERTY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6292215" cy="16510"/>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176" w:name="page177"/>
    <w:bookmarkEnd w:id="176"/>
    <w:p>
      <w:pPr>
        <w:ind w:left="4520"/>
        <w:spacing w:after="0"/>
        <w:rPr>
          <w:sz w:val="20"/>
          <w:szCs w:val="20"/>
          <w:color w:val="auto"/>
        </w:rPr>
      </w:pPr>
      <w:r>
        <w:rPr>
          <w:rFonts w:ascii="Times New Roman" w:cs="Times New Roman" w:eastAsia="Times New Roman" w:hAnsi="Times New Roman"/>
          <w:sz w:val="17"/>
          <w:szCs w:val="17"/>
          <w:color w:val="auto"/>
        </w:rPr>
        <w:t>STIFEL BANK &amp; TRUST,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-123190</wp:posOffset>
            </wp:positionV>
            <wp:extent cx="26993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16510</wp:posOffset>
            </wp:positionV>
            <wp:extent cx="26993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2699385" cy="825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-123190</wp:posOffset>
            </wp:positionV>
            <wp:extent cx="26993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CREDIT AGREEMENT-ALPINE INCOME PROPERTY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77" w:name="page178"/>
    <w:bookmarkEnd w:id="177"/>
    <w:p>
      <w:pPr>
        <w:ind w:left="4520"/>
        <w:spacing w:after="0"/>
        <w:rPr>
          <w:sz w:val="20"/>
          <w:szCs w:val="20"/>
          <w:color w:val="auto"/>
        </w:rPr>
      </w:pPr>
      <w:r>
        <w:rPr>
          <w:rFonts w:ascii="Times New Roman" w:cs="Times New Roman" w:eastAsia="Times New Roman" w:hAnsi="Times New Roman"/>
          <w:sz w:val="17"/>
          <w:szCs w:val="17"/>
          <w:color w:val="auto"/>
        </w:rPr>
        <w:t>BANK OF MONTREAL,</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-123190</wp:posOffset>
            </wp:positionV>
            <wp:extent cx="26993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16510</wp:posOffset>
            </wp:positionV>
            <wp:extent cx="26993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2699385" cy="825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-123190</wp:posOffset>
            </wp:positionV>
            <wp:extent cx="26993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CREDIT AGREEMENT-ALPINE INCOME PROPERTY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ectPr>
          <w:pgSz w:w="11900" w:h="16838" w:orient="portrait"/>
          <w:cols w:equalWidth="0" w:num="1">
            <w:col w:w="9019"/>
          </w:cols>
          <w:pgMar w:left="1440" w:top="1058"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BORROWING</w:t>
      </w:r>
    </w:p>
    <w:p>
      <w:pPr>
        <w:spacing w:after="0" w:line="33" w:lineRule="exact"/>
        <w:rPr>
          <w:sz w:val="20"/>
          <w:szCs w:val="20"/>
          <w:color w:val="auto"/>
        </w:rPr>
      </w:pPr>
    </w:p>
    <w:p>
      <w:pPr>
        <w:ind w:left="8020"/>
        <w:spacing w:after="0"/>
        <w:tabs>
          <w:tab w:leader="none" w:pos="94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-15875</wp:posOffset>
            </wp:positionV>
            <wp:extent cx="6896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689610" cy="8255"/>
                    </a:xfrm>
                    <a:prstGeom prst="rect">
                      <a:avLst/>
                    </a:prstGeom>
                    <a:noFill/>
                  </pic:spPr>
                </pic:pic>
              </a:graphicData>
            </a:graphic>
          </wp:anchor>
        </w:drawing>
      </w:r>
    </w:p>
    <w:p>
      <w:pPr>
        <w:sectPr>
          <w:pgSz w:w="11900" w:h="16838" w:orient="portrait"/>
          <w:cols w:equalWidth="0" w:num="1">
            <w:col w:w="9920"/>
          </w:cols>
          <w:pgMar w:left="980" w:top="1058" w:right="999" w:bottom="1440" w:gutter="0" w:footer="0" w:header="0"/>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Truist Bank, N.A., as Administrative Agent for the Lenders from time to time parties to the Credit Agreement dated as of May 21, 2021 (as extended, renewed, amended or restated from time to time,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 among ALPINE INCOME PROPERTY OP, LP, certain Guarantors which are signatories thereto, certain Lenders which are from time to time parties thereto, and Truist Bank, N.A., as Administrative Agent</w:t>
      </w:r>
    </w:p>
    <w:p>
      <w:pPr>
        <w:spacing w:after="0" w:line="170" w:lineRule="exact"/>
        <w:rPr>
          <w:sz w:val="20"/>
          <w:szCs w:val="20"/>
          <w:color w:val="auto"/>
        </w:rPr>
      </w:pPr>
    </w:p>
    <w:p>
      <w:pPr>
        <w:sectPr>
          <w:pgSz w:w="11900" w:h="16838" w:orient="portrait"/>
          <w:cols w:equalWidth="0" w:num="2">
            <w:col w:w="240" w:space="300"/>
            <w:col w:w="9380"/>
          </w:cols>
          <w:pgMar w:left="980" w:top="1058"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0"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The undersigned, Alpine Income Property OP, LP (the </w:t>
      </w:r>
      <w:r>
        <w:rPr>
          <w:rFonts w:ascii="Times New Roman" w:cs="Times New Roman" w:eastAsia="Times New Roman" w:hAnsi="Times New Roman"/>
          <w:sz w:val="17"/>
          <w:szCs w:val="17"/>
          <w:i w:val="1"/>
          <w:iCs w:val="1"/>
          <w:color w:val="auto"/>
        </w:rPr>
        <w:t>“Borrower”</w:t>
      </w:r>
      <w:r>
        <w:rPr>
          <w:rFonts w:ascii="Times New Roman" w:cs="Times New Roman" w:eastAsia="Times New Roman" w:hAnsi="Times New Roman"/>
          <w:sz w:val="17"/>
          <w:szCs w:val="17"/>
          <w:color w:val="auto"/>
        </w:rPr>
        <w:t>), refers to the Credit Agreement, the terms defined therein being used herein as therein defined, and hereby gives you notice irrevocably, pursuant to Section 1.6 of the Credit Agreement, of the Borrowing specified below:</w:t>
      </w:r>
    </w:p>
    <w:p>
      <w:pPr>
        <w:spacing w:after="0" w:line="162" w:lineRule="exact"/>
        <w:rPr>
          <w:sz w:val="20"/>
          <w:szCs w:val="20"/>
          <w:color w:val="auto"/>
        </w:rPr>
      </w:pPr>
    </w:p>
    <w:p>
      <w:pPr>
        <w:ind w:left="1960" w:hanging="390"/>
        <w:spacing w:after="0"/>
        <w:tabs>
          <w:tab w:leader="none" w:pos="19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Day of the proposed Borrowing is ___________, ____.</w:t>
      </w:r>
    </w:p>
    <w:p>
      <w:pPr>
        <w:spacing w:after="0" w:line="221" w:lineRule="exact"/>
        <w:rPr>
          <w:rFonts w:ascii="Times New Roman" w:cs="Times New Roman" w:eastAsia="Times New Roman" w:hAnsi="Times New Roman"/>
          <w:sz w:val="17"/>
          <w:szCs w:val="17"/>
          <w:color w:val="auto"/>
        </w:rPr>
      </w:pPr>
    </w:p>
    <w:p>
      <w:pPr>
        <w:ind w:left="1960" w:hanging="390"/>
        <w:spacing w:after="0"/>
        <w:tabs>
          <w:tab w:leader="none" w:pos="19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the proposed Borrowing is $______________.</w:t>
      </w:r>
    </w:p>
    <w:p>
      <w:pPr>
        <w:spacing w:after="0" w:line="221" w:lineRule="exact"/>
        <w:rPr>
          <w:rFonts w:ascii="Times New Roman" w:cs="Times New Roman" w:eastAsia="Times New Roman" w:hAnsi="Times New Roman"/>
          <w:sz w:val="17"/>
          <w:szCs w:val="17"/>
          <w:color w:val="auto"/>
        </w:rPr>
      </w:pPr>
    </w:p>
    <w:p>
      <w:pPr>
        <w:ind w:left="1960" w:hanging="390"/>
        <w:spacing w:after="0"/>
        <w:tabs>
          <w:tab w:leader="none" w:pos="19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Borrowing is being advanced as a Term Loan.</w:t>
      </w:r>
    </w:p>
    <w:p>
      <w:pPr>
        <w:spacing w:after="0" w:line="219" w:lineRule="exact"/>
        <w:rPr>
          <w:rFonts w:ascii="Times New Roman" w:cs="Times New Roman" w:eastAsia="Times New Roman" w:hAnsi="Times New Roman"/>
          <w:sz w:val="17"/>
          <w:szCs w:val="17"/>
          <w:color w:val="auto"/>
        </w:rPr>
      </w:pPr>
    </w:p>
    <w:p>
      <w:pPr>
        <w:ind w:left="1960" w:hanging="390"/>
        <w:spacing w:after="0"/>
        <w:tabs>
          <w:tab w:leader="none" w:pos="19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Borrowing is to be comprised of $___________ of </w:t>
      </w:r>
      <w:r>
        <w:rPr>
          <w:rFonts w:ascii="Times New Roman" w:cs="Times New Roman" w:eastAsia="Times New Roman" w:hAnsi="Times New Roman"/>
          <w:sz w:val="17"/>
          <w:szCs w:val="17"/>
          <w:b w:val="1"/>
          <w:bCs w:val="1"/>
          <w:color w:val="auto"/>
        </w:rPr>
        <w:t>[Base Rate] [Daily Simple SOFR] [Term SOFR]</w:t>
      </w:r>
      <w:r>
        <w:rPr>
          <w:rFonts w:ascii="Times New Roman" w:cs="Times New Roman" w:eastAsia="Times New Roman" w:hAnsi="Times New Roman"/>
          <w:sz w:val="17"/>
          <w:szCs w:val="17"/>
          <w:color w:val="auto"/>
        </w:rPr>
        <w:t xml:space="preserve"> Loans.</w:t>
      </w:r>
    </w:p>
    <w:p>
      <w:pPr>
        <w:spacing w:after="0" w:line="222" w:lineRule="exact"/>
        <w:rPr>
          <w:sz w:val="20"/>
          <w:szCs w:val="20"/>
          <w:color w:val="auto"/>
        </w:rPr>
      </w:pPr>
    </w:p>
    <w:p>
      <w:pPr>
        <w:ind w:left="1560"/>
        <w:spacing w:after="0"/>
        <w:tabs>
          <w:tab w:leader="none" w:pos="2140" w:val="left"/>
        </w:tabs>
        <w:rPr>
          <w:sz w:val="20"/>
          <w:szCs w:val="20"/>
          <w:color w:val="auto"/>
        </w:rPr>
      </w:pPr>
      <w:r>
        <w:rPr>
          <w:rFonts w:ascii="Times New Roman" w:cs="Times New Roman" w:eastAsia="Times New Roman" w:hAnsi="Times New Roman"/>
          <w:sz w:val="17"/>
          <w:szCs w:val="17"/>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The duration of the Interest Period for the Term SOFR Loans included in the Borrowing shall be</w:t>
      </w:r>
    </w:p>
    <w:p>
      <w:pPr>
        <w:spacing w:after="0" w:line="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color w:val="auto"/>
        </w:rPr>
        <w:t>____________ months.]</w:t>
      </w:r>
    </w:p>
    <w:p>
      <w:pPr>
        <w:spacing w:after="0" w:line="204" w:lineRule="exact"/>
        <w:rPr>
          <w:sz w:val="20"/>
          <w:szCs w:val="20"/>
          <w:color w:val="auto"/>
        </w:rPr>
      </w:pPr>
    </w:p>
    <w:p>
      <w:pPr>
        <w:ind w:firstLine="626"/>
        <w:spacing w:after="0" w:line="294" w:lineRule="auto"/>
        <w:rPr>
          <w:sz w:val="20"/>
          <w:szCs w:val="20"/>
          <w:color w:val="auto"/>
        </w:rPr>
      </w:pPr>
      <w:r>
        <w:rPr>
          <w:rFonts w:ascii="Times New Roman" w:cs="Times New Roman" w:eastAsia="Times New Roman" w:hAnsi="Times New Roman"/>
          <w:sz w:val="17"/>
          <w:szCs w:val="17"/>
          <w:color w:val="auto"/>
        </w:rPr>
        <w:t>The undersigned hereby certifies that the following statements are true on the date hereof, and will be true on the date of the proposed Borrowing, before and after giving effect thereto and to the application of the proceeds therefrom:</w:t>
      </w:r>
    </w:p>
    <w:p>
      <w:pPr>
        <w:spacing w:after="0" w:line="147" w:lineRule="exact"/>
        <w:rPr>
          <w:sz w:val="20"/>
          <w:szCs w:val="20"/>
          <w:color w:val="auto"/>
        </w:rPr>
      </w:pPr>
    </w:p>
    <w:p>
      <w:pPr>
        <w:jc w:val="both"/>
        <w:ind w:left="940" w:firstLine="630"/>
        <w:spacing w:after="0" w:line="275" w:lineRule="auto"/>
        <w:tabs>
          <w:tab w:leader="none" w:pos="205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and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6292215" cy="16510"/>
                    </a:xfrm>
                    <a:prstGeom prst="rect">
                      <a:avLst/>
                    </a:prstGeom>
                    <a:noFill/>
                  </pic:spPr>
                </pic:pic>
              </a:graphicData>
            </a:graphic>
          </wp:anchor>
        </w:drawing>
      </w:r>
    </w:p>
    <w:p>
      <w:pPr>
        <w:sectPr>
          <w:pgSz w:w="11900" w:h="16838" w:orient="portrait"/>
          <w:cols w:equalWidth="0" w:num="1">
            <w:col w:w="9920"/>
          </w:cols>
          <w:pgMar w:left="980" w:top="1058" w:right="999" w:bottom="1440" w:gutter="0" w:footer="0" w:header="0"/>
          <w:type w:val="continuous"/>
        </w:sectPr>
      </w:pPr>
    </w:p>
    <w:bookmarkStart w:id="180" w:name="page181"/>
    <w:bookmarkEnd w:id="180"/>
    <w:p>
      <w:pPr>
        <w:ind w:left="1580" w:hanging="470"/>
        <w:spacing w:after="0"/>
        <w:tabs>
          <w:tab w:leader="none" w:pos="158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has occurred and is continuing or would result from such proposed Borrowing.</w:t>
      </w:r>
    </w:p>
    <w:p>
      <w:pPr>
        <w:spacing w:after="0" w:line="234" w:lineRule="exact"/>
        <w:rPr>
          <w:rFonts w:ascii="Times New Roman" w:cs="Times New Roman" w:eastAsia="Times New Roman" w:hAnsi="Times New Roman"/>
          <w:sz w:val="17"/>
          <w:szCs w:val="17"/>
          <w:color w:val="auto"/>
        </w:rPr>
      </w:pPr>
    </w:p>
    <w:p>
      <w:pPr>
        <w:ind w:left="4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ALPINE INCOME PROPERTY OP, LP</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-123190</wp:posOffset>
            </wp:positionV>
            <wp:extent cx="28898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16510</wp:posOffset>
            </wp:positionV>
            <wp:extent cx="24504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2450465"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-123190</wp:posOffset>
            </wp:positionV>
            <wp:extent cx="24504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245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220"/>
          </w:cols>
          <w:pgMar w:left="1440" w:top="851" w:right="12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CONTINUATION/CONVERSION</w:t>
      </w:r>
    </w:p>
    <w:p>
      <w:pPr>
        <w:spacing w:after="0" w:line="11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7"/>
          <w:szCs w:val="17"/>
          <w:color w:val="auto"/>
        </w:rPr>
        <w:t>Date: ____________, ____</w:t>
      </w:r>
    </w:p>
    <w:p>
      <w:pPr>
        <w:spacing w:after="0" w:line="222" w:lineRule="exact"/>
        <w:rPr>
          <w:sz w:val="20"/>
          <w:szCs w:val="20"/>
          <w:color w:val="auto"/>
        </w:rPr>
      </w:pPr>
    </w:p>
    <w:p>
      <w:pPr>
        <w:jc w:val="both"/>
        <w:ind w:left="480" w:hanging="474"/>
        <w:spacing w:after="0" w:line="268" w:lineRule="auto"/>
        <w:tabs>
          <w:tab w:leader="none" w:pos="460" w:val="left"/>
        </w:tabs>
        <w:rPr>
          <w:sz w:val="20"/>
          <w:szCs w:val="20"/>
          <w:color w:val="auto"/>
        </w:rPr>
      </w:pPr>
      <w:r>
        <w:rPr>
          <w:rFonts w:ascii="Times New Roman" w:cs="Times New Roman" w:eastAsia="Times New Roman" w:hAnsi="Times New Roman"/>
          <w:sz w:val="17"/>
          <w:szCs w:val="17"/>
          <w:color w:val="auto"/>
        </w:rPr>
        <w:t>To:</w:t>
        <w:tab/>
        <w:t xml:space="preserve">Truist Bank, N.A., as Administrative Agent for the Lenders from time to time parties to the Credit Agreement dated as of May 21, 2021 (as extended, renewed, amended or restated from time to time,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 among Alpine Income Property OP, LP, certain Guarantors which are from time to time signatories thereto, certain Lenders which are from time to time parties thereto, and Truist Bank, N.A., as 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0"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auto"/>
        </w:rPr>
        <w:t xml:space="preserve">The undersigned, Alpine Income Property OP, LP (the </w:t>
      </w:r>
      <w:r>
        <w:rPr>
          <w:rFonts w:ascii="Times New Roman" w:cs="Times New Roman" w:eastAsia="Times New Roman" w:hAnsi="Times New Roman"/>
          <w:sz w:val="17"/>
          <w:szCs w:val="17"/>
          <w:i w:val="1"/>
          <w:iCs w:val="1"/>
          <w:color w:val="auto"/>
        </w:rPr>
        <w:t>“Borrower”</w:t>
      </w:r>
      <w:r>
        <w:rPr>
          <w:rFonts w:ascii="Times New Roman" w:cs="Times New Roman" w:eastAsia="Times New Roman" w:hAnsi="Times New Roman"/>
          <w:sz w:val="17"/>
          <w:szCs w:val="17"/>
          <w:color w:val="auto"/>
        </w:rPr>
        <w:t xml:space="preserve">), refers to the Credit Agreement, the terms defined therein being used herein as therein defined, and hereby gives you notice irrevocably, pursuant to Section 1.6 of the Credit Agreement, of the </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[continuation] </w:t>
      </w:r>
      <w:r>
        <w:rPr>
          <w:rFonts w:ascii="Times New Roman" w:cs="Times New Roman" w:eastAsia="Times New Roman" w:hAnsi="Times New Roman"/>
          <w:sz w:val="17"/>
          <w:szCs w:val="17"/>
          <w:color w:val="auto"/>
        </w:rPr>
        <w:t>of the Loans specified herein, that:</w:t>
      </w:r>
    </w:p>
    <w:p>
      <w:pPr>
        <w:spacing w:after="0" w:line="162" w:lineRule="exact"/>
        <w:rPr>
          <w:sz w:val="20"/>
          <w:szCs w:val="20"/>
          <w:color w:val="auto"/>
        </w:rPr>
      </w:pPr>
    </w:p>
    <w:p>
      <w:pPr>
        <w:ind w:left="1880" w:hanging="310"/>
        <w:spacing w:after="0"/>
        <w:tabs>
          <w:tab w:leader="none" w:pos="188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conversion/continuation Date is __________, ____.</w:t>
      </w:r>
    </w:p>
    <w:p>
      <w:pPr>
        <w:spacing w:after="0" w:line="219" w:lineRule="exact"/>
        <w:rPr>
          <w:rFonts w:ascii="Times New Roman" w:cs="Times New Roman" w:eastAsia="Times New Roman" w:hAnsi="Times New Roman"/>
          <w:sz w:val="17"/>
          <w:szCs w:val="17"/>
          <w:color w:val="auto"/>
        </w:rPr>
      </w:pPr>
    </w:p>
    <w:p>
      <w:pPr>
        <w:ind w:left="1880" w:hanging="310"/>
        <w:spacing w:after="0"/>
        <w:tabs>
          <w:tab w:leader="none" w:pos="188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amount of the Term Loans to be </w:t>
      </w:r>
      <w:r>
        <w:rPr>
          <w:rFonts w:ascii="Times New Roman" w:cs="Times New Roman" w:eastAsia="Times New Roman" w:hAnsi="Times New Roman"/>
          <w:sz w:val="17"/>
          <w:szCs w:val="17"/>
          <w:b w:val="1"/>
          <w:bCs w:val="1"/>
          <w:color w:val="auto"/>
        </w:rPr>
        <w:t>[converted] [continued]</w:t>
      </w:r>
      <w:r>
        <w:rPr>
          <w:rFonts w:ascii="Times New Roman" w:cs="Times New Roman" w:eastAsia="Times New Roman" w:hAnsi="Times New Roman"/>
          <w:sz w:val="17"/>
          <w:szCs w:val="17"/>
          <w:color w:val="auto"/>
        </w:rPr>
        <w:t xml:space="preserve"> is $______________.</w:t>
      </w:r>
    </w:p>
    <w:p>
      <w:pPr>
        <w:spacing w:after="0" w:line="221" w:lineRule="exact"/>
        <w:rPr>
          <w:rFonts w:ascii="Times New Roman" w:cs="Times New Roman" w:eastAsia="Times New Roman" w:hAnsi="Times New Roman"/>
          <w:sz w:val="17"/>
          <w:szCs w:val="17"/>
          <w:color w:val="auto"/>
        </w:rPr>
      </w:pPr>
    </w:p>
    <w:p>
      <w:pPr>
        <w:ind w:left="1880" w:hanging="310"/>
        <w:spacing w:after="0"/>
        <w:tabs>
          <w:tab w:leader="none" w:pos="188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 Loans are to be </w:t>
      </w:r>
      <w:r>
        <w:rPr>
          <w:rFonts w:ascii="Times New Roman" w:cs="Times New Roman" w:eastAsia="Times New Roman" w:hAnsi="Times New Roman"/>
          <w:sz w:val="17"/>
          <w:szCs w:val="17"/>
          <w:b w:val="1"/>
          <w:bCs w:val="1"/>
          <w:color w:val="auto"/>
        </w:rPr>
        <w:t>[converted into] [continued as] [Term SOFR] [Daily Simple SOFR] [Base Rate]</w:t>
      </w:r>
    </w:p>
    <w:p>
      <w:pPr>
        <w:spacing w:after="0" w:line="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Loans.</w:t>
      </w:r>
    </w:p>
    <w:p>
      <w:pPr>
        <w:spacing w:after="0" w:line="202" w:lineRule="exact"/>
        <w:rPr>
          <w:sz w:val="20"/>
          <w:szCs w:val="20"/>
          <w:color w:val="auto"/>
        </w:rPr>
      </w:pPr>
    </w:p>
    <w:p>
      <w:pPr>
        <w:ind w:left="940" w:firstLine="630"/>
        <w:spacing w:after="0" w:line="297" w:lineRule="auto"/>
        <w:tabs>
          <w:tab w:leader="none" w:pos="1879"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[If applicable:] </w:t>
      </w:r>
      <w:r>
        <w:rPr>
          <w:rFonts w:ascii="Times New Roman" w:cs="Times New Roman" w:eastAsia="Times New Roman" w:hAnsi="Times New Roman"/>
          <w:sz w:val="17"/>
          <w:szCs w:val="17"/>
          <w:color w:val="auto"/>
        </w:rPr>
        <w:t>The duration of the Interest Period for the Term Loans included in the</w:t>
      </w:r>
      <w:r>
        <w:rPr>
          <w:rFonts w:ascii="Times New Roman" w:cs="Times New Roman" w:eastAsia="Times New Roman" w:hAnsi="Times New Roman"/>
          <w:sz w:val="17"/>
          <w:szCs w:val="17"/>
          <w:b w:val="1"/>
          <w:bCs w:val="1"/>
          <w:color w:val="auto"/>
        </w:rPr>
        <w:t xml:space="preserve"> [conversion] [continuation] </w:t>
      </w:r>
      <w:r>
        <w:rPr>
          <w:rFonts w:ascii="Times New Roman" w:cs="Times New Roman" w:eastAsia="Times New Roman" w:hAnsi="Times New Roman"/>
          <w:sz w:val="17"/>
          <w:szCs w:val="17"/>
          <w:color w:val="auto"/>
        </w:rPr>
        <w:t>shall be _________ months.</w:t>
      </w:r>
    </w:p>
    <w:p>
      <w:pPr>
        <w:spacing w:after="0" w:line="144" w:lineRule="exact"/>
        <w:rPr>
          <w:sz w:val="20"/>
          <w:szCs w:val="20"/>
          <w:color w:val="auto"/>
        </w:rPr>
      </w:pPr>
    </w:p>
    <w:p>
      <w:pPr>
        <w:ind w:firstLine="626"/>
        <w:spacing w:after="0" w:line="294" w:lineRule="auto"/>
        <w:rPr>
          <w:sz w:val="20"/>
          <w:szCs w:val="20"/>
          <w:color w:val="auto"/>
        </w:rPr>
      </w:pPr>
      <w:r>
        <w:rPr>
          <w:rFonts w:ascii="Times New Roman" w:cs="Times New Roman" w:eastAsia="Times New Roman" w:hAnsi="Times New Roman"/>
          <w:sz w:val="17"/>
          <w:szCs w:val="17"/>
          <w:color w:val="auto"/>
        </w:rPr>
        <w:t>The undersigned hereby certifies that the following statements are true on the date hereof, and will be true on the proposed conversion/continuation date, before and after giving effect thereto and to the application of the proceeds therefrom:</w:t>
      </w:r>
    </w:p>
    <w:p>
      <w:pPr>
        <w:spacing w:after="0" w:line="147" w:lineRule="exact"/>
        <w:rPr>
          <w:sz w:val="20"/>
          <w:szCs w:val="20"/>
          <w:color w:val="auto"/>
        </w:rPr>
      </w:pPr>
    </w:p>
    <w:p>
      <w:pPr>
        <w:jc w:val="both"/>
        <w:ind w:left="940" w:firstLine="630"/>
        <w:spacing w:after="0" w:line="268" w:lineRule="auto"/>
        <w:tabs>
          <w:tab w:leader="none" w:pos="1879"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this condition shall not apply to the conversion of an outstanding Term SOFR Loan to a Base Rate Loan; 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1058" w:right="999" w:bottom="1440" w:gutter="0" w:footer="0" w:header="0"/>
        </w:sectPr>
      </w:pPr>
    </w:p>
    <w:bookmarkStart w:id="182" w:name="page183"/>
    <w:bookmarkEnd w:id="182"/>
    <w:p>
      <w:pPr>
        <w:ind w:left="480" w:firstLine="630"/>
        <w:spacing w:after="0" w:line="297" w:lineRule="auto"/>
        <w:tabs>
          <w:tab w:leader="none" w:pos="1419"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Default or Event of Default has occurred and is continuing, or would result from such proposed </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[continuation]</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ALPINE INCOME PROPERTY OP, LP</w:t>
      </w:r>
    </w:p>
    <w:p>
      <w:pPr>
        <w:spacing w:after="0" w:line="200" w:lineRule="exact"/>
        <w:rPr>
          <w:sz w:val="20"/>
          <w:szCs w:val="20"/>
          <w:color w:val="auto"/>
        </w:rPr>
      </w:pPr>
    </w:p>
    <w:p>
      <w:pPr>
        <w:spacing w:after="0" w:line="2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-123190</wp:posOffset>
            </wp:positionV>
            <wp:extent cx="28898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16510</wp:posOffset>
            </wp:positionV>
            <wp:extent cx="24504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2450465"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-123190</wp:posOffset>
            </wp:positionV>
            <wp:extent cx="24504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245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60"/>
          </w:cols>
          <w:pgMar w:left="1440" w:top="850" w:right="999"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D</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TERM NOTE</w:t>
      </w:r>
    </w:p>
    <w:p>
      <w:pPr>
        <w:sectPr>
          <w:pgSz w:w="11900" w:h="16838" w:orient="portrait"/>
          <w:cols w:equalWidth="0" w:num="1">
            <w:col w:w="9920"/>
          </w:cols>
          <w:pgMar w:left="980" w:top="1058" w:right="999" w:bottom="1440" w:gutter="0" w:footer="0" w:header="0"/>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$_______________</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 20___</w:t>
      </w:r>
    </w:p>
    <w:p>
      <w:pPr>
        <w:spacing w:after="0" w:line="200" w:lineRule="exact"/>
        <w:rPr>
          <w:sz w:val="20"/>
          <w:szCs w:val="20"/>
          <w:color w:val="auto"/>
        </w:rPr>
      </w:pPr>
    </w:p>
    <w:p>
      <w:pPr>
        <w:sectPr>
          <w:pgSz w:w="11900" w:h="16838" w:orient="portrait"/>
          <w:cols w:equalWidth="0" w:num="2">
            <w:col w:w="7540" w:space="720"/>
            <w:col w:w="1660"/>
          </w:cols>
          <w:pgMar w:left="980" w:top="1058" w:right="999" w:bottom="1440" w:gutter="0" w:footer="0" w:header="0"/>
          <w:type w:val="continuous"/>
        </w:sectPr>
      </w:pPr>
    </w:p>
    <w:p>
      <w:pPr>
        <w:spacing w:after="0" w:line="15"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FOR VALUE RECEIVED, the undersigned, Alpine Income Property OP, LP, a Delaware limited partnership (the </w:t>
      </w:r>
      <w:r>
        <w:rPr>
          <w:rFonts w:ascii="Times New Roman" w:cs="Times New Roman" w:eastAsia="Times New Roman" w:hAnsi="Times New Roman"/>
          <w:sz w:val="17"/>
          <w:szCs w:val="17"/>
          <w:i w:val="1"/>
          <w:iCs w:val="1"/>
          <w:color w:val="auto"/>
        </w:rPr>
        <w:t>“Borrower”</w:t>
      </w:r>
      <w:r>
        <w:rPr>
          <w:rFonts w:ascii="Times New Roman" w:cs="Times New Roman" w:eastAsia="Times New Roman" w:hAnsi="Times New Roman"/>
          <w:sz w:val="17"/>
          <w:szCs w:val="17"/>
          <w:color w:val="auto"/>
        </w:rPr>
        <w:t xml:space="preserve">), hereby promises to pay to ____________________ (the </w:t>
      </w:r>
      <w:r>
        <w:rPr>
          <w:rFonts w:ascii="Times New Roman" w:cs="Times New Roman" w:eastAsia="Times New Roman" w:hAnsi="Times New Roman"/>
          <w:sz w:val="17"/>
          <w:szCs w:val="17"/>
          <w:i w:val="1"/>
          <w:iCs w:val="1"/>
          <w:color w:val="auto"/>
        </w:rPr>
        <w:t>“Lender”</w:t>
      </w:r>
      <w:r>
        <w:rPr>
          <w:rFonts w:ascii="Times New Roman" w:cs="Times New Roman" w:eastAsia="Times New Roman" w:hAnsi="Times New Roman"/>
          <w:sz w:val="17"/>
          <w:szCs w:val="17"/>
          <w:color w:val="auto"/>
        </w:rPr>
        <w:t>) or its permitted assigns on the Maturity Date of the hereinafter defined</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Credit Agreement, at the principal office of the Administrative Agent in New York, New York (or such other location as the Administrative Agent may designate to the Borrower), in immediately available funds, the principal sum of ___________________ Dollars ($__________)</w:t>
      </w:r>
    </w:p>
    <w:p>
      <w:pPr>
        <w:jc w:val="both"/>
        <w:spacing w:after="0" w:line="264" w:lineRule="auto"/>
        <w:rPr>
          <w:sz w:val="20"/>
          <w:szCs w:val="20"/>
          <w:color w:val="auto"/>
        </w:rPr>
      </w:pPr>
      <w:r>
        <w:rPr>
          <w:rFonts w:ascii="Times New Roman" w:cs="Times New Roman" w:eastAsia="Times New Roman" w:hAnsi="Times New Roman"/>
          <w:sz w:val="17"/>
          <w:szCs w:val="17"/>
          <w:color w:val="auto"/>
        </w:rPr>
        <w:t>or, if less, the aggregate unpaid principal amount of all Term Loans made by the Lender to the Borrower pursuant to the Credit Agreement, together with interest on the principal amount of each Term Loan from time to time outstanding hereunder at the rates, and payable in the manner and on the dates, specified in the Credit Agreement.</w:t>
      </w:r>
    </w:p>
    <w:p>
      <w:pPr>
        <w:spacing w:after="0" w:line="171"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 xml:space="preserve">This Note is one of the Term Notes referred to in the Credit Agreement dated as of May ___, 2021, among the Borrower, the Guarantors party thereto, the Lenders parties thereto, and Truist Bank, N.A., as Administrative Agent (as extended, renewed, amended or restated from time to time,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spacing w:after="0" w:line="175"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Voluntary prepayments may be made hereon, certain prepayments are required to be made hereon, and this Note may be declared due prior to the expressed maturity hereof, all in the events, on the terms and in the manner as provided for in the Credit Agreement.</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Borrower hereby waives demand, presentment, protest or notice of any kind hereunder.</w:t>
      </w: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ALPINE INCOME PROPERTY OP, LP</w:t>
      </w: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-123190</wp:posOffset>
            </wp:positionV>
            <wp:extent cx="288988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16510</wp:posOffset>
            </wp:positionV>
            <wp:extent cx="24504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2450465" cy="825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-123190</wp:posOffset>
            </wp:positionV>
            <wp:extent cx="24504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245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1058" w:right="999" w:bottom="1440" w:gutter="0" w:footer="0" w:header="0"/>
          <w:type w:val="continuous"/>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7"/>
          <w:szCs w:val="17"/>
          <w:b w:val="1"/>
          <w:bCs w:val="1"/>
          <w:color w:val="auto"/>
        </w:rPr>
        <w:t>EXHIBIT 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ectPr>
          <w:pgSz w:w="11900" w:h="16838" w:orient="portrait"/>
          <w:cols w:equalWidth="0" w:num="1">
            <w:col w:w="9920"/>
          </w:cols>
          <w:pgMar w:left="980" w:top="1058" w:right="999" w:bottom="1440" w:gutter="0" w:footer="0" w:header="0"/>
        </w:sect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Truist Bank, N.A., as Administrative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under, and the Lenders party to,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Agreement described below</w:t>
      </w:r>
    </w:p>
    <w:p>
      <w:pPr>
        <w:spacing w:after="0" w:line="177" w:lineRule="exact"/>
        <w:rPr>
          <w:sz w:val="20"/>
          <w:szCs w:val="20"/>
          <w:color w:val="auto"/>
        </w:rPr>
      </w:pPr>
    </w:p>
    <w:p>
      <w:pPr>
        <w:sectPr>
          <w:pgSz w:w="11900" w:h="16838" w:orient="portrait"/>
          <w:cols w:equalWidth="0" w:num="2">
            <w:col w:w="240" w:space="400"/>
            <w:col w:w="9280"/>
          </w:cols>
          <w:pgMar w:left="980" w:top="1058" w:right="999" w:bottom="1440" w:gutter="0" w:footer="0" w:header="0"/>
          <w:type w:val="continuous"/>
        </w:sect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 xml:space="preserve">This Compliance Certificate is furnished to the Administrative Agent and the Lenders pursuant to that certain Credit Agreement dated as of May 21, 2021, as amended, among Alpine Income Property OP, LP, as Borrower, the Guarantors signatory thereto, the Administrative Agent and the Lenders party thereto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 Unless otherwise defined herein, the terms used in this Compliance Certificate have the meanings ascribed thereto in the Credit Agreement</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UNDERSIGNED HEREBY CERTIFIES THAT:</w:t>
      </w:r>
    </w:p>
    <w:p>
      <w:pPr>
        <w:spacing w:after="0" w:line="222" w:lineRule="exact"/>
        <w:rPr>
          <w:sz w:val="20"/>
          <w:szCs w:val="20"/>
          <w:color w:val="auto"/>
        </w:rPr>
      </w:pPr>
    </w:p>
    <w:p>
      <w:pPr>
        <w:ind w:left="1020" w:hanging="389"/>
        <w:spacing w:after="0"/>
        <w:tabs>
          <w:tab w:leader="none" w:pos="10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duly elected ____________ of Alpine Income Property OP, LP;</w:t>
      </w:r>
    </w:p>
    <w:p>
      <w:pPr>
        <w:spacing w:after="0" w:line="221" w:lineRule="exact"/>
        <w:rPr>
          <w:rFonts w:ascii="Times New Roman" w:cs="Times New Roman" w:eastAsia="Times New Roman" w:hAnsi="Times New Roman"/>
          <w:sz w:val="17"/>
          <w:szCs w:val="17"/>
          <w:color w:val="auto"/>
        </w:rPr>
      </w:pPr>
    </w:p>
    <w:p>
      <w:pPr>
        <w:jc w:val="both"/>
        <w:ind w:firstLine="631"/>
        <w:spacing w:after="0" w:line="275" w:lineRule="auto"/>
        <w:tabs>
          <w:tab w:leader="none" w:pos="1121"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spacing w:after="0" w:line="162" w:lineRule="exact"/>
        <w:rPr>
          <w:rFonts w:ascii="Times New Roman" w:cs="Times New Roman" w:eastAsia="Times New Roman" w:hAnsi="Times New Roman"/>
          <w:sz w:val="17"/>
          <w:szCs w:val="17"/>
          <w:color w:val="auto"/>
        </w:rPr>
      </w:pPr>
    </w:p>
    <w:p>
      <w:pPr>
        <w:jc w:val="both"/>
        <w:ind w:firstLine="631"/>
        <w:spacing w:after="0" w:line="275" w:lineRule="auto"/>
        <w:tabs>
          <w:tab w:leader="none" w:pos="1043"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spacing w:after="0" w:line="162" w:lineRule="exact"/>
        <w:rPr>
          <w:rFonts w:ascii="Times New Roman" w:cs="Times New Roman" w:eastAsia="Times New Roman" w:hAnsi="Times New Roman"/>
          <w:sz w:val="17"/>
          <w:szCs w:val="17"/>
          <w:color w:val="auto"/>
        </w:rPr>
      </w:pPr>
    </w:p>
    <w:p>
      <w:pPr>
        <w:ind w:firstLine="631"/>
        <w:spacing w:after="0" w:line="294" w:lineRule="auto"/>
        <w:tabs>
          <w:tab w:leader="none" w:pos="109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required by Section 8.5 of the Credit Agreement and being furnished to you concurrently with this Compliance Certificate are true, correct and complete as of the date and for the periods covered thereby; and</w:t>
      </w:r>
    </w:p>
    <w:p>
      <w:pPr>
        <w:spacing w:after="0" w:line="146" w:lineRule="exact"/>
        <w:rPr>
          <w:rFonts w:ascii="Times New Roman" w:cs="Times New Roman" w:eastAsia="Times New Roman" w:hAnsi="Times New Roman"/>
          <w:sz w:val="17"/>
          <w:szCs w:val="17"/>
          <w:color w:val="auto"/>
        </w:rPr>
      </w:pPr>
    </w:p>
    <w:p>
      <w:pPr>
        <w:jc w:val="both"/>
        <w:ind w:firstLine="631"/>
        <w:spacing w:after="0" w:line="275" w:lineRule="auto"/>
        <w:tabs>
          <w:tab w:leader="none" w:pos="103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spacing w:after="0" w:line="163" w:lineRule="exact"/>
        <w:rPr>
          <w:sz w:val="20"/>
          <w:szCs w:val="20"/>
          <w:color w:val="auto"/>
        </w:rPr>
      </w:pPr>
    </w:p>
    <w:p>
      <w:pPr>
        <w:ind w:firstLine="626"/>
        <w:spacing w:after="0" w:line="294" w:lineRule="auto"/>
        <w:rPr>
          <w:sz w:val="20"/>
          <w:szCs w:val="20"/>
          <w:color w:val="auto"/>
        </w:rPr>
      </w:pPr>
      <w:r>
        <w:rPr>
          <w:rFonts w:ascii="Times New Roman" w:cs="Times New Roman" w:eastAsia="Times New Roman" w:hAnsi="Times New Roman"/>
          <w:sz w:val="17"/>
          <w:szCs w:val="17"/>
          <w:color w:val="auto"/>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6292215" cy="16510"/>
                    </a:xfrm>
                    <a:prstGeom prst="rect">
                      <a:avLst/>
                    </a:prstGeom>
                    <a:noFill/>
                  </pic:spPr>
                </pic:pic>
              </a:graphicData>
            </a:graphic>
          </wp:anchor>
        </w:drawing>
      </w:r>
    </w:p>
    <w:p>
      <w:pPr>
        <w:sectPr>
          <w:pgSz w:w="11900" w:h="16838" w:orient="portrait"/>
          <w:cols w:equalWidth="0" w:num="1">
            <w:col w:w="9920"/>
          </w:cols>
          <w:pgMar w:left="980" w:top="1058" w:right="999" w:bottom="1440" w:gutter="0" w:footer="0" w:header="0"/>
          <w:type w:val="continuous"/>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619125</wp:posOffset>
            </wp:positionV>
            <wp:extent cx="50342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751205</wp:posOffset>
            </wp:positionV>
            <wp:extent cx="50342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883920</wp:posOffset>
            </wp:positionV>
            <wp:extent cx="50342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5034280" cy="825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1016635</wp:posOffset>
            </wp:positionV>
            <wp:extent cx="50342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5034280" cy="8255"/>
                    </a:xfrm>
                    <a:prstGeom prst="rect">
                      <a:avLst/>
                    </a:prstGeom>
                    <a:noFill/>
                  </pic:spPr>
                </pic:pic>
              </a:graphicData>
            </a:graphic>
          </wp:anchor>
        </w:drawing>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foregoing certifications, together with the computations set forth in Schedule I hereto and the financial statements delivered with</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this Certificate in support hereof, are made and delivered this</w:t>
            </w:r>
          </w:p>
        </w:tc>
        <w:tc>
          <w:tcPr>
            <w:tcW w:w="440" w:type="dxa"/>
            <w:vAlign w:val="bottom"/>
            <w:tcBorders>
              <w:bottom w:val="single" w:sz="8" w:color="auto"/>
            </w:tcBorders>
          </w:tcPr>
          <w:p>
            <w:pPr>
              <w:spacing w:after="0"/>
              <w:rPr>
                <w:sz w:val="17"/>
                <w:szCs w:val="17"/>
                <w:color w:val="auto"/>
              </w:rPr>
            </w:pPr>
          </w:p>
        </w:tc>
        <w:tc>
          <w:tcPr>
            <w:tcW w:w="51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day of __________________, 20___.</w:t>
            </w:r>
          </w:p>
        </w:tc>
      </w:tr>
      <w:tr>
        <w:trPr>
          <w:trHeight w:val="449"/>
        </w:trPr>
        <w:tc>
          <w:tcPr>
            <w:tcW w:w="4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399"/>
        </w:trPr>
        <w:tc>
          <w:tcPr>
            <w:tcW w:w="4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By:  Alpine Income Property GP, LLC, a Delaware limited liability</w:t>
            </w:r>
          </w:p>
        </w:tc>
      </w:tr>
      <w:tr>
        <w:trPr>
          <w:trHeight w:val="227"/>
        </w:trPr>
        <w:tc>
          <w:tcPr>
            <w:tcW w:w="4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8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company, its General Partner</w:t>
            </w:r>
          </w:p>
        </w:tc>
      </w:tr>
      <w:tr>
        <w:trPr>
          <w:trHeight w:val="399"/>
        </w:trPr>
        <w:tc>
          <w:tcPr>
            <w:tcW w:w="4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By:  Alpine Income Property Trust, Inc., a Maryland corporation, its</w:t>
            </w:r>
          </w:p>
        </w:tc>
      </w:tr>
      <w:tr>
        <w:trPr>
          <w:trHeight w:val="227"/>
        </w:trPr>
        <w:tc>
          <w:tcPr>
            <w:tcW w:w="4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8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sole member</w:t>
            </w:r>
          </w:p>
        </w:tc>
      </w:tr>
      <w:tr>
        <w:trPr>
          <w:trHeight w:val="417"/>
        </w:trPr>
        <w:tc>
          <w:tcPr>
            <w:tcW w:w="4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By:</w:t>
            </w:r>
          </w:p>
        </w:tc>
      </w:tr>
      <w:tr>
        <w:trPr>
          <w:trHeight w:val="202"/>
        </w:trPr>
        <w:tc>
          <w:tcPr>
            <w:tcW w:w="4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Name:</w:t>
            </w:r>
          </w:p>
        </w:tc>
      </w:tr>
      <w:tr>
        <w:trPr>
          <w:trHeight w:val="202"/>
        </w:trPr>
        <w:tc>
          <w:tcPr>
            <w:tcW w:w="4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Title:</w:t>
            </w:r>
          </w:p>
        </w:tc>
        <w:tc>
          <w:tcPr>
            <w:tcW w:w="3860" w:type="dxa"/>
            <w:vAlign w:val="bottom"/>
            <w:tcBorders>
              <w:top w:val="single" w:sz="8" w:color="auto"/>
              <w:bottom w:val="single" w:sz="8" w:color="auto"/>
            </w:tcBorders>
          </w:tcPr>
          <w:p>
            <w:pPr>
              <w:spacing w:after="0"/>
              <w:rPr>
                <w:sz w:val="17"/>
                <w:szCs w:val="17"/>
                <w:color w:val="auto"/>
              </w:rPr>
            </w:pPr>
          </w:p>
        </w:tc>
      </w:tr>
      <w:tr>
        <w:trPr>
          <w:trHeight w:val="827"/>
        </w:trPr>
        <w:tc>
          <w:tcPr>
            <w:tcW w:w="4300" w:type="dxa"/>
            <w:vAlign w:val="bottom"/>
          </w:tcPr>
          <w:p>
            <w:pPr>
              <w:spacing w:after="0"/>
              <w:rPr>
                <w:sz w:val="24"/>
                <w:szCs w:val="24"/>
                <w:color w:val="auto"/>
              </w:rPr>
            </w:pPr>
          </w:p>
        </w:tc>
        <w:tc>
          <w:tcPr>
            <w:tcW w:w="562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[Exhibit E-2]</w:t>
            </w:r>
          </w:p>
        </w:tc>
      </w:tr>
      <w:tr>
        <w:trPr>
          <w:trHeight w:val="541"/>
        </w:trPr>
        <w:tc>
          <w:tcPr>
            <w:tcW w:w="4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0" w:right="99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7"/>
          <w:szCs w:val="17"/>
          <w:b w:val="1"/>
          <w:bCs w:val="1"/>
          <w:color w:val="auto"/>
        </w:rPr>
        <w:t>SCHEDULE I</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COMPLIANCE CERTIFICATE</w:t>
      </w:r>
    </w:p>
    <w:p>
      <w:pPr>
        <w:spacing w:after="0" w:line="22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COMPLIANCE CALCULATIONS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CREDIT AGREEMENT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DATED AS OF MAY 21, 2021, AS AMENDED</w:t>
      </w:r>
    </w:p>
    <w:p>
      <w:pPr>
        <w:spacing w:after="0" w:line="1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CALCULATIONS AS OF _____________,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281940</wp:posOffset>
            </wp:positionV>
            <wp:extent cx="62922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298450</wp:posOffset>
            </wp:positionV>
            <wp:extent cx="62922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5280" w:hanging="695"/>
        <w:spacing w:after="0" w:line="267" w:lineRule="auto"/>
        <w:tabs>
          <w:tab w:leader="none" w:pos="7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Total Indebtedness to Total Asset Value Ratio (Section 8.20(a))</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8"/>
              </w:rPr>
              <w:t>1.</w:t>
            </w:r>
          </w:p>
        </w:tc>
        <w:tc>
          <w:tcPr>
            <w:tcW w:w="41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Indebtedness</w:t>
            </w:r>
          </w:p>
        </w:tc>
        <w:tc>
          <w:tcPr>
            <w:tcW w:w="3460" w:type="dxa"/>
            <w:vAlign w:val="bottom"/>
            <w:gridSpan w:val="6"/>
          </w:tcPr>
          <w:p>
            <w:pPr>
              <w:jc w:val="center"/>
              <w:ind w:left="1413"/>
              <w:spacing w:after="0"/>
              <w:rPr>
                <w:sz w:val="20"/>
                <w:szCs w:val="20"/>
                <w:color w:val="auto"/>
              </w:rPr>
            </w:pPr>
            <w:r>
              <w:rPr>
                <w:rFonts w:ascii="Times New Roman" w:cs="Times New Roman" w:eastAsia="Times New Roman" w:hAnsi="Times New Roman"/>
                <w:sz w:val="17"/>
                <w:szCs w:val="17"/>
                <w:color w:val="auto"/>
              </w:rPr>
              <w:t>$___________</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8"/>
              </w:rPr>
              <w:t>2.</w:t>
            </w:r>
          </w:p>
        </w:tc>
        <w:tc>
          <w:tcPr>
            <w:tcW w:w="41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Asset Value as calculated on Exhibit A hereto</w:t>
            </w:r>
          </w:p>
        </w:tc>
        <w:tc>
          <w:tcPr>
            <w:tcW w:w="3460" w:type="dxa"/>
            <w:vAlign w:val="bottom"/>
            <w:gridSpan w:val="6"/>
          </w:tcPr>
          <w:p>
            <w:pPr>
              <w:jc w:val="center"/>
              <w:ind w:left="1413"/>
              <w:spacing w:after="0"/>
              <w:rPr>
                <w:sz w:val="20"/>
                <w:szCs w:val="20"/>
                <w:color w:val="auto"/>
              </w:rPr>
            </w:pPr>
            <w:r>
              <w:rPr>
                <w:rFonts w:ascii="Times New Roman" w:cs="Times New Roman" w:eastAsia="Times New Roman" w:hAnsi="Times New Roman"/>
                <w:sz w:val="17"/>
                <w:szCs w:val="17"/>
                <w:color w:val="auto"/>
              </w:rPr>
              <w:t>___________</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8"/>
              </w:rPr>
              <w:t>3.</w:t>
            </w:r>
          </w:p>
        </w:tc>
        <w:tc>
          <w:tcPr>
            <w:tcW w:w="41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Ratio of Line A1 to A2</w:t>
            </w:r>
          </w:p>
        </w:tc>
        <w:tc>
          <w:tcPr>
            <w:tcW w:w="3460" w:type="dxa"/>
            <w:vAlign w:val="bottom"/>
            <w:gridSpan w:val="6"/>
          </w:tcPr>
          <w:p>
            <w:pPr>
              <w:jc w:val="center"/>
              <w:ind w:left="1413"/>
              <w:spacing w:after="0"/>
              <w:rPr>
                <w:sz w:val="20"/>
                <w:szCs w:val="20"/>
                <w:color w:val="auto"/>
              </w:rPr>
            </w:pPr>
            <w:r>
              <w:rPr>
                <w:rFonts w:ascii="Times New Roman" w:cs="Times New Roman" w:eastAsia="Times New Roman" w:hAnsi="Times New Roman"/>
                <w:sz w:val="17"/>
                <w:szCs w:val="17"/>
                <w:color w:val="auto"/>
                <w:w w:val="99"/>
              </w:rPr>
              <w:t>____:1.0</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8"/>
              </w:rPr>
              <w:t>4.</w:t>
            </w:r>
          </w:p>
        </w:tc>
        <w:tc>
          <w:tcPr>
            <w:tcW w:w="41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Line A3 must not exceed</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0.60:1.0</w:t>
            </w:r>
          </w:p>
        </w:tc>
        <w:tc>
          <w:tcPr>
            <w:tcW w:w="40" w:type="dxa"/>
            <w:vAlign w:val="bottom"/>
          </w:tcPr>
          <w:p>
            <w:pPr>
              <w:spacing w:after="0"/>
              <w:rPr>
                <w:sz w:val="24"/>
                <w:szCs w:val="24"/>
                <w:color w:val="auto"/>
              </w:rPr>
            </w:pPr>
          </w:p>
        </w:tc>
        <w:tc>
          <w:tcPr>
            <w:tcW w:w="3760" w:type="dxa"/>
            <w:vAlign w:val="bottom"/>
            <w:tcBorders>
              <w:bottom w:val="single" w:sz="8" w:color="4472C4"/>
            </w:tcBorders>
            <w:gridSpan w:val="4"/>
          </w:tcPr>
          <w:p>
            <w:pPr>
              <w:spacing w:after="0"/>
              <w:rPr>
                <w:sz w:val="20"/>
                <w:szCs w:val="20"/>
                <w:color w:val="auto"/>
              </w:rPr>
            </w:pPr>
            <w:r>
              <w:rPr>
                <w:rFonts w:ascii="Times New Roman" w:cs="Times New Roman" w:eastAsia="Times New Roman" w:hAnsi="Times New Roman"/>
                <w:sz w:val="17"/>
                <w:szCs w:val="17"/>
                <w:color w:val="4472C4"/>
              </w:rPr>
              <w:t>0.60:1.0 (or 0.65 to 1.00 if a Material Acquisition was</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4472C4"/>
            </w:tcBorders>
          </w:tcPr>
          <w:p>
            <w:pPr>
              <w:spacing w:after="0" w:line="20" w:lineRule="exact"/>
              <w:rPr>
                <w:sz w:val="1"/>
                <w:szCs w:val="1"/>
                <w:color w:val="auto"/>
              </w:rPr>
            </w:pPr>
          </w:p>
        </w:tc>
        <w:tc>
          <w:tcPr>
            <w:tcW w:w="1960" w:type="dxa"/>
            <w:vAlign w:val="bottom"/>
            <w:tcBorders>
              <w:bottom w:val="single" w:sz="8" w:color="4472C4"/>
            </w:tcBorders>
          </w:tcPr>
          <w:p>
            <w:pPr>
              <w:spacing w:after="0" w:line="20" w:lineRule="exact"/>
              <w:rPr>
                <w:sz w:val="1"/>
                <w:szCs w:val="1"/>
                <w:color w:val="auto"/>
              </w:rPr>
            </w:pPr>
          </w:p>
        </w:tc>
        <w:tc>
          <w:tcPr>
            <w:tcW w:w="960" w:type="dxa"/>
            <w:vAlign w:val="bottom"/>
            <w:tcBorders>
              <w:bottom w:val="single" w:sz="8" w:color="4472C4"/>
            </w:tcBorders>
          </w:tcPr>
          <w:p>
            <w:pPr>
              <w:spacing w:after="0" w:line="20" w:lineRule="exact"/>
              <w:rPr>
                <w:sz w:val="1"/>
                <w:szCs w:val="1"/>
                <w:color w:val="auto"/>
              </w:rPr>
            </w:pPr>
          </w:p>
        </w:tc>
        <w:tc>
          <w:tcPr>
            <w:tcW w:w="240" w:type="dxa"/>
            <w:vAlign w:val="bottom"/>
            <w:tcBorders>
              <w:bottom w:val="single" w:sz="8" w:color="4472C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140" w:type="dxa"/>
            <w:vAlign w:val="bottom"/>
            <w:gridSpan w:val="7"/>
          </w:tcPr>
          <w:p>
            <w:pPr>
              <w:jc w:val="center"/>
              <w:ind w:right="220"/>
              <w:spacing w:after="0" w:line="149" w:lineRule="exact"/>
              <w:rPr>
                <w:sz w:val="20"/>
                <w:szCs w:val="20"/>
                <w:color w:val="auto"/>
              </w:rPr>
            </w:pPr>
            <w:r>
              <w:rPr>
                <w:rFonts w:ascii="Times New Roman" w:cs="Times New Roman" w:eastAsia="Times New Roman" w:hAnsi="Times New Roman"/>
                <w:sz w:val="17"/>
                <w:szCs w:val="17"/>
                <w:color w:val="4472C4"/>
              </w:rPr>
              <w:t>consummated in such Fiscal Quarter or the immediately</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1960" w:type="dxa"/>
            <w:vAlign w:val="bottom"/>
            <w:tcBorders>
              <w:top w:val="single" w:sz="8" w:color="4472C4"/>
              <w:bottom w:val="single" w:sz="8" w:color="4472C4"/>
            </w:tcBorders>
          </w:tcPr>
          <w:p>
            <w:pPr>
              <w:spacing w:after="0" w:line="20" w:lineRule="exact"/>
              <w:rPr>
                <w:sz w:val="1"/>
                <w:szCs w:val="1"/>
                <w:color w:val="auto"/>
              </w:rPr>
            </w:pPr>
          </w:p>
        </w:tc>
        <w:tc>
          <w:tcPr>
            <w:tcW w:w="960" w:type="dxa"/>
            <w:vAlign w:val="bottom"/>
            <w:tcBorders>
              <w:top w:val="single" w:sz="8" w:color="4472C4"/>
              <w:bottom w:val="single" w:sz="8" w:color="4472C4"/>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7"/>
                <w:szCs w:val="17"/>
                <w:color w:val="4472C4"/>
              </w:rPr>
              <w:t>preceding 3 Fiscal Quarters)</w:t>
            </w: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tcBorders>
              <w:top w:val="single" w:sz="8" w:color="4472C4"/>
              <w:bottom w:val="single" w:sz="8" w:color="4472C4"/>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8"/>
              </w:rPr>
              <w:t>5.</w:t>
            </w:r>
          </w:p>
        </w:tc>
        <w:tc>
          <w:tcPr>
            <w:tcW w:w="41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Borrower is in compliance (circle yes or no)</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60" w:type="dxa"/>
            <w:vAlign w:val="bottom"/>
            <w:gridSpan w:val="3"/>
          </w:tcPr>
          <w:p>
            <w:pPr>
              <w:jc w:val="center"/>
              <w:ind w:right="1200"/>
              <w:spacing w:after="0"/>
              <w:rPr>
                <w:sz w:val="20"/>
                <w:szCs w:val="20"/>
                <w:color w:val="auto"/>
              </w:rPr>
            </w:pPr>
            <w:r>
              <w:rPr>
                <w:rFonts w:ascii="Times New Roman" w:cs="Times New Roman" w:eastAsia="Times New Roman" w:hAnsi="Times New Roman"/>
                <w:sz w:val="17"/>
                <w:szCs w:val="17"/>
                <w:color w:val="auto"/>
                <w:w w:val="99"/>
              </w:rPr>
              <w:t>yes/no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00" w:hanging="695"/>
        <w:spacing w:after="0"/>
        <w:tabs>
          <w:tab w:leader="none" w:pos="70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Secured Indebtedness to Total Asset Value Ratio</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(Section 8.20(b))</w:t>
            </w:r>
          </w:p>
        </w:tc>
        <w:tc>
          <w:tcPr>
            <w:tcW w:w="404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228"/>
        </w:trPr>
        <w:tc>
          <w:tcPr>
            <w:tcW w:w="10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1.</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Secured Indebtedness</w:t>
            </w:r>
          </w:p>
        </w:tc>
        <w:tc>
          <w:tcPr>
            <w:tcW w:w="3980" w:type="dxa"/>
            <w:vAlign w:val="bottom"/>
          </w:tcPr>
          <w:p>
            <w:pPr>
              <w:jc w:val="center"/>
              <w:ind w:right="61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10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2.</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Asset Value as calculated on Exhibit A hereto</w:t>
            </w:r>
          </w:p>
        </w:tc>
        <w:tc>
          <w:tcPr>
            <w:tcW w:w="3980" w:type="dxa"/>
            <w:vAlign w:val="bottom"/>
          </w:tcPr>
          <w:p>
            <w:pPr>
              <w:jc w:val="center"/>
              <w:ind w:right="61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10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3.</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Ratio of Line B1 to B2</w:t>
            </w:r>
          </w:p>
        </w:tc>
        <w:tc>
          <w:tcPr>
            <w:tcW w:w="3980" w:type="dxa"/>
            <w:vAlign w:val="bottom"/>
          </w:tcPr>
          <w:p>
            <w:pPr>
              <w:jc w:val="center"/>
              <w:ind w:right="613"/>
              <w:spacing w:after="0"/>
              <w:rPr>
                <w:sz w:val="20"/>
                <w:szCs w:val="20"/>
                <w:color w:val="auto"/>
              </w:rPr>
            </w:pPr>
            <w:r>
              <w:rPr>
                <w:rFonts w:ascii="Times New Roman" w:cs="Times New Roman" w:eastAsia="Times New Roman" w:hAnsi="Times New Roman"/>
                <w:sz w:val="17"/>
                <w:szCs w:val="17"/>
                <w:color w:val="auto"/>
                <w:w w:val="99"/>
              </w:rPr>
              <w:t>____:1.0</w:t>
            </w:r>
          </w:p>
        </w:tc>
      </w:tr>
      <w:tr>
        <w:trPr>
          <w:trHeight w:val="417"/>
        </w:trPr>
        <w:tc>
          <w:tcPr>
            <w:tcW w:w="10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4.</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Line B3 must not exceed</w:t>
            </w:r>
          </w:p>
        </w:tc>
        <w:tc>
          <w:tcPr>
            <w:tcW w:w="3980" w:type="dxa"/>
            <w:vAlign w:val="bottom"/>
          </w:tcPr>
          <w:p>
            <w:pPr>
              <w:jc w:val="center"/>
              <w:ind w:right="613"/>
              <w:spacing w:after="0"/>
              <w:rPr>
                <w:sz w:val="20"/>
                <w:szCs w:val="20"/>
                <w:color w:val="auto"/>
              </w:rPr>
            </w:pPr>
            <w:r>
              <w:rPr>
                <w:rFonts w:ascii="Times New Roman" w:cs="Times New Roman" w:eastAsia="Times New Roman" w:hAnsi="Times New Roman"/>
                <w:sz w:val="17"/>
                <w:szCs w:val="17"/>
                <w:color w:val="auto"/>
              </w:rPr>
              <w:t>0.40:1.0</w:t>
            </w:r>
          </w:p>
        </w:tc>
      </w:tr>
      <w:tr>
        <w:trPr>
          <w:trHeight w:val="417"/>
        </w:trPr>
        <w:tc>
          <w:tcPr>
            <w:tcW w:w="10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5.</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The Borrower is in compliance (circle yes or no)</w:t>
            </w:r>
          </w:p>
        </w:tc>
        <w:tc>
          <w:tcPr>
            <w:tcW w:w="398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yes/no</w:t>
            </w:r>
          </w:p>
        </w:tc>
      </w:tr>
      <w:tr>
        <w:trPr>
          <w:trHeight w:val="1584"/>
        </w:trPr>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58" w:right="999" w:bottom="1440" w:gutter="0" w:footer="0" w:header="0"/>
        </w:sectPr>
      </w:pPr>
    </w:p>
    <w:bookmarkStart w:id="187" w:name="page188"/>
    <w:bookmarkEnd w:id="187"/>
    <w:p>
      <w:pPr>
        <w:ind w:left="695" w:right="4459" w:hanging="695"/>
        <w:spacing w:after="0" w:line="267" w:lineRule="auto"/>
        <w:tabs>
          <w:tab w:leader="none" w:pos="69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Minimum </w:t>
      </w:r>
      <w:r>
        <w:rPr>
          <w:rFonts w:ascii="Times New Roman" w:cs="Times New Roman" w:eastAsia="Times New Roman" w:hAnsi="Times New Roman"/>
          <w:sz w:val="17"/>
          <w:szCs w:val="17"/>
          <w:color w:val="FF0000"/>
          <w:strike w:val="1"/>
        </w:rPr>
        <w:t>Adjusted</w:t>
      </w:r>
      <w:r>
        <w:rPr>
          <w:rFonts w:ascii="Times New Roman" w:cs="Times New Roman" w:eastAsia="Times New Roman" w:hAnsi="Times New Roman"/>
          <w:sz w:val="17"/>
          <w:szCs w:val="17"/>
          <w:u w:val="single" w:color="auto"/>
          <w:color w:val="auto"/>
        </w:rPr>
        <w:t xml:space="preserve"> EBITDA to Fixed Charges Ratio (Section 8.20(c))</w:t>
      </w:r>
    </w:p>
    <w:p>
      <w:pPr>
        <w:spacing w:after="0" w:line="1" w:lineRule="exact"/>
        <w:rPr>
          <w:sz w:val="20"/>
          <w:szCs w:val="20"/>
          <w:color w:val="auto"/>
        </w:rPr>
      </w:pPr>
    </w:p>
    <w:tbl>
      <w:tblPr>
        <w:tblLayout w:type="fixed"/>
        <w:tblInd w:w="635"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399"/>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Interest Expense</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Income tax expense</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Extraordinary, unrealized or non-recurring losses</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Non-Cash Compensation Paid in Equity Securities</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Extraordinary, unrealized or non-recurring gains</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Income tax benefits</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Sum of Lines C2, C3, C4, C5 and C6</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Sum of Lines C7 and C8</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 xml:space="preserve">Line C1 plus Line C9 minus Line C10 </w:t>
            </w:r>
            <w:r>
              <w:rPr>
                <w:rFonts w:ascii="Times New Roman" w:cs="Times New Roman" w:eastAsia="Times New Roman" w:hAnsi="Times New Roman"/>
                <w:sz w:val="17"/>
                <w:szCs w:val="17"/>
                <w:i w:val="1"/>
                <w:iCs w:val="1"/>
                <w:color w:val="auto"/>
              </w:rPr>
              <w:t>(“EBITDA”</w:t>
            </w:r>
            <w:r>
              <w:rPr>
                <w:rFonts w:ascii="Times New Roman" w:cs="Times New Roman" w:eastAsia="Times New Roman" w:hAnsi="Times New Roman"/>
                <w:sz w:val="17"/>
                <w:szCs w:val="17"/>
                <w:color w:val="auto"/>
              </w:rPr>
              <w:t>)</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FF0000"/>
                <w:strike w:val="1"/>
              </w:rPr>
              <w:t>12.</w:t>
            </w:r>
          </w:p>
        </w:tc>
        <w:tc>
          <w:tcPr>
            <w:tcW w:w="160" w:type="dxa"/>
            <w:vAlign w:val="bottom"/>
          </w:tcPr>
          <w:p>
            <w:pPr>
              <w:spacing w:after="0"/>
              <w:rPr>
                <w:sz w:val="24"/>
                <w:szCs w:val="24"/>
                <w:color w:val="auto"/>
              </w:rPr>
            </w:pPr>
          </w:p>
        </w:tc>
        <w:tc>
          <w:tcPr>
            <w:tcW w:w="28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FF0000"/>
                <w:strike w:val="1"/>
              </w:rPr>
              <w:t>Annual Capital Expenditure Reserve</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417"/>
        </w:trPr>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FF0000"/>
                <w:strike w:val="1"/>
              </w:rPr>
              <w:t>13.</w:t>
            </w:r>
          </w:p>
        </w:tc>
        <w:tc>
          <w:tcPr>
            <w:tcW w:w="160" w:type="dxa"/>
            <w:vAlign w:val="bottom"/>
          </w:tcPr>
          <w:p>
            <w:pPr>
              <w:spacing w:after="0"/>
              <w:rPr>
                <w:sz w:val="24"/>
                <w:szCs w:val="24"/>
                <w:color w:val="auto"/>
              </w:rPr>
            </w:pP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FF0000"/>
                <w:strike w:val="1"/>
              </w:rPr>
              <w:t>Line C11 minus Line C12 (</w:t>
            </w:r>
            <w:r>
              <w:rPr>
                <w:rFonts w:ascii="Times New Roman" w:cs="Times New Roman" w:eastAsia="Times New Roman" w:hAnsi="Times New Roman"/>
                <w:sz w:val="17"/>
                <w:szCs w:val="17"/>
                <w:i w:val="1"/>
                <w:iCs w:val="1"/>
                <w:color w:val="FF0000"/>
                <w:strike w:val="1"/>
              </w:rPr>
              <w:t>“Adjusted EBITDA”</w:t>
            </w:r>
            <w:r>
              <w:rPr>
                <w:rFonts w:ascii="Times New Roman" w:cs="Times New Roman" w:eastAsia="Times New Roman" w:hAnsi="Times New Roman"/>
                <w:sz w:val="17"/>
                <w:szCs w:val="17"/>
                <w:color w:val="FF0000"/>
                <w:strike w:val="1"/>
              </w:rPr>
              <w:t>)</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378"/>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82"/>
              </w:rPr>
              <w:t>14</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4472C4"/>
              </w:rPr>
              <w:t>12</w:t>
            </w:r>
            <w:r>
              <w:rPr>
                <w:rFonts w:ascii="Times New Roman" w:cs="Times New Roman" w:eastAsia="Times New Roman" w:hAnsi="Times New Roman"/>
                <w:sz w:val="17"/>
                <w:szCs w:val="17"/>
                <w:color w:val="000000"/>
              </w:rPr>
              <w:t>.</w:t>
            </w: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Interest Expense</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5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82"/>
              </w:rPr>
              <w:t>15</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4472C4"/>
              </w:rPr>
              <w:t>13</w:t>
            </w:r>
            <w:r>
              <w:rPr>
                <w:rFonts w:ascii="Times New Roman" w:cs="Times New Roman" w:eastAsia="Times New Roman" w:hAnsi="Times New Roman"/>
                <w:sz w:val="17"/>
                <w:szCs w:val="17"/>
                <w:color w:val="000000"/>
              </w:rPr>
              <w:t>.</w:t>
            </w: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Principal Amortization Payments</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5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82"/>
              </w:rPr>
              <w:t>16</w:t>
            </w:r>
          </w:p>
        </w:tc>
        <w:tc>
          <w:tcPr>
            <w:tcW w:w="4140" w:type="dxa"/>
            <w:vAlign w:val="bottom"/>
            <w:gridSpan w:val="9"/>
          </w:tcPr>
          <w:p>
            <w:pPr>
              <w:spacing w:after="0"/>
              <w:rPr>
                <w:sz w:val="20"/>
                <w:szCs w:val="20"/>
                <w:color w:val="auto"/>
              </w:rPr>
            </w:pPr>
            <w:r>
              <w:rPr>
                <w:rFonts w:ascii="Times New Roman" w:cs="Times New Roman" w:eastAsia="Times New Roman" w:hAnsi="Times New Roman"/>
                <w:sz w:val="17"/>
                <w:szCs w:val="17"/>
                <w:color w:val="4472C4"/>
              </w:rPr>
              <w:t>14</w:t>
            </w:r>
            <w:r>
              <w:rPr>
                <w:rFonts w:ascii="Times New Roman" w:cs="Times New Roman" w:eastAsia="Times New Roman" w:hAnsi="Times New Roman"/>
                <w:sz w:val="17"/>
                <w:szCs w:val="17"/>
                <w:color w:val="000000"/>
              </w:rPr>
              <w:t>.   Dividends on Preferred Stock</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5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82"/>
              </w:rPr>
              <w:t>17</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4472C4"/>
              </w:rPr>
              <w:t>15</w:t>
            </w:r>
            <w:r>
              <w:rPr>
                <w:rFonts w:ascii="Times New Roman" w:cs="Times New Roman" w:eastAsia="Times New Roman" w:hAnsi="Times New Roman"/>
                <w:sz w:val="17"/>
                <w:szCs w:val="17"/>
                <w:color w:val="000000"/>
              </w:rPr>
              <w:t>.</w:t>
            </w:r>
          </w:p>
        </w:tc>
        <w:tc>
          <w:tcPr>
            <w:tcW w:w="380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rPr>
              <w:t>Income Taxes Paid</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57"/>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82"/>
              </w:rPr>
              <w:t>18</w:t>
            </w:r>
          </w:p>
        </w:tc>
        <w:tc>
          <w:tcPr>
            <w:tcW w:w="2460" w:type="dxa"/>
            <w:vAlign w:val="bottom"/>
            <w:gridSpan w:val="5"/>
          </w:tcPr>
          <w:p>
            <w:pPr>
              <w:spacing w:after="0"/>
              <w:rPr>
                <w:sz w:val="20"/>
                <w:szCs w:val="20"/>
                <w:color w:val="auto"/>
              </w:rPr>
            </w:pPr>
            <w:r>
              <w:rPr>
                <w:rFonts w:ascii="Times New Roman" w:cs="Times New Roman" w:eastAsia="Times New Roman" w:hAnsi="Times New Roman"/>
                <w:sz w:val="17"/>
                <w:szCs w:val="17"/>
                <w:color w:val="4472C4"/>
              </w:rPr>
              <w:t>16</w:t>
            </w:r>
            <w:r>
              <w:rPr>
                <w:rFonts w:ascii="Times New Roman" w:cs="Times New Roman" w:eastAsia="Times New Roman" w:hAnsi="Times New Roman"/>
                <w:sz w:val="17"/>
                <w:szCs w:val="17"/>
                <w:color w:val="000000"/>
              </w:rPr>
              <w:t>.   Sum of Lines</w:t>
            </w:r>
            <w:r>
              <w:rPr>
                <w:rFonts w:ascii="Times New Roman" w:cs="Times New Roman" w:eastAsia="Times New Roman" w:hAnsi="Times New Roman"/>
                <w:sz w:val="17"/>
                <w:szCs w:val="17"/>
                <w:color w:val="4472C4"/>
              </w:rPr>
              <w:t xml:space="preserve"> C12, C13, </w:t>
            </w:r>
            <w:r>
              <w:rPr>
                <w:rFonts w:ascii="Times New Roman" w:cs="Times New Roman" w:eastAsia="Times New Roman" w:hAnsi="Times New Roman"/>
                <w:sz w:val="17"/>
                <w:szCs w:val="17"/>
                <w:color w:val="000000"/>
              </w:rPr>
              <w:t>C14</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FF0000"/>
                <w:strike w:val="1"/>
              </w:rPr>
              <w:t>, C15, C16</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and</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91"/>
              </w:rPr>
              <w:t>C17</w:t>
            </w: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4472C4"/>
                <w:w w:val="98"/>
              </w:rPr>
              <w:t>C15</w:t>
            </w:r>
          </w:p>
        </w:tc>
        <w:tc>
          <w:tcPr>
            <w:tcW w:w="316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___________</w:t>
            </w: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4472C4"/>
              <w:bottom w:val="single" w:sz="8" w:color="4472C4"/>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08"/>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“Fixed Charges”</w:t>
            </w: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35"/>
        <w:spacing w:after="0"/>
        <w:rPr>
          <w:sz w:val="20"/>
          <w:szCs w:val="20"/>
          <w:color w:val="auto"/>
        </w:rPr>
      </w:pPr>
      <w:r>
        <w:rPr>
          <w:rFonts w:ascii="Times New Roman" w:cs="Times New Roman" w:eastAsia="Times New Roman" w:hAnsi="Times New Roman"/>
          <w:sz w:val="17"/>
          <w:szCs w:val="17"/>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351155</wp:posOffset>
            </wp:positionV>
            <wp:extent cx="6292215" cy="247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4"/>
          </w:cols>
          <w:pgMar w:left="985" w:top="1073" w:right="1440" w:bottom="1440" w:gutter="0" w:footer="0" w:header="0"/>
        </w:sectPr>
      </w:pPr>
    </w:p>
    <w:bookmarkStart w:id="188" w:name="page189"/>
    <w:bookmarkEnd w:id="188"/>
    <w:tbl>
      <w:tblPr>
        <w:tblLayout w:type="fixed"/>
        <w:tblInd w:w="635" w:type="dxa"/>
        <w:tblCellMar>
          <w:top w:w="0" w:type="dxa"/>
          <w:left w:w="0" w:type="dxa"/>
          <w:bottom w:w="0" w:type="dxa"/>
          <w:right w:w="0" w:type="dxa"/>
        </w:tblCellMar>
      </w:tblPr>
      <w:tr>
        <w:trPr>
          <w:trHeight w:val="28"/>
        </w:trPr>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82"/>
              </w:rPr>
              <w:t>19</w:t>
            </w:r>
          </w:p>
        </w:tc>
        <w:tc>
          <w:tcPr>
            <w:tcW w:w="14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4472C4"/>
              </w:rPr>
              <w:t>17</w:t>
            </w:r>
            <w:r>
              <w:rPr>
                <w:rFonts w:ascii="Times New Roman" w:cs="Times New Roman" w:eastAsia="Times New Roman" w:hAnsi="Times New Roman"/>
                <w:sz w:val="17"/>
                <w:szCs w:val="17"/>
                <w:color w:val="000000"/>
              </w:rPr>
              <w:t>.   Ratio of Line</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FF0000"/>
                <w:strike w:val="1"/>
                <w:w w:val="91"/>
              </w:rPr>
              <w:t>C13</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4472C4"/>
              </w:rPr>
              <w:t xml:space="preserve">C11 </w:t>
            </w:r>
            <w:r>
              <w:rPr>
                <w:rFonts w:ascii="Times New Roman" w:cs="Times New Roman" w:eastAsia="Times New Roman" w:hAnsi="Times New Roman"/>
                <w:sz w:val="17"/>
                <w:szCs w:val="17"/>
                <w:color w:val="000000"/>
              </w:rPr>
              <w:t>to Line</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FF0000"/>
                <w:strike w:val="1"/>
                <w:w w:val="91"/>
              </w:rPr>
              <w:t>C18</w:t>
            </w: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4472C4"/>
              </w:rPr>
              <w:t>C16</w:t>
            </w:r>
          </w:p>
        </w:tc>
        <w:tc>
          <w:tcPr>
            <w:tcW w:w="1920" w:type="dxa"/>
            <w:vAlign w:val="bottom"/>
            <w:vMerge w:val="restart"/>
          </w:tcPr>
          <w:p>
            <w:pPr>
              <w:jc w:val="center"/>
              <w:ind w:left="1233"/>
              <w:spacing w:after="0"/>
              <w:rPr>
                <w:sz w:val="20"/>
                <w:szCs w:val="20"/>
                <w:color w:val="auto"/>
              </w:rPr>
            </w:pPr>
            <w:r>
              <w:rPr>
                <w:rFonts w:ascii="Times New Roman" w:cs="Times New Roman" w:eastAsia="Times New Roman" w:hAnsi="Times New Roman"/>
                <w:sz w:val="17"/>
                <w:szCs w:val="17"/>
                <w:color w:val="auto"/>
                <w:w w:val="99"/>
              </w:rPr>
              <w:t>____:1.0</w:t>
            </w:r>
          </w:p>
        </w:tc>
        <w:tc>
          <w:tcPr>
            <w:tcW w:w="0" w:type="dxa"/>
            <w:vAlign w:val="bottom"/>
          </w:tcPr>
          <w:p>
            <w:pPr>
              <w:spacing w:after="0" w:line="20" w:lineRule="exact"/>
              <w:rPr>
                <w:sz w:val="1"/>
                <w:szCs w:val="1"/>
                <w:color w:val="auto"/>
              </w:rPr>
            </w:pPr>
          </w:p>
        </w:tc>
      </w:tr>
      <w:tr>
        <w:trPr>
          <w:trHeight w:val="168"/>
        </w:trPr>
        <w:tc>
          <w:tcPr>
            <w:tcW w:w="160" w:type="dxa"/>
            <w:vAlign w:val="bottom"/>
            <w:vMerge w:val="continue"/>
          </w:tcPr>
          <w:p>
            <w:pPr>
              <w:spacing w:after="0"/>
              <w:rPr>
                <w:sz w:val="14"/>
                <w:szCs w:val="14"/>
                <w:color w:val="auto"/>
              </w:rPr>
            </w:pPr>
          </w:p>
        </w:tc>
        <w:tc>
          <w:tcPr>
            <w:tcW w:w="1420" w:type="dxa"/>
            <w:vAlign w:val="bottom"/>
            <w:gridSpan w:val="6"/>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4472C4"/>
              <w:bottom w:val="single" w:sz="8" w:color="4472C4"/>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82"/>
              </w:rPr>
              <w:t>20</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4472C4"/>
              </w:rPr>
              <w:t>18</w:t>
            </w:r>
            <w:r>
              <w:rPr>
                <w:rFonts w:ascii="Times New Roman" w:cs="Times New Roman" w:eastAsia="Times New Roman" w:hAnsi="Times New Roman"/>
                <w:sz w:val="17"/>
                <w:szCs w:val="17"/>
                <w:color w:val="000000"/>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Line</w:t>
            </w: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98"/>
              </w:rPr>
              <w:t>C19</w:t>
            </w:r>
          </w:p>
        </w:tc>
        <w:tc>
          <w:tcPr>
            <w:tcW w:w="4060" w:type="dxa"/>
            <w:vAlign w:val="bottom"/>
            <w:gridSpan w:val="8"/>
          </w:tcPr>
          <w:p>
            <w:pPr>
              <w:spacing w:after="0"/>
              <w:rPr>
                <w:sz w:val="20"/>
                <w:szCs w:val="20"/>
                <w:color w:val="auto"/>
              </w:rPr>
            </w:pPr>
            <w:r>
              <w:rPr>
                <w:rFonts w:ascii="Times New Roman" w:cs="Times New Roman" w:eastAsia="Times New Roman" w:hAnsi="Times New Roman"/>
                <w:sz w:val="17"/>
                <w:szCs w:val="17"/>
                <w:color w:val="4472C4"/>
              </w:rPr>
              <w:t xml:space="preserve">C17 </w:t>
            </w:r>
            <w:r>
              <w:rPr>
                <w:rFonts w:ascii="Times New Roman" w:cs="Times New Roman" w:eastAsia="Times New Roman" w:hAnsi="Times New Roman"/>
                <w:sz w:val="17"/>
                <w:szCs w:val="17"/>
                <w:color w:val="000000"/>
              </w:rPr>
              <w:t>shall not be less than</w:t>
            </w:r>
          </w:p>
        </w:tc>
        <w:tc>
          <w:tcPr>
            <w:tcW w:w="1920" w:type="dxa"/>
            <w:vAlign w:val="bottom"/>
          </w:tcPr>
          <w:p>
            <w:pPr>
              <w:jc w:val="center"/>
              <w:ind w:left="1233"/>
              <w:spacing w:after="0"/>
              <w:rPr>
                <w:sz w:val="20"/>
                <w:szCs w:val="20"/>
                <w:color w:val="auto"/>
              </w:rPr>
            </w:pPr>
            <w:r>
              <w:rPr>
                <w:rFonts w:ascii="Times New Roman" w:cs="Times New Roman" w:eastAsia="Times New Roman" w:hAnsi="Times New Roman"/>
                <w:sz w:val="17"/>
                <w:szCs w:val="17"/>
                <w:color w:val="auto"/>
              </w:rPr>
              <w:t>1.50:1.0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4472C4"/>
              <w:bottom w:val="single" w:sz="8" w:color="4472C4"/>
            </w:tcBorders>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82"/>
              </w:rPr>
              <w:t>21</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4472C4"/>
              </w:rPr>
              <w:t>19</w:t>
            </w:r>
            <w:r>
              <w:rPr>
                <w:rFonts w:ascii="Times New Roman" w:cs="Times New Roman" w:eastAsia="Times New Roman" w:hAnsi="Times New Roman"/>
                <w:sz w:val="17"/>
                <w:szCs w:val="17"/>
                <w:color w:val="000000"/>
              </w:rPr>
              <w:t>.</w:t>
            </w:r>
          </w:p>
        </w:tc>
        <w:tc>
          <w:tcPr>
            <w:tcW w:w="4820" w:type="dxa"/>
            <w:vAlign w:val="bottom"/>
            <w:gridSpan w:val="10"/>
          </w:tcPr>
          <w:p>
            <w:pPr>
              <w:ind w:left="100"/>
              <w:spacing w:after="0"/>
              <w:rPr>
                <w:sz w:val="20"/>
                <w:szCs w:val="20"/>
                <w:color w:val="auto"/>
              </w:rPr>
            </w:pPr>
            <w:r>
              <w:rPr>
                <w:rFonts w:ascii="Times New Roman" w:cs="Times New Roman" w:eastAsia="Times New Roman" w:hAnsi="Times New Roman"/>
                <w:sz w:val="17"/>
                <w:szCs w:val="17"/>
                <w:color w:val="auto"/>
              </w:rPr>
              <w:t>The Borrower is in compliance (circle yes or no)</w:t>
            </w:r>
          </w:p>
        </w:tc>
        <w:tc>
          <w:tcPr>
            <w:tcW w:w="1920" w:type="dxa"/>
            <w:vAlign w:val="bottom"/>
          </w:tcPr>
          <w:p>
            <w:pPr>
              <w:jc w:val="center"/>
              <w:ind w:left="1233"/>
              <w:spacing w:after="0"/>
              <w:rPr>
                <w:sz w:val="20"/>
                <w:szCs w:val="20"/>
                <w:color w:val="auto"/>
              </w:rPr>
            </w:pPr>
            <w:r>
              <w:rPr>
                <w:rFonts w:ascii="Times New Roman" w:cs="Times New Roman" w:eastAsia="Times New Roman" w:hAnsi="Times New Roman"/>
                <w:sz w:val="17"/>
                <w:szCs w:val="17"/>
                <w:color w:val="auto"/>
                <w:w w:val="99"/>
              </w:rPr>
              <w:t>yes/no</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95" w:hanging="695"/>
        <w:spacing w:after="0"/>
        <w:tabs>
          <w:tab w:leader="none" w:pos="69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Secured Recourse Indebtedness to Total Asset Value</w:t>
      </w:r>
    </w:p>
    <w:p>
      <w:pPr>
        <w:spacing w:after="0" w:line="6" w:lineRule="exact"/>
        <w:rPr>
          <w:sz w:val="20"/>
          <w:szCs w:val="20"/>
          <w:color w:val="auto"/>
        </w:rPr>
      </w:pPr>
    </w:p>
    <w:tbl>
      <w:tblPr>
        <w:tblLayout w:type="fixed"/>
        <w:tblInd w:w="635" w:type="dxa"/>
        <w:tblCellMar>
          <w:top w:w="0" w:type="dxa"/>
          <w:left w:w="0" w:type="dxa"/>
          <w:bottom w:w="0" w:type="dxa"/>
          <w:right w:w="0" w:type="dxa"/>
        </w:tblCellMar>
      </w:tblPr>
      <w:tr>
        <w:trPr>
          <w:trHeight w:val="195"/>
        </w:trPr>
        <w:tc>
          <w:tcPr>
            <w:tcW w:w="6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Ratio (Section 8.20(d))</w:t>
            </w:r>
          </w:p>
        </w:tc>
        <w:tc>
          <w:tcPr>
            <w:tcW w:w="3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8"/>
        </w:trPr>
        <w:tc>
          <w:tcPr>
            <w:tcW w:w="36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w w:val="78"/>
              </w:rPr>
              <w:t>1.</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Secured Recourse Indebtedness</w:t>
            </w:r>
          </w:p>
        </w:tc>
        <w:tc>
          <w:tcPr>
            <w:tcW w:w="2160" w:type="dxa"/>
            <w:vAlign w:val="bottom"/>
            <w:gridSpan w:val="5"/>
          </w:tcPr>
          <w:p>
            <w:pPr>
              <w:jc w:val="center"/>
              <w:ind w:left="1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36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w w:val="78"/>
              </w:rPr>
              <w:t>2.</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Asset Value as calculated on Exhibit A hereto</w:t>
            </w:r>
          </w:p>
        </w:tc>
        <w:tc>
          <w:tcPr>
            <w:tcW w:w="2160" w:type="dxa"/>
            <w:vAlign w:val="bottom"/>
            <w:gridSpan w:val="5"/>
          </w:tcPr>
          <w:p>
            <w:pPr>
              <w:jc w:val="center"/>
              <w:ind w:left="1033"/>
              <w:spacing w:after="0"/>
              <w:rPr>
                <w:sz w:val="20"/>
                <w:szCs w:val="20"/>
                <w:color w:val="auto"/>
              </w:rPr>
            </w:pPr>
            <w:r>
              <w:rPr>
                <w:rFonts w:ascii="Times New Roman" w:cs="Times New Roman" w:eastAsia="Times New Roman" w:hAnsi="Times New Roman"/>
                <w:sz w:val="17"/>
                <w:szCs w:val="17"/>
                <w:color w:val="auto"/>
              </w:rPr>
              <w:t>___________</w:t>
            </w:r>
          </w:p>
        </w:tc>
      </w:tr>
      <w:tr>
        <w:trPr>
          <w:trHeight w:val="417"/>
        </w:trPr>
        <w:tc>
          <w:tcPr>
            <w:tcW w:w="36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w w:val="78"/>
              </w:rPr>
              <w:t>3.</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Ratio of Line D1 to Line D2</w:t>
            </w:r>
          </w:p>
        </w:tc>
        <w:tc>
          <w:tcPr>
            <w:tcW w:w="2160" w:type="dxa"/>
            <w:vAlign w:val="bottom"/>
            <w:gridSpan w:val="5"/>
          </w:tcPr>
          <w:p>
            <w:pPr>
              <w:jc w:val="center"/>
              <w:ind w:left="1033"/>
              <w:spacing w:after="0"/>
              <w:rPr>
                <w:sz w:val="20"/>
                <w:szCs w:val="20"/>
                <w:color w:val="auto"/>
              </w:rPr>
            </w:pPr>
            <w:r>
              <w:rPr>
                <w:rFonts w:ascii="Times New Roman" w:cs="Times New Roman" w:eastAsia="Times New Roman" w:hAnsi="Times New Roman"/>
                <w:sz w:val="17"/>
                <w:szCs w:val="17"/>
                <w:color w:val="auto"/>
                <w:w w:val="99"/>
              </w:rPr>
              <w:t>____:1.0</w:t>
            </w:r>
          </w:p>
        </w:tc>
      </w:tr>
      <w:tr>
        <w:trPr>
          <w:trHeight w:val="378"/>
        </w:trPr>
        <w:tc>
          <w:tcPr>
            <w:tcW w:w="36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w w:val="78"/>
              </w:rPr>
              <w:t>4.</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Line D3 shall not exceed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gridSpan w:val="2"/>
          </w:tcPr>
          <w:p>
            <w:pPr>
              <w:spacing w:after="0"/>
              <w:rPr>
                <w:sz w:val="20"/>
                <w:szCs w:val="20"/>
                <w:color w:val="auto"/>
              </w:rPr>
            </w:pPr>
            <w:r>
              <w:rPr>
                <w:rFonts w:ascii="Times New Roman" w:cs="Times New Roman" w:eastAsia="Times New Roman" w:hAnsi="Times New Roman"/>
                <w:sz w:val="17"/>
                <w:szCs w:val="17"/>
                <w:color w:val="FF0000"/>
                <w:strike w:val="1"/>
                <w:w w:val="93"/>
              </w:rPr>
              <w:t>05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4472C4"/>
                <w:w w:val="97"/>
              </w:rPr>
              <w:t>10</w:t>
            </w:r>
            <w:r>
              <w:rPr>
                <w:rFonts w:ascii="Times New Roman" w:cs="Times New Roman" w:eastAsia="Times New Roman" w:hAnsi="Times New Roman"/>
                <w:sz w:val="17"/>
                <w:szCs w:val="17"/>
                <w:color w:val="000000"/>
                <w:w w:val="97"/>
              </w:rPr>
              <w:t>:1.0</w:t>
            </w:r>
          </w:p>
        </w:tc>
      </w:tr>
      <w:tr>
        <w:trPr>
          <w:trHeight w:val="20"/>
        </w:trPr>
        <w:tc>
          <w:tcPr>
            <w:tcW w:w="36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60" w:type="dxa"/>
            <w:vAlign w:val="bottom"/>
            <w:tcBorders>
              <w:top w:val="single" w:sz="8" w:color="4472C4"/>
              <w:bottom w:val="single" w:sz="8" w:color="4472C4"/>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96"/>
        </w:trPr>
        <w:tc>
          <w:tcPr>
            <w:tcW w:w="36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w w:val="78"/>
              </w:rPr>
              <w:t>5.</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The Borrower is in compliance (circle yes or no)</w:t>
            </w:r>
          </w:p>
        </w:tc>
        <w:tc>
          <w:tcPr>
            <w:tcW w:w="1400" w:type="dxa"/>
            <w:vAlign w:val="bottom"/>
          </w:tcPr>
          <w:p>
            <w:pPr>
              <w:spacing w:after="0"/>
              <w:rPr>
                <w:sz w:val="24"/>
                <w:szCs w:val="24"/>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yes/no</w:t>
            </w:r>
          </w:p>
        </w:tc>
      </w:tr>
    </w:tbl>
    <w:p>
      <w:pPr>
        <w:spacing w:after="0" w:line="203" w:lineRule="exact"/>
        <w:rPr>
          <w:sz w:val="20"/>
          <w:szCs w:val="20"/>
          <w:color w:val="auto"/>
        </w:rPr>
      </w:pPr>
    </w:p>
    <w:p>
      <w:pPr>
        <w:ind w:left="695" w:hanging="695"/>
        <w:spacing w:after="0"/>
        <w:tabs>
          <w:tab w:leader="none" w:pos="69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Maximum Unsecured Indebtedness to </w:t>
      </w:r>
      <w:r>
        <w:rPr>
          <w:rFonts w:ascii="Times New Roman" w:cs="Times New Roman" w:eastAsia="Times New Roman" w:hAnsi="Times New Roman"/>
          <w:sz w:val="17"/>
          <w:szCs w:val="17"/>
          <w:color w:val="FF0000"/>
          <w:strike w:val="1"/>
        </w:rPr>
        <w:t>Borrowing</w:t>
      </w:r>
    </w:p>
    <w:p>
      <w:pPr>
        <w:spacing w:after="0" w:line="31" w:lineRule="exact"/>
        <w:rPr>
          <w:rFonts w:ascii="Times New Roman" w:cs="Times New Roman" w:eastAsia="Times New Roman" w:hAnsi="Times New Roman"/>
          <w:sz w:val="17"/>
          <w:szCs w:val="17"/>
          <w:color w:val="auto"/>
        </w:rPr>
      </w:pPr>
    </w:p>
    <w:p>
      <w:pPr>
        <w:ind w:left="695"/>
        <w:spacing w:after="0" w:line="20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FF0000"/>
          <w:strike w:val="1"/>
        </w:rPr>
        <w:t>Base</w:t>
      </w:r>
      <w:r>
        <w:rPr>
          <w:rFonts w:ascii="Times New Roman" w:cs="Times New Roman" w:eastAsia="Times New Roman" w:hAnsi="Times New Roman"/>
          <w:sz w:val="17"/>
          <w:szCs w:val="17"/>
          <w:color w:val="4472C4"/>
        </w:rPr>
        <w:t>Unencumbered Asset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Value Ratio (Section 8.20(e))</w:t>
      </w:r>
    </w:p>
    <w:p>
      <w:pPr>
        <w:spacing w:after="0" w:line="20" w:lineRule="exact"/>
        <w:rPr>
          <w:sz w:val="20"/>
          <w:szCs w:val="20"/>
          <w:color w:val="auto"/>
        </w:rPr>
      </w:pPr>
    </w:p>
    <w:tbl>
      <w:tblPr>
        <w:tblLayout w:type="fixed"/>
        <w:tblInd w:w="635" w:type="dxa"/>
        <w:tblCellMar>
          <w:top w:w="0" w:type="dxa"/>
          <w:left w:w="0" w:type="dxa"/>
          <w:bottom w:w="0" w:type="dxa"/>
          <w:right w:w="0" w:type="dxa"/>
        </w:tblCellMar>
      </w:tblPr>
      <w:tr>
        <w:trPr>
          <w:trHeight w:val="20"/>
        </w:trPr>
        <w:tc>
          <w:tcPr>
            <w:tcW w:w="400" w:type="dxa"/>
            <w:vAlign w:val="bottom"/>
          </w:tcPr>
          <w:p>
            <w:pPr>
              <w:spacing w:after="0" w:line="20" w:lineRule="exact"/>
              <w:rPr>
                <w:sz w:val="1"/>
                <w:szCs w:val="1"/>
                <w:color w:val="auto"/>
              </w:rPr>
            </w:pPr>
          </w:p>
        </w:tc>
        <w:tc>
          <w:tcPr>
            <w:tcW w:w="200" w:type="dxa"/>
            <w:vAlign w:val="bottom"/>
            <w:shd w:val="clear" w:color="auto" w:fill="4472C4"/>
          </w:tcPr>
          <w:p>
            <w:pPr>
              <w:spacing w:after="0" w:line="20" w:lineRule="exact"/>
              <w:rPr>
                <w:sz w:val="1"/>
                <w:szCs w:val="1"/>
                <w:color w:val="auto"/>
              </w:rPr>
            </w:pPr>
          </w:p>
        </w:tc>
        <w:tc>
          <w:tcPr>
            <w:tcW w:w="780" w:type="dxa"/>
            <w:vAlign w:val="bottom"/>
            <w:shd w:val="clear" w:color="auto" w:fill="4472C4"/>
          </w:tcPr>
          <w:p>
            <w:pPr>
              <w:spacing w:after="0" w:line="20" w:lineRule="exact"/>
              <w:rPr>
                <w:sz w:val="1"/>
                <w:szCs w:val="1"/>
                <w:color w:val="auto"/>
              </w:rPr>
            </w:pPr>
          </w:p>
        </w:tc>
        <w:tc>
          <w:tcPr>
            <w:tcW w:w="120" w:type="dxa"/>
            <w:vAlign w:val="bottom"/>
            <w:shd w:val="clear" w:color="auto" w:fill="4472C4"/>
          </w:tcPr>
          <w:p>
            <w:pPr>
              <w:spacing w:after="0" w:line="20" w:lineRule="exact"/>
              <w:rPr>
                <w:sz w:val="1"/>
                <w:szCs w:val="1"/>
                <w:color w:val="auto"/>
              </w:rPr>
            </w:pPr>
          </w:p>
        </w:tc>
        <w:tc>
          <w:tcPr>
            <w:tcW w:w="120" w:type="dxa"/>
            <w:vAlign w:val="bottom"/>
            <w:shd w:val="clear" w:color="auto" w:fill="4472C4"/>
          </w:tcPr>
          <w:p>
            <w:pPr>
              <w:spacing w:after="0" w:line="20" w:lineRule="exact"/>
              <w:rPr>
                <w:sz w:val="1"/>
                <w:szCs w:val="1"/>
                <w:color w:val="auto"/>
              </w:rPr>
            </w:pPr>
          </w:p>
        </w:tc>
        <w:tc>
          <w:tcPr>
            <w:tcW w:w="120" w:type="dxa"/>
            <w:vAlign w:val="bottom"/>
            <w:shd w:val="clear" w:color="auto" w:fill="4472C4"/>
          </w:tcPr>
          <w:p>
            <w:pPr>
              <w:spacing w:after="0" w:line="20" w:lineRule="exact"/>
              <w:rPr>
                <w:sz w:val="1"/>
                <w:szCs w:val="1"/>
                <w:color w:val="auto"/>
              </w:rPr>
            </w:pPr>
          </w:p>
        </w:tc>
        <w:tc>
          <w:tcPr>
            <w:tcW w:w="160" w:type="dxa"/>
            <w:vAlign w:val="bottom"/>
            <w:shd w:val="clear" w:color="auto" w:fill="4472C4"/>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8"/>
              </w:rPr>
              <w:t>1.</w:t>
            </w:r>
          </w:p>
        </w:tc>
        <w:tc>
          <w:tcPr>
            <w:tcW w:w="200" w:type="dxa"/>
            <w:vAlign w:val="bottom"/>
          </w:tcPr>
          <w:p>
            <w:pPr>
              <w:spacing w:after="0"/>
              <w:rPr>
                <w:sz w:val="19"/>
                <w:szCs w:val="19"/>
                <w:color w:val="auto"/>
              </w:rPr>
            </w:pPr>
          </w:p>
        </w:tc>
        <w:tc>
          <w:tcPr>
            <w:tcW w:w="4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Total Unsecured Indebtedness</w:t>
            </w:r>
          </w:p>
        </w:tc>
        <w:tc>
          <w:tcPr>
            <w:tcW w:w="2940" w:type="dxa"/>
            <w:vAlign w:val="bottom"/>
            <w:gridSpan w:val="4"/>
          </w:tcPr>
          <w:p>
            <w:pPr>
              <w:jc w:val="right"/>
              <w:ind w:right="13"/>
              <w:spacing w:after="0"/>
              <w:rPr>
                <w:sz w:val="20"/>
                <w:szCs w:val="20"/>
                <w:color w:val="auto"/>
              </w:rPr>
            </w:pPr>
            <w:r>
              <w:rPr>
                <w:rFonts w:ascii="Times New Roman" w:cs="Times New Roman" w:eastAsia="Times New Roman" w:hAnsi="Times New Roman"/>
                <w:sz w:val="17"/>
                <w:szCs w:val="17"/>
                <w:color w:val="auto"/>
              </w:rPr>
              <w:t>$___________</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8"/>
              </w:rPr>
              <w:t>2.</w:t>
            </w:r>
          </w:p>
        </w:tc>
        <w:tc>
          <w:tcPr>
            <w:tcW w:w="20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7"/>
                <w:szCs w:val="17"/>
                <w:color w:val="FF0000"/>
                <w:strike w:val="1"/>
              </w:rPr>
              <w:t>Borrowing Base</w:t>
            </w:r>
          </w:p>
        </w:tc>
        <w:tc>
          <w:tcPr>
            <w:tcW w:w="2880" w:type="dxa"/>
            <w:vAlign w:val="bottom"/>
            <w:gridSpan w:val="4"/>
          </w:tcPr>
          <w:p>
            <w:pPr>
              <w:spacing w:after="0"/>
              <w:rPr>
                <w:sz w:val="20"/>
                <w:szCs w:val="20"/>
                <w:color w:val="auto"/>
              </w:rPr>
            </w:pPr>
            <w:r>
              <w:rPr>
                <w:rFonts w:ascii="Times New Roman" w:cs="Times New Roman" w:eastAsia="Times New Roman" w:hAnsi="Times New Roman"/>
                <w:sz w:val="17"/>
                <w:szCs w:val="17"/>
                <w:color w:val="4472C4"/>
              </w:rPr>
              <w:t xml:space="preserve">Unencumbered Asset </w:t>
            </w:r>
            <w:r>
              <w:rPr>
                <w:rFonts w:ascii="Times New Roman" w:cs="Times New Roman" w:eastAsia="Times New Roman" w:hAnsi="Times New Roman"/>
                <w:sz w:val="17"/>
                <w:szCs w:val="17"/>
                <w:color w:val="000000"/>
              </w:rPr>
              <w:t>Value as calculated</w:t>
            </w:r>
          </w:p>
        </w:tc>
        <w:tc>
          <w:tcPr>
            <w:tcW w:w="7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___________</w:t>
            </w:r>
          </w:p>
        </w:tc>
        <w:tc>
          <w:tcPr>
            <w:tcW w:w="2220" w:type="dxa"/>
            <w:vAlign w:val="bottom"/>
            <w:gridSpan w:val="3"/>
          </w:tcPr>
          <w:p>
            <w:pPr>
              <w:jc w:val="right"/>
              <w:ind w:right="1180"/>
              <w:spacing w:after="0"/>
              <w:rPr>
                <w:sz w:val="20"/>
                <w:szCs w:val="20"/>
                <w:color w:val="auto"/>
              </w:rPr>
            </w:pPr>
            <w:r>
              <w:rPr>
                <w:rFonts w:ascii="Times New Roman" w:cs="Times New Roman" w:eastAsia="Times New Roman" w:hAnsi="Times New Roman"/>
                <w:sz w:val="17"/>
                <w:szCs w:val="17"/>
                <w:color w:val="4472C4"/>
                <w:w w:val="99"/>
              </w:rPr>
              <w:t>$___________</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on Exhibit</w:t>
            </w:r>
          </w:p>
        </w:tc>
        <w:tc>
          <w:tcPr>
            <w:tcW w:w="12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FF0000"/>
                <w:strike w:val="1"/>
                <w:w w:val="81"/>
              </w:rPr>
              <w:t>A</w:t>
            </w:r>
          </w:p>
        </w:tc>
        <w:tc>
          <w:tcPr>
            <w:tcW w:w="24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4472C4"/>
              </w:rPr>
              <w:t>C</w:t>
            </w:r>
          </w:p>
        </w:tc>
        <w:tc>
          <w:tcPr>
            <w:tcW w:w="1480" w:type="dxa"/>
            <w:vAlign w:val="bottom"/>
            <w:tcBorders>
              <w:top w:val="single" w:sz="8" w:color="4472C4"/>
              <w:bottom w:val="single" w:sz="8" w:color="4472C4"/>
            </w:tcBorders>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48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hereto</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color w:val="auto"/>
                <w:w w:val="78"/>
              </w:rPr>
              <w:t>3.</w:t>
            </w:r>
          </w:p>
        </w:tc>
        <w:tc>
          <w:tcPr>
            <w:tcW w:w="200" w:type="dxa"/>
            <w:vAlign w:val="bottom"/>
          </w:tcPr>
          <w:p>
            <w:pPr>
              <w:spacing w:after="0" w:line="20" w:lineRule="exact"/>
              <w:rPr>
                <w:sz w:val="1"/>
                <w:szCs w:val="1"/>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w w:val="97"/>
              </w:rPr>
              <w:t>Ratio of Line</w:t>
            </w: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30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E1 to E2</w:t>
            </w:r>
          </w:p>
        </w:tc>
        <w:tc>
          <w:tcPr>
            <w:tcW w:w="2940" w:type="dxa"/>
            <w:vAlign w:val="bottom"/>
            <w:gridSpan w:val="4"/>
            <w:vMerge w:val="restart"/>
          </w:tcPr>
          <w:p>
            <w:pPr>
              <w:jc w:val="right"/>
              <w:ind w:right="233"/>
              <w:spacing w:after="0"/>
              <w:rPr>
                <w:sz w:val="20"/>
                <w:szCs w:val="20"/>
                <w:color w:val="auto"/>
              </w:rPr>
            </w:pPr>
            <w:r>
              <w:rPr>
                <w:rFonts w:ascii="Times New Roman" w:cs="Times New Roman" w:eastAsia="Times New Roman" w:hAnsi="Times New Roman"/>
                <w:sz w:val="17"/>
                <w:szCs w:val="17"/>
                <w:color w:val="auto"/>
              </w:rPr>
              <w:t>____:1.0</w:t>
            </w:r>
          </w:p>
        </w:tc>
        <w:tc>
          <w:tcPr>
            <w:tcW w:w="380" w:type="dxa"/>
            <w:vAlign w:val="bottom"/>
            <w:vMerge w:val="restart"/>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5"/>
            <w:vMerge w:val="continue"/>
          </w:tcPr>
          <w:p>
            <w:pPr>
              <w:spacing w:after="0"/>
              <w:rPr>
                <w:sz w:val="16"/>
                <w:szCs w:val="16"/>
                <w:color w:val="auto"/>
              </w:rPr>
            </w:pPr>
          </w:p>
        </w:tc>
        <w:tc>
          <w:tcPr>
            <w:tcW w:w="2940" w:type="dxa"/>
            <w:vAlign w:val="bottom"/>
            <w:gridSpan w:val="4"/>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8"/>
              </w:rPr>
              <w:t>4.</w:t>
            </w:r>
          </w:p>
        </w:tc>
        <w:tc>
          <w:tcPr>
            <w:tcW w:w="2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Line E3 must not exceed</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rPr>
              <w:t>0.60:1.0</w:t>
            </w:r>
          </w:p>
        </w:tc>
        <w:tc>
          <w:tcPr>
            <w:tcW w:w="3900" w:type="dxa"/>
            <w:vAlign w:val="bottom"/>
            <w:gridSpan w:val="6"/>
          </w:tcPr>
          <w:p>
            <w:pPr>
              <w:jc w:val="right"/>
              <w:ind w:right="140"/>
              <w:spacing w:after="0"/>
              <w:rPr>
                <w:sz w:val="20"/>
                <w:szCs w:val="20"/>
                <w:color w:val="auto"/>
              </w:rPr>
            </w:pPr>
            <w:r>
              <w:rPr>
                <w:rFonts w:ascii="Times New Roman" w:cs="Times New Roman" w:eastAsia="Times New Roman" w:hAnsi="Times New Roman"/>
                <w:sz w:val="17"/>
                <w:szCs w:val="17"/>
                <w:color w:val="4472C4"/>
              </w:rPr>
              <w:t>0.60:1.0 (or 0.65 to 1.00 if a Material Acquisition was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4472C4"/>
                <w:w w:val="76"/>
              </w:rPr>
              <w:t>consummated</w:t>
            </w:r>
          </w:p>
        </w:tc>
        <w:tc>
          <w:tcPr>
            <w:tcW w:w="960" w:type="dxa"/>
            <w:vAlign w:val="bottom"/>
            <w:tcBorders>
              <w:top w:val="single" w:sz="8" w:color="4472C4"/>
              <w:bottom w:val="single" w:sz="8" w:color="4472C4"/>
            </w:tcBorders>
          </w:tcPr>
          <w:p>
            <w:pPr>
              <w:spacing w:after="0" w:line="20" w:lineRule="exact"/>
              <w:rPr>
                <w:sz w:val="1"/>
                <w:szCs w:val="1"/>
                <w:color w:val="auto"/>
              </w:rPr>
            </w:pPr>
          </w:p>
        </w:tc>
        <w:tc>
          <w:tcPr>
            <w:tcW w:w="1240" w:type="dxa"/>
            <w:vAlign w:val="bottom"/>
            <w:tcBorders>
              <w:top w:val="single" w:sz="8" w:color="4472C4"/>
              <w:bottom w:val="single" w:sz="8" w:color="4472C4"/>
            </w:tcBorders>
            <w:gridSpan w:val="2"/>
          </w:tcPr>
          <w:p>
            <w:pPr>
              <w:spacing w:after="0" w:line="20" w:lineRule="exact"/>
              <w:rPr>
                <w:sz w:val="1"/>
                <w:szCs w:val="1"/>
                <w:color w:val="auto"/>
              </w:rPr>
            </w:pPr>
          </w:p>
        </w:tc>
        <w:tc>
          <w:tcPr>
            <w:tcW w:w="1560" w:type="dxa"/>
            <w:vAlign w:val="bottom"/>
            <w:tcBorders>
              <w:top w:val="single" w:sz="8" w:color="4472C4"/>
              <w:bottom w:val="single" w:sz="8" w:color="4472C4"/>
            </w:tcBorders>
            <w:gridSpan w:val="2"/>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Borders>
              <w:bottom w:val="single" w:sz="8" w:color="4472C4"/>
            </w:tcBorders>
            <w:vMerge w:val="continue"/>
          </w:tcPr>
          <w:p>
            <w:pPr>
              <w:spacing w:after="0"/>
              <w:rPr>
                <w:sz w:val="12"/>
                <w:szCs w:val="12"/>
                <w:color w:val="auto"/>
              </w:rPr>
            </w:pPr>
          </w:p>
        </w:tc>
        <w:tc>
          <w:tcPr>
            <w:tcW w:w="3760" w:type="dxa"/>
            <w:vAlign w:val="bottom"/>
            <w:tcBorders>
              <w:bottom w:val="single" w:sz="8" w:color="4472C4"/>
            </w:tcBorders>
            <w:gridSpan w:val="5"/>
          </w:tcPr>
          <w:p>
            <w:pPr>
              <w:jc w:val="right"/>
              <w:spacing w:after="0" w:line="149" w:lineRule="exact"/>
              <w:rPr>
                <w:sz w:val="20"/>
                <w:szCs w:val="20"/>
                <w:color w:val="auto"/>
              </w:rPr>
            </w:pPr>
            <w:r>
              <w:rPr>
                <w:rFonts w:ascii="Times New Roman" w:cs="Times New Roman" w:eastAsia="Times New Roman" w:hAnsi="Times New Roman"/>
                <w:sz w:val="17"/>
                <w:szCs w:val="17"/>
                <w:color w:val="4472C4"/>
              </w:rPr>
              <w:t>in such Fiscal Quarter or the immediately preceding</w:t>
            </w:r>
          </w:p>
        </w:tc>
        <w:tc>
          <w:tcPr>
            <w:tcW w:w="140" w:type="dxa"/>
            <w:vAlign w:val="bottom"/>
            <w:tcBorders>
              <w:bottom w:val="single" w:sz="8" w:color="4472C4"/>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bottom w:val="single" w:sz="8" w:color="4472C4"/>
            </w:tcBorders>
          </w:tcPr>
          <w:p>
            <w:pPr>
              <w:spacing w:after="0" w:line="20" w:lineRule="exact"/>
              <w:rPr>
                <w:sz w:val="1"/>
                <w:szCs w:val="1"/>
                <w:color w:val="auto"/>
              </w:rPr>
            </w:pPr>
          </w:p>
        </w:tc>
        <w:tc>
          <w:tcPr>
            <w:tcW w:w="960" w:type="dxa"/>
            <w:vAlign w:val="bottom"/>
            <w:tcBorders>
              <w:bottom w:val="single" w:sz="8" w:color="4472C4"/>
            </w:tcBorders>
          </w:tcPr>
          <w:p>
            <w:pPr>
              <w:spacing w:after="0" w:line="20" w:lineRule="exact"/>
              <w:rPr>
                <w:sz w:val="1"/>
                <w:szCs w:val="1"/>
                <w:color w:val="auto"/>
              </w:rPr>
            </w:pPr>
          </w:p>
        </w:tc>
        <w:tc>
          <w:tcPr>
            <w:tcW w:w="1240" w:type="dxa"/>
            <w:vAlign w:val="bottom"/>
            <w:tcBorders>
              <w:bottom w:val="single" w:sz="8" w:color="4472C4"/>
            </w:tcBorders>
            <w:gridSpan w:val="2"/>
          </w:tcPr>
          <w:p>
            <w:pPr>
              <w:spacing w:after="0" w:line="20" w:lineRule="exact"/>
              <w:rPr>
                <w:sz w:val="1"/>
                <w:szCs w:val="1"/>
                <w:color w:val="auto"/>
              </w:rPr>
            </w:pPr>
          </w:p>
        </w:tc>
        <w:tc>
          <w:tcPr>
            <w:tcW w:w="1700" w:type="dxa"/>
            <w:vAlign w:val="bottom"/>
            <w:tcBorders>
              <w:bottom w:val="single" w:sz="8" w:color="4472C4"/>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940" w:type="dxa"/>
            <w:vAlign w:val="bottom"/>
            <w:gridSpan w:val="5"/>
          </w:tcPr>
          <w:p>
            <w:pPr>
              <w:jc w:val="right"/>
              <w:ind w:right="1700"/>
              <w:spacing w:after="0" w:line="149" w:lineRule="exact"/>
              <w:rPr>
                <w:sz w:val="20"/>
                <w:szCs w:val="20"/>
                <w:color w:val="auto"/>
              </w:rPr>
            </w:pPr>
            <w:r>
              <w:rPr>
                <w:rFonts w:ascii="Times New Roman" w:cs="Times New Roman" w:eastAsia="Times New Roman" w:hAnsi="Times New Roman"/>
                <w:sz w:val="17"/>
                <w:szCs w:val="17"/>
                <w:color w:val="4472C4"/>
              </w:rPr>
              <w:t>3 Fiscal Quarters)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Borders>
              <w:top w:val="single" w:sz="8" w:color="4472C4"/>
              <w:bottom w:val="single" w:sz="8" w:color="4472C4"/>
            </w:tcBorders>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8"/>
              </w:rPr>
              <w:t>5.</w:t>
            </w:r>
          </w:p>
        </w:tc>
        <w:tc>
          <w:tcPr>
            <w:tcW w:w="2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Borrower is in compliance (circle yes or no)</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40" w:type="dxa"/>
            <w:vAlign w:val="bottom"/>
            <w:gridSpan w:val="5"/>
          </w:tcPr>
          <w:p>
            <w:pPr>
              <w:jc w:val="right"/>
              <w:ind w:right="2100"/>
              <w:spacing w:after="0"/>
              <w:rPr>
                <w:sz w:val="20"/>
                <w:szCs w:val="20"/>
                <w:color w:val="auto"/>
              </w:rPr>
            </w:pPr>
            <w:r>
              <w:rPr>
                <w:rFonts w:ascii="Times New Roman" w:cs="Times New Roman" w:eastAsia="Times New Roman" w:hAnsi="Times New Roman"/>
                <w:sz w:val="17"/>
                <w:szCs w:val="17"/>
                <w:color w:val="auto"/>
              </w:rPr>
              <w:t>yes/no</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95" w:right="5140" w:hanging="695"/>
        <w:spacing w:after="0" w:line="294" w:lineRule="auto"/>
        <w:tabs>
          <w:tab w:leader="none" w:pos="695" w:val="left"/>
        </w:tabs>
        <w:numPr>
          <w:ilvl w:val="0"/>
          <w:numId w:val="137"/>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Minimum Unencumbered Pool NOI to Unsecured Interest Expense (Section 8.20(f))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[Exhibit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351155</wp:posOffset>
            </wp:positionV>
            <wp:extent cx="6292215" cy="247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895"/>
          </w:cols>
          <w:pgMar w:left="985" w:top="1052" w:right="1019" w:bottom="1440" w:gutter="0" w:footer="0" w:header="0"/>
        </w:sectPr>
      </w:pPr>
    </w:p>
    <w:bookmarkStart w:id="189" w:name="page190"/>
    <w:bookmarkEnd w:id="189"/>
    <w:tbl>
      <w:tblPr>
        <w:tblLayout w:type="fixed"/>
        <w:tblInd w:w="640" w:type="dxa"/>
        <w:tblCellMar>
          <w:top w:w="0" w:type="dxa"/>
          <w:left w:w="0" w:type="dxa"/>
          <w:bottom w:w="0" w:type="dxa"/>
          <w:right w:w="0" w:type="dxa"/>
        </w:tblCellMar>
      </w:tblPr>
      <w:tr>
        <w:trPr>
          <w:trHeight w:val="195"/>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4472C4"/>
                <w:w w:val="78"/>
              </w:rPr>
              <w:t>1.</w:t>
            </w:r>
          </w:p>
        </w:tc>
        <w:tc>
          <w:tcPr>
            <w:tcW w:w="480" w:type="dxa"/>
            <w:vAlign w:val="bottom"/>
          </w:tcPr>
          <w:p>
            <w:pPr>
              <w:spacing w:after="0"/>
              <w:rPr>
                <w:sz w:val="17"/>
                <w:szCs w:val="17"/>
                <w:color w:val="auto"/>
              </w:rPr>
            </w:pPr>
          </w:p>
        </w:tc>
        <w:tc>
          <w:tcPr>
            <w:tcW w:w="5820" w:type="dxa"/>
            <w:vAlign w:val="bottom"/>
            <w:gridSpan w:val="12"/>
          </w:tcPr>
          <w:p>
            <w:pPr>
              <w:spacing w:after="0"/>
              <w:rPr>
                <w:sz w:val="20"/>
                <w:szCs w:val="20"/>
                <w:color w:val="auto"/>
              </w:rPr>
            </w:pPr>
            <w:r>
              <w:rPr>
                <w:rFonts w:ascii="Times New Roman" w:cs="Times New Roman" w:eastAsia="Times New Roman" w:hAnsi="Times New Roman"/>
                <w:sz w:val="17"/>
                <w:szCs w:val="17"/>
                <w:color w:val="4472C4"/>
              </w:rPr>
              <w:t>Unencumbered Pool NOI as calculated on Exhibit B</w:t>
            </w:r>
          </w:p>
        </w:tc>
        <w:tc>
          <w:tcPr>
            <w:tcW w:w="104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4472C4"/>
                <w:w w:val="99"/>
              </w:rPr>
              <w:t>$___________</w:t>
            </w:r>
          </w:p>
        </w:tc>
        <w:tc>
          <w:tcPr>
            <w:tcW w:w="0" w:type="dxa"/>
            <w:vAlign w:val="bottom"/>
          </w:tcPr>
          <w:p>
            <w:pPr>
              <w:spacing w:after="0"/>
              <w:rPr>
                <w:sz w:val="1"/>
                <w:szCs w:val="1"/>
                <w:color w:val="auto"/>
              </w:rPr>
            </w:pPr>
          </w:p>
        </w:tc>
      </w:tr>
      <w:tr>
        <w:trPr>
          <w:trHeight w:val="20"/>
        </w:trPr>
        <w:tc>
          <w:tcPr>
            <w:tcW w:w="120" w:type="dxa"/>
            <w:vAlign w:val="bottom"/>
            <w:tcBorders>
              <w:top w:val="single" w:sz="8" w:color="4472C4"/>
              <w:bottom w:val="single" w:sz="8" w:color="4472C4"/>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top w:val="single" w:sz="8" w:color="4472C4"/>
              <w:bottom w:val="single" w:sz="8" w:color="4472C4"/>
            </w:tcBorders>
          </w:tcPr>
          <w:p>
            <w:pPr>
              <w:spacing w:after="0" w:line="20" w:lineRule="exact"/>
              <w:rPr>
                <w:sz w:val="1"/>
                <w:szCs w:val="1"/>
                <w:color w:val="auto"/>
              </w:rPr>
            </w:pPr>
          </w:p>
        </w:tc>
        <w:tc>
          <w:tcPr>
            <w:tcW w:w="1600" w:type="dxa"/>
            <w:vAlign w:val="bottom"/>
            <w:tcBorders>
              <w:top w:val="single" w:sz="8" w:color="4472C4"/>
              <w:bottom w:val="single" w:sz="8" w:color="4472C4"/>
            </w:tcBorders>
          </w:tcPr>
          <w:p>
            <w:pPr>
              <w:spacing w:after="0" w:line="20" w:lineRule="exact"/>
              <w:rPr>
                <w:sz w:val="1"/>
                <w:szCs w:val="1"/>
                <w:color w:val="auto"/>
              </w:rPr>
            </w:pPr>
          </w:p>
        </w:tc>
        <w:tc>
          <w:tcPr>
            <w:tcW w:w="114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0" w:type="dxa"/>
            <w:vAlign w:val="bottom"/>
            <w:vMerge w:val="restart"/>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620" w:type="dxa"/>
            <w:vAlign w:val="bottom"/>
            <w:gridSpan w:val="8"/>
          </w:tcPr>
          <w:p>
            <w:pPr>
              <w:spacing w:after="0" w:line="149" w:lineRule="exact"/>
              <w:rPr>
                <w:sz w:val="20"/>
                <w:szCs w:val="20"/>
                <w:color w:val="auto"/>
              </w:rPr>
            </w:pPr>
            <w:r>
              <w:rPr>
                <w:rFonts w:ascii="Times New Roman" w:cs="Times New Roman" w:eastAsia="Times New Roman" w:hAnsi="Times New Roman"/>
                <w:sz w:val="17"/>
                <w:szCs w:val="17"/>
                <w:color w:val="4472C4"/>
              </w:rPr>
              <w:t>hereto</w:t>
            </w:r>
          </w:p>
        </w:tc>
        <w:tc>
          <w:tcPr>
            <w:tcW w:w="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4472C4"/>
                <w:w w:val="78"/>
              </w:rPr>
              <w:t>2.</w:t>
            </w:r>
          </w:p>
        </w:tc>
        <w:tc>
          <w:tcPr>
            <w:tcW w:w="48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vMerge w:val="restart"/>
          </w:tcPr>
          <w:p>
            <w:pPr>
              <w:spacing w:after="0" w:line="20" w:lineRule="exact"/>
              <w:rPr>
                <w:sz w:val="1"/>
                <w:szCs w:val="1"/>
                <w:color w:val="auto"/>
              </w:rPr>
            </w:pPr>
          </w:p>
        </w:tc>
        <w:tc>
          <w:tcPr>
            <w:tcW w:w="420" w:type="dxa"/>
            <w:vAlign w:val="bottom"/>
            <w:tcBorders>
              <w:top w:val="single" w:sz="8" w:color="4472C4"/>
              <w:bottom w:val="single" w:sz="8" w:color="4472C4"/>
            </w:tcBorders>
          </w:tcPr>
          <w:p>
            <w:pPr>
              <w:spacing w:after="0" w:line="20" w:lineRule="exact"/>
              <w:rPr>
                <w:sz w:val="1"/>
                <w:szCs w:val="1"/>
                <w:color w:val="auto"/>
              </w:rPr>
            </w:pPr>
          </w:p>
        </w:tc>
        <w:tc>
          <w:tcPr>
            <w:tcW w:w="5380" w:type="dxa"/>
            <w:vAlign w:val="bottom"/>
            <w:gridSpan w:val="10"/>
            <w:vMerge w:val="restart"/>
          </w:tcPr>
          <w:p>
            <w:pPr>
              <w:ind w:left="120"/>
              <w:spacing w:after="0" w:line="189" w:lineRule="exact"/>
              <w:rPr>
                <w:sz w:val="20"/>
                <w:szCs w:val="20"/>
                <w:color w:val="auto"/>
              </w:rPr>
            </w:pPr>
            <w:r>
              <w:rPr>
                <w:rFonts w:ascii="Times New Roman" w:cs="Times New Roman" w:eastAsia="Times New Roman" w:hAnsi="Times New Roman"/>
                <w:sz w:val="17"/>
                <w:szCs w:val="17"/>
                <w:color w:val="4472C4"/>
              </w:rPr>
              <w:t>Expense on Unsecured Indebtedness assuming an</w:t>
            </w:r>
          </w:p>
        </w:tc>
        <w:tc>
          <w:tcPr>
            <w:tcW w:w="1040" w:type="dxa"/>
            <w:vAlign w:val="bottom"/>
            <w:gridSpan w:val="7"/>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4472C4"/>
                <w:w w:val="99"/>
              </w:rPr>
              <w:t>$___________</w:t>
            </w:r>
          </w:p>
        </w:tc>
        <w:tc>
          <w:tcPr>
            <w:tcW w:w="0" w:type="dxa"/>
            <w:vAlign w:val="bottom"/>
          </w:tcPr>
          <w:p>
            <w:pPr>
              <w:spacing w:after="0" w:line="20" w:lineRule="exact"/>
              <w:rPr>
                <w:sz w:val="1"/>
                <w:szCs w:val="1"/>
                <w:color w:val="auto"/>
              </w:rPr>
            </w:pPr>
          </w:p>
        </w:tc>
      </w:tr>
      <w:tr>
        <w:trPr>
          <w:trHeight w:val="149"/>
        </w:trPr>
        <w:tc>
          <w:tcPr>
            <w:tcW w:w="1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7"/>
                <w:szCs w:val="17"/>
                <w:color w:val="4472C4"/>
                <w:w w:val="78"/>
              </w:rPr>
              <w:t>Interest</w:t>
            </w:r>
          </w:p>
        </w:tc>
        <w:tc>
          <w:tcPr>
            <w:tcW w:w="5380" w:type="dxa"/>
            <w:vAlign w:val="bottom"/>
            <w:gridSpan w:val="10"/>
            <w:vMerge w:val="continue"/>
          </w:tcPr>
          <w:p>
            <w:pPr>
              <w:spacing w:after="0"/>
              <w:rPr>
                <w:sz w:val="12"/>
                <w:szCs w:val="12"/>
                <w:color w:val="auto"/>
              </w:rPr>
            </w:pPr>
          </w:p>
        </w:tc>
        <w:tc>
          <w:tcPr>
            <w:tcW w:w="10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20" w:type="dxa"/>
            <w:vAlign w:val="bottom"/>
            <w:tcBorders>
              <w:top w:val="single" w:sz="8" w:color="4472C4"/>
              <w:bottom w:val="single" w:sz="8" w:color="4472C4"/>
            </w:tcBorders>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020" w:type="dxa"/>
            <w:vAlign w:val="bottom"/>
            <w:tcBorders>
              <w:top w:val="single" w:sz="8" w:color="4472C4"/>
              <w:bottom w:val="single" w:sz="8" w:color="4472C4"/>
            </w:tcBorders>
            <w:gridSpan w:val="2"/>
          </w:tcPr>
          <w:p>
            <w:pPr>
              <w:spacing w:after="0"/>
              <w:rPr>
                <w:sz w:val="3"/>
                <w:szCs w:val="3"/>
                <w:color w:val="auto"/>
              </w:rPr>
            </w:pPr>
          </w:p>
        </w:tc>
        <w:tc>
          <w:tcPr>
            <w:tcW w:w="1140" w:type="dxa"/>
            <w:vAlign w:val="bottom"/>
            <w:tcBorders>
              <w:top w:val="single" w:sz="8" w:color="4472C4"/>
              <w:bottom w:val="single" w:sz="8" w:color="4472C4"/>
            </w:tcBorders>
          </w:tcPr>
          <w:p>
            <w:pPr>
              <w:spacing w:after="0"/>
              <w:rPr>
                <w:sz w:val="3"/>
                <w:szCs w:val="3"/>
                <w:color w:val="auto"/>
              </w:rPr>
            </w:pPr>
          </w:p>
        </w:tc>
        <w:tc>
          <w:tcPr>
            <w:tcW w:w="220" w:type="dxa"/>
            <w:vAlign w:val="bottom"/>
            <w:tcBorders>
              <w:top w:val="single" w:sz="8" w:color="4472C4"/>
              <w:bottom w:val="single" w:sz="8" w:color="4472C4"/>
            </w:tcBorders>
          </w:tcPr>
          <w:p>
            <w:pPr>
              <w:spacing w:after="0"/>
              <w:rPr>
                <w:sz w:val="3"/>
                <w:szCs w:val="3"/>
                <w:color w:val="auto"/>
              </w:rPr>
            </w:pPr>
          </w:p>
        </w:tc>
        <w:tc>
          <w:tcPr>
            <w:tcW w:w="20" w:type="dxa"/>
            <w:vAlign w:val="bottom"/>
            <w:tcBorders>
              <w:top w:val="single" w:sz="8" w:color="4472C4"/>
              <w:bottom w:val="single" w:sz="8" w:color="4472C4"/>
            </w:tcBorders>
          </w:tcPr>
          <w:p>
            <w:pPr>
              <w:spacing w:after="0"/>
              <w:rPr>
                <w:sz w:val="3"/>
                <w:szCs w:val="3"/>
                <w:color w:val="auto"/>
              </w:rPr>
            </w:pPr>
          </w:p>
        </w:tc>
        <w:tc>
          <w:tcPr>
            <w:tcW w:w="80" w:type="dxa"/>
            <w:vAlign w:val="bottom"/>
            <w:tcBorders>
              <w:top w:val="single" w:sz="8" w:color="4472C4"/>
              <w:bottom w:val="single" w:sz="8" w:color="4472C4"/>
            </w:tcBorders>
          </w:tcPr>
          <w:p>
            <w:pPr>
              <w:spacing w:after="0"/>
              <w:rPr>
                <w:sz w:val="3"/>
                <w:szCs w:val="3"/>
                <w:color w:val="auto"/>
              </w:rPr>
            </w:pPr>
          </w:p>
        </w:tc>
        <w:tc>
          <w:tcPr>
            <w:tcW w:w="20" w:type="dxa"/>
            <w:vAlign w:val="bottom"/>
            <w:tcBorders>
              <w:top w:val="single" w:sz="8" w:color="4472C4"/>
              <w:bottom w:val="single" w:sz="8" w:color="4472C4"/>
            </w:tcBorders>
          </w:tcPr>
          <w:p>
            <w:pPr>
              <w:spacing w:after="0"/>
              <w:rPr>
                <w:sz w:val="3"/>
                <w:szCs w:val="3"/>
                <w:color w:val="auto"/>
              </w:rPr>
            </w:pPr>
          </w:p>
        </w:tc>
        <w:tc>
          <w:tcPr>
            <w:tcW w:w="220" w:type="dxa"/>
            <w:vAlign w:val="bottom"/>
            <w:tcBorders>
              <w:top w:val="single" w:sz="8" w:color="4472C4"/>
              <w:bottom w:val="single" w:sz="8" w:color="4472C4"/>
            </w:tcBorders>
            <w:gridSpan w:val="2"/>
          </w:tcPr>
          <w:p>
            <w:pPr>
              <w:spacing w:after="0"/>
              <w:rPr>
                <w:sz w:val="3"/>
                <w:szCs w:val="3"/>
                <w:color w:val="auto"/>
              </w:rPr>
            </w:pPr>
          </w:p>
        </w:tc>
        <w:tc>
          <w:tcPr>
            <w:tcW w:w="280" w:type="dxa"/>
            <w:vAlign w:val="bottom"/>
            <w:tcBorders>
              <w:top w:val="single" w:sz="8" w:color="4472C4"/>
              <w:bottom w:val="single" w:sz="8" w:color="4472C4"/>
            </w:tcBorders>
          </w:tcPr>
          <w:p>
            <w:pPr>
              <w:spacing w:after="0"/>
              <w:rPr>
                <w:sz w:val="3"/>
                <w:szCs w:val="3"/>
                <w:color w:val="auto"/>
              </w:rPr>
            </w:pPr>
          </w:p>
        </w:tc>
        <w:tc>
          <w:tcPr>
            <w:tcW w:w="1800" w:type="dxa"/>
            <w:vAlign w:val="bottom"/>
            <w:vMerge w:val="restart"/>
          </w:tcPr>
          <w:p>
            <w:pPr>
              <w:spacing w:after="0"/>
              <w:rPr>
                <w:sz w:val="3"/>
                <w:szCs w:val="3"/>
                <w:color w:val="auto"/>
              </w:rPr>
            </w:pPr>
          </w:p>
        </w:tc>
        <w:tc>
          <w:tcPr>
            <w:tcW w:w="220" w:type="dxa"/>
            <w:vAlign w:val="bottom"/>
            <w:tcBorders>
              <w:top w:val="single" w:sz="8" w:color="4472C4"/>
              <w:bottom w:val="single" w:sz="8" w:color="4472C4"/>
            </w:tcBorders>
          </w:tcPr>
          <w:p>
            <w:pPr>
              <w:spacing w:after="0"/>
              <w:rPr>
                <w:sz w:val="3"/>
                <w:szCs w:val="3"/>
                <w:color w:val="auto"/>
              </w:rPr>
            </w:pPr>
          </w:p>
        </w:tc>
        <w:tc>
          <w:tcPr>
            <w:tcW w:w="20" w:type="dxa"/>
            <w:vAlign w:val="bottom"/>
            <w:tcBorders>
              <w:top w:val="single" w:sz="8" w:color="4472C4"/>
              <w:bottom w:val="single" w:sz="8" w:color="4472C4"/>
            </w:tcBorders>
          </w:tcPr>
          <w:p>
            <w:pPr>
              <w:spacing w:after="0"/>
              <w:rPr>
                <w:sz w:val="3"/>
                <w:szCs w:val="3"/>
                <w:color w:val="auto"/>
              </w:rPr>
            </w:pPr>
          </w:p>
        </w:tc>
        <w:tc>
          <w:tcPr>
            <w:tcW w:w="60" w:type="dxa"/>
            <w:vAlign w:val="bottom"/>
            <w:tcBorders>
              <w:top w:val="single" w:sz="8" w:color="4472C4"/>
              <w:bottom w:val="single" w:sz="8" w:color="4472C4"/>
            </w:tcBorders>
          </w:tcPr>
          <w:p>
            <w:pPr>
              <w:spacing w:after="0"/>
              <w:rPr>
                <w:sz w:val="3"/>
                <w:szCs w:val="3"/>
                <w:color w:val="auto"/>
              </w:rPr>
            </w:pPr>
          </w:p>
        </w:tc>
        <w:tc>
          <w:tcPr>
            <w:tcW w:w="460" w:type="dxa"/>
            <w:vAlign w:val="bottom"/>
            <w:tcBorders>
              <w:top w:val="single" w:sz="8" w:color="4472C4"/>
              <w:bottom w:val="single" w:sz="8" w:color="4472C4"/>
            </w:tcBorders>
          </w:tcPr>
          <w:p>
            <w:pPr>
              <w:spacing w:after="0"/>
              <w:rPr>
                <w:sz w:val="3"/>
                <w:szCs w:val="3"/>
                <w:color w:val="auto"/>
              </w:rPr>
            </w:pPr>
          </w:p>
        </w:tc>
        <w:tc>
          <w:tcPr>
            <w:tcW w:w="60" w:type="dxa"/>
            <w:vAlign w:val="bottom"/>
            <w:tcBorders>
              <w:top w:val="single" w:sz="8" w:color="4472C4"/>
              <w:bottom w:val="single" w:sz="8" w:color="4472C4"/>
            </w:tcBorders>
          </w:tcPr>
          <w:p>
            <w:pPr>
              <w:spacing w:after="0"/>
              <w:rPr>
                <w:sz w:val="3"/>
                <w:szCs w:val="3"/>
                <w:color w:val="auto"/>
              </w:rPr>
            </w:pPr>
          </w:p>
        </w:tc>
        <w:tc>
          <w:tcPr>
            <w:tcW w:w="20" w:type="dxa"/>
            <w:vAlign w:val="bottom"/>
            <w:tcBorders>
              <w:top w:val="single" w:sz="8" w:color="4472C4"/>
              <w:bottom w:val="single" w:sz="8" w:color="4472C4"/>
            </w:tcBorders>
          </w:tcPr>
          <w:p>
            <w:pPr>
              <w:spacing w:after="0"/>
              <w:rPr>
                <w:sz w:val="3"/>
                <w:szCs w:val="3"/>
                <w:color w:val="auto"/>
              </w:rPr>
            </w:pPr>
          </w:p>
        </w:tc>
        <w:tc>
          <w:tcPr>
            <w:tcW w:w="200" w:type="dxa"/>
            <w:vAlign w:val="bottom"/>
            <w:tcBorders>
              <w:top w:val="single" w:sz="8" w:color="4472C4"/>
              <w:bottom w:val="single" w:sz="8" w:color="4472C4"/>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4000" w:type="dxa"/>
            <w:vAlign w:val="bottom"/>
            <w:gridSpan w:val="10"/>
          </w:tcPr>
          <w:p>
            <w:pPr>
              <w:spacing w:after="0" w:line="129" w:lineRule="exact"/>
              <w:rPr>
                <w:sz w:val="20"/>
                <w:szCs w:val="20"/>
                <w:color w:val="auto"/>
              </w:rPr>
            </w:pPr>
            <w:r>
              <w:rPr>
                <w:rFonts w:ascii="Times New Roman" w:cs="Times New Roman" w:eastAsia="Times New Roman" w:hAnsi="Times New Roman"/>
                <w:sz w:val="14"/>
                <w:szCs w:val="14"/>
                <w:color w:val="4472C4"/>
              </w:rPr>
              <w:t>interest rate equal to the higher of (i) the weighted</w:t>
            </w:r>
          </w:p>
        </w:tc>
        <w:tc>
          <w:tcPr>
            <w:tcW w:w="1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20" w:type="dxa"/>
            <w:vAlign w:val="bottom"/>
            <w:tcBorders>
              <w:top w:val="single" w:sz="8" w:color="4472C4"/>
              <w:bottom w:val="single" w:sz="8" w:color="4472C4"/>
            </w:tcBorders>
            <w:gridSpan w:val="2"/>
          </w:tcPr>
          <w:p>
            <w:pPr>
              <w:spacing w:after="0" w:line="20" w:lineRule="exact"/>
              <w:rPr>
                <w:sz w:val="1"/>
                <w:szCs w:val="1"/>
                <w:color w:val="auto"/>
              </w:rPr>
            </w:pPr>
          </w:p>
        </w:tc>
        <w:tc>
          <w:tcPr>
            <w:tcW w:w="114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2080" w:type="dxa"/>
            <w:vAlign w:val="bottom"/>
            <w:gridSpan w:val="2"/>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4472C4"/>
            </w:tcBorders>
            <w:vMerge w:val="continue"/>
          </w:tcPr>
          <w:p>
            <w:pPr>
              <w:spacing w:after="0"/>
              <w:rPr>
                <w:sz w:val="12"/>
                <w:szCs w:val="12"/>
                <w:color w:val="auto"/>
              </w:rPr>
            </w:pPr>
          </w:p>
        </w:tc>
        <w:tc>
          <w:tcPr>
            <w:tcW w:w="3480" w:type="dxa"/>
            <w:vAlign w:val="bottom"/>
            <w:tcBorders>
              <w:bottom w:val="single" w:sz="8" w:color="4472C4"/>
            </w:tcBorders>
            <w:gridSpan w:val="6"/>
          </w:tcPr>
          <w:p>
            <w:pPr>
              <w:spacing w:after="0" w:line="149" w:lineRule="exact"/>
              <w:rPr>
                <w:sz w:val="20"/>
                <w:szCs w:val="20"/>
                <w:color w:val="auto"/>
              </w:rPr>
            </w:pPr>
            <w:r>
              <w:rPr>
                <w:rFonts w:ascii="Times New Roman" w:cs="Times New Roman" w:eastAsia="Times New Roman" w:hAnsi="Times New Roman"/>
                <w:sz w:val="17"/>
                <w:szCs w:val="17"/>
                <w:color w:val="4472C4"/>
              </w:rPr>
              <w:t>average interest rate for such period on Unsecured</w:t>
            </w:r>
          </w:p>
        </w:tc>
        <w:tc>
          <w:tcPr>
            <w:tcW w:w="20" w:type="dxa"/>
            <w:vAlign w:val="bottom"/>
            <w:tcBorders>
              <w:bottom w:val="single" w:sz="8" w:color="4472C4"/>
            </w:tcBorders>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20" w:type="dxa"/>
            <w:vAlign w:val="bottom"/>
            <w:tcBorders>
              <w:bottom w:val="single" w:sz="8" w:color="4472C4"/>
            </w:tcBorders>
            <w:gridSpan w:val="2"/>
          </w:tcPr>
          <w:p>
            <w:pPr>
              <w:spacing w:after="0" w:line="20" w:lineRule="exact"/>
              <w:rPr>
                <w:sz w:val="1"/>
                <w:szCs w:val="1"/>
                <w:color w:val="auto"/>
              </w:rPr>
            </w:pPr>
          </w:p>
        </w:tc>
        <w:tc>
          <w:tcPr>
            <w:tcW w:w="1140" w:type="dxa"/>
            <w:vAlign w:val="bottom"/>
            <w:tcBorders>
              <w:bottom w:val="single" w:sz="8" w:color="4472C4"/>
            </w:tcBorders>
          </w:tcPr>
          <w:p>
            <w:pPr>
              <w:spacing w:after="0" w:line="20" w:lineRule="exact"/>
              <w:rPr>
                <w:sz w:val="1"/>
                <w:szCs w:val="1"/>
                <w:color w:val="auto"/>
              </w:rPr>
            </w:pPr>
          </w:p>
        </w:tc>
        <w:tc>
          <w:tcPr>
            <w:tcW w:w="220" w:type="dxa"/>
            <w:vAlign w:val="bottom"/>
            <w:tcBorders>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00" w:type="dxa"/>
            <w:vAlign w:val="bottom"/>
            <w:tcBorders>
              <w:bottom w:val="single" w:sz="8" w:color="4472C4"/>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5800" w:type="dxa"/>
            <w:vAlign w:val="bottom"/>
            <w:gridSpan w:val="11"/>
          </w:tcPr>
          <w:p>
            <w:pPr>
              <w:spacing w:after="0" w:line="149" w:lineRule="exact"/>
              <w:rPr>
                <w:sz w:val="20"/>
                <w:szCs w:val="20"/>
                <w:color w:val="auto"/>
              </w:rPr>
            </w:pPr>
            <w:r>
              <w:rPr>
                <w:rFonts w:ascii="Times New Roman" w:cs="Times New Roman" w:eastAsia="Times New Roman" w:hAnsi="Times New Roman"/>
                <w:sz w:val="17"/>
                <w:szCs w:val="17"/>
                <w:color w:val="4472C4"/>
              </w:rPr>
              <w:t>Indebtedness, (ii) 5.75% and (iii) the 10-year treasury</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vMerge w:val="restart"/>
          </w:tcPr>
          <w:p>
            <w:pPr>
              <w:spacing w:after="0" w:line="20" w:lineRule="exact"/>
              <w:rPr>
                <w:sz w:val="1"/>
                <w:szCs w:val="1"/>
                <w:color w:val="auto"/>
              </w:rPr>
            </w:pPr>
          </w:p>
        </w:tc>
        <w:tc>
          <w:tcPr>
            <w:tcW w:w="2020" w:type="dxa"/>
            <w:vAlign w:val="bottom"/>
            <w:tcBorders>
              <w:top w:val="single" w:sz="8" w:color="4472C4"/>
              <w:bottom w:val="single" w:sz="8" w:color="4472C4"/>
            </w:tcBorders>
            <w:gridSpan w:val="2"/>
          </w:tcPr>
          <w:p>
            <w:pPr>
              <w:spacing w:after="0" w:line="20" w:lineRule="exact"/>
              <w:rPr>
                <w:sz w:val="1"/>
                <w:szCs w:val="1"/>
                <w:color w:val="auto"/>
              </w:rPr>
            </w:pPr>
          </w:p>
        </w:tc>
        <w:tc>
          <w:tcPr>
            <w:tcW w:w="114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gridSpan w:val="4"/>
          </w:tcPr>
          <w:p>
            <w:pPr>
              <w:spacing w:after="0" w:line="20" w:lineRule="exact"/>
              <w:rPr>
                <w:sz w:val="1"/>
                <w:szCs w:val="1"/>
                <w:color w:val="auto"/>
              </w:rPr>
            </w:pPr>
          </w:p>
        </w:tc>
        <w:tc>
          <w:tcPr>
            <w:tcW w:w="2080" w:type="dxa"/>
            <w:vAlign w:val="bottom"/>
            <w:gridSpan w:val="2"/>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4472C4"/>
                <w:w w:val="78"/>
              </w:rPr>
              <w:t>3.</w:t>
            </w:r>
          </w:p>
        </w:tc>
        <w:tc>
          <w:tcPr>
            <w:tcW w:w="4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3720" w:type="dxa"/>
            <w:vAlign w:val="bottom"/>
            <w:gridSpan w:val="9"/>
          </w:tcPr>
          <w:p>
            <w:pPr>
              <w:spacing w:after="0" w:line="149" w:lineRule="exact"/>
              <w:rPr>
                <w:sz w:val="20"/>
                <w:szCs w:val="20"/>
                <w:color w:val="auto"/>
              </w:rPr>
            </w:pPr>
            <w:r>
              <w:rPr>
                <w:rFonts w:ascii="Times New Roman" w:cs="Times New Roman" w:eastAsia="Times New Roman" w:hAnsi="Times New Roman"/>
                <w:sz w:val="17"/>
                <w:szCs w:val="17"/>
                <w:color w:val="4472C4"/>
              </w:rPr>
              <w:t>rate on the last day of such period plus 1.75%</w:t>
            </w:r>
          </w:p>
        </w:tc>
        <w:tc>
          <w:tcPr>
            <w:tcW w:w="2080" w:type="dxa"/>
            <w:vAlign w:val="bottom"/>
            <w:gridSpan w:val="2"/>
            <w:vMerge w:val="continue"/>
          </w:tcPr>
          <w:p>
            <w:pPr>
              <w:spacing w:after="0"/>
              <w:rPr>
                <w:sz w:val="12"/>
                <w:szCs w:val="12"/>
                <w:color w:val="auto"/>
              </w:rPr>
            </w:pPr>
          </w:p>
        </w:tc>
        <w:tc>
          <w:tcPr>
            <w:tcW w:w="220" w:type="dxa"/>
            <w:vAlign w:val="bottom"/>
            <w:vMerge w:val="restart"/>
          </w:tcPr>
          <w:p>
            <w:pPr>
              <w:spacing w:after="0"/>
              <w:rPr>
                <w:sz w:val="12"/>
                <w:szCs w:val="12"/>
                <w:color w:val="auto"/>
              </w:rPr>
            </w:pPr>
          </w:p>
        </w:tc>
        <w:tc>
          <w:tcPr>
            <w:tcW w:w="6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4472C4"/>
                <w:w w:val="99"/>
              </w:rPr>
              <w:t>____:1.0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vMerge w:val="restart"/>
          </w:tcPr>
          <w:p>
            <w:pPr>
              <w:spacing w:after="0" w:line="20" w:lineRule="exact"/>
              <w:rPr>
                <w:sz w:val="1"/>
                <w:szCs w:val="1"/>
                <w:color w:val="auto"/>
              </w:rPr>
            </w:pPr>
          </w:p>
        </w:tc>
        <w:tc>
          <w:tcPr>
            <w:tcW w:w="2020" w:type="dxa"/>
            <w:vAlign w:val="bottom"/>
            <w:tcBorders>
              <w:top w:val="single" w:sz="8" w:color="4472C4"/>
              <w:bottom w:val="single" w:sz="8" w:color="4472C4"/>
            </w:tcBorders>
            <w:gridSpan w:val="2"/>
          </w:tcPr>
          <w:p>
            <w:pPr>
              <w:spacing w:after="0" w:line="20" w:lineRule="exact"/>
              <w:rPr>
                <w:sz w:val="1"/>
                <w:szCs w:val="1"/>
                <w:color w:val="auto"/>
              </w:rPr>
            </w:pPr>
          </w:p>
        </w:tc>
        <w:tc>
          <w:tcPr>
            <w:tcW w:w="1140" w:type="dxa"/>
            <w:vAlign w:val="bottom"/>
            <w:tcBorders>
              <w:top w:val="single" w:sz="8" w:color="4472C4"/>
              <w:bottom w:val="single" w:sz="8" w:color="4472C4"/>
            </w:tcBorders>
          </w:tcPr>
          <w:p>
            <w:pPr>
              <w:spacing w:after="0" w:line="20" w:lineRule="exact"/>
              <w:rPr>
                <w:sz w:val="1"/>
                <w:szCs w:val="1"/>
                <w:color w:val="auto"/>
              </w:rPr>
            </w:pPr>
          </w:p>
        </w:tc>
        <w:tc>
          <w:tcPr>
            <w:tcW w:w="240" w:type="dxa"/>
            <w:vAlign w:val="bottom"/>
            <w:gridSpan w:val="2"/>
            <w:vMerge w:val="restart"/>
          </w:tcPr>
          <w:p>
            <w:pPr>
              <w:ind w:left="60"/>
              <w:spacing w:after="0" w:line="189" w:lineRule="exact"/>
              <w:rPr>
                <w:sz w:val="20"/>
                <w:szCs w:val="20"/>
                <w:color w:val="auto"/>
              </w:rPr>
            </w:pPr>
            <w:r>
              <w:rPr>
                <w:rFonts w:ascii="Times New Roman" w:cs="Times New Roman" w:eastAsia="Times New Roman" w:hAnsi="Times New Roman"/>
                <w:sz w:val="17"/>
                <w:szCs w:val="17"/>
                <w:color w:val="4472C4"/>
                <w:w w:val="88"/>
              </w:rPr>
              <w:t>F3</w:t>
            </w:r>
          </w:p>
        </w:tc>
        <w:tc>
          <w:tcPr>
            <w:tcW w:w="2400" w:type="dxa"/>
            <w:vAlign w:val="bottom"/>
            <w:gridSpan w:val="6"/>
            <w:vMerge w:val="restart"/>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20" w:type="dxa"/>
            <w:vAlign w:val="bottom"/>
            <w:gridSpan w:val="5"/>
            <w:vMerge w:val="continu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Borders>
              <w:bottom w:val="single" w:sz="8" w:color="4472C4"/>
            </w:tcBorders>
            <w:vMerge w:val="continue"/>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3160" w:type="dxa"/>
            <w:vAlign w:val="bottom"/>
            <w:tcBorders>
              <w:bottom w:val="single" w:sz="8" w:color="4472C4"/>
            </w:tcBorders>
            <w:gridSpan w:val="3"/>
          </w:tcPr>
          <w:p>
            <w:pPr>
              <w:spacing w:after="0" w:line="149" w:lineRule="exact"/>
              <w:rPr>
                <w:sz w:val="20"/>
                <w:szCs w:val="20"/>
                <w:color w:val="auto"/>
              </w:rPr>
            </w:pPr>
            <w:r>
              <w:rPr>
                <w:rFonts w:ascii="Times New Roman" w:cs="Times New Roman" w:eastAsia="Times New Roman" w:hAnsi="Times New Roman"/>
                <w:sz w:val="17"/>
                <w:szCs w:val="17"/>
                <w:color w:val="4472C4"/>
              </w:rPr>
              <w:t>Ratio of Line F1 to the greater of Line F2 and</w:t>
            </w:r>
          </w:p>
        </w:tc>
        <w:tc>
          <w:tcPr>
            <w:tcW w:w="240" w:type="dxa"/>
            <w:vAlign w:val="bottom"/>
            <w:tcBorders>
              <w:bottom w:val="single" w:sz="8" w:color="4472C4"/>
            </w:tcBorders>
            <w:gridSpan w:val="2"/>
            <w:vMerge w:val="continue"/>
          </w:tcPr>
          <w:p>
            <w:pPr>
              <w:spacing w:after="0"/>
              <w:rPr>
                <w:sz w:val="12"/>
                <w:szCs w:val="12"/>
                <w:color w:val="auto"/>
              </w:rPr>
            </w:pPr>
          </w:p>
        </w:tc>
        <w:tc>
          <w:tcPr>
            <w:tcW w:w="2400" w:type="dxa"/>
            <w:vAlign w:val="bottom"/>
            <w:gridSpan w:val="6"/>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620" w:type="dxa"/>
            <w:vAlign w:val="bottom"/>
            <w:tcBorders>
              <w:bottom w:val="single" w:sz="8" w:color="4472C4"/>
            </w:tcBorders>
            <w:gridSpan w:val="5"/>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4472C4"/>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4472C4"/>
            </w:tcBorders>
            <w:gridSpan w:val="2"/>
          </w:tcPr>
          <w:p>
            <w:pPr>
              <w:spacing w:after="0" w:line="20" w:lineRule="exact"/>
              <w:rPr>
                <w:sz w:val="1"/>
                <w:szCs w:val="1"/>
                <w:color w:val="auto"/>
              </w:rPr>
            </w:pPr>
          </w:p>
        </w:tc>
        <w:tc>
          <w:tcPr>
            <w:tcW w:w="1360" w:type="dxa"/>
            <w:vAlign w:val="bottom"/>
            <w:tcBorders>
              <w:bottom w:val="single" w:sz="8" w:color="4472C4"/>
            </w:tcBorders>
            <w:gridSpan w:val="2"/>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0" w:type="dxa"/>
            <w:vAlign w:val="bottom"/>
            <w:tcBorders>
              <w:bottom w:val="single" w:sz="8" w:color="4472C4"/>
            </w:tcBorders>
          </w:tcPr>
          <w:p>
            <w:pPr>
              <w:spacing w:after="0" w:line="20" w:lineRule="exact"/>
              <w:rPr>
                <w:sz w:val="1"/>
                <w:szCs w:val="1"/>
                <w:color w:val="auto"/>
              </w:rPr>
            </w:pPr>
          </w:p>
        </w:tc>
        <w:tc>
          <w:tcPr>
            <w:tcW w:w="460" w:type="dxa"/>
            <w:vAlign w:val="bottom"/>
            <w:tcBorders>
              <w:bottom w:val="single" w:sz="8" w:color="4472C4"/>
            </w:tcBorders>
          </w:tcPr>
          <w:p>
            <w:pPr>
              <w:spacing w:after="0" w:line="20" w:lineRule="exact"/>
              <w:rPr>
                <w:sz w:val="1"/>
                <w:szCs w:val="1"/>
                <w:color w:val="auto"/>
              </w:rPr>
            </w:pPr>
          </w:p>
        </w:tc>
        <w:tc>
          <w:tcPr>
            <w:tcW w:w="60" w:type="dxa"/>
            <w:vAlign w:val="bottom"/>
            <w:tcBorders>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4472C4"/>
                <w:w w:val="78"/>
              </w:rPr>
              <w:t>4.</w:t>
            </w:r>
          </w:p>
        </w:tc>
        <w:tc>
          <w:tcPr>
            <w:tcW w:w="480" w:type="dxa"/>
            <w:vAlign w:val="bottom"/>
          </w:tcPr>
          <w:p>
            <w:pPr>
              <w:spacing w:after="0"/>
              <w:rPr>
                <w:sz w:val="24"/>
                <w:szCs w:val="24"/>
                <w:color w:val="auto"/>
              </w:rPr>
            </w:pPr>
          </w:p>
        </w:tc>
        <w:tc>
          <w:tcPr>
            <w:tcW w:w="5820" w:type="dxa"/>
            <w:vAlign w:val="bottom"/>
            <w:gridSpan w:val="12"/>
          </w:tcPr>
          <w:p>
            <w:pPr>
              <w:spacing w:after="0"/>
              <w:rPr>
                <w:sz w:val="20"/>
                <w:szCs w:val="20"/>
                <w:color w:val="auto"/>
              </w:rPr>
            </w:pPr>
            <w:r>
              <w:rPr>
                <w:rFonts w:ascii="Times New Roman" w:cs="Times New Roman" w:eastAsia="Times New Roman" w:hAnsi="Times New Roman"/>
                <w:sz w:val="17"/>
                <w:szCs w:val="17"/>
                <w:color w:val="4472C4"/>
              </w:rPr>
              <w:t>Line F4 shall not be less than</w:t>
            </w:r>
          </w:p>
        </w:tc>
        <w:tc>
          <w:tcPr>
            <w:tcW w:w="840" w:type="dxa"/>
            <w:vAlign w:val="bottom"/>
            <w:gridSpan w:val="6"/>
          </w:tcPr>
          <w:p>
            <w:pPr>
              <w:jc w:val="center"/>
              <w:spacing w:after="0"/>
              <w:rPr>
                <w:sz w:val="20"/>
                <w:szCs w:val="20"/>
                <w:color w:val="auto"/>
              </w:rPr>
            </w:pPr>
            <w:r>
              <w:rPr>
                <w:rFonts w:ascii="Times New Roman" w:cs="Times New Roman" w:eastAsia="Times New Roman" w:hAnsi="Times New Roman"/>
                <w:sz w:val="17"/>
                <w:szCs w:val="17"/>
                <w:color w:val="4472C4"/>
              </w:rPr>
              <w:t>1.</w:t>
            </w:r>
            <w:r>
              <w:rPr>
                <w:rFonts w:ascii="Times New Roman" w:cs="Times New Roman" w:eastAsia="Times New Roman" w:hAnsi="Times New Roman"/>
                <w:sz w:val="17"/>
                <w:szCs w:val="17"/>
                <w:u w:val="single" w:color="auto"/>
                <w:color w:val="4472C4"/>
              </w:rPr>
              <w:t>75:1.0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4472C4"/>
              <w:bottom w:val="single" w:sz="8" w:color="4472C4"/>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top w:val="single" w:sz="8" w:color="4472C4"/>
              <w:bottom w:val="single" w:sz="8" w:color="4472C4"/>
            </w:tcBorders>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4472C4"/>
                <w:w w:val="78"/>
              </w:rPr>
              <w:t>5.</w:t>
            </w:r>
          </w:p>
        </w:tc>
        <w:tc>
          <w:tcPr>
            <w:tcW w:w="480" w:type="dxa"/>
            <w:vAlign w:val="bottom"/>
          </w:tcPr>
          <w:p>
            <w:pPr>
              <w:spacing w:after="0"/>
              <w:rPr>
                <w:sz w:val="24"/>
                <w:szCs w:val="24"/>
                <w:color w:val="auto"/>
              </w:rPr>
            </w:pPr>
          </w:p>
        </w:tc>
        <w:tc>
          <w:tcPr>
            <w:tcW w:w="5820" w:type="dxa"/>
            <w:vAlign w:val="bottom"/>
            <w:gridSpan w:val="12"/>
          </w:tcPr>
          <w:p>
            <w:pPr>
              <w:spacing w:after="0"/>
              <w:rPr>
                <w:sz w:val="20"/>
                <w:szCs w:val="20"/>
                <w:color w:val="auto"/>
              </w:rPr>
            </w:pPr>
            <w:r>
              <w:rPr>
                <w:rFonts w:ascii="Times New Roman" w:cs="Times New Roman" w:eastAsia="Times New Roman" w:hAnsi="Times New Roman"/>
                <w:sz w:val="17"/>
                <w:szCs w:val="17"/>
                <w:color w:val="4472C4"/>
              </w:rPr>
              <w:t>The Borrower is in compliance (circle yes or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4472C4"/>
              </w:rPr>
              <w:t>yes/no</w:t>
            </w:r>
          </w:p>
        </w:tc>
        <w:tc>
          <w:tcPr>
            <w:tcW w:w="0" w:type="dxa"/>
            <w:vAlign w:val="bottom"/>
          </w:tcPr>
          <w:p>
            <w:pPr>
              <w:spacing w:after="0"/>
              <w:rPr>
                <w:sz w:val="1"/>
                <w:szCs w:val="1"/>
                <w:color w:val="auto"/>
              </w:rPr>
            </w:pPr>
          </w:p>
        </w:tc>
      </w:tr>
      <w:tr>
        <w:trPr>
          <w:trHeight w:val="20"/>
        </w:trPr>
        <w:tc>
          <w:tcPr>
            <w:tcW w:w="120" w:type="dxa"/>
            <w:vAlign w:val="bottom"/>
            <w:tcBorders>
              <w:top w:val="single" w:sz="8" w:color="4472C4"/>
              <w:bottom w:val="single" w:sz="8" w:color="4472C4"/>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4472C4"/>
              <w:bottom w:val="single" w:sz="8" w:color="4472C4"/>
            </w:tcBorders>
          </w:tcPr>
          <w:p>
            <w:pPr>
              <w:spacing w:after="0" w:line="20" w:lineRule="exact"/>
              <w:rPr>
                <w:sz w:val="1"/>
                <w:szCs w:val="1"/>
                <w:color w:val="auto"/>
              </w:rPr>
            </w:pPr>
          </w:p>
        </w:tc>
        <w:tc>
          <w:tcPr>
            <w:tcW w:w="1600" w:type="dxa"/>
            <w:vAlign w:val="bottom"/>
            <w:tcBorders>
              <w:top w:val="single" w:sz="8" w:color="4472C4"/>
              <w:bottom w:val="single" w:sz="8" w:color="4472C4"/>
            </w:tcBorders>
          </w:tcPr>
          <w:p>
            <w:pPr>
              <w:spacing w:after="0" w:line="20" w:lineRule="exact"/>
              <w:rPr>
                <w:sz w:val="1"/>
                <w:szCs w:val="1"/>
                <w:color w:val="auto"/>
              </w:rPr>
            </w:pPr>
          </w:p>
        </w:tc>
        <w:tc>
          <w:tcPr>
            <w:tcW w:w="114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FF0000"/>
          <w:strike w:val="1"/>
        </w:rPr>
        <w:t>F</w:t>
      </w:r>
      <w:r>
        <w:rPr>
          <w:rFonts w:ascii="Times New Roman" w:cs="Times New Roman" w:eastAsia="Times New Roman" w:hAnsi="Times New Roman"/>
          <w:sz w:val="17"/>
          <w:szCs w:val="17"/>
          <w:u w:val="single" w:color="auto"/>
          <w:color w:val="4472C4"/>
        </w:rPr>
        <w:t>G</w:t>
      </w:r>
      <w:r>
        <w:rPr>
          <w:rFonts w:ascii="Times New Roman" w:cs="Times New Roman" w:eastAsia="Times New Roman" w:hAnsi="Times New Roman"/>
          <w:sz w:val="17"/>
          <w:szCs w:val="17"/>
          <w:color w:val="000000"/>
        </w:rPr>
        <w:t>.</w:t>
      </w:r>
      <w:r>
        <w:rPr>
          <w:sz w:val="20"/>
          <w:szCs w:val="20"/>
          <w:color w:val="auto"/>
        </w:rPr>
        <w:tab/>
      </w:r>
      <w:r>
        <w:rPr>
          <w:rFonts w:ascii="Times New Roman" w:cs="Times New Roman" w:eastAsia="Times New Roman" w:hAnsi="Times New Roman"/>
          <w:sz w:val="17"/>
          <w:szCs w:val="17"/>
          <w:u w:val="single" w:color="auto"/>
          <w:color w:val="auto"/>
        </w:rPr>
        <w:t>Tangible Net Worth (Section 8.20(f))</w:t>
      </w:r>
    </w:p>
    <w:p>
      <w:pPr>
        <w:spacing w:after="0" w:line="222"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8"/>
              </w:rPr>
              <w:t>1.</w:t>
            </w:r>
          </w:p>
        </w:tc>
        <w:tc>
          <w:tcPr>
            <w:tcW w:w="4120" w:type="dxa"/>
            <w:vAlign w:val="bottom"/>
            <w:gridSpan w:val="15"/>
          </w:tcPr>
          <w:p>
            <w:pPr>
              <w:ind w:left="240"/>
              <w:spacing w:after="0"/>
              <w:rPr>
                <w:sz w:val="20"/>
                <w:szCs w:val="20"/>
                <w:color w:val="auto"/>
              </w:rPr>
            </w:pPr>
            <w:r>
              <w:rPr>
                <w:rFonts w:ascii="Times New Roman" w:cs="Times New Roman" w:eastAsia="Times New Roman" w:hAnsi="Times New Roman"/>
                <w:sz w:val="17"/>
                <w:szCs w:val="17"/>
                <w:color w:val="auto"/>
              </w:rPr>
              <w:t>Tangible Net Worth</w:t>
            </w:r>
          </w:p>
        </w:tc>
        <w:tc>
          <w:tcPr>
            <w:tcW w:w="2980" w:type="dxa"/>
            <w:vAlign w:val="bottom"/>
          </w:tcPr>
          <w:p>
            <w:pPr>
              <w:jc w:val="center"/>
              <w:ind w:left="1853"/>
              <w:spacing w:after="0"/>
              <w:rPr>
                <w:sz w:val="20"/>
                <w:szCs w:val="20"/>
                <w:color w:val="auto"/>
              </w:rPr>
            </w:pPr>
            <w:r>
              <w:rPr>
                <w:rFonts w:ascii="Times New Roman" w:cs="Times New Roman" w:eastAsia="Times New Roman" w:hAnsi="Times New Roman"/>
                <w:sz w:val="17"/>
                <w:szCs w:val="17"/>
                <w:color w:val="auto"/>
              </w:rPr>
              <w:t>$___________</w:t>
            </w:r>
          </w:p>
        </w:tc>
        <w:tc>
          <w:tcPr>
            <w:tcW w:w="0" w:type="dxa"/>
            <w:vAlign w:val="bottom"/>
          </w:tcPr>
          <w:p>
            <w:pPr>
              <w:spacing w:after="0"/>
              <w:rPr>
                <w:sz w:val="1"/>
                <w:szCs w:val="1"/>
                <w:color w:val="auto"/>
              </w:rPr>
            </w:pPr>
          </w:p>
        </w:tc>
      </w:tr>
      <w:tr>
        <w:trPr>
          <w:trHeight w:val="399"/>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8"/>
              </w:rPr>
              <w:t>2.</w:t>
            </w:r>
          </w:p>
        </w:tc>
        <w:tc>
          <w:tcPr>
            <w:tcW w:w="4120" w:type="dxa"/>
            <w:vAlign w:val="bottom"/>
            <w:gridSpan w:val="15"/>
          </w:tcPr>
          <w:p>
            <w:pPr>
              <w:ind w:left="240"/>
              <w:spacing w:after="0"/>
              <w:rPr>
                <w:sz w:val="20"/>
                <w:szCs w:val="20"/>
                <w:color w:val="auto"/>
              </w:rPr>
            </w:pPr>
            <w:r>
              <w:rPr>
                <w:rFonts w:ascii="Times New Roman" w:cs="Times New Roman" w:eastAsia="Times New Roman" w:hAnsi="Times New Roman"/>
                <w:sz w:val="17"/>
                <w:szCs w:val="17"/>
                <w:color w:val="auto"/>
              </w:rPr>
              <w:t>Aggregate net proceeds of Stock and Stock Equivalent</w:t>
            </w:r>
          </w:p>
        </w:tc>
        <w:tc>
          <w:tcPr>
            <w:tcW w:w="2980" w:type="dxa"/>
            <w:vAlign w:val="bottom"/>
          </w:tcPr>
          <w:p>
            <w:pPr>
              <w:jc w:val="center"/>
              <w:ind w:left="1853"/>
              <w:spacing w:after="0"/>
              <w:rPr>
                <w:sz w:val="20"/>
                <w:szCs w:val="20"/>
                <w:color w:val="auto"/>
              </w:rPr>
            </w:pPr>
            <w:r>
              <w:rPr>
                <w:rFonts w:ascii="Times New Roman" w:cs="Times New Roman" w:eastAsia="Times New Roman" w:hAnsi="Times New Roman"/>
                <w:sz w:val="17"/>
                <w:szCs w:val="17"/>
                <w:color w:val="auto"/>
              </w:rPr>
              <w:t>___________</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280" w:type="dxa"/>
            <w:vAlign w:val="bottom"/>
            <w:gridSpan w:val="6"/>
          </w:tcPr>
          <w:p>
            <w:pPr>
              <w:ind w:left="240"/>
              <w:spacing w:after="0" w:line="188" w:lineRule="exact"/>
              <w:rPr>
                <w:sz w:val="20"/>
                <w:szCs w:val="20"/>
                <w:color w:val="auto"/>
              </w:rPr>
            </w:pPr>
            <w:r>
              <w:rPr>
                <w:rFonts w:ascii="Times New Roman" w:cs="Times New Roman" w:eastAsia="Times New Roman" w:hAnsi="Times New Roman"/>
                <w:sz w:val="17"/>
                <w:szCs w:val="17"/>
                <w:color w:val="auto"/>
              </w:rPr>
              <w:t>offerings after</w:t>
            </w:r>
          </w:p>
        </w:tc>
        <w:tc>
          <w:tcPr>
            <w:tcW w:w="2520" w:type="dxa"/>
            <w:vAlign w:val="bottom"/>
            <w:gridSpan w:val="8"/>
          </w:tcPr>
          <w:p>
            <w:pPr>
              <w:spacing w:after="0" w:line="188" w:lineRule="exact"/>
              <w:rPr>
                <w:sz w:val="20"/>
                <w:szCs w:val="20"/>
                <w:color w:val="auto"/>
              </w:rPr>
            </w:pPr>
            <w:r>
              <w:rPr>
                <w:rFonts w:ascii="Times New Roman" w:cs="Times New Roman" w:eastAsia="Times New Roman" w:hAnsi="Times New Roman"/>
                <w:sz w:val="17"/>
                <w:szCs w:val="17"/>
                <w:color w:val="FF0000"/>
                <w:strike w:val="1"/>
              </w:rPr>
              <w:t>the First Amendment Effective Date</w:t>
            </w:r>
          </w:p>
        </w:tc>
        <w:tc>
          <w:tcPr>
            <w:tcW w:w="320" w:type="dxa"/>
            <w:vAlign w:val="bottom"/>
            <w:tcBorders>
              <w:bottom w:val="single" w:sz="8" w:color="4472C4"/>
            </w:tcBorders>
          </w:tcPr>
          <w:p>
            <w:pPr>
              <w:spacing w:after="0" w:line="188" w:lineRule="exact"/>
              <w:rPr>
                <w:sz w:val="20"/>
                <w:szCs w:val="20"/>
                <w:color w:val="auto"/>
              </w:rPr>
            </w:pPr>
            <w:r>
              <w:rPr>
                <w:rFonts w:ascii="Times New Roman" w:cs="Times New Roman" w:eastAsia="Times New Roman" w:hAnsi="Times New Roman"/>
                <w:sz w:val="17"/>
                <w:szCs w:val="17"/>
                <w:color w:val="4472C4"/>
                <w:w w:val="96"/>
              </w:rPr>
              <w:t>June</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60" w:type="dxa"/>
            <w:vAlign w:val="bottom"/>
            <w:gridSpan w:val="4"/>
            <w:vMerge w:val="restart"/>
          </w:tcPr>
          <w:p>
            <w:pPr>
              <w:ind w:left="240"/>
              <w:spacing w:after="0" w:line="189" w:lineRule="exact"/>
              <w:rPr>
                <w:sz w:val="20"/>
                <w:szCs w:val="20"/>
                <w:color w:val="auto"/>
              </w:rPr>
            </w:pPr>
            <w:r>
              <w:rPr>
                <w:rFonts w:ascii="Times New Roman" w:cs="Times New Roman" w:eastAsia="Times New Roman" w:hAnsi="Times New Roman"/>
                <w:sz w:val="17"/>
                <w:szCs w:val="17"/>
                <w:color w:val="4472C4"/>
              </w:rPr>
              <w:t>30, 2022</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4472C4"/>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w w:val="78"/>
              </w:rPr>
              <w:t>3.</w:t>
            </w:r>
          </w:p>
        </w:tc>
        <w:tc>
          <w:tcPr>
            <w:tcW w:w="1160" w:type="dxa"/>
            <w:vAlign w:val="bottom"/>
            <w:gridSpan w:val="4"/>
            <w:vMerge w:val="continue"/>
          </w:tcPr>
          <w:p>
            <w:pPr>
              <w:spacing w:after="0"/>
              <w:rPr>
                <w:sz w:val="12"/>
                <w:szCs w:val="12"/>
                <w:color w:val="auto"/>
              </w:rPr>
            </w:pPr>
          </w:p>
        </w:tc>
        <w:tc>
          <w:tcPr>
            <w:tcW w:w="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FF0000"/>
                <w:strike w:val="1"/>
                <w:w w:val="88"/>
              </w:rPr>
              <w:t>F2</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4472C4"/>
                <w:w w:val="96"/>
              </w:rPr>
              <w:t>G2</w:t>
            </w:r>
          </w:p>
        </w:tc>
        <w:tc>
          <w:tcPr>
            <w:tcW w:w="2560" w:type="dxa"/>
            <w:vAlign w:val="bottom"/>
            <w:gridSpan w:val="7"/>
            <w:vMerge w:val="restart"/>
          </w:tcPr>
          <w:p>
            <w:pPr>
              <w:spacing w:after="0"/>
              <w:rPr>
                <w:sz w:val="12"/>
                <w:szCs w:val="12"/>
                <w:color w:val="auto"/>
              </w:rPr>
            </w:pPr>
          </w:p>
        </w:tc>
        <w:tc>
          <w:tcPr>
            <w:tcW w:w="2980" w:type="dxa"/>
            <w:vAlign w:val="bottom"/>
            <w:vMerge w:val="restart"/>
          </w:tcPr>
          <w:p>
            <w:pPr>
              <w:jc w:val="center"/>
              <w:ind w:left="1853"/>
              <w:spacing w:after="0"/>
              <w:rPr>
                <w:sz w:val="20"/>
                <w:szCs w:val="20"/>
                <w:color w:val="auto"/>
              </w:rPr>
            </w:pPr>
            <w:r>
              <w:rPr>
                <w:rFonts w:ascii="Times New Roman" w:cs="Times New Roman" w:eastAsia="Times New Roman" w:hAnsi="Times New Roman"/>
                <w:sz w:val="17"/>
                <w:szCs w:val="17"/>
                <w:color w:val="auto"/>
              </w:rPr>
              <w:t>___________</w:t>
            </w:r>
          </w:p>
        </w:tc>
        <w:tc>
          <w:tcPr>
            <w:tcW w:w="0" w:type="dxa"/>
            <w:vAlign w:val="bottom"/>
          </w:tcPr>
          <w:p>
            <w:pPr>
              <w:spacing w:after="0"/>
              <w:rPr>
                <w:sz w:val="1"/>
                <w:szCs w:val="1"/>
                <w:color w:val="auto"/>
              </w:rPr>
            </w:pPr>
          </w:p>
        </w:tc>
      </w:tr>
      <w:tr>
        <w:trPr>
          <w:trHeight w:val="20"/>
        </w:trPr>
        <w:tc>
          <w:tcPr>
            <w:tcW w:w="3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3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w w:val="89"/>
              </w:rPr>
              <w:t>Line</w:t>
            </w:r>
          </w:p>
        </w:tc>
        <w:tc>
          <w:tcPr>
            <w:tcW w:w="180" w:type="dxa"/>
            <w:vAlign w:val="bottom"/>
            <w:gridSpan w:val="3"/>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75% of</w:t>
            </w:r>
          </w:p>
        </w:tc>
        <w:tc>
          <w:tcPr>
            <w:tcW w:w="300" w:type="dxa"/>
            <w:vAlign w:val="bottom"/>
            <w:vMerge w:val="continue"/>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220" w:type="dxa"/>
            <w:vAlign w:val="bottom"/>
            <w:tcBorders>
              <w:bottom w:val="single" w:sz="8" w:color="4472C4"/>
            </w:tcBorders>
            <w:vMerge w:val="continue"/>
          </w:tcPr>
          <w:p>
            <w:pPr>
              <w:spacing w:after="0"/>
              <w:rPr>
                <w:sz w:val="12"/>
                <w:szCs w:val="12"/>
                <w:color w:val="auto"/>
              </w:rPr>
            </w:pPr>
          </w:p>
        </w:tc>
        <w:tc>
          <w:tcPr>
            <w:tcW w:w="2560" w:type="dxa"/>
            <w:vAlign w:val="bottom"/>
            <w:gridSpan w:val="7"/>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Borders>
              <w:bottom w:val="single" w:sz="8" w:color="4472C4"/>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8"/>
              </w:rPr>
              <w:t>4.</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98"/>
              </w:rPr>
              <w:t>136,071,557</w:t>
            </w:r>
          </w:p>
        </w:tc>
        <w:tc>
          <w:tcPr>
            <w:tcW w:w="1600" w:type="dxa"/>
            <w:vAlign w:val="bottom"/>
            <w:gridSpan w:val="6"/>
          </w:tcPr>
          <w:p>
            <w:pPr>
              <w:spacing w:after="0"/>
              <w:rPr>
                <w:sz w:val="20"/>
                <w:szCs w:val="20"/>
                <w:color w:val="auto"/>
              </w:rPr>
            </w:pPr>
            <w:r>
              <w:rPr>
                <w:rFonts w:ascii="Times New Roman" w:cs="Times New Roman" w:eastAsia="Times New Roman" w:hAnsi="Times New Roman"/>
                <w:sz w:val="17"/>
                <w:szCs w:val="17"/>
                <w:color w:val="4472C4"/>
              </w:rPr>
              <w:t xml:space="preserve">212,500,000 </w:t>
            </w:r>
            <w:r>
              <w:rPr>
                <w:rFonts w:ascii="Times New Roman" w:cs="Times New Roman" w:eastAsia="Times New Roman" w:hAnsi="Times New Roman"/>
                <w:sz w:val="17"/>
                <w:szCs w:val="17"/>
                <w:color w:val="000000"/>
              </w:rPr>
              <w:t>plus Line</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88"/>
              </w:rPr>
              <w:t>F3</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4472C4"/>
              </w:rPr>
              <w:t>G3</w:t>
            </w:r>
          </w:p>
        </w:tc>
        <w:tc>
          <w:tcPr>
            <w:tcW w:w="2980" w:type="dxa"/>
            <w:vAlign w:val="bottom"/>
          </w:tcPr>
          <w:p>
            <w:pPr>
              <w:jc w:val="center"/>
              <w:ind w:left="1853"/>
              <w:spacing w:after="0"/>
              <w:rPr>
                <w:sz w:val="20"/>
                <w:szCs w:val="20"/>
                <w:color w:val="auto"/>
              </w:rPr>
            </w:pPr>
            <w:r>
              <w:rPr>
                <w:rFonts w:ascii="Times New Roman" w:cs="Times New Roman" w:eastAsia="Times New Roman" w:hAnsi="Times New Roman"/>
                <w:sz w:val="17"/>
                <w:szCs w:val="17"/>
                <w:color w:val="auto"/>
              </w:rPr>
              <w:t>___________</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1240" w:hanging="609"/>
        <w:spacing w:after="0"/>
        <w:tabs>
          <w:tab w:leader="none" w:pos="12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Line </w:t>
      </w:r>
      <w:r>
        <w:rPr>
          <w:rFonts w:ascii="Times New Roman" w:cs="Times New Roman" w:eastAsia="Times New Roman" w:hAnsi="Times New Roman"/>
          <w:sz w:val="17"/>
          <w:szCs w:val="17"/>
          <w:color w:val="FF0000"/>
          <w:strike w:val="1"/>
        </w:rPr>
        <w:t>F1</w:t>
      </w:r>
      <w:r>
        <w:rPr>
          <w:rFonts w:ascii="Times New Roman" w:cs="Times New Roman" w:eastAsia="Times New Roman" w:hAnsi="Times New Roman"/>
          <w:sz w:val="17"/>
          <w:szCs w:val="17"/>
          <w:u w:val="single" w:color="auto"/>
          <w:color w:val="4472C4"/>
        </w:rPr>
        <w:t>G1</w:t>
      </w:r>
      <w:r>
        <w:rPr>
          <w:rFonts w:ascii="Times New Roman" w:cs="Times New Roman" w:eastAsia="Times New Roman" w:hAnsi="Times New Roman"/>
          <w:sz w:val="17"/>
          <w:szCs w:val="17"/>
          <w:color w:val="auto"/>
        </w:rPr>
        <w:t xml:space="preserve"> shall not be less than Line </w:t>
      </w:r>
      <w:r>
        <w:rPr>
          <w:rFonts w:ascii="Times New Roman" w:cs="Times New Roman" w:eastAsia="Times New Roman" w:hAnsi="Times New Roman"/>
          <w:sz w:val="17"/>
          <w:szCs w:val="17"/>
          <w:color w:val="FF0000"/>
          <w:strike w:val="1"/>
        </w:rPr>
        <w:t>F4</w:t>
      </w:r>
      <w:r>
        <w:rPr>
          <w:rFonts w:ascii="Times New Roman" w:cs="Times New Roman" w:eastAsia="Times New Roman" w:hAnsi="Times New Roman"/>
          <w:sz w:val="17"/>
          <w:szCs w:val="17"/>
          <w:u w:val="single" w:color="auto"/>
          <w:color w:val="4472C4"/>
        </w:rPr>
        <w:t>G4</w:t>
      </w:r>
    </w:p>
    <w:p>
      <w:pPr>
        <w:spacing w:after="0" w:line="222" w:lineRule="exact"/>
        <w:rPr>
          <w:sz w:val="20"/>
          <w:szCs w:val="20"/>
          <w:color w:val="auto"/>
        </w:rPr>
      </w:pPr>
    </w:p>
    <w:p>
      <w:pPr>
        <w:ind w:left="640"/>
        <w:spacing w:after="0"/>
        <w:tabs>
          <w:tab w:leader="none" w:pos="1220" w:val="left"/>
          <w:tab w:leader="none" w:pos="7340" w:val="left"/>
        </w:tabs>
        <w:rPr>
          <w:sz w:val="20"/>
          <w:szCs w:val="20"/>
          <w:color w:val="auto"/>
        </w:rPr>
      </w:pPr>
      <w:r>
        <w:rPr>
          <w:rFonts w:ascii="Times New Roman" w:cs="Times New Roman" w:eastAsia="Times New Roman" w:hAnsi="Times New Roman"/>
          <w:sz w:val="17"/>
          <w:szCs w:val="17"/>
          <w:color w:val="auto"/>
        </w:rPr>
        <w:t>6.</w:t>
      </w:r>
      <w:r>
        <w:rPr>
          <w:sz w:val="20"/>
          <w:szCs w:val="20"/>
          <w:color w:val="auto"/>
        </w:rPr>
        <w:tab/>
      </w:r>
      <w:r>
        <w:rPr>
          <w:rFonts w:ascii="Times New Roman" w:cs="Times New Roman" w:eastAsia="Times New Roman" w:hAnsi="Times New Roman"/>
          <w:sz w:val="17"/>
          <w:szCs w:val="17"/>
          <w:color w:val="auto"/>
        </w:rPr>
        <w:t>The Borrower is in compliance (circle yes or no)</w:t>
      </w:r>
      <w:r>
        <w:rPr>
          <w:sz w:val="20"/>
          <w:szCs w:val="20"/>
          <w:color w:val="auto"/>
        </w:rPr>
        <w:tab/>
      </w:r>
      <w:r>
        <w:rPr>
          <w:rFonts w:ascii="Times New Roman" w:cs="Times New Roman" w:eastAsia="Times New Roman" w:hAnsi="Times New Roman"/>
          <w:sz w:val="17"/>
          <w:szCs w:val="17"/>
          <w:color w:val="auto"/>
        </w:rPr>
        <w:t>yes/no</w:t>
      </w:r>
    </w:p>
    <w:p>
      <w:pPr>
        <w:spacing w:after="0" w:line="222" w:lineRule="exact"/>
        <w:rPr>
          <w:sz w:val="20"/>
          <w:szCs w:val="20"/>
          <w:color w:val="auto"/>
        </w:rPr>
      </w:pPr>
    </w:p>
    <w:p>
      <w:pPr>
        <w:ind w:left="1240" w:hanging="1235"/>
        <w:spacing w:after="0"/>
        <w:tabs>
          <w:tab w:leader="none" w:pos="1240" w:val="left"/>
        </w:tabs>
        <w:numPr>
          <w:ilvl w:val="0"/>
          <w:numId w:val="139"/>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Investments (Joint Ventures) (Section 8.8(i))</w:t>
      </w:r>
    </w:p>
    <w:p>
      <w:pPr>
        <w:spacing w:after="0" w:line="222"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1.</w:t>
            </w:r>
          </w:p>
        </w:tc>
        <w:tc>
          <w:tcPr>
            <w:tcW w:w="438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Cash Investments in Joint Ventures</w:t>
            </w:r>
          </w:p>
        </w:tc>
        <w:tc>
          <w:tcPr>
            <w:tcW w:w="2720" w:type="dxa"/>
            <w:vAlign w:val="bottom"/>
          </w:tcPr>
          <w:p>
            <w:pPr>
              <w:jc w:val="center"/>
              <w:ind w:left="159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41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2.</w:t>
            </w:r>
          </w:p>
        </w:tc>
        <w:tc>
          <w:tcPr>
            <w:tcW w:w="438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Total Asset Value</w:t>
            </w:r>
          </w:p>
        </w:tc>
        <w:tc>
          <w:tcPr>
            <w:tcW w:w="2720" w:type="dxa"/>
            <w:vAlign w:val="bottom"/>
          </w:tcPr>
          <w:p>
            <w:pPr>
              <w:jc w:val="center"/>
              <w:ind w:left="159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41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3.</w:t>
            </w:r>
          </w:p>
        </w:tc>
        <w:tc>
          <w:tcPr>
            <w:tcW w:w="438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Line G1 divided by Line G2</w:t>
            </w:r>
          </w:p>
        </w:tc>
        <w:tc>
          <w:tcPr>
            <w:tcW w:w="2720" w:type="dxa"/>
            <w:vAlign w:val="bottom"/>
          </w:tcPr>
          <w:p>
            <w:pPr>
              <w:jc w:val="center"/>
              <w:ind w:left="1593"/>
              <w:spacing w:after="0"/>
              <w:rPr>
                <w:sz w:val="20"/>
                <w:szCs w:val="20"/>
                <w:color w:val="auto"/>
              </w:rPr>
            </w:pPr>
            <w:r>
              <w:rPr>
                <w:rFonts w:ascii="Times New Roman" w:cs="Times New Roman" w:eastAsia="Times New Roman" w:hAnsi="Times New Roman"/>
                <w:sz w:val="17"/>
                <w:szCs w:val="17"/>
                <w:color w:val="FF0000"/>
                <w:strike w:val="1"/>
              </w:rPr>
              <w:t>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[Exhibit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1261" w:right="1440" w:bottom="1440" w:gutter="0" w:footer="0" w:header="0"/>
        </w:sectPr>
      </w:pPr>
    </w:p>
    <w:bookmarkStart w:id="190" w:name="page191"/>
    <w:bookmarkEnd w:id="190"/>
    <w:p>
      <w:pPr>
        <w:ind w:left="1240" w:hanging="609"/>
        <w:spacing w:after="0"/>
        <w:tabs>
          <w:tab w:leader="none" w:pos="1240" w:val="left"/>
        </w:tabs>
        <w:numPr>
          <w:ilvl w:val="0"/>
          <w:numId w:val="140"/>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Line G3 shall not exceed 10%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 w:type="dxa"/>
            <w:vAlign w:val="bottom"/>
          </w:tcPr>
          <w:p>
            <w:pPr>
              <w:spacing w:after="0"/>
              <w:rPr>
                <w:sz w:val="19"/>
                <w:szCs w:val="19"/>
                <w:color w:val="auto"/>
              </w:rPr>
            </w:pP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rPr>
              <w:t>5.</w:t>
            </w:r>
          </w:p>
        </w:tc>
        <w:tc>
          <w:tcPr>
            <w:tcW w:w="490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The Borrower is in compliance (circle yes or no)</w:t>
            </w:r>
          </w:p>
        </w:tc>
        <w:tc>
          <w:tcPr>
            <w:tcW w:w="2200" w:type="dxa"/>
            <w:vAlign w:val="bottom"/>
          </w:tcPr>
          <w:p>
            <w:pPr>
              <w:ind w:left="1460"/>
              <w:spacing w:after="0"/>
              <w:rPr>
                <w:sz w:val="20"/>
                <w:szCs w:val="20"/>
                <w:color w:val="auto"/>
              </w:rPr>
            </w:pPr>
            <w:r>
              <w:rPr>
                <w:rFonts w:ascii="Times New Roman" w:cs="Times New Roman" w:eastAsia="Times New Roman" w:hAnsi="Times New Roman"/>
                <w:sz w:val="17"/>
                <w:szCs w:val="17"/>
                <w:color w:val="FF0000"/>
                <w:strike w:val="1"/>
              </w:rPr>
              <w:t>yes/no</w:t>
            </w:r>
          </w:p>
        </w:tc>
      </w:tr>
      <w:tr>
        <w:trPr>
          <w:trHeight w:val="417"/>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FF0000"/>
                <w:strike w:val="1"/>
              </w:rPr>
              <w:t>H.</w:t>
            </w:r>
          </w:p>
        </w:tc>
        <w:tc>
          <w:tcPr>
            <w:tcW w:w="55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FF0000"/>
                <w:strike w:val="1"/>
              </w:rPr>
              <w:t>Investments (Assets Under Development) (Section 8.8(j))</w:t>
            </w:r>
          </w:p>
        </w:tc>
        <w:tc>
          <w:tcPr>
            <w:tcW w:w="2200" w:type="dxa"/>
            <w:vAlign w:val="bottom"/>
          </w:tcPr>
          <w:p>
            <w:pPr>
              <w:spacing w:after="0"/>
              <w:rPr>
                <w:sz w:val="24"/>
                <w:szCs w:val="24"/>
                <w:color w:val="auto"/>
              </w:rPr>
            </w:pPr>
          </w:p>
        </w:tc>
      </w:tr>
      <w:tr>
        <w:trPr>
          <w:trHeight w:val="417"/>
        </w:trPr>
        <w:tc>
          <w:tcPr>
            <w:tcW w:w="400" w:type="dxa"/>
            <w:vAlign w:val="bottom"/>
          </w:tcPr>
          <w:p>
            <w:pPr>
              <w:spacing w:after="0"/>
              <w:rPr>
                <w:sz w:val="24"/>
                <w:szCs w:val="24"/>
                <w:color w:val="auto"/>
              </w:rPr>
            </w:pP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rPr>
              <w:t>1.</w:t>
            </w:r>
          </w:p>
        </w:tc>
        <w:tc>
          <w:tcPr>
            <w:tcW w:w="490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Assets Under Development</w:t>
            </w:r>
          </w:p>
        </w:tc>
        <w:tc>
          <w:tcPr>
            <w:tcW w:w="2200" w:type="dxa"/>
            <w:vAlign w:val="bottom"/>
          </w:tcPr>
          <w:p>
            <w:pPr>
              <w:jc w:val="center"/>
              <w:ind w:left="107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417"/>
        </w:trPr>
        <w:tc>
          <w:tcPr>
            <w:tcW w:w="400" w:type="dxa"/>
            <w:vAlign w:val="bottom"/>
          </w:tcPr>
          <w:p>
            <w:pPr>
              <w:spacing w:after="0"/>
              <w:rPr>
                <w:sz w:val="24"/>
                <w:szCs w:val="24"/>
                <w:color w:val="auto"/>
              </w:rPr>
            </w:pP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rPr>
              <w:t>2.</w:t>
            </w:r>
          </w:p>
        </w:tc>
        <w:tc>
          <w:tcPr>
            <w:tcW w:w="490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Total Asset Value</w:t>
            </w:r>
          </w:p>
        </w:tc>
        <w:tc>
          <w:tcPr>
            <w:tcW w:w="2200" w:type="dxa"/>
            <w:vAlign w:val="bottom"/>
          </w:tcPr>
          <w:p>
            <w:pPr>
              <w:jc w:val="center"/>
              <w:ind w:left="107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417"/>
        </w:trPr>
        <w:tc>
          <w:tcPr>
            <w:tcW w:w="400" w:type="dxa"/>
            <w:vAlign w:val="bottom"/>
          </w:tcPr>
          <w:p>
            <w:pPr>
              <w:spacing w:after="0"/>
              <w:rPr>
                <w:sz w:val="24"/>
                <w:szCs w:val="24"/>
                <w:color w:val="auto"/>
              </w:rPr>
            </w:pP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rPr>
              <w:t>3.</w:t>
            </w:r>
          </w:p>
        </w:tc>
        <w:tc>
          <w:tcPr>
            <w:tcW w:w="490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Line H1 divided by Line H2</w:t>
            </w:r>
          </w:p>
        </w:tc>
        <w:tc>
          <w:tcPr>
            <w:tcW w:w="2200" w:type="dxa"/>
            <w:vAlign w:val="bottom"/>
          </w:tcPr>
          <w:p>
            <w:pPr>
              <w:jc w:val="center"/>
              <w:ind w:left="1073"/>
              <w:spacing w:after="0"/>
              <w:rPr>
                <w:sz w:val="20"/>
                <w:szCs w:val="20"/>
                <w:color w:val="auto"/>
              </w:rPr>
            </w:pPr>
            <w:r>
              <w:rPr>
                <w:rFonts w:ascii="Times New Roman" w:cs="Times New Roman" w:eastAsia="Times New Roman" w:hAnsi="Times New Roman"/>
                <w:sz w:val="17"/>
                <w:szCs w:val="17"/>
                <w:color w:val="FF0000"/>
                <w:strike w:val="1"/>
              </w:rPr>
              <w:t>___________</w:t>
            </w:r>
          </w:p>
        </w:tc>
      </w:tr>
    </w:tbl>
    <w:p>
      <w:pPr>
        <w:spacing w:after="0" w:line="190" w:lineRule="exact"/>
        <w:rPr>
          <w:sz w:val="20"/>
          <w:szCs w:val="20"/>
          <w:color w:val="auto"/>
        </w:rPr>
      </w:pPr>
    </w:p>
    <w:p>
      <w:pPr>
        <w:ind w:left="1240" w:hanging="609"/>
        <w:spacing w:after="0"/>
        <w:tabs>
          <w:tab w:leader="none" w:pos="1240" w:val="left"/>
        </w:tabs>
        <w:numPr>
          <w:ilvl w:val="0"/>
          <w:numId w:val="14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Line H3 shall not exceed 10%</w:t>
      </w:r>
    </w:p>
    <w:p>
      <w:pPr>
        <w:spacing w:after="0" w:line="222" w:lineRule="exact"/>
        <w:rPr>
          <w:sz w:val="20"/>
          <w:szCs w:val="20"/>
          <w:color w:val="auto"/>
        </w:rPr>
      </w:pPr>
    </w:p>
    <w:p>
      <w:pPr>
        <w:ind w:left="640"/>
        <w:spacing w:after="0"/>
        <w:tabs>
          <w:tab w:leader="none" w:pos="1220" w:val="left"/>
          <w:tab w:leader="none" w:pos="7340" w:val="left"/>
        </w:tabs>
        <w:rPr>
          <w:sz w:val="20"/>
          <w:szCs w:val="20"/>
          <w:color w:val="auto"/>
        </w:rPr>
      </w:pPr>
      <w:r>
        <w:rPr>
          <w:rFonts w:ascii="Times New Roman" w:cs="Times New Roman" w:eastAsia="Times New Roman" w:hAnsi="Times New Roman"/>
          <w:sz w:val="17"/>
          <w:szCs w:val="17"/>
          <w:color w:val="FF0000"/>
          <w:strike w:val="1"/>
        </w:rPr>
        <w:t>5.</w:t>
      </w:r>
      <w:r>
        <w:rPr>
          <w:sz w:val="20"/>
          <w:szCs w:val="20"/>
          <w:color w:val="auto"/>
        </w:rPr>
        <w:tab/>
      </w:r>
      <w:r>
        <w:rPr>
          <w:rFonts w:ascii="Times New Roman" w:cs="Times New Roman" w:eastAsia="Times New Roman" w:hAnsi="Times New Roman"/>
          <w:sz w:val="17"/>
          <w:szCs w:val="17"/>
          <w:color w:val="FF0000"/>
          <w:strike w:val="1"/>
        </w:rPr>
        <w:t>The Borrower is in compliance (circle yes or no)</w:t>
      </w:r>
      <w:r>
        <w:rPr>
          <w:sz w:val="20"/>
          <w:szCs w:val="20"/>
          <w:color w:val="auto"/>
        </w:rPr>
        <w:tab/>
      </w:r>
      <w:r>
        <w:rPr>
          <w:rFonts w:ascii="Times New Roman" w:cs="Times New Roman" w:eastAsia="Times New Roman" w:hAnsi="Times New Roman"/>
          <w:sz w:val="16"/>
          <w:szCs w:val="16"/>
          <w:color w:val="FF0000"/>
          <w:strike w:val="1"/>
        </w:rPr>
        <w:t>yes/no</w:t>
      </w:r>
    </w:p>
    <w:p>
      <w:pPr>
        <w:spacing w:after="0" w:line="222" w:lineRule="exact"/>
        <w:rPr>
          <w:sz w:val="20"/>
          <w:szCs w:val="20"/>
          <w:color w:val="auto"/>
        </w:rPr>
      </w:pPr>
    </w:p>
    <w:p>
      <w:pPr>
        <w:ind w:left="700" w:hanging="695"/>
        <w:spacing w:after="0"/>
        <w:tabs>
          <w:tab w:leader="none" w:pos="700" w:val="left"/>
        </w:tabs>
        <w:numPr>
          <w:ilvl w:val="0"/>
          <w:numId w:val="14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Investments (Stock Repurchases) (Section 8.8(k))</w:t>
      </w:r>
    </w:p>
    <w:p>
      <w:pPr>
        <w:spacing w:after="0" w:line="222"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1.</w:t>
            </w:r>
          </w:p>
        </w:tc>
        <w:tc>
          <w:tcPr>
            <w:tcW w:w="484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Stock Repurchases</w:t>
            </w:r>
          </w:p>
        </w:tc>
        <w:tc>
          <w:tcPr>
            <w:tcW w:w="2260" w:type="dxa"/>
            <w:vAlign w:val="bottom"/>
          </w:tcPr>
          <w:p>
            <w:pPr>
              <w:jc w:val="center"/>
              <w:ind w:left="113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41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2.</w:t>
            </w:r>
          </w:p>
        </w:tc>
        <w:tc>
          <w:tcPr>
            <w:tcW w:w="484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Total Asset Value</w:t>
            </w:r>
          </w:p>
        </w:tc>
        <w:tc>
          <w:tcPr>
            <w:tcW w:w="2260" w:type="dxa"/>
            <w:vAlign w:val="bottom"/>
          </w:tcPr>
          <w:p>
            <w:pPr>
              <w:jc w:val="center"/>
              <w:ind w:left="113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41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3.</w:t>
            </w:r>
          </w:p>
        </w:tc>
        <w:tc>
          <w:tcPr>
            <w:tcW w:w="484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Line I1 divided by Line I2</w:t>
            </w:r>
          </w:p>
        </w:tc>
        <w:tc>
          <w:tcPr>
            <w:tcW w:w="2260" w:type="dxa"/>
            <w:vAlign w:val="bottom"/>
          </w:tcPr>
          <w:p>
            <w:pPr>
              <w:jc w:val="center"/>
              <w:ind w:left="113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41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4.</w:t>
            </w:r>
          </w:p>
        </w:tc>
        <w:tc>
          <w:tcPr>
            <w:tcW w:w="484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Line I3 shall not exceed 10%</w:t>
            </w:r>
          </w:p>
        </w:tc>
        <w:tc>
          <w:tcPr>
            <w:tcW w:w="2260" w:type="dxa"/>
            <w:vAlign w:val="bottom"/>
          </w:tcPr>
          <w:p>
            <w:pPr>
              <w:jc w:val="center"/>
              <w:ind w:left="113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41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5.</w:t>
            </w:r>
          </w:p>
        </w:tc>
        <w:tc>
          <w:tcPr>
            <w:tcW w:w="484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The Borrower is in compliance (circle yes or no)</w:t>
            </w:r>
          </w:p>
        </w:tc>
        <w:tc>
          <w:tcPr>
            <w:tcW w:w="2260" w:type="dxa"/>
            <w:vAlign w:val="bottom"/>
          </w:tcPr>
          <w:p>
            <w:pPr>
              <w:ind w:left="1520"/>
              <w:spacing w:after="0"/>
              <w:rPr>
                <w:sz w:val="20"/>
                <w:szCs w:val="20"/>
                <w:color w:val="auto"/>
              </w:rPr>
            </w:pPr>
            <w:r>
              <w:rPr>
                <w:rFonts w:ascii="Times New Roman" w:cs="Times New Roman" w:eastAsia="Times New Roman" w:hAnsi="Times New Roman"/>
                <w:sz w:val="17"/>
                <w:szCs w:val="17"/>
                <w:color w:val="FF0000"/>
                <w:strike w:val="1"/>
              </w:rPr>
              <w:t>yes/no</w:t>
            </w:r>
          </w:p>
        </w:tc>
      </w:tr>
    </w:tbl>
    <w:p>
      <w:pPr>
        <w:spacing w:after="0" w:line="190" w:lineRule="exact"/>
        <w:rPr>
          <w:sz w:val="20"/>
          <w:szCs w:val="20"/>
          <w:color w:val="auto"/>
        </w:rPr>
      </w:pPr>
    </w:p>
    <w:p>
      <w:pPr>
        <w:ind w:left="700" w:right="4999" w:hanging="695"/>
        <w:spacing w:after="0" w:line="267" w:lineRule="auto"/>
        <w:tabs>
          <w:tab w:leader="none" w:pos="700" w:val="left"/>
        </w:tabs>
        <w:numPr>
          <w:ilvl w:val="0"/>
          <w:numId w:val="143"/>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Aggregate Investment Limitation to Total Asset Value (Section 8.8)</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1.</w:t>
            </w:r>
          </w:p>
        </w:tc>
        <w:tc>
          <w:tcPr>
            <w:tcW w:w="414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Sum of Lines G1, H1 and I1</w:t>
            </w:r>
          </w:p>
        </w:tc>
        <w:tc>
          <w:tcPr>
            <w:tcW w:w="2960" w:type="dxa"/>
            <w:vAlign w:val="bottom"/>
          </w:tcPr>
          <w:p>
            <w:pPr>
              <w:jc w:val="center"/>
              <w:ind w:left="1833"/>
              <w:spacing w:after="0"/>
              <w:rPr>
                <w:sz w:val="20"/>
                <w:szCs w:val="20"/>
                <w:color w:val="auto"/>
              </w:rPr>
            </w:pPr>
            <w:r>
              <w:rPr>
                <w:rFonts w:ascii="Times New Roman" w:cs="Times New Roman" w:eastAsia="Times New Roman" w:hAnsi="Times New Roman"/>
                <w:sz w:val="17"/>
                <w:szCs w:val="17"/>
                <w:color w:val="FF0000"/>
                <w:strike w:val="1"/>
              </w:rPr>
              <w:t>$___________</w:t>
            </w:r>
          </w:p>
        </w:tc>
      </w:tr>
      <w:tr>
        <w:trPr>
          <w:trHeight w:val="399"/>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2.</w:t>
            </w:r>
          </w:p>
        </w:tc>
        <w:tc>
          <w:tcPr>
            <w:tcW w:w="414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Total Asset Value</w:t>
            </w:r>
          </w:p>
        </w:tc>
        <w:tc>
          <w:tcPr>
            <w:tcW w:w="2960" w:type="dxa"/>
            <w:vAlign w:val="bottom"/>
          </w:tcPr>
          <w:p>
            <w:pPr>
              <w:jc w:val="center"/>
              <w:ind w:left="1833"/>
              <w:spacing w:after="0"/>
              <w:rPr>
                <w:sz w:val="20"/>
                <w:szCs w:val="20"/>
                <w:color w:val="auto"/>
              </w:rPr>
            </w:pPr>
            <w:r>
              <w:rPr>
                <w:rFonts w:ascii="Times New Roman" w:cs="Times New Roman" w:eastAsia="Times New Roman" w:hAnsi="Times New Roman"/>
                <w:sz w:val="17"/>
                <w:szCs w:val="17"/>
                <w:color w:val="FF0000"/>
                <w:strike w:val="1"/>
              </w:rPr>
              <w:t>____________</w:t>
            </w:r>
          </w:p>
        </w:tc>
      </w:tr>
      <w:tr>
        <w:trPr>
          <w:trHeight w:val="417"/>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FF0000"/>
                <w:strike w:val="1"/>
                <w:w w:val="78"/>
              </w:rPr>
              <w:t>3.</w:t>
            </w:r>
          </w:p>
        </w:tc>
        <w:tc>
          <w:tcPr>
            <w:tcW w:w="414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Line J1 divided by Line J2</w:t>
            </w:r>
          </w:p>
        </w:tc>
        <w:tc>
          <w:tcPr>
            <w:tcW w:w="2960" w:type="dxa"/>
            <w:vAlign w:val="bottom"/>
          </w:tcPr>
          <w:p>
            <w:pPr>
              <w:jc w:val="center"/>
              <w:ind w:left="1833"/>
              <w:spacing w:after="0"/>
              <w:rPr>
                <w:sz w:val="20"/>
                <w:szCs w:val="20"/>
                <w:color w:val="auto"/>
              </w:rPr>
            </w:pPr>
            <w:r>
              <w:rPr>
                <w:rFonts w:ascii="Times New Roman" w:cs="Times New Roman" w:eastAsia="Times New Roman" w:hAnsi="Times New Roman"/>
                <w:sz w:val="17"/>
                <w:szCs w:val="17"/>
                <w:color w:val="FF0000"/>
                <w:strike w:val="1"/>
              </w:rPr>
              <w:t>___________</w:t>
            </w:r>
          </w:p>
        </w:tc>
      </w:tr>
    </w:tbl>
    <w:p>
      <w:pPr>
        <w:spacing w:after="0" w:line="190" w:lineRule="exact"/>
        <w:rPr>
          <w:sz w:val="20"/>
          <w:szCs w:val="20"/>
          <w:color w:val="auto"/>
        </w:rPr>
      </w:pPr>
    </w:p>
    <w:p>
      <w:pPr>
        <w:ind w:left="1240" w:hanging="609"/>
        <w:spacing w:after="0"/>
        <w:tabs>
          <w:tab w:leader="none" w:pos="1240" w:val="left"/>
        </w:tabs>
        <w:numPr>
          <w:ilvl w:val="0"/>
          <w:numId w:val="14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Line J3 shall not exceed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[Exhibit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1060" w:right="1440"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rPr>
              <w:t>5.</w:t>
            </w:r>
          </w:p>
        </w:tc>
        <w:tc>
          <w:tcPr>
            <w:tcW w:w="52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7"/>
                <w:szCs w:val="17"/>
                <w:color w:val="FF0000"/>
                <w:strike w:val="1"/>
              </w:rPr>
              <w:t>The Borrower is in compliance (circle yes or no)</w:t>
            </w:r>
          </w:p>
        </w:tc>
        <w:tc>
          <w:tcPr>
            <w:tcW w:w="2140" w:type="dxa"/>
            <w:vAlign w:val="bottom"/>
            <w:vMerge w:val="restart"/>
          </w:tcPr>
          <w:p>
            <w:pPr>
              <w:jc w:val="center"/>
              <w:ind w:left="1033"/>
              <w:spacing w:after="0"/>
              <w:rPr>
                <w:sz w:val="20"/>
                <w:szCs w:val="20"/>
                <w:color w:val="auto"/>
              </w:rPr>
            </w:pPr>
            <w:r>
              <w:rPr>
                <w:rFonts w:ascii="Times New Roman" w:cs="Times New Roman" w:eastAsia="Times New Roman" w:hAnsi="Times New Roman"/>
                <w:sz w:val="17"/>
                <w:szCs w:val="17"/>
                <w:color w:val="FF0000"/>
                <w:strike w:val="1"/>
              </w:rPr>
              <w:t>yes/no</w:t>
            </w:r>
          </w:p>
        </w:tc>
        <w:tc>
          <w:tcPr>
            <w:tcW w:w="0" w:type="dxa"/>
            <w:vAlign w:val="bottom"/>
          </w:tcPr>
          <w:p>
            <w:pPr>
              <w:spacing w:after="0" w:line="20" w:lineRule="exact"/>
              <w:rPr>
                <w:sz w:val="1"/>
                <w:szCs w:val="1"/>
                <w:color w:val="auto"/>
              </w:rPr>
            </w:pPr>
          </w:p>
        </w:tc>
      </w:tr>
      <w:tr>
        <w:trPr>
          <w:trHeight w:val="207"/>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5200" w:type="dxa"/>
            <w:vAlign w:val="bottom"/>
            <w:gridSpan w:val="5"/>
            <w:vMerge w:val="continue"/>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140" w:type="dxa"/>
            <w:vAlign w:val="bottom"/>
            <w:gridSpan w:val="2"/>
          </w:tcPr>
          <w:p>
            <w:pPr>
              <w:spacing w:after="0"/>
              <w:rPr>
                <w:sz w:val="20"/>
                <w:szCs w:val="20"/>
                <w:color w:val="auto"/>
              </w:rPr>
            </w:pPr>
            <w:r>
              <w:rPr>
                <w:rFonts w:ascii="Times New Roman" w:cs="Times New Roman" w:eastAsia="Times New Roman" w:hAnsi="Times New Roman"/>
                <w:sz w:val="17"/>
                <w:szCs w:val="17"/>
                <w:color w:val="FF0000"/>
                <w:strike w:val="1"/>
                <w:w w:val="97"/>
              </w:rPr>
              <w:t>K</w:t>
            </w: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4472C4"/>
              </w:rPr>
              <w:t>H</w:t>
            </w:r>
            <w:r>
              <w:rPr>
                <w:rFonts w:ascii="Times New Roman" w:cs="Times New Roman" w:eastAsia="Times New Roman" w:hAnsi="Times New Roman"/>
                <w:sz w:val="17"/>
                <w:szCs w:val="17"/>
                <w:color w:val="000000"/>
              </w:rPr>
              <w:t>.</w:t>
            </w:r>
          </w:p>
        </w:tc>
        <w:tc>
          <w:tcPr>
            <w:tcW w:w="550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Restricted Payments (Section 8.25(a))</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4472C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20" w:type="dxa"/>
            <w:vAlign w:val="bottom"/>
            <w:tcBorders>
              <w:bottom w:val="single" w:sz="8" w:color="4472C4"/>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2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7"/>
                <w:szCs w:val="17"/>
                <w:color w:val="auto"/>
              </w:rPr>
              <w:t>Aggregate amount of cash distributions made by the</w:t>
            </w:r>
          </w:p>
        </w:tc>
        <w:tc>
          <w:tcPr>
            <w:tcW w:w="2140" w:type="dxa"/>
            <w:vAlign w:val="bottom"/>
            <w:vMerge w:val="restart"/>
          </w:tcPr>
          <w:p>
            <w:pPr>
              <w:jc w:val="center"/>
              <w:ind w:left="1013"/>
              <w:spacing w:after="0"/>
              <w:rPr>
                <w:sz w:val="20"/>
                <w:szCs w:val="20"/>
                <w:color w:val="auto"/>
              </w:rPr>
            </w:pPr>
            <w:r>
              <w:rPr>
                <w:rFonts w:ascii="Times New Roman" w:cs="Times New Roman" w:eastAsia="Times New Roman" w:hAnsi="Times New Roman"/>
                <w:sz w:val="17"/>
                <w:szCs w:val="17"/>
                <w:color w:val="auto"/>
              </w:rPr>
              <w:t>$___________</w:t>
            </w:r>
          </w:p>
        </w:tc>
        <w:tc>
          <w:tcPr>
            <w:tcW w:w="0" w:type="dxa"/>
            <w:vAlign w:val="bottom"/>
          </w:tcPr>
          <w:p>
            <w:pPr>
              <w:spacing w:after="0" w:line="20" w:lineRule="exact"/>
              <w:rPr>
                <w:sz w:val="1"/>
                <w:szCs w:val="1"/>
                <w:color w:val="auto"/>
              </w:rPr>
            </w:pPr>
          </w:p>
        </w:tc>
      </w:tr>
      <w:tr>
        <w:trPr>
          <w:trHeight w:val="378"/>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5200" w:type="dxa"/>
            <w:vAlign w:val="bottom"/>
            <w:gridSpan w:val="5"/>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Parent to its equity holders during such period</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520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Parent’s Adjusted FFO for such period</w:t>
            </w:r>
          </w:p>
        </w:tc>
        <w:tc>
          <w:tcPr>
            <w:tcW w:w="2140" w:type="dxa"/>
            <w:vAlign w:val="bottom"/>
          </w:tcPr>
          <w:p>
            <w:pPr>
              <w:jc w:val="center"/>
              <w:ind w:left="1013"/>
              <w:spacing w:after="0"/>
              <w:rPr>
                <w:sz w:val="20"/>
                <w:szCs w:val="20"/>
                <w:color w:val="auto"/>
              </w:rPr>
            </w:pPr>
            <w:r>
              <w:rPr>
                <w:rFonts w:ascii="Times New Roman" w:cs="Times New Roman" w:eastAsia="Times New Roman" w:hAnsi="Times New Roman"/>
                <w:sz w:val="17"/>
                <w:szCs w:val="17"/>
                <w:color w:val="auto"/>
              </w:rPr>
              <w:t>____________</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95% of Line</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86"/>
              </w:rPr>
              <w:t>K2</w:t>
            </w:r>
          </w:p>
        </w:tc>
        <w:tc>
          <w:tcPr>
            <w:tcW w:w="3600" w:type="dxa"/>
            <w:vAlign w:val="bottom"/>
            <w:gridSpan w:val="3"/>
          </w:tcPr>
          <w:p>
            <w:pPr>
              <w:spacing w:after="0"/>
              <w:rPr>
                <w:sz w:val="20"/>
                <w:szCs w:val="20"/>
                <w:color w:val="auto"/>
              </w:rPr>
            </w:pPr>
            <w:r>
              <w:rPr>
                <w:rFonts w:ascii="Times New Roman" w:cs="Times New Roman" w:eastAsia="Times New Roman" w:hAnsi="Times New Roman"/>
                <w:sz w:val="17"/>
                <w:szCs w:val="17"/>
                <w:color w:val="4472C4"/>
              </w:rPr>
              <w:t>H2</w:t>
            </w:r>
          </w:p>
        </w:tc>
        <w:tc>
          <w:tcPr>
            <w:tcW w:w="2140" w:type="dxa"/>
            <w:vAlign w:val="bottom"/>
          </w:tcPr>
          <w:p>
            <w:pPr>
              <w:jc w:val="center"/>
              <w:ind w:left="1013"/>
              <w:spacing w:after="0"/>
              <w:rPr>
                <w:sz w:val="20"/>
                <w:szCs w:val="20"/>
                <w:color w:val="auto"/>
              </w:rPr>
            </w:pPr>
            <w:r>
              <w:rPr>
                <w:rFonts w:ascii="Times New Roman" w:cs="Times New Roman" w:eastAsia="Times New Roman" w:hAnsi="Times New Roman"/>
                <w:sz w:val="17"/>
                <w:szCs w:val="17"/>
                <w:color w:val="auto"/>
              </w:rPr>
              <w:t>____________</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1240" w:right="4519" w:hanging="609"/>
        <w:spacing w:after="0" w:line="267" w:lineRule="auto"/>
        <w:tabs>
          <w:tab w:leader="none" w:pos="12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necessary for the Parent to be able to make distributions required to maintain its status as a REIT</w:t>
      </w:r>
    </w:p>
    <w:tbl>
      <w:tblPr>
        <w:tblLayout w:type="fixed"/>
        <w:tblInd w:w="640" w:type="dxa"/>
        <w:tblCellMar>
          <w:top w:w="0" w:type="dxa"/>
          <w:left w:w="0" w:type="dxa"/>
          <w:bottom w:w="0" w:type="dxa"/>
          <w:right w:w="0" w:type="dxa"/>
        </w:tblCellMar>
      </w:tblPr>
      <w:tr>
        <w:trPr>
          <w:trHeight w:val="191"/>
        </w:trPr>
        <w:tc>
          <w:tcPr>
            <w:tcW w:w="360" w:type="dxa"/>
            <w:vAlign w:val="bottom"/>
          </w:tcPr>
          <w:p>
            <w:pPr>
              <w:spacing w:after="0"/>
              <w:rPr>
                <w:sz w:val="16"/>
                <w:szCs w:val="16"/>
                <w:color w:val="auto"/>
              </w:rPr>
            </w:pPr>
          </w:p>
        </w:tc>
        <w:tc>
          <w:tcPr>
            <w:tcW w:w="5060" w:type="dxa"/>
            <w:vAlign w:val="bottom"/>
            <w:gridSpan w:val="8"/>
          </w:tcPr>
          <w:p>
            <w:pPr>
              <w:ind w:left="240"/>
              <w:spacing w:after="0" w:line="191" w:lineRule="exact"/>
              <w:rPr>
                <w:sz w:val="20"/>
                <w:szCs w:val="20"/>
                <w:color w:val="auto"/>
              </w:rPr>
            </w:pPr>
            <w:r>
              <w:rPr>
                <w:rFonts w:ascii="Times New Roman" w:cs="Times New Roman" w:eastAsia="Times New Roman" w:hAnsi="Times New Roman"/>
                <w:sz w:val="17"/>
                <w:szCs w:val="17"/>
                <w:color w:val="auto"/>
              </w:rPr>
              <w:t>(i.e., to satisfy the distribution requirements set forth in</w:t>
            </w:r>
          </w:p>
        </w:tc>
        <w:tc>
          <w:tcPr>
            <w:tcW w:w="2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____________</w:t>
            </w:r>
          </w:p>
        </w:tc>
      </w:tr>
      <w:tr>
        <w:trPr>
          <w:trHeight w:val="209"/>
        </w:trPr>
        <w:tc>
          <w:tcPr>
            <w:tcW w:w="360" w:type="dxa"/>
            <w:vAlign w:val="bottom"/>
          </w:tcPr>
          <w:p>
            <w:pPr>
              <w:spacing w:after="0"/>
              <w:rPr>
                <w:sz w:val="18"/>
                <w:szCs w:val="18"/>
                <w:color w:val="auto"/>
              </w:rPr>
            </w:pPr>
          </w:p>
        </w:tc>
        <w:tc>
          <w:tcPr>
            <w:tcW w:w="5060" w:type="dxa"/>
            <w:vAlign w:val="bottom"/>
            <w:gridSpan w:val="8"/>
          </w:tcPr>
          <w:p>
            <w:pPr>
              <w:ind w:left="240"/>
              <w:spacing w:after="0"/>
              <w:rPr>
                <w:sz w:val="20"/>
                <w:szCs w:val="20"/>
                <w:color w:val="auto"/>
              </w:rPr>
            </w:pPr>
            <w:r>
              <w:rPr>
                <w:rFonts w:ascii="Times New Roman" w:cs="Times New Roman" w:eastAsia="Times New Roman" w:hAnsi="Times New Roman"/>
                <w:sz w:val="17"/>
                <w:szCs w:val="17"/>
                <w:color w:val="auto"/>
              </w:rPr>
              <w:t>Section 4981 of the Code)</w:t>
            </w:r>
          </w:p>
        </w:tc>
        <w:tc>
          <w:tcPr>
            <w:tcW w:w="2040" w:type="dxa"/>
            <w:vAlign w:val="bottom"/>
          </w:tcPr>
          <w:p>
            <w:pPr>
              <w:spacing w:after="0"/>
              <w:rPr>
                <w:sz w:val="18"/>
                <w:szCs w:val="18"/>
                <w:color w:val="auto"/>
              </w:rPr>
            </w:pPr>
          </w:p>
        </w:tc>
      </w:tr>
      <w:tr>
        <w:trPr>
          <w:trHeight w:val="188"/>
        </w:trPr>
        <w:tc>
          <w:tcPr>
            <w:tcW w:w="360" w:type="dxa"/>
            <w:vAlign w:val="bottom"/>
          </w:tcPr>
          <w:p>
            <w:pPr>
              <w:jc w:val="right"/>
              <w:ind w:right="153"/>
              <w:spacing w:after="0" w:line="188" w:lineRule="exact"/>
              <w:rPr>
                <w:sz w:val="20"/>
                <w:szCs w:val="20"/>
                <w:color w:val="auto"/>
              </w:rPr>
            </w:pPr>
            <w:r>
              <w:rPr>
                <w:rFonts w:ascii="Times New Roman" w:cs="Times New Roman" w:eastAsia="Times New Roman" w:hAnsi="Times New Roman"/>
                <w:sz w:val="17"/>
                <w:szCs w:val="17"/>
                <w:color w:val="auto"/>
                <w:w w:val="78"/>
              </w:rPr>
              <w:t>5.</w:t>
            </w:r>
          </w:p>
        </w:tc>
        <w:tc>
          <w:tcPr>
            <w:tcW w:w="1360" w:type="dxa"/>
            <w:vAlign w:val="bottom"/>
          </w:tcPr>
          <w:p>
            <w:pPr>
              <w:ind w:left="240"/>
              <w:spacing w:after="0" w:line="188" w:lineRule="exact"/>
              <w:rPr>
                <w:sz w:val="20"/>
                <w:szCs w:val="20"/>
                <w:color w:val="auto"/>
              </w:rPr>
            </w:pPr>
            <w:r>
              <w:rPr>
                <w:rFonts w:ascii="Times New Roman" w:cs="Times New Roman" w:eastAsia="Times New Roman" w:hAnsi="Times New Roman"/>
                <w:sz w:val="17"/>
                <w:szCs w:val="17"/>
                <w:color w:val="auto"/>
              </w:rPr>
              <w:t>Greater of Line</w:t>
            </w:r>
          </w:p>
        </w:tc>
        <w:tc>
          <w:tcPr>
            <w:tcW w:w="22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FF0000"/>
                <w:strike w:val="1"/>
                <w:w w:val="96"/>
              </w:rPr>
              <w:t>K3</w:t>
            </w:r>
          </w:p>
        </w:tc>
        <w:tc>
          <w:tcPr>
            <w:tcW w:w="9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4472C4"/>
              </w:rPr>
              <w:t xml:space="preserve">H3 </w:t>
            </w:r>
            <w:r>
              <w:rPr>
                <w:rFonts w:ascii="Times New Roman" w:cs="Times New Roman" w:eastAsia="Times New Roman" w:hAnsi="Times New Roman"/>
                <w:sz w:val="17"/>
                <w:szCs w:val="17"/>
                <w:color w:val="000000"/>
              </w:rPr>
              <w:t>and Line</w:t>
            </w:r>
          </w:p>
        </w:tc>
        <w:tc>
          <w:tcPr>
            <w:tcW w:w="220" w:type="dxa"/>
            <w:vAlign w:val="bottom"/>
          </w:tcPr>
          <w:p>
            <w:pPr>
              <w:spacing w:after="0" w:line="188" w:lineRule="exact"/>
              <w:rPr>
                <w:sz w:val="20"/>
                <w:szCs w:val="20"/>
                <w:color w:val="auto"/>
              </w:rPr>
            </w:pPr>
            <w:r>
              <w:rPr>
                <w:rFonts w:ascii="Times New Roman" w:cs="Times New Roman" w:eastAsia="Times New Roman" w:hAnsi="Times New Roman"/>
                <w:sz w:val="17"/>
                <w:szCs w:val="17"/>
                <w:color w:val="FF0000"/>
                <w:strike w:val="1"/>
                <w:w w:val="96"/>
              </w:rPr>
              <w:t>K4</w:t>
            </w:r>
          </w:p>
        </w:tc>
        <w:tc>
          <w:tcPr>
            <w:tcW w:w="236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4472C4"/>
              </w:rPr>
              <w:t>H4</w:t>
            </w:r>
          </w:p>
        </w:tc>
        <w:tc>
          <w:tcPr>
            <w:tcW w:w="204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____________</w:t>
            </w:r>
          </w:p>
        </w:tc>
      </w:tr>
      <w:tr>
        <w:trPr>
          <w:trHeight w:val="20"/>
        </w:trPr>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90" w:lineRule="exact"/>
        <w:rPr>
          <w:sz w:val="20"/>
          <w:szCs w:val="20"/>
          <w:color w:val="auto"/>
        </w:rPr>
      </w:pPr>
    </w:p>
    <w:p>
      <w:pPr>
        <w:ind w:left="1240" w:hanging="609"/>
        <w:spacing w:after="0"/>
        <w:tabs>
          <w:tab w:leader="none" w:pos="12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Line </w:t>
      </w:r>
      <w:r>
        <w:rPr>
          <w:rFonts w:ascii="Times New Roman" w:cs="Times New Roman" w:eastAsia="Times New Roman" w:hAnsi="Times New Roman"/>
          <w:sz w:val="17"/>
          <w:szCs w:val="17"/>
          <w:color w:val="FF0000"/>
          <w:strike w:val="1"/>
        </w:rPr>
        <w:t>K1</w:t>
      </w:r>
      <w:r>
        <w:rPr>
          <w:rFonts w:ascii="Times New Roman" w:cs="Times New Roman" w:eastAsia="Times New Roman" w:hAnsi="Times New Roman"/>
          <w:sz w:val="17"/>
          <w:szCs w:val="17"/>
          <w:u w:val="single" w:color="auto"/>
          <w:color w:val="4472C4"/>
        </w:rPr>
        <w:t>H1</w:t>
      </w:r>
      <w:r>
        <w:rPr>
          <w:rFonts w:ascii="Times New Roman" w:cs="Times New Roman" w:eastAsia="Times New Roman" w:hAnsi="Times New Roman"/>
          <w:sz w:val="17"/>
          <w:szCs w:val="17"/>
          <w:color w:val="auto"/>
        </w:rPr>
        <w:t xml:space="preserve"> shall not exceed Line </w:t>
      </w:r>
      <w:r>
        <w:rPr>
          <w:rFonts w:ascii="Times New Roman" w:cs="Times New Roman" w:eastAsia="Times New Roman" w:hAnsi="Times New Roman"/>
          <w:sz w:val="17"/>
          <w:szCs w:val="17"/>
          <w:color w:val="FF0000"/>
          <w:strike w:val="1"/>
        </w:rPr>
        <w:t>K5</w:t>
      </w:r>
      <w:r>
        <w:rPr>
          <w:rFonts w:ascii="Times New Roman" w:cs="Times New Roman" w:eastAsia="Times New Roman" w:hAnsi="Times New Roman"/>
          <w:sz w:val="17"/>
          <w:szCs w:val="17"/>
          <w:u w:val="single" w:color="auto"/>
          <w:color w:val="4472C4"/>
        </w:rPr>
        <w:t>H5</w:t>
      </w:r>
    </w:p>
    <w:p>
      <w:pPr>
        <w:spacing w:after="0" w:line="222" w:lineRule="exact"/>
        <w:rPr>
          <w:sz w:val="20"/>
          <w:szCs w:val="20"/>
          <w:color w:val="auto"/>
        </w:rPr>
      </w:pPr>
    </w:p>
    <w:p>
      <w:pPr>
        <w:ind w:left="640"/>
        <w:spacing w:after="0"/>
        <w:tabs>
          <w:tab w:leader="none" w:pos="1220" w:val="left"/>
          <w:tab w:leader="none" w:pos="7340" w:val="left"/>
        </w:tabs>
        <w:rPr>
          <w:sz w:val="20"/>
          <w:szCs w:val="20"/>
          <w:color w:val="auto"/>
        </w:rPr>
      </w:pPr>
      <w:r>
        <w:rPr>
          <w:rFonts w:ascii="Times New Roman" w:cs="Times New Roman" w:eastAsia="Times New Roman" w:hAnsi="Times New Roman"/>
          <w:sz w:val="17"/>
          <w:szCs w:val="17"/>
          <w:color w:val="auto"/>
        </w:rPr>
        <w:t>7.</w:t>
      </w:r>
      <w:r>
        <w:rPr>
          <w:sz w:val="20"/>
          <w:szCs w:val="20"/>
          <w:color w:val="auto"/>
        </w:rPr>
        <w:tab/>
      </w:r>
      <w:r>
        <w:rPr>
          <w:rFonts w:ascii="Times New Roman" w:cs="Times New Roman" w:eastAsia="Times New Roman" w:hAnsi="Times New Roman"/>
          <w:sz w:val="17"/>
          <w:szCs w:val="17"/>
          <w:color w:val="auto"/>
        </w:rPr>
        <w:t>The Borrower is in compliance (circle yes or no)</w:t>
      </w:r>
      <w:r>
        <w:rPr>
          <w:sz w:val="20"/>
          <w:szCs w:val="20"/>
          <w:color w:val="auto"/>
        </w:rPr>
        <w:tab/>
      </w:r>
      <w:r>
        <w:rPr>
          <w:rFonts w:ascii="Times New Roman" w:cs="Times New Roman" w:eastAsia="Times New Roman" w:hAnsi="Times New Roman"/>
          <w:sz w:val="16"/>
          <w:szCs w:val="16"/>
          <w:color w:val="auto"/>
        </w:rPr>
        <w:t>yes/no</w:t>
      </w:r>
    </w:p>
    <w:p>
      <w:pPr>
        <w:spacing w:after="0" w:line="222" w:lineRule="exact"/>
        <w:rPr>
          <w:sz w:val="20"/>
          <w:szCs w:val="20"/>
          <w:color w:val="auto"/>
        </w:rPr>
      </w:pPr>
    </w:p>
    <w:p>
      <w:pPr>
        <w:ind w:left="700" w:hanging="695"/>
        <w:spacing w:after="0"/>
        <w:tabs>
          <w:tab w:leader="none" w:pos="700" w:val="left"/>
        </w:tabs>
        <w:numPr>
          <w:ilvl w:val="0"/>
          <w:numId w:val="147"/>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Number of Unencumbered Assets</w:t>
      </w:r>
    </w:p>
    <w:p>
      <w:pPr>
        <w:spacing w:after="0" w:line="222" w:lineRule="exact"/>
        <w:rPr>
          <w:sz w:val="20"/>
          <w:szCs w:val="20"/>
          <w:color w:val="auto"/>
        </w:rPr>
      </w:pPr>
    </w:p>
    <w:p>
      <w:pPr>
        <w:ind w:left="640"/>
        <w:spacing w:after="0"/>
        <w:tabs>
          <w:tab w:leader="none" w:pos="1220" w:val="left"/>
          <w:tab w:leader="none" w:pos="7080" w:val="left"/>
        </w:tabs>
        <w:rPr>
          <w:sz w:val="20"/>
          <w:szCs w:val="20"/>
          <w:color w:val="auto"/>
        </w:rPr>
      </w:pPr>
      <w:r>
        <w:rPr>
          <w:rFonts w:ascii="Times New Roman" w:cs="Times New Roman" w:eastAsia="Times New Roman" w:hAnsi="Times New Roman"/>
          <w:sz w:val="17"/>
          <w:szCs w:val="17"/>
          <w:u w:val="single" w:color="auto"/>
          <w:color w:val="4472C4"/>
        </w:rPr>
        <w:t>1.</w:t>
      </w:r>
      <w:r>
        <w:rPr>
          <w:sz w:val="20"/>
          <w:szCs w:val="20"/>
          <w:color w:val="auto"/>
        </w:rPr>
        <w:tab/>
      </w:r>
      <w:r>
        <w:rPr>
          <w:rFonts w:ascii="Times New Roman" w:cs="Times New Roman" w:eastAsia="Times New Roman" w:hAnsi="Times New Roman"/>
          <w:sz w:val="17"/>
          <w:szCs w:val="17"/>
          <w:u w:val="single" w:color="auto"/>
          <w:color w:val="4472C4"/>
        </w:rPr>
        <w:t>The number of Unencumbered Assets</w:t>
      </w:r>
      <w:r>
        <w:rPr>
          <w:sz w:val="20"/>
          <w:szCs w:val="20"/>
          <w:color w:val="auto"/>
        </w:rPr>
        <w:tab/>
      </w:r>
      <w:r>
        <w:rPr>
          <w:rFonts w:ascii="Times New Roman" w:cs="Times New Roman" w:eastAsia="Times New Roman" w:hAnsi="Times New Roman"/>
          <w:sz w:val="17"/>
          <w:szCs w:val="17"/>
          <w:u w:val="single" w:color="auto"/>
          <w:color w:val="4472C4"/>
        </w:rPr>
        <w:t>___________</w:t>
      </w:r>
    </w:p>
    <w:p>
      <w:pPr>
        <w:spacing w:after="0" w:line="222" w:lineRule="exact"/>
        <w:rPr>
          <w:sz w:val="20"/>
          <w:szCs w:val="20"/>
          <w:color w:val="auto"/>
        </w:rPr>
      </w:pPr>
    </w:p>
    <w:p>
      <w:pPr>
        <w:ind w:left="1240" w:hanging="609"/>
        <w:spacing w:after="0"/>
        <w:tabs>
          <w:tab w:leader="none" w:pos="1240" w:val="left"/>
        </w:tabs>
        <w:numPr>
          <w:ilvl w:val="0"/>
          <w:numId w:val="148"/>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Line I1 shall not be less than 20</w:t>
      </w:r>
    </w:p>
    <w:p>
      <w:pPr>
        <w:spacing w:after="0" w:line="222" w:lineRule="exact"/>
        <w:rPr>
          <w:sz w:val="20"/>
          <w:szCs w:val="20"/>
          <w:color w:val="auto"/>
        </w:rPr>
      </w:pPr>
    </w:p>
    <w:p>
      <w:pPr>
        <w:ind w:left="640"/>
        <w:spacing w:after="0"/>
        <w:tabs>
          <w:tab w:leader="none" w:pos="1220" w:val="left"/>
          <w:tab w:leader="none" w:pos="7340" w:val="left"/>
        </w:tabs>
        <w:rPr>
          <w:sz w:val="20"/>
          <w:szCs w:val="20"/>
          <w:color w:val="auto"/>
        </w:rPr>
      </w:pPr>
      <w:r>
        <w:rPr>
          <w:rFonts w:ascii="Times New Roman" w:cs="Times New Roman" w:eastAsia="Times New Roman" w:hAnsi="Times New Roman"/>
          <w:sz w:val="17"/>
          <w:szCs w:val="17"/>
          <w:u w:val="single" w:color="auto"/>
          <w:color w:val="4472C4"/>
        </w:rPr>
        <w:t>3.</w:t>
      </w:r>
      <w:r>
        <w:rPr>
          <w:sz w:val="20"/>
          <w:szCs w:val="20"/>
          <w:color w:val="auto"/>
        </w:rPr>
        <w:tab/>
      </w:r>
      <w:r>
        <w:rPr>
          <w:rFonts w:ascii="Times New Roman" w:cs="Times New Roman" w:eastAsia="Times New Roman" w:hAnsi="Times New Roman"/>
          <w:sz w:val="17"/>
          <w:szCs w:val="17"/>
          <w:u w:val="single" w:color="auto"/>
          <w:color w:val="4472C4"/>
        </w:rPr>
        <w:t>The Borrower is in compliance (circle yes or no)</w:t>
      </w:r>
      <w:r>
        <w:rPr>
          <w:sz w:val="20"/>
          <w:szCs w:val="20"/>
          <w:color w:val="auto"/>
        </w:rPr>
        <w:tab/>
      </w:r>
      <w:r>
        <w:rPr>
          <w:rFonts w:ascii="Times New Roman" w:cs="Times New Roman" w:eastAsia="Times New Roman" w:hAnsi="Times New Roman"/>
          <w:sz w:val="16"/>
          <w:szCs w:val="16"/>
          <w:u w:val="single" w:color="auto"/>
          <w:color w:val="4472C4"/>
        </w:rPr>
        <w:t>yes/no</w:t>
      </w:r>
    </w:p>
    <w:p>
      <w:pPr>
        <w:spacing w:after="0" w:line="222" w:lineRule="exact"/>
        <w:rPr>
          <w:sz w:val="20"/>
          <w:szCs w:val="20"/>
          <w:color w:val="auto"/>
        </w:rPr>
      </w:pPr>
    </w:p>
    <w:p>
      <w:pPr>
        <w:ind w:left="700" w:hanging="695"/>
        <w:spacing w:after="0"/>
        <w:tabs>
          <w:tab w:leader="none" w:pos="700" w:val="left"/>
        </w:tabs>
        <w:numPr>
          <w:ilvl w:val="0"/>
          <w:numId w:val="149"/>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Unencumbered Asset Value</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4472C4"/>
                <w:w w:val="78"/>
              </w:rPr>
              <w:t>1.</w:t>
            </w:r>
          </w:p>
        </w:tc>
        <w:tc>
          <w:tcPr>
            <w:tcW w:w="480" w:type="dxa"/>
            <w:vAlign w:val="bottom"/>
          </w:tcPr>
          <w:p>
            <w:pPr>
              <w:spacing w:after="0"/>
              <w:rPr>
                <w:sz w:val="16"/>
                <w:szCs w:val="16"/>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7"/>
                <w:szCs w:val="17"/>
                <w:color w:val="4472C4"/>
              </w:rPr>
              <w:t>Unencumbered Asset Value as calculated on Exhibit C</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4472C4"/>
              </w:rPr>
              <w:t>$___________</w:t>
            </w:r>
          </w:p>
        </w:tc>
        <w:tc>
          <w:tcPr>
            <w:tcW w:w="0" w:type="dxa"/>
            <w:vAlign w:val="bottom"/>
          </w:tcPr>
          <w:p>
            <w:pPr>
              <w:spacing w:after="0"/>
              <w:rPr>
                <w:sz w:val="1"/>
                <w:szCs w:val="1"/>
                <w:color w:val="auto"/>
              </w:rPr>
            </w:pPr>
          </w:p>
        </w:tc>
      </w:tr>
      <w:tr>
        <w:trPr>
          <w:trHeight w:val="20"/>
        </w:trPr>
        <w:tc>
          <w:tcPr>
            <w:tcW w:w="120" w:type="dxa"/>
            <w:vAlign w:val="bottom"/>
            <w:tcBorders>
              <w:top w:val="single" w:sz="8" w:color="4472C4"/>
              <w:bottom w:val="single" w:sz="8" w:color="4472C4"/>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top w:val="single" w:sz="8" w:color="4472C4"/>
              <w:bottom w:val="single" w:sz="8" w:color="4472C4"/>
            </w:tcBorders>
          </w:tcPr>
          <w:p>
            <w:pPr>
              <w:spacing w:after="0" w:line="20" w:lineRule="exact"/>
              <w:rPr>
                <w:sz w:val="1"/>
                <w:szCs w:val="1"/>
                <w:color w:val="auto"/>
              </w:rPr>
            </w:pPr>
          </w:p>
        </w:tc>
        <w:tc>
          <w:tcPr>
            <w:tcW w:w="3360" w:type="dxa"/>
            <w:vAlign w:val="bottom"/>
            <w:tcBorders>
              <w:top w:val="single" w:sz="8" w:color="4472C4"/>
              <w:bottom w:val="single" w:sz="8" w:color="4472C4"/>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Borders>
              <w:top w:val="single" w:sz="8" w:color="4472C4"/>
              <w:bottom w:val="single" w:sz="8" w:color="4472C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4472C4"/>
              </w:rPr>
              <w:t>hereto</w:t>
            </w:r>
          </w:p>
        </w:tc>
        <w:tc>
          <w:tcPr>
            <w:tcW w:w="2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4472C4"/>
            </w:tcBorders>
          </w:tcPr>
          <w:p>
            <w:pPr>
              <w:spacing w:after="0" w:line="20" w:lineRule="exact"/>
              <w:rPr>
                <w:sz w:val="1"/>
                <w:szCs w:val="1"/>
                <w:color w:val="auto"/>
              </w:rPr>
            </w:pPr>
          </w:p>
        </w:tc>
        <w:tc>
          <w:tcPr>
            <w:tcW w:w="420" w:type="dxa"/>
            <w:vAlign w:val="bottom"/>
            <w:tcBorders>
              <w:top w:val="single" w:sz="8" w:color="4472C4"/>
              <w:bottom w:val="single" w:sz="8" w:color="4472C4"/>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40" w:hanging="609"/>
        <w:spacing w:after="0"/>
        <w:tabs>
          <w:tab w:leader="none" w:pos="1240" w:val="left"/>
        </w:tabs>
        <w:numPr>
          <w:ilvl w:val="0"/>
          <w:numId w:val="150"/>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Line J1 shall not be less than $200,000,000</w:t>
      </w:r>
    </w:p>
    <w:p>
      <w:pPr>
        <w:spacing w:after="0" w:line="203" w:lineRule="exact"/>
        <w:rPr>
          <w:sz w:val="20"/>
          <w:szCs w:val="20"/>
          <w:color w:val="auto"/>
        </w:rPr>
      </w:pPr>
    </w:p>
    <w:p>
      <w:pPr>
        <w:ind w:left="640"/>
        <w:spacing w:after="0"/>
        <w:tabs>
          <w:tab w:leader="none" w:pos="1220" w:val="left"/>
          <w:tab w:leader="none" w:pos="7340" w:val="left"/>
        </w:tabs>
        <w:rPr>
          <w:sz w:val="20"/>
          <w:szCs w:val="20"/>
          <w:color w:val="auto"/>
        </w:rPr>
      </w:pPr>
      <w:r>
        <w:rPr>
          <w:rFonts w:ascii="Times New Roman" w:cs="Times New Roman" w:eastAsia="Times New Roman" w:hAnsi="Times New Roman"/>
          <w:sz w:val="17"/>
          <w:szCs w:val="17"/>
          <w:u w:val="single" w:color="auto"/>
          <w:color w:val="4472C4"/>
        </w:rPr>
        <w:t>3.</w:t>
      </w:r>
      <w:r>
        <w:rPr>
          <w:sz w:val="20"/>
          <w:szCs w:val="20"/>
          <w:color w:val="auto"/>
        </w:rPr>
        <w:tab/>
      </w:r>
      <w:r>
        <w:rPr>
          <w:rFonts w:ascii="Times New Roman" w:cs="Times New Roman" w:eastAsia="Times New Roman" w:hAnsi="Times New Roman"/>
          <w:sz w:val="17"/>
          <w:szCs w:val="17"/>
          <w:u w:val="single" w:color="auto"/>
          <w:color w:val="4472C4"/>
        </w:rPr>
        <w:t>The Borrower is in compliance (circle yes or no)</w:t>
      </w:r>
      <w:r>
        <w:rPr>
          <w:sz w:val="20"/>
          <w:szCs w:val="20"/>
          <w:color w:val="auto"/>
        </w:rPr>
        <w:tab/>
      </w:r>
      <w:r>
        <w:rPr>
          <w:rFonts w:ascii="Times New Roman" w:cs="Times New Roman" w:eastAsia="Times New Roman" w:hAnsi="Times New Roman"/>
          <w:sz w:val="16"/>
          <w:szCs w:val="16"/>
          <w:u w:val="single" w:color="auto"/>
          <w:color w:val="2C6234"/>
        </w:rPr>
        <w:t>yes/no</w:t>
      </w:r>
    </w:p>
    <w:p>
      <w:pPr>
        <w:spacing w:after="0" w:line="222" w:lineRule="exact"/>
        <w:rPr>
          <w:sz w:val="20"/>
          <w:szCs w:val="20"/>
          <w:color w:val="auto"/>
        </w:rPr>
      </w:pPr>
    </w:p>
    <w:p>
      <w:pPr>
        <w:ind w:left="700" w:hanging="695"/>
        <w:spacing w:after="0"/>
        <w:tabs>
          <w:tab w:leader="none" w:pos="700" w:val="left"/>
        </w:tabs>
        <w:numPr>
          <w:ilvl w:val="0"/>
          <w:numId w:val="151"/>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Individual Unencumbered Asset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[Exhibit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1060" w:right="1440" w:bottom="1440" w:gutter="0" w:footer="0" w:header="0"/>
        </w:sectPr>
      </w:pPr>
    </w:p>
    <w:bookmarkStart w:id="192" w:name="page193"/>
    <w:bookmarkEnd w:id="192"/>
    <w:p>
      <w:pPr>
        <w:ind w:left="1235" w:right="4780" w:hanging="609"/>
        <w:spacing w:after="0" w:line="260" w:lineRule="auto"/>
        <w:tabs>
          <w:tab w:leader="none" w:pos="1235" w:val="left"/>
        </w:tabs>
        <w:numPr>
          <w:ilvl w:val="0"/>
          <w:numId w:val="152"/>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The Percentage of Unencumbered Asset Value of each Unencumbered Asset is set forth [above or on the attached Schedule] and the largest Unencumbered Asset Value or any Unencumbered Asset is $___________ for the ___________ Unencumbered Asset.</w:t>
      </w:r>
    </w:p>
    <w:p>
      <w:pPr>
        <w:spacing w:after="0" w:line="2" w:lineRule="exact"/>
        <w:rPr>
          <w:rFonts w:ascii="Times New Roman" w:cs="Times New Roman" w:eastAsia="Times New Roman" w:hAnsi="Times New Roman"/>
          <w:sz w:val="17"/>
          <w:szCs w:val="17"/>
          <w:u w:val="single" w:color="auto"/>
          <w:color w:val="4472C4"/>
        </w:rPr>
      </w:pPr>
    </w:p>
    <w:p>
      <w:pPr>
        <w:ind w:left="1235" w:right="4880" w:hanging="609"/>
        <w:spacing w:after="0" w:line="256" w:lineRule="auto"/>
        <w:tabs>
          <w:tab w:leader="none" w:pos="1235" w:val="left"/>
        </w:tabs>
        <w:numPr>
          <w:ilvl w:val="0"/>
          <w:numId w:val="152"/>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No Unencumbered Asset comprises more than 25% of Unencumbered Asset Value</w:t>
      </w:r>
    </w:p>
    <w:p>
      <w:pPr>
        <w:ind w:left="635"/>
        <w:spacing w:after="0"/>
        <w:tabs>
          <w:tab w:leader="none" w:pos="1215" w:val="left"/>
          <w:tab w:leader="none" w:pos="7295" w:val="left"/>
        </w:tabs>
        <w:rPr>
          <w:sz w:val="20"/>
          <w:szCs w:val="20"/>
          <w:color w:val="auto"/>
        </w:rPr>
      </w:pPr>
      <w:r>
        <w:rPr>
          <w:rFonts w:ascii="Times New Roman" w:cs="Times New Roman" w:eastAsia="Times New Roman" w:hAnsi="Times New Roman"/>
          <w:sz w:val="17"/>
          <w:szCs w:val="17"/>
          <w:u w:val="single" w:color="auto"/>
          <w:color w:val="4472C4"/>
        </w:rPr>
        <w:t>3.</w:t>
      </w:r>
      <w:r>
        <w:rPr>
          <w:sz w:val="20"/>
          <w:szCs w:val="20"/>
          <w:color w:val="auto"/>
        </w:rPr>
        <w:tab/>
      </w:r>
      <w:r>
        <w:rPr>
          <w:rFonts w:ascii="Times New Roman" w:cs="Times New Roman" w:eastAsia="Times New Roman" w:hAnsi="Times New Roman"/>
          <w:sz w:val="17"/>
          <w:szCs w:val="17"/>
          <w:u w:val="single" w:color="auto"/>
          <w:color w:val="4472C4"/>
        </w:rPr>
        <w:t>The Borrower is in compliance (circle yes or no)</w:t>
      </w:r>
      <w:r>
        <w:rPr>
          <w:sz w:val="20"/>
          <w:szCs w:val="20"/>
          <w:color w:val="auto"/>
        </w:rPr>
        <w:tab/>
      </w:r>
      <w:r>
        <w:rPr>
          <w:rFonts w:ascii="Times New Roman" w:cs="Times New Roman" w:eastAsia="Times New Roman" w:hAnsi="Times New Roman"/>
          <w:sz w:val="16"/>
          <w:szCs w:val="16"/>
          <w:u w:val="single" w:color="auto"/>
          <w:color w:val="4472C4"/>
        </w:rPr>
        <w:t>yes/no</w:t>
      </w:r>
      <w:r>
        <w:rPr>
          <w:rFonts w:ascii="Times New Roman" w:cs="Times New Roman" w:eastAsia="Times New Roman" w:hAnsi="Times New Roman"/>
          <w:sz w:val="24"/>
          <w:szCs w:val="24"/>
          <w:u w:val="single" w:color="auto"/>
          <w:color w:val="4472C4"/>
          <w:vertAlign w:val="superscript"/>
        </w:rPr>
        <w:t>1</w:t>
      </w:r>
    </w:p>
    <w:p>
      <w:pPr>
        <w:spacing w:after="0" w:line="123" w:lineRule="exact"/>
        <w:rPr>
          <w:sz w:val="20"/>
          <w:szCs w:val="20"/>
          <w:color w:val="auto"/>
        </w:rPr>
      </w:pPr>
    </w:p>
    <w:p>
      <w:pPr>
        <w:ind w:left="695" w:hanging="695"/>
        <w:spacing w:after="0"/>
        <w:tabs>
          <w:tab w:leader="none" w:pos="695" w:val="left"/>
        </w:tabs>
        <w:numPr>
          <w:ilvl w:val="0"/>
          <w:numId w:val="153"/>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Single Tenant Unencumbered Asset Value</w:t>
      </w:r>
    </w:p>
    <w:p>
      <w:pPr>
        <w:spacing w:after="0" w:line="221" w:lineRule="exact"/>
        <w:rPr>
          <w:rFonts w:ascii="Times New Roman" w:cs="Times New Roman" w:eastAsia="Times New Roman" w:hAnsi="Times New Roman"/>
          <w:sz w:val="17"/>
          <w:szCs w:val="17"/>
          <w:u w:val="single" w:color="auto"/>
          <w:color w:val="4472C4"/>
        </w:rPr>
      </w:pPr>
    </w:p>
    <w:p>
      <w:pPr>
        <w:ind w:left="1235" w:right="4680" w:hanging="609"/>
        <w:spacing w:after="0" w:line="261" w:lineRule="auto"/>
        <w:tabs>
          <w:tab w:leader="none" w:pos="1235" w:val="left"/>
        </w:tabs>
        <w:numPr>
          <w:ilvl w:val="1"/>
          <w:numId w:val="153"/>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The largest amount of Unencumbered Asset Value from a single Tenant that does not maintain a Rating of at least BBB-/Baa3 from S&amp;P or Moody’s, respectively, is $_____________ from _____________.</w:t>
      </w:r>
    </w:p>
    <w:p>
      <w:pPr>
        <w:spacing w:after="0" w:line="2" w:lineRule="exact"/>
        <w:rPr>
          <w:rFonts w:ascii="Times New Roman" w:cs="Times New Roman" w:eastAsia="Times New Roman" w:hAnsi="Times New Roman"/>
          <w:sz w:val="17"/>
          <w:szCs w:val="17"/>
          <w:u w:val="single" w:color="auto"/>
          <w:color w:val="4472C4"/>
        </w:rPr>
      </w:pPr>
    </w:p>
    <w:p>
      <w:pPr>
        <w:ind w:left="1235" w:hanging="609"/>
        <w:spacing w:after="0"/>
        <w:tabs>
          <w:tab w:leader="none" w:pos="1235" w:val="left"/>
        </w:tabs>
        <w:numPr>
          <w:ilvl w:val="1"/>
          <w:numId w:val="153"/>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No single Tenant that does not maintain a Rating of at</w:t>
      </w:r>
    </w:p>
    <w:p>
      <w:pPr>
        <w:spacing w:after="0" w:line="8" w:lineRule="exact"/>
        <w:rPr>
          <w:sz w:val="20"/>
          <w:szCs w:val="20"/>
          <w:color w:val="auto"/>
        </w:rPr>
      </w:pPr>
    </w:p>
    <w:tbl>
      <w:tblPr>
        <w:tblLayout w:type="fixed"/>
        <w:tblInd w:w="635" w:type="dxa"/>
        <w:tblCellMar>
          <w:top w:w="0" w:type="dxa"/>
          <w:left w:w="0" w:type="dxa"/>
          <w:bottom w:w="0" w:type="dxa"/>
          <w:right w:w="0" w:type="dxa"/>
        </w:tblCellMar>
      </w:tblPr>
      <w:tr>
        <w:trPr>
          <w:trHeight w:val="195"/>
        </w:trPr>
        <w:tc>
          <w:tcPr>
            <w:tcW w:w="360" w:type="dxa"/>
            <w:vAlign w:val="bottom"/>
          </w:tcPr>
          <w:p>
            <w:pPr>
              <w:spacing w:after="0"/>
              <w:rPr>
                <w:sz w:val="17"/>
                <w:szCs w:val="17"/>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7"/>
                <w:szCs w:val="17"/>
                <w:u w:val="single" w:color="auto"/>
                <w:color w:val="4472C4"/>
              </w:rPr>
              <w:t>least BBB-/Baa3 from S&amp;P or Moody’s, respectively,</w:t>
            </w:r>
          </w:p>
        </w:tc>
        <w:tc>
          <w:tcPr>
            <w:tcW w:w="1580" w:type="dxa"/>
            <w:vAlign w:val="bottom"/>
          </w:tcPr>
          <w:p>
            <w:pPr>
              <w:spacing w:after="0"/>
              <w:rPr>
                <w:sz w:val="17"/>
                <w:szCs w:val="17"/>
                <w:color w:val="auto"/>
              </w:rPr>
            </w:pPr>
          </w:p>
        </w:tc>
      </w:tr>
      <w:tr>
        <w:trPr>
          <w:trHeight w:val="209"/>
        </w:trPr>
        <w:tc>
          <w:tcPr>
            <w:tcW w:w="36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7"/>
                <w:szCs w:val="17"/>
                <w:u w:val="single" w:color="auto"/>
                <w:color w:val="4472C4"/>
              </w:rPr>
              <w:t>comprises more than 20% of Unencumbered Asset Value</w:t>
            </w:r>
          </w:p>
        </w:tc>
        <w:tc>
          <w:tcPr>
            <w:tcW w:w="1580" w:type="dxa"/>
            <w:vAlign w:val="bottom"/>
          </w:tcPr>
          <w:p>
            <w:pPr>
              <w:spacing w:after="0"/>
              <w:rPr>
                <w:sz w:val="18"/>
                <w:szCs w:val="18"/>
                <w:color w:val="auto"/>
              </w:rPr>
            </w:pPr>
          </w:p>
        </w:tc>
      </w:tr>
      <w:tr>
        <w:trPr>
          <w:trHeight w:val="348"/>
        </w:trPr>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u w:val="single" w:color="auto"/>
                <w:color w:val="4472C4"/>
                <w:w w:val="78"/>
              </w:rPr>
              <w:t>3.</w:t>
            </w:r>
          </w:p>
        </w:tc>
        <w:tc>
          <w:tcPr>
            <w:tcW w:w="5260" w:type="dxa"/>
            <w:vAlign w:val="bottom"/>
          </w:tcPr>
          <w:p>
            <w:pPr>
              <w:ind w:left="240"/>
              <w:spacing w:after="0"/>
              <w:rPr>
                <w:sz w:val="20"/>
                <w:szCs w:val="20"/>
                <w:color w:val="auto"/>
              </w:rPr>
            </w:pPr>
            <w:r>
              <w:rPr>
                <w:rFonts w:ascii="Times New Roman" w:cs="Times New Roman" w:eastAsia="Times New Roman" w:hAnsi="Times New Roman"/>
                <w:sz w:val="17"/>
                <w:szCs w:val="17"/>
                <w:u w:val="single" w:color="auto"/>
                <w:color w:val="4472C4"/>
              </w:rPr>
              <w:t>The Borrower is in compliance (circle yes or no)</w:t>
            </w:r>
          </w:p>
        </w:tc>
        <w:tc>
          <w:tcPr>
            <w:tcW w:w="1580" w:type="dxa"/>
            <w:vAlign w:val="bottom"/>
          </w:tcPr>
          <w:p>
            <w:pPr>
              <w:ind w:left="1060"/>
              <w:spacing w:after="0"/>
              <w:rPr>
                <w:sz w:val="20"/>
                <w:szCs w:val="20"/>
                <w:color w:val="auto"/>
              </w:rPr>
            </w:pPr>
            <w:r>
              <w:rPr>
                <w:rFonts w:ascii="Times New Roman" w:cs="Times New Roman" w:eastAsia="Times New Roman" w:hAnsi="Times New Roman"/>
                <w:sz w:val="17"/>
                <w:szCs w:val="17"/>
                <w:u w:val="single" w:color="auto"/>
                <w:color w:val="4472C4"/>
                <w:w w:val="94"/>
              </w:rPr>
              <w:t>yes/no</w:t>
            </w:r>
            <w:r>
              <w:rPr>
                <w:rFonts w:ascii="Times New Roman" w:cs="Times New Roman" w:eastAsia="Times New Roman" w:hAnsi="Times New Roman"/>
                <w:sz w:val="26"/>
                <w:szCs w:val="26"/>
                <w:u w:val="single" w:color="auto"/>
                <w:color w:val="4472C4"/>
                <w:w w:val="94"/>
                <w:vertAlign w:val="superscript"/>
              </w:rPr>
              <w:t>2</w:t>
            </w:r>
          </w:p>
        </w:tc>
      </w:tr>
    </w:tbl>
    <w:p>
      <w:pPr>
        <w:spacing w:after="0" w:line="69" w:lineRule="exact"/>
        <w:rPr>
          <w:sz w:val="20"/>
          <w:szCs w:val="20"/>
          <w:color w:val="auto"/>
        </w:rPr>
      </w:pPr>
    </w:p>
    <w:p>
      <w:pPr>
        <w:ind w:left="695" w:hanging="695"/>
        <w:spacing w:after="0"/>
        <w:tabs>
          <w:tab w:leader="none" w:pos="695" w:val="left"/>
        </w:tabs>
        <w:numPr>
          <w:ilvl w:val="0"/>
          <w:numId w:val="154"/>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Unencumbered Assets Subject to Acceptable Leasehold Interests</w:t>
      </w:r>
    </w:p>
    <w:p>
      <w:pPr>
        <w:spacing w:after="0" w:line="222" w:lineRule="exact"/>
        <w:rPr>
          <w:sz w:val="20"/>
          <w:szCs w:val="20"/>
          <w:color w:val="auto"/>
        </w:rPr>
      </w:pPr>
    </w:p>
    <w:p>
      <w:pPr>
        <w:ind w:left="1235" w:right="2180" w:hanging="599"/>
        <w:spacing w:after="0" w:line="267" w:lineRule="auto"/>
        <w:tabs>
          <w:tab w:leader="none" w:pos="1215" w:val="left"/>
        </w:tabs>
        <w:rPr>
          <w:sz w:val="20"/>
          <w:szCs w:val="20"/>
          <w:color w:val="auto"/>
        </w:rPr>
      </w:pPr>
      <w:r>
        <w:rPr>
          <w:rFonts w:ascii="Times New Roman" w:cs="Times New Roman" w:eastAsia="Times New Roman" w:hAnsi="Times New Roman"/>
          <w:sz w:val="17"/>
          <w:szCs w:val="17"/>
          <w:u w:val="single" w:color="auto"/>
          <w:color w:val="4472C4"/>
        </w:rPr>
        <w:t>1.</w:t>
      </w:r>
      <w:r>
        <w:rPr>
          <w:sz w:val="20"/>
          <w:szCs w:val="20"/>
          <w:color w:val="auto"/>
        </w:rPr>
        <w:tab/>
      </w:r>
      <w:r>
        <w:rPr>
          <w:rFonts w:ascii="Times New Roman" w:cs="Times New Roman" w:eastAsia="Times New Roman" w:hAnsi="Times New Roman"/>
          <w:sz w:val="17"/>
          <w:szCs w:val="17"/>
          <w:u w:val="single" w:color="auto"/>
          <w:color w:val="4472C4"/>
        </w:rPr>
        <w:t>Percent of Unencumbered Asset Value attributable to __% Unencumbered Assets that are leased by Borrower or a</w:t>
      </w:r>
    </w:p>
    <w:p>
      <w:pPr>
        <w:spacing w:after="0" w:line="1" w:lineRule="exact"/>
        <w:rPr>
          <w:sz w:val="20"/>
          <w:szCs w:val="20"/>
          <w:color w:val="auto"/>
        </w:rPr>
      </w:pPr>
    </w:p>
    <w:p>
      <w:pPr>
        <w:ind w:left="1235"/>
        <w:spacing w:after="0"/>
        <w:rPr>
          <w:sz w:val="20"/>
          <w:szCs w:val="20"/>
          <w:color w:val="auto"/>
        </w:rPr>
      </w:pPr>
      <w:r>
        <w:rPr>
          <w:rFonts w:ascii="Times New Roman" w:cs="Times New Roman" w:eastAsia="Times New Roman" w:hAnsi="Times New Roman"/>
          <w:sz w:val="17"/>
          <w:szCs w:val="17"/>
          <w:u w:val="single" w:color="auto"/>
          <w:color w:val="4472C4"/>
        </w:rPr>
        <w:t>Subsidiary pursuant to an Acceptable Leasehold Interest</w:t>
      </w:r>
    </w:p>
    <w:p>
      <w:pPr>
        <w:spacing w:after="0" w:line="13" w:lineRule="exact"/>
        <w:rPr>
          <w:sz w:val="20"/>
          <w:szCs w:val="20"/>
          <w:color w:val="auto"/>
        </w:rPr>
      </w:pPr>
    </w:p>
    <w:p>
      <w:pPr>
        <w:ind w:left="1235" w:hanging="609"/>
        <w:spacing w:after="0"/>
        <w:tabs>
          <w:tab w:leader="none" w:pos="1235" w:val="left"/>
        </w:tabs>
        <w:numPr>
          <w:ilvl w:val="0"/>
          <w:numId w:val="155"/>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Line M1 shall not be greater than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339725</wp:posOffset>
            </wp:positionV>
            <wp:extent cx="15728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 w:firstLine="5"/>
        <w:spacing w:after="0" w:line="211" w:lineRule="auto"/>
        <w:tabs>
          <w:tab w:leader="none" w:pos="122" w:val="left"/>
        </w:tabs>
        <w:numPr>
          <w:ilvl w:val="0"/>
          <w:numId w:val="156"/>
        </w:numPr>
        <w:rPr>
          <w:rFonts w:ascii="Times New Roman" w:cs="Times New Roman" w:eastAsia="Times New Roman" w:hAnsi="Times New Roman"/>
          <w:sz w:val="26"/>
          <w:szCs w:val="26"/>
          <w:u w:val="single" w:color="auto"/>
          <w:color w:val="4472C4"/>
          <w:vertAlign w:val="superscript"/>
        </w:rPr>
      </w:pPr>
      <w:r>
        <w:rPr>
          <w:rFonts w:ascii="Times New Roman" w:cs="Times New Roman" w:eastAsia="Times New Roman" w:hAnsi="Times New Roman"/>
          <w:sz w:val="17"/>
          <w:szCs w:val="17"/>
          <w:color w:val="4472C4"/>
        </w:rPr>
        <w:t xml:space="preserve">If applicable, the calculation of Unencumbered Asset Value includes an adjustment to exclude that portion of the Property NOI or book </w:t>
      </w:r>
      <w:r>
        <w:rPr>
          <w:rFonts w:ascii="Times New Roman" w:cs="Times New Roman" w:eastAsia="Times New Roman" w:hAnsi="Times New Roman"/>
          <w:sz w:val="17"/>
          <w:szCs w:val="17"/>
          <w:u w:val="single" w:color="auto"/>
          <w:color w:val="4472C4"/>
        </w:rPr>
        <w:t>value of any Unencumbered Asset s attributable to any Unencumbered Assets to the extent it exceeds the 25% concentration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-156210</wp:posOffset>
            </wp:positionV>
            <wp:extent cx="62484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6248400" cy="825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-139700</wp:posOffset>
            </wp:positionV>
            <wp:extent cx="62484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6248400" cy="8255"/>
                    </a:xfrm>
                    <a:prstGeom prst="rect">
                      <a:avLst/>
                    </a:prstGeom>
                    <a:noFill/>
                  </pic:spPr>
                </pic:pic>
              </a:graphicData>
            </a:graphic>
          </wp:anchor>
        </w:drawing>
      </w:r>
    </w:p>
    <w:p>
      <w:pPr>
        <w:spacing w:after="0" w:line="67" w:lineRule="exact"/>
        <w:rPr>
          <w:sz w:val="20"/>
          <w:szCs w:val="20"/>
          <w:color w:val="auto"/>
        </w:rPr>
      </w:pPr>
    </w:p>
    <w:p>
      <w:pPr>
        <w:ind w:left="-5" w:firstLine="5"/>
        <w:spacing w:after="0" w:line="211" w:lineRule="auto"/>
        <w:tabs>
          <w:tab w:leader="none" w:pos="122" w:val="left"/>
        </w:tabs>
        <w:numPr>
          <w:ilvl w:val="0"/>
          <w:numId w:val="157"/>
        </w:numPr>
        <w:rPr>
          <w:rFonts w:ascii="Times New Roman" w:cs="Times New Roman" w:eastAsia="Times New Roman" w:hAnsi="Times New Roman"/>
          <w:sz w:val="26"/>
          <w:szCs w:val="26"/>
          <w:u w:val="single" w:color="auto"/>
          <w:color w:val="4472C4"/>
          <w:vertAlign w:val="superscript"/>
        </w:rPr>
      </w:pPr>
      <w:r>
        <w:rPr>
          <w:rFonts w:ascii="Times New Roman" w:cs="Times New Roman" w:eastAsia="Times New Roman" w:hAnsi="Times New Roman"/>
          <w:sz w:val="17"/>
          <w:szCs w:val="17"/>
          <w:color w:val="4472C4"/>
        </w:rPr>
        <w:t xml:space="preserve">If applicable, the calculation of Unencumbered Asset Value includes an adjustment to exclude that portion of the Property NOI or book </w:t>
      </w:r>
      <w:r>
        <w:rPr>
          <w:rFonts w:ascii="Times New Roman" w:cs="Times New Roman" w:eastAsia="Times New Roman" w:hAnsi="Times New Roman"/>
          <w:sz w:val="17"/>
          <w:szCs w:val="17"/>
          <w:u w:val="single" w:color="auto"/>
          <w:color w:val="4472C4"/>
        </w:rPr>
        <w:t>value of any Unencumbered Asset s attributable to any Unencumbered Assets to the extent it exceeds the 20% concentration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-156210</wp:posOffset>
            </wp:positionV>
            <wp:extent cx="62484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6248400" cy="825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-139700</wp:posOffset>
            </wp:positionV>
            <wp:extent cx="62484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6248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[Exhibit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351155</wp:posOffset>
            </wp:positionV>
            <wp:extent cx="6292215" cy="247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15"/>
          </w:cols>
          <w:pgMar w:left="985" w:top="865" w:right="999" w:bottom="1440" w:gutter="0" w:footer="0" w:header="0"/>
        </w:sectPr>
      </w:pPr>
    </w:p>
    <w:bookmarkStart w:id="193" w:name="page194"/>
    <w:bookmarkEnd w:id="193"/>
    <w:p>
      <w:pPr>
        <w:spacing w:after="0"/>
        <w:tabs>
          <w:tab w:leader="none" w:pos="680" w:val="left"/>
          <w:tab w:leader="none" w:pos="7300" w:val="left"/>
        </w:tabs>
        <w:rPr>
          <w:sz w:val="20"/>
          <w:szCs w:val="20"/>
          <w:color w:val="auto"/>
        </w:rPr>
      </w:pPr>
      <w:r>
        <w:rPr>
          <w:rFonts w:ascii="Times New Roman" w:cs="Times New Roman" w:eastAsia="Times New Roman" w:hAnsi="Times New Roman"/>
          <w:sz w:val="17"/>
          <w:szCs w:val="17"/>
          <w:u w:val="single" w:color="auto"/>
          <w:color w:val="4472C4"/>
        </w:rPr>
        <w:t>3.</w:t>
      </w:r>
      <w:r>
        <w:rPr>
          <w:sz w:val="20"/>
          <w:szCs w:val="20"/>
          <w:color w:val="auto"/>
        </w:rPr>
        <w:tab/>
      </w:r>
      <w:r>
        <w:rPr>
          <w:rFonts w:ascii="Times New Roman" w:cs="Times New Roman" w:eastAsia="Times New Roman" w:hAnsi="Times New Roman"/>
          <w:sz w:val="17"/>
          <w:szCs w:val="17"/>
          <w:u w:val="single" w:color="auto"/>
          <w:color w:val="4472C4"/>
        </w:rPr>
        <w:t>The Borrower is in compliance (circle yes or no)</w:t>
      </w:r>
      <w:r>
        <w:rPr>
          <w:sz w:val="20"/>
          <w:szCs w:val="20"/>
          <w:color w:val="auto"/>
        </w:rPr>
        <w:tab/>
      </w:r>
      <w:r>
        <w:rPr>
          <w:rFonts w:ascii="Times New Roman" w:cs="Times New Roman" w:eastAsia="Times New Roman" w:hAnsi="Times New Roman"/>
          <w:sz w:val="16"/>
          <w:szCs w:val="16"/>
          <w:u w:val="single" w:color="auto"/>
          <w:color w:val="4472C4"/>
        </w:rPr>
        <w:t>yes/no</w:t>
      </w:r>
      <w:r>
        <w:rPr>
          <w:rFonts w:ascii="Times New Roman" w:cs="Times New Roman" w:eastAsia="Times New Roman" w:hAnsi="Times New Roman"/>
          <w:sz w:val="24"/>
          <w:szCs w:val="24"/>
          <w:u w:val="single" w:color="auto"/>
          <w:color w:val="4472C4"/>
          <w:vertAlign w:val="superscript"/>
        </w:rPr>
        <w:t>3</w:t>
      </w:r>
    </w:p>
    <w:p>
      <w:pPr>
        <w:spacing w:after="0" w:line="141" w:lineRule="exact"/>
        <w:rPr>
          <w:sz w:val="20"/>
          <w:szCs w:val="20"/>
          <w:color w:val="auto"/>
        </w:rPr>
      </w:pPr>
    </w:p>
    <w:p>
      <w:pPr>
        <w:ind w:left="700" w:hanging="695"/>
        <w:spacing w:after="0"/>
        <w:tabs>
          <w:tab w:leader="none" w:pos="700" w:val="left"/>
        </w:tabs>
        <w:numPr>
          <w:ilvl w:val="0"/>
          <w:numId w:val="158"/>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MSA</w:t>
      </w:r>
      <w:r>
        <w:rPr>
          <w:rFonts w:ascii="Times New Roman" w:cs="Times New Roman" w:eastAsia="Times New Roman" w:hAnsi="Times New Roman"/>
          <w:sz w:val="26"/>
          <w:szCs w:val="26"/>
          <w:u w:val="single" w:color="auto"/>
          <w:color w:val="4472C4"/>
          <w:vertAlign w:val="superscript"/>
        </w:rPr>
        <w:t>4</w:t>
      </w:r>
    </w:p>
    <w:p>
      <w:pPr>
        <w:spacing w:after="0" w:line="111"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4472C4"/>
                <w:w w:val="78"/>
              </w:rPr>
              <w:t>1.</w:t>
            </w:r>
          </w:p>
        </w:tc>
        <w:tc>
          <w:tcPr>
            <w:tcW w:w="480" w:type="dxa"/>
            <w:vAlign w:val="bottom"/>
          </w:tcPr>
          <w:p>
            <w:pPr>
              <w:spacing w:after="0"/>
              <w:rPr>
                <w:sz w:val="17"/>
                <w:szCs w:val="17"/>
                <w:color w:val="auto"/>
              </w:rPr>
            </w:pPr>
          </w:p>
        </w:tc>
        <w:tc>
          <w:tcPr>
            <w:tcW w:w="6180" w:type="dxa"/>
            <w:vAlign w:val="bottom"/>
            <w:gridSpan w:val="4"/>
          </w:tcPr>
          <w:p>
            <w:pPr>
              <w:spacing w:after="0"/>
              <w:rPr>
                <w:sz w:val="20"/>
                <w:szCs w:val="20"/>
                <w:color w:val="auto"/>
              </w:rPr>
            </w:pPr>
            <w:r>
              <w:rPr>
                <w:rFonts w:ascii="Times New Roman" w:cs="Times New Roman" w:eastAsia="Times New Roman" w:hAnsi="Times New Roman"/>
                <w:sz w:val="17"/>
                <w:szCs w:val="17"/>
                <w:color w:val="4472C4"/>
              </w:rPr>
              <w:t>Percent of Unencumbered Asset Value attributable to</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4472C4"/>
                <w:w w:val="96"/>
              </w:rPr>
              <w:t>__%</w:t>
            </w:r>
          </w:p>
        </w:tc>
        <w:tc>
          <w:tcPr>
            <w:tcW w:w="0" w:type="dxa"/>
            <w:vAlign w:val="bottom"/>
          </w:tcPr>
          <w:p>
            <w:pPr>
              <w:spacing w:after="0"/>
              <w:rPr>
                <w:sz w:val="1"/>
                <w:szCs w:val="1"/>
                <w:color w:val="auto"/>
              </w:rPr>
            </w:pPr>
          </w:p>
        </w:tc>
      </w:tr>
      <w:tr>
        <w:trPr>
          <w:trHeight w:val="20"/>
        </w:trPr>
        <w:tc>
          <w:tcPr>
            <w:tcW w:w="120" w:type="dxa"/>
            <w:vAlign w:val="bottom"/>
            <w:tcBorders>
              <w:top w:val="single" w:sz="8" w:color="4472C4"/>
              <w:bottom w:val="single" w:sz="8" w:color="4472C4"/>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0" w:type="dxa"/>
            <w:vAlign w:val="bottom"/>
            <w:tcBorders>
              <w:top w:val="single" w:sz="8" w:color="4472C4"/>
              <w:bottom w:val="single" w:sz="8" w:color="4472C4"/>
            </w:tcBorders>
          </w:tcPr>
          <w:p>
            <w:pPr>
              <w:spacing w:after="0" w:line="20" w:lineRule="exact"/>
              <w:rPr>
                <w:sz w:val="1"/>
                <w:szCs w:val="1"/>
                <w:color w:val="auto"/>
              </w:rPr>
            </w:pPr>
          </w:p>
        </w:tc>
        <w:tc>
          <w:tcPr>
            <w:tcW w:w="980" w:type="dxa"/>
            <w:vAlign w:val="bottom"/>
            <w:tcBorders>
              <w:top w:val="single" w:sz="8" w:color="4472C4"/>
              <w:bottom w:val="single" w:sz="8" w:color="4472C4"/>
            </w:tcBorders>
          </w:tcPr>
          <w:p>
            <w:pPr>
              <w:spacing w:after="0" w:line="20" w:lineRule="exact"/>
              <w:rPr>
                <w:sz w:val="1"/>
                <w:szCs w:val="1"/>
                <w:color w:val="auto"/>
              </w:rPr>
            </w:pPr>
          </w:p>
        </w:tc>
        <w:tc>
          <w:tcPr>
            <w:tcW w:w="2180" w:type="dxa"/>
            <w:vAlign w:val="bottom"/>
            <w:vMerge w:val="restart"/>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4472C4"/>
              </w:rPr>
              <w:t>Unencumbered Assets in [________] MSA</w:t>
            </w:r>
          </w:p>
        </w:tc>
        <w:tc>
          <w:tcPr>
            <w:tcW w:w="2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4472C4"/>
            </w:tcBorders>
          </w:tcPr>
          <w:p>
            <w:pPr>
              <w:spacing w:after="0" w:line="20" w:lineRule="exact"/>
              <w:rPr>
                <w:sz w:val="1"/>
                <w:szCs w:val="1"/>
                <w:color w:val="auto"/>
              </w:rPr>
            </w:pPr>
          </w:p>
        </w:tc>
        <w:tc>
          <w:tcPr>
            <w:tcW w:w="3000" w:type="dxa"/>
            <w:vAlign w:val="bottom"/>
            <w:tcBorders>
              <w:top w:val="single" w:sz="8" w:color="4472C4"/>
              <w:bottom w:val="single" w:sz="8" w:color="4472C4"/>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40" w:hanging="609"/>
        <w:spacing w:after="0"/>
        <w:tabs>
          <w:tab w:leader="none" w:pos="1240" w:val="left"/>
        </w:tabs>
        <w:numPr>
          <w:ilvl w:val="0"/>
          <w:numId w:val="159"/>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Line N1 shall not be greater than 25%</w:t>
      </w:r>
    </w:p>
    <w:p>
      <w:pPr>
        <w:spacing w:after="0" w:line="203" w:lineRule="exact"/>
        <w:rPr>
          <w:sz w:val="20"/>
          <w:szCs w:val="20"/>
          <w:color w:val="auto"/>
        </w:rPr>
      </w:pPr>
    </w:p>
    <w:p>
      <w:pPr>
        <w:ind w:left="640"/>
        <w:spacing w:after="0"/>
        <w:tabs>
          <w:tab w:leader="none" w:pos="1220" w:val="left"/>
          <w:tab w:leader="none" w:pos="7340" w:val="left"/>
        </w:tabs>
        <w:rPr>
          <w:sz w:val="20"/>
          <w:szCs w:val="20"/>
          <w:color w:val="auto"/>
        </w:rPr>
      </w:pPr>
      <w:r>
        <w:rPr>
          <w:rFonts w:ascii="Times New Roman" w:cs="Times New Roman" w:eastAsia="Times New Roman" w:hAnsi="Times New Roman"/>
          <w:sz w:val="17"/>
          <w:szCs w:val="17"/>
          <w:u w:val="single" w:color="auto"/>
          <w:color w:val="4472C4"/>
        </w:rPr>
        <w:t>3.</w:t>
      </w:r>
      <w:r>
        <w:rPr>
          <w:sz w:val="20"/>
          <w:szCs w:val="20"/>
          <w:color w:val="auto"/>
        </w:rPr>
        <w:tab/>
      </w:r>
      <w:r>
        <w:rPr>
          <w:rFonts w:ascii="Times New Roman" w:cs="Times New Roman" w:eastAsia="Times New Roman" w:hAnsi="Times New Roman"/>
          <w:sz w:val="17"/>
          <w:szCs w:val="17"/>
          <w:u w:val="single" w:color="auto"/>
          <w:color w:val="4472C4"/>
        </w:rPr>
        <w:t>The Borrower is in compliance (circle yes or no)</w:t>
      </w:r>
      <w:r>
        <w:rPr>
          <w:sz w:val="20"/>
          <w:szCs w:val="20"/>
          <w:color w:val="auto"/>
        </w:rPr>
        <w:tab/>
      </w:r>
      <w:r>
        <w:rPr>
          <w:rFonts w:ascii="Times New Roman" w:cs="Times New Roman" w:eastAsia="Times New Roman" w:hAnsi="Times New Roman"/>
          <w:sz w:val="16"/>
          <w:szCs w:val="16"/>
          <w:u w:val="single" w:color="auto"/>
          <w:color w:val="4472C4"/>
        </w:rPr>
        <w:t>yes/no</w:t>
      </w:r>
    </w:p>
    <w:p>
      <w:pPr>
        <w:spacing w:after="0" w:line="222" w:lineRule="exact"/>
        <w:rPr>
          <w:sz w:val="20"/>
          <w:szCs w:val="20"/>
          <w:color w:val="auto"/>
        </w:rPr>
      </w:pPr>
    </w:p>
    <w:p>
      <w:pPr>
        <w:ind w:left="700" w:hanging="695"/>
        <w:spacing w:after="0"/>
        <w:tabs>
          <w:tab w:leader="none" w:pos="700" w:val="left"/>
        </w:tabs>
        <w:numPr>
          <w:ilvl w:val="0"/>
          <w:numId w:val="160"/>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Occupancy Rate</w:t>
      </w:r>
    </w:p>
    <w:p>
      <w:pPr>
        <w:spacing w:after="0" w:line="222" w:lineRule="exact"/>
        <w:rPr>
          <w:sz w:val="20"/>
          <w:szCs w:val="20"/>
          <w:color w:val="auto"/>
        </w:rPr>
      </w:pPr>
    </w:p>
    <w:p>
      <w:pPr>
        <w:ind w:left="640"/>
        <w:spacing w:after="0"/>
        <w:tabs>
          <w:tab w:leader="none" w:pos="1220" w:val="left"/>
          <w:tab w:leader="none" w:pos="7400" w:val="left"/>
        </w:tabs>
        <w:rPr>
          <w:sz w:val="20"/>
          <w:szCs w:val="20"/>
          <w:color w:val="auto"/>
        </w:rPr>
      </w:pPr>
      <w:r>
        <w:rPr>
          <w:rFonts w:ascii="Times New Roman" w:cs="Times New Roman" w:eastAsia="Times New Roman" w:hAnsi="Times New Roman"/>
          <w:sz w:val="17"/>
          <w:szCs w:val="17"/>
          <w:u w:val="single" w:color="auto"/>
          <w:color w:val="4472C4"/>
        </w:rPr>
        <w:t>1.</w:t>
      </w:r>
      <w:r>
        <w:rPr>
          <w:sz w:val="20"/>
          <w:szCs w:val="20"/>
          <w:color w:val="auto"/>
        </w:rPr>
        <w:tab/>
      </w:r>
      <w:r>
        <w:rPr>
          <w:rFonts w:ascii="Times New Roman" w:cs="Times New Roman" w:eastAsia="Times New Roman" w:hAnsi="Times New Roman"/>
          <w:sz w:val="17"/>
          <w:szCs w:val="17"/>
          <w:u w:val="single" w:color="auto"/>
          <w:color w:val="4472C4"/>
        </w:rPr>
        <w:t>Aggregate Occupancy Rate of Unencumbered Assets</w:t>
      </w:r>
      <w:r>
        <w:rPr>
          <w:sz w:val="20"/>
          <w:szCs w:val="20"/>
          <w:color w:val="auto"/>
        </w:rPr>
        <w:tab/>
      </w:r>
      <w:r>
        <w:rPr>
          <w:rFonts w:ascii="Times New Roman" w:cs="Times New Roman" w:eastAsia="Times New Roman" w:hAnsi="Times New Roman"/>
          <w:sz w:val="17"/>
          <w:szCs w:val="17"/>
          <w:u w:val="single" w:color="auto"/>
          <w:color w:val="4472C4"/>
        </w:rPr>
        <w:t>__%</w:t>
      </w:r>
    </w:p>
    <w:p>
      <w:pPr>
        <w:spacing w:after="0" w:line="222" w:lineRule="exact"/>
        <w:rPr>
          <w:sz w:val="20"/>
          <w:szCs w:val="20"/>
          <w:color w:val="auto"/>
        </w:rPr>
      </w:pPr>
    </w:p>
    <w:p>
      <w:pPr>
        <w:ind w:left="1240" w:hanging="609"/>
        <w:spacing w:after="0"/>
        <w:tabs>
          <w:tab w:leader="none" w:pos="1240" w:val="left"/>
        </w:tabs>
        <w:numPr>
          <w:ilvl w:val="0"/>
          <w:numId w:val="161"/>
        </w:numPr>
        <w:rPr>
          <w:rFonts w:ascii="Times New Roman" w:cs="Times New Roman" w:eastAsia="Times New Roman" w:hAnsi="Times New Roman"/>
          <w:sz w:val="17"/>
          <w:szCs w:val="17"/>
          <w:u w:val="single" w:color="auto"/>
          <w:color w:val="4472C4"/>
        </w:rPr>
      </w:pPr>
      <w:r>
        <w:rPr>
          <w:rFonts w:ascii="Times New Roman" w:cs="Times New Roman" w:eastAsia="Times New Roman" w:hAnsi="Times New Roman"/>
          <w:sz w:val="17"/>
          <w:szCs w:val="17"/>
          <w:u w:val="single" w:color="auto"/>
          <w:color w:val="4472C4"/>
        </w:rPr>
        <w:t>Line O1 shall not be less than 85%</w:t>
      </w:r>
    </w:p>
    <w:p>
      <w:pPr>
        <w:spacing w:after="0" w:line="222" w:lineRule="exact"/>
        <w:rPr>
          <w:sz w:val="20"/>
          <w:szCs w:val="20"/>
          <w:color w:val="auto"/>
        </w:rPr>
      </w:pPr>
    </w:p>
    <w:p>
      <w:pPr>
        <w:ind w:left="640"/>
        <w:spacing w:after="0"/>
        <w:tabs>
          <w:tab w:leader="none" w:pos="1220" w:val="left"/>
          <w:tab w:leader="none" w:pos="7340" w:val="left"/>
        </w:tabs>
        <w:rPr>
          <w:sz w:val="20"/>
          <w:szCs w:val="20"/>
          <w:color w:val="auto"/>
        </w:rPr>
      </w:pPr>
      <w:r>
        <w:rPr>
          <w:rFonts w:ascii="Times New Roman" w:cs="Times New Roman" w:eastAsia="Times New Roman" w:hAnsi="Times New Roman"/>
          <w:sz w:val="17"/>
          <w:szCs w:val="17"/>
          <w:u w:val="single" w:color="auto"/>
          <w:color w:val="4472C4"/>
        </w:rPr>
        <w:t>3.</w:t>
      </w:r>
      <w:r>
        <w:rPr>
          <w:sz w:val="20"/>
          <w:szCs w:val="20"/>
          <w:color w:val="auto"/>
        </w:rPr>
        <w:tab/>
      </w:r>
      <w:r>
        <w:rPr>
          <w:rFonts w:ascii="Times New Roman" w:cs="Times New Roman" w:eastAsia="Times New Roman" w:hAnsi="Times New Roman"/>
          <w:sz w:val="17"/>
          <w:szCs w:val="17"/>
          <w:u w:val="single" w:color="auto"/>
          <w:color w:val="4472C4"/>
        </w:rPr>
        <w:t>The Borrower is in compliance (circle yes or no)</w:t>
      </w:r>
      <w:r>
        <w:rPr>
          <w:sz w:val="20"/>
          <w:szCs w:val="20"/>
          <w:color w:val="auto"/>
        </w:rPr>
        <w:tab/>
      </w:r>
      <w:r>
        <w:rPr>
          <w:rFonts w:ascii="Times New Roman" w:cs="Times New Roman" w:eastAsia="Times New Roman" w:hAnsi="Times New Roman"/>
          <w:sz w:val="16"/>
          <w:szCs w:val="16"/>
          <w:u w:val="single" w:color="auto"/>
          <w:color w:val="4472C4"/>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218440</wp:posOffset>
            </wp:positionV>
            <wp:extent cx="15728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firstLine="5"/>
        <w:spacing w:after="0" w:line="224" w:lineRule="auto"/>
        <w:tabs>
          <w:tab w:leader="none" w:pos="127" w:val="left"/>
        </w:tabs>
        <w:numPr>
          <w:ilvl w:val="0"/>
          <w:numId w:val="162"/>
        </w:numPr>
        <w:rPr>
          <w:rFonts w:ascii="Times New Roman" w:cs="Times New Roman" w:eastAsia="Times New Roman" w:hAnsi="Times New Roman"/>
          <w:sz w:val="26"/>
          <w:szCs w:val="26"/>
          <w:u w:val="single" w:color="auto"/>
          <w:color w:val="4472C4"/>
          <w:vertAlign w:val="superscript"/>
        </w:rPr>
      </w:pPr>
      <w:r>
        <w:rPr>
          <w:rFonts w:ascii="Times New Roman" w:cs="Times New Roman" w:eastAsia="Times New Roman" w:hAnsi="Times New Roman"/>
          <w:sz w:val="17"/>
          <w:szCs w:val="17"/>
          <w:color w:val="4472C4"/>
        </w:rPr>
        <w:t xml:space="preserve">If applicable, the calculation of Unencumbered Asset Value includes an adjustment to exclude that portion of the Property NOI or book </w:t>
      </w:r>
      <w:r>
        <w:rPr>
          <w:rFonts w:ascii="Times New Roman" w:cs="Times New Roman" w:eastAsia="Times New Roman" w:hAnsi="Times New Roman"/>
          <w:sz w:val="17"/>
          <w:szCs w:val="17"/>
          <w:u w:val="single" w:color="auto"/>
          <w:color w:val="4472C4"/>
        </w:rPr>
        <w:t>value of any Unencumbered Assets leased by the Borrower or a Subsidiary pursuant to an Acceptable Leasehold Interest to the extent it exceeds the 15% concentration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-288925</wp:posOffset>
            </wp:positionV>
            <wp:extent cx="62484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6248400" cy="825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-272415</wp:posOffset>
            </wp:positionV>
            <wp:extent cx="62484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6248400" cy="8255"/>
                    </a:xfrm>
                    <a:prstGeom prst="rect">
                      <a:avLst/>
                    </a:prstGeom>
                    <a:noFill/>
                  </pic:spPr>
                </pic:pic>
              </a:graphicData>
            </a:graphic>
          </wp:anchor>
        </w:drawing>
      </w:r>
    </w:p>
    <w:p>
      <w:pPr>
        <w:spacing w:after="0" w:line="98" w:lineRule="exact"/>
        <w:rPr>
          <w:sz w:val="20"/>
          <w:szCs w:val="20"/>
          <w:color w:val="auto"/>
        </w:rPr>
      </w:pPr>
    </w:p>
    <w:p>
      <w:pPr>
        <w:ind w:left="120" w:hanging="115"/>
        <w:spacing w:after="0"/>
        <w:tabs>
          <w:tab w:leader="none" w:pos="120" w:val="left"/>
        </w:tabs>
        <w:numPr>
          <w:ilvl w:val="0"/>
          <w:numId w:val="163"/>
        </w:numPr>
        <w:rPr>
          <w:rFonts w:ascii="Times New Roman" w:cs="Times New Roman" w:eastAsia="Times New Roman" w:hAnsi="Times New Roman"/>
          <w:sz w:val="26"/>
          <w:szCs w:val="26"/>
          <w:u w:val="single" w:color="auto"/>
          <w:color w:val="4472C4"/>
          <w:vertAlign w:val="superscript"/>
        </w:rPr>
      </w:pPr>
      <w:r>
        <w:rPr>
          <w:rFonts w:ascii="Times New Roman" w:cs="Times New Roman" w:eastAsia="Times New Roman" w:hAnsi="Times New Roman"/>
          <w:sz w:val="17"/>
          <w:szCs w:val="17"/>
          <w:color w:val="4472C4"/>
        </w:rPr>
        <w:t>To be duplicated for each MSA with Unencumbered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26809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2680970" cy="825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-7620</wp:posOffset>
            </wp:positionV>
            <wp:extent cx="26809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65" w:right="99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7"/>
          <w:szCs w:val="17"/>
          <w:b w:val="1"/>
          <w:bCs w:val="1"/>
          <w:color w:val="auto"/>
        </w:rPr>
        <w:t>EXHIBIT A TO SCHEDULE 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COMPLIANCE CERTIFICATE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ALPINE INCOME PROPERTY OP, LP</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Exhibit A, with a calculation date of __________,______, is attached to Schedule I to the Compliance Certificate of Alpine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Income Property OP, LP dated ___________, </w:t>
      </w:r>
      <w:r>
        <w:rPr>
          <w:rFonts w:ascii="Times New Roman" w:cs="Times New Roman" w:eastAsia="Times New Roman" w:hAnsi="Times New Roman"/>
          <w:sz w:val="17"/>
          <w:szCs w:val="17"/>
          <w:color w:val="FF0000"/>
          <w:strike w:val="1"/>
        </w:rPr>
        <w:t>2021,</w:t>
      </w:r>
      <w:r>
        <w:rPr>
          <w:rFonts w:ascii="Times New Roman" w:cs="Times New Roman" w:eastAsia="Times New Roman" w:hAnsi="Times New Roman"/>
          <w:sz w:val="17"/>
          <w:szCs w:val="17"/>
          <w:u w:val="single" w:color="auto"/>
          <w:color w:val="4472C4"/>
        </w:rPr>
        <w:t>20__,</w:t>
      </w:r>
      <w:r>
        <w:rPr>
          <w:rFonts w:ascii="Times New Roman" w:cs="Times New Roman" w:eastAsia="Times New Roman" w:hAnsi="Times New Roman"/>
          <w:sz w:val="17"/>
          <w:szCs w:val="17"/>
          <w:color w:val="auto"/>
        </w:rPr>
        <w:t xml:space="preserve"> as amended, and delivered to Truist Bank, N.A., as Administrative Agent, and the</w:t>
      </w:r>
    </w:p>
    <w:p>
      <w:pPr>
        <w:spacing w:after="0" w:line="1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Lenders party to the </w:t>
      </w:r>
      <w:r>
        <w:rPr>
          <w:rFonts w:ascii="Times New Roman" w:cs="Times New Roman" w:eastAsia="Times New Roman" w:hAnsi="Times New Roman"/>
          <w:sz w:val="17"/>
          <w:szCs w:val="17"/>
          <w:u w:val="single" w:color="auto"/>
          <w:color w:val="4472C4"/>
        </w:rPr>
        <w:t>Amended and Restated</w:t>
      </w:r>
      <w:r>
        <w:rPr>
          <w:rFonts w:ascii="Times New Roman" w:cs="Times New Roman" w:eastAsia="Times New Roman" w:hAnsi="Times New Roman"/>
          <w:sz w:val="17"/>
          <w:szCs w:val="17"/>
          <w:color w:val="auto"/>
        </w:rPr>
        <w:t xml:space="preserve"> Credit Agreement, as amended, referred to therein. The undersigned hereby certifies that the following is a true, correct and complete calculation of Total Asset Value for Rolling Period most recently ended: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 xml:space="preserve">[Insert Calculation </w:t>
      </w:r>
      <w:r>
        <w:rPr>
          <w:rFonts w:ascii="Times New Roman" w:cs="Times New Roman" w:eastAsia="Times New Roman" w:hAnsi="Times New Roman"/>
          <w:sz w:val="17"/>
          <w:szCs w:val="17"/>
          <w:b w:val="1"/>
          <w:bCs w:val="1"/>
          <w:u w:val="single" w:color="auto"/>
          <w:color w:val="4472C4"/>
        </w:rPr>
        <w:t>or attach Schedule with exclusions for concentration limits</w:t>
      </w:r>
      <w:r>
        <w:rPr>
          <w:rFonts w:ascii="Times New Roman" w:cs="Times New Roman" w:eastAsia="Times New Roman" w:hAnsi="Times New Roman"/>
          <w:sz w:val="17"/>
          <w:szCs w:val="17"/>
          <w:b w:val="1"/>
          <w:bCs w:val="1"/>
          <w:color w:val="auto"/>
        </w:rPr>
        <w:t>]</w:t>
      </w:r>
    </w:p>
    <w:p>
      <w:pPr>
        <w:spacing w:after="0" w:line="22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ALPINE INCOME PROPERTY OP, LP</w:t>
      </w:r>
    </w:p>
    <w:p>
      <w:pPr>
        <w:spacing w:after="0" w:line="222" w:lineRule="exact"/>
        <w:rPr>
          <w:sz w:val="20"/>
          <w:szCs w:val="20"/>
          <w:color w:val="auto"/>
        </w:rPr>
      </w:pPr>
    </w:p>
    <w:p>
      <w:pPr>
        <w:ind w:left="4980"/>
        <w:spacing w:after="0"/>
        <w:tabs>
          <w:tab w:leader="none" w:pos="5340" w:val="left"/>
        </w:tabs>
        <w:rPr>
          <w:sz w:val="20"/>
          <w:szCs w:val="20"/>
          <w:color w:val="auto"/>
        </w:rPr>
      </w:pPr>
      <w:r>
        <w:rPr>
          <w:rFonts w:ascii="Times New Roman" w:cs="Times New Roman" w:eastAsia="Times New Roman" w:hAnsi="Times New Roman"/>
          <w:sz w:val="17"/>
          <w:szCs w:val="17"/>
          <w:color w:val="auto"/>
        </w:rPr>
        <w:t>By:</w:t>
        <w:tab/>
        <w:t>Alpine Income Property GP, LLC, a Delaware limited liability</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company, its General Partner</w:t>
      </w:r>
    </w:p>
    <w:p>
      <w:pPr>
        <w:spacing w:after="0" w:line="204" w:lineRule="exact"/>
        <w:rPr>
          <w:sz w:val="20"/>
          <w:szCs w:val="20"/>
          <w:color w:val="auto"/>
        </w:rPr>
      </w:pPr>
    </w:p>
    <w:p>
      <w:pPr>
        <w:ind w:left="4980"/>
        <w:spacing w:after="0"/>
        <w:tabs>
          <w:tab w:leader="none" w:pos="5340" w:val="left"/>
        </w:tabs>
        <w:rPr>
          <w:sz w:val="20"/>
          <w:szCs w:val="20"/>
          <w:color w:val="auto"/>
        </w:rPr>
      </w:pPr>
      <w:r>
        <w:rPr>
          <w:rFonts w:ascii="Times New Roman" w:cs="Times New Roman" w:eastAsia="Times New Roman" w:hAnsi="Times New Roman"/>
          <w:sz w:val="17"/>
          <w:szCs w:val="17"/>
          <w:color w:val="auto"/>
        </w:rPr>
        <w:t>By:</w:t>
        <w:tab/>
        <w:t>Alpine Income Property Trust, Inc., a Maryland corporation, its</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sole member</w:t>
      </w:r>
    </w:p>
    <w:p>
      <w:pPr>
        <w:spacing w:after="0" w:line="2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-123190</wp:posOffset>
            </wp:positionV>
            <wp:extent cx="288988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16510</wp:posOffset>
            </wp:positionV>
            <wp:extent cx="245046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2450465" cy="825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-123190</wp:posOffset>
            </wp:positionV>
            <wp:extent cx="24504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245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195" w:name="page196"/>
    <w:bookmarkEnd w:id="195"/>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EXHIBIT B TO SCHEDULE I</w:t>
      </w:r>
    </w:p>
    <w:p>
      <w:pPr>
        <w:spacing w:after="0" w:line="33"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TO COMPLIANCE CERTIFICATE</w:t>
      </w:r>
    </w:p>
    <w:p>
      <w:pPr>
        <w:spacing w:after="0" w:line="13"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OF ALPINE INCOME PROPERTY OP, LP</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Exhibit B, with a calculation date of __________,______, is attached to Schedule I to the Compliance Certificate of Alpine</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1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Income Property OP, LP dated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w w:val="93"/>
              </w:rPr>
              <w:t>2021,</w:t>
            </w:r>
          </w:p>
        </w:tc>
        <w:tc>
          <w:tcPr>
            <w:tcW w:w="7540" w:type="dxa"/>
            <w:vAlign w:val="bottom"/>
            <w:gridSpan w:val="41"/>
          </w:tcPr>
          <w:p>
            <w:pPr>
              <w:jc w:val="right"/>
              <w:ind w:right="760"/>
              <w:spacing w:after="0"/>
              <w:rPr>
                <w:sz w:val="20"/>
                <w:szCs w:val="20"/>
                <w:color w:val="auto"/>
              </w:rPr>
            </w:pPr>
            <w:r>
              <w:rPr>
                <w:rFonts w:ascii="Times New Roman" w:cs="Times New Roman" w:eastAsia="Times New Roman" w:hAnsi="Times New Roman"/>
                <w:sz w:val="17"/>
                <w:szCs w:val="17"/>
                <w:color w:val="4472C4"/>
              </w:rPr>
              <w:t xml:space="preserve">20__, </w:t>
            </w:r>
            <w:r>
              <w:rPr>
                <w:rFonts w:ascii="Times New Roman" w:cs="Times New Roman" w:eastAsia="Times New Roman" w:hAnsi="Times New Roman"/>
                <w:sz w:val="17"/>
                <w:szCs w:val="17"/>
                <w:color w:val="000000"/>
              </w:rPr>
              <w:t>as amended, and delivered to Truist Bank, N.A., as Administrative Agent, and the Lenders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4472C4"/>
          </w:tcPr>
          <w:p>
            <w:pPr>
              <w:spacing w:after="0" w:line="20" w:lineRule="exact"/>
              <w:rPr>
                <w:sz w:val="1"/>
                <w:szCs w:val="1"/>
                <w:color w:val="auto"/>
              </w:rPr>
            </w:pPr>
          </w:p>
        </w:tc>
        <w:tc>
          <w:tcPr>
            <w:tcW w:w="200" w:type="dxa"/>
            <w:vAlign w:val="bottom"/>
            <w:tcBorders>
              <w:left w:val="single" w:sz="8" w:color="4472C4"/>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40" w:type="dxa"/>
            <w:vAlign w:val="bottom"/>
            <w:gridSpan w:val="17"/>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 xml:space="preserve">party to the </w:t>
            </w:r>
            <w:r>
              <w:rPr>
                <w:rFonts w:ascii="Times New Roman" w:cs="Times New Roman" w:eastAsia="Times New Roman" w:hAnsi="Times New Roman"/>
                <w:sz w:val="17"/>
                <w:szCs w:val="17"/>
                <w:color w:val="4472C4"/>
              </w:rPr>
              <w:t>Amended and Restated</w:t>
            </w:r>
            <w:r>
              <w:rPr>
                <w:rFonts w:ascii="Times New Roman" w:cs="Times New Roman" w:eastAsia="Times New Roman" w:hAnsi="Times New Roman"/>
                <w:sz w:val="17"/>
                <w:szCs w:val="17"/>
                <w:color w:val="auto"/>
              </w:rPr>
              <w:t xml:space="preserve"> Credit</w:t>
            </w:r>
          </w:p>
        </w:tc>
        <w:tc>
          <w:tcPr>
            <w:tcW w:w="360" w:type="dxa"/>
            <w:vAlign w:val="bottom"/>
            <w:tcBorders>
              <w:bottom w:val="single" w:sz="8" w:color="4472C4"/>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40" w:type="dxa"/>
            <w:vAlign w:val="bottom"/>
            <w:gridSpan w:val="17"/>
            <w:vMerge w:val="continue"/>
          </w:tcPr>
          <w:p>
            <w:pPr>
              <w:spacing w:after="0"/>
              <w:rPr>
                <w:sz w:val="12"/>
                <w:szCs w:val="12"/>
                <w:color w:val="auto"/>
              </w:rPr>
            </w:pPr>
          </w:p>
        </w:tc>
        <w:tc>
          <w:tcPr>
            <w:tcW w:w="7540" w:type="dxa"/>
            <w:vAlign w:val="bottom"/>
            <w:gridSpan w:val="41"/>
          </w:tcPr>
          <w:p>
            <w:pPr>
              <w:jc w:val="right"/>
              <w:ind w:right="760"/>
              <w:spacing w:after="0" w:line="149" w:lineRule="exact"/>
              <w:rPr>
                <w:sz w:val="20"/>
                <w:szCs w:val="20"/>
                <w:color w:val="auto"/>
              </w:rPr>
            </w:pPr>
            <w:r>
              <w:rPr>
                <w:rFonts w:ascii="Times New Roman" w:cs="Times New Roman" w:eastAsia="Times New Roman" w:hAnsi="Times New Roman"/>
                <w:sz w:val="17"/>
                <w:szCs w:val="17"/>
                <w:color w:val="auto"/>
              </w:rPr>
              <w:t>Agreement, as amended, referred to therein. The undersigned hereby certifies that the following is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gridSpan w:val="2"/>
          </w:tcPr>
          <w:p>
            <w:pPr>
              <w:spacing w:after="0" w:line="20" w:lineRule="exact"/>
              <w:rPr>
                <w:sz w:val="1"/>
                <w:szCs w:val="1"/>
                <w:color w:val="auto"/>
              </w:rPr>
            </w:pPr>
          </w:p>
        </w:tc>
        <w:tc>
          <w:tcPr>
            <w:tcW w:w="700" w:type="dxa"/>
            <w:vAlign w:val="bottom"/>
            <w:tcBorders>
              <w:top w:val="single" w:sz="8" w:color="4472C4"/>
              <w:bottom w:val="single" w:sz="8" w:color="4472C4"/>
            </w:tcBorders>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gridSpan w:val="3"/>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760" w:type="dxa"/>
            <w:vAlign w:val="bottom"/>
            <w:gridSpan w:val="50"/>
          </w:tcPr>
          <w:p>
            <w:pPr>
              <w:spacing w:after="0"/>
              <w:rPr>
                <w:sz w:val="20"/>
                <w:szCs w:val="20"/>
                <w:color w:val="auto"/>
              </w:rPr>
            </w:pPr>
            <w:r>
              <w:rPr>
                <w:rFonts w:ascii="Times New Roman" w:cs="Times New Roman" w:eastAsia="Times New Roman" w:hAnsi="Times New Roman"/>
                <w:sz w:val="17"/>
                <w:szCs w:val="17"/>
                <w:color w:val="auto"/>
              </w:rPr>
              <w:t>a true, correct and complete calculation of Property NOI for all Properties for Rolling Period most recently ended: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Borders>
              <w:bottom w:val="single" w:sz="8" w:color="auto"/>
            </w:tcBorders>
            <w:gridSpan w:val="58"/>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tcBorders>
          </w:tcPr>
          <w:p>
            <w:pPr>
              <w:spacing w:after="0"/>
              <w:rPr>
                <w:sz w:val="14"/>
                <w:szCs w:val="14"/>
                <w:color w:val="auto"/>
              </w:rPr>
            </w:pPr>
          </w:p>
        </w:tc>
        <w:tc>
          <w:tcPr>
            <w:tcW w:w="1020" w:type="dxa"/>
            <w:vAlign w:val="bottom"/>
            <w:tcBorders>
              <w:right w:val="single" w:sz="8" w:color="auto"/>
            </w:tcBorders>
            <w:gridSpan w:val="3"/>
          </w:tcPr>
          <w:p>
            <w:pPr>
              <w:spacing w:after="0" w:line="163" w:lineRule="exact"/>
              <w:rPr>
                <w:sz w:val="20"/>
                <w:szCs w:val="20"/>
                <w:color w:val="auto"/>
              </w:rPr>
            </w:pPr>
            <w:r>
              <w:rPr>
                <w:rFonts w:ascii="Times New Roman" w:cs="Times New Roman" w:eastAsia="Times New Roman" w:hAnsi="Times New Roman"/>
                <w:sz w:val="17"/>
                <w:szCs w:val="17"/>
                <w:color w:val="auto"/>
              </w:rPr>
              <w:t>PROPERTY</w:t>
            </w:r>
          </w:p>
        </w:tc>
        <w:tc>
          <w:tcPr>
            <w:tcW w:w="1080" w:type="dxa"/>
            <w:vAlign w:val="bottom"/>
            <w:tcBorders>
              <w:right w:val="single" w:sz="8" w:color="auto"/>
            </w:tcBorders>
            <w:gridSpan w:val="5"/>
          </w:tcPr>
          <w:p>
            <w:pPr>
              <w:ind w:left="60"/>
              <w:spacing w:after="0" w:line="163" w:lineRule="exact"/>
              <w:rPr>
                <w:sz w:val="20"/>
                <w:szCs w:val="20"/>
                <w:color w:val="auto"/>
              </w:rPr>
            </w:pPr>
            <w:r>
              <w:rPr>
                <w:rFonts w:ascii="Times New Roman" w:cs="Times New Roman" w:eastAsia="Times New Roman" w:hAnsi="Times New Roman"/>
                <w:sz w:val="17"/>
                <w:szCs w:val="17"/>
                <w:color w:val="auto"/>
              </w:rPr>
              <w:t>PROPERTY</w:t>
            </w:r>
          </w:p>
        </w:tc>
        <w:tc>
          <w:tcPr>
            <w:tcW w:w="80" w:type="dxa"/>
            <w:vAlign w:val="bottom"/>
          </w:tcPr>
          <w:p>
            <w:pPr>
              <w:spacing w:after="0"/>
              <w:rPr>
                <w:sz w:val="14"/>
                <w:szCs w:val="14"/>
                <w:color w:val="auto"/>
              </w:rPr>
            </w:pPr>
          </w:p>
        </w:tc>
        <w:tc>
          <w:tcPr>
            <w:tcW w:w="660" w:type="dxa"/>
            <w:vAlign w:val="bottom"/>
            <w:tcBorders>
              <w:right w:val="single" w:sz="8" w:color="auto"/>
            </w:tcBorders>
            <w:gridSpan w:val="5"/>
          </w:tcPr>
          <w:p>
            <w:pPr>
              <w:spacing w:after="0" w:line="163" w:lineRule="exact"/>
              <w:rPr>
                <w:sz w:val="20"/>
                <w:szCs w:val="20"/>
                <w:color w:val="auto"/>
              </w:rPr>
            </w:pPr>
            <w:r>
              <w:rPr>
                <w:rFonts w:ascii="Times New Roman" w:cs="Times New Roman" w:eastAsia="Times New Roman" w:hAnsi="Times New Roman"/>
                <w:sz w:val="17"/>
                <w:szCs w:val="17"/>
                <w:color w:val="auto"/>
              </w:rPr>
              <w:t>MINUS</w:t>
            </w:r>
          </w:p>
        </w:tc>
        <w:tc>
          <w:tcPr>
            <w:tcW w:w="80" w:type="dxa"/>
            <w:vAlign w:val="bottom"/>
          </w:tcPr>
          <w:p>
            <w:pPr>
              <w:spacing w:after="0"/>
              <w:rPr>
                <w:sz w:val="14"/>
                <w:szCs w:val="14"/>
                <w:color w:val="auto"/>
              </w:rPr>
            </w:pPr>
          </w:p>
        </w:tc>
        <w:tc>
          <w:tcPr>
            <w:tcW w:w="1380" w:type="dxa"/>
            <w:vAlign w:val="bottom"/>
            <w:tcBorders>
              <w:right w:val="single" w:sz="8" w:color="auto"/>
            </w:tcBorders>
            <w:gridSpan w:val="8"/>
          </w:tcPr>
          <w:p>
            <w:pPr>
              <w:spacing w:after="0" w:line="163" w:lineRule="exact"/>
              <w:rPr>
                <w:sz w:val="20"/>
                <w:szCs w:val="20"/>
                <w:color w:val="auto"/>
              </w:rPr>
            </w:pPr>
            <w:r>
              <w:rPr>
                <w:rFonts w:ascii="Times New Roman" w:cs="Times New Roman" w:eastAsia="Times New Roman" w:hAnsi="Times New Roman"/>
                <w:sz w:val="17"/>
                <w:szCs w:val="17"/>
                <w:color w:val="auto"/>
              </w:rPr>
              <w:t>PROPERTY</w:t>
            </w:r>
          </w:p>
        </w:tc>
        <w:tc>
          <w:tcPr>
            <w:tcW w:w="760" w:type="dxa"/>
            <w:vAlign w:val="bottom"/>
            <w:tcBorders>
              <w:right w:val="single" w:sz="8" w:color="auto"/>
            </w:tcBorders>
            <w:gridSpan w:val="4"/>
          </w:tcPr>
          <w:p>
            <w:pPr>
              <w:ind w:left="80"/>
              <w:spacing w:after="0" w:line="163" w:lineRule="exact"/>
              <w:rPr>
                <w:sz w:val="20"/>
                <w:szCs w:val="20"/>
                <w:color w:val="auto"/>
              </w:rPr>
            </w:pPr>
            <w:r>
              <w:rPr>
                <w:rFonts w:ascii="Times New Roman" w:cs="Times New Roman" w:eastAsia="Times New Roman" w:hAnsi="Times New Roman"/>
                <w:sz w:val="17"/>
                <w:szCs w:val="17"/>
                <w:color w:val="auto"/>
              </w:rPr>
              <w:t>MINUS</w:t>
            </w:r>
          </w:p>
        </w:tc>
        <w:tc>
          <w:tcPr>
            <w:tcW w:w="80" w:type="dxa"/>
            <w:vAlign w:val="bottom"/>
          </w:tcPr>
          <w:p>
            <w:pPr>
              <w:spacing w:after="0"/>
              <w:rPr>
                <w:sz w:val="14"/>
                <w:szCs w:val="14"/>
                <w:color w:val="auto"/>
              </w:rPr>
            </w:pPr>
          </w:p>
        </w:tc>
        <w:tc>
          <w:tcPr>
            <w:tcW w:w="1300" w:type="dxa"/>
            <w:vAlign w:val="bottom"/>
            <w:tcBorders>
              <w:right w:val="single" w:sz="8" w:color="auto"/>
            </w:tcBorders>
            <w:gridSpan w:val="3"/>
          </w:tcPr>
          <w:p>
            <w:pPr>
              <w:spacing w:after="0" w:line="163" w:lineRule="exact"/>
              <w:rPr>
                <w:sz w:val="20"/>
                <w:szCs w:val="20"/>
                <w:color w:val="auto"/>
              </w:rPr>
            </w:pPr>
            <w:r>
              <w:rPr>
                <w:rFonts w:ascii="Times New Roman" w:cs="Times New Roman" w:eastAsia="Times New Roman" w:hAnsi="Times New Roman"/>
                <w:sz w:val="17"/>
                <w:szCs w:val="17"/>
                <w:color w:val="auto"/>
              </w:rPr>
              <w:t>ANNUAL</w:t>
            </w:r>
          </w:p>
        </w:tc>
        <w:tc>
          <w:tcPr>
            <w:tcW w:w="760" w:type="dxa"/>
            <w:vAlign w:val="bottom"/>
            <w:tcBorders>
              <w:right w:val="single" w:sz="8" w:color="auto"/>
            </w:tcBorders>
            <w:gridSpan w:val="3"/>
          </w:tcPr>
          <w:p>
            <w:pPr>
              <w:ind w:left="80"/>
              <w:spacing w:after="0" w:line="163" w:lineRule="exact"/>
              <w:rPr>
                <w:sz w:val="20"/>
                <w:szCs w:val="20"/>
                <w:color w:val="auto"/>
              </w:rPr>
            </w:pPr>
            <w:r>
              <w:rPr>
                <w:rFonts w:ascii="Times New Roman" w:cs="Times New Roman" w:eastAsia="Times New Roman" w:hAnsi="Times New Roman"/>
                <w:sz w:val="17"/>
                <w:szCs w:val="17"/>
                <w:color w:val="auto"/>
              </w:rPr>
              <w:t>MINUS</w:t>
            </w:r>
          </w:p>
        </w:tc>
        <w:tc>
          <w:tcPr>
            <w:tcW w:w="80" w:type="dxa"/>
            <w:vAlign w:val="bottom"/>
          </w:tcPr>
          <w:p>
            <w:pPr>
              <w:spacing w:after="0"/>
              <w:rPr>
                <w:sz w:val="14"/>
                <w:szCs w:val="14"/>
                <w:color w:val="auto"/>
              </w:rPr>
            </w:pPr>
          </w:p>
        </w:tc>
        <w:tc>
          <w:tcPr>
            <w:tcW w:w="1380" w:type="dxa"/>
            <w:vAlign w:val="bottom"/>
            <w:tcBorders>
              <w:right w:val="single" w:sz="8" w:color="auto"/>
            </w:tcBorders>
            <w:gridSpan w:val="14"/>
          </w:tcPr>
          <w:p>
            <w:pPr>
              <w:spacing w:after="0" w:line="163" w:lineRule="exact"/>
              <w:rPr>
                <w:sz w:val="20"/>
                <w:szCs w:val="20"/>
                <w:color w:val="auto"/>
              </w:rPr>
            </w:pPr>
            <w:r>
              <w:rPr>
                <w:rFonts w:ascii="Times New Roman" w:cs="Times New Roman" w:eastAsia="Times New Roman" w:hAnsi="Times New Roman"/>
                <w:sz w:val="17"/>
                <w:szCs w:val="17"/>
                <w:color w:val="auto"/>
              </w:rPr>
              <w:t>GREATER OF</w:t>
            </w:r>
          </w:p>
        </w:tc>
        <w:tc>
          <w:tcPr>
            <w:tcW w:w="80" w:type="dxa"/>
            <w:vAlign w:val="bottom"/>
          </w:tcPr>
          <w:p>
            <w:pPr>
              <w:spacing w:after="0"/>
              <w:rPr>
                <w:sz w:val="14"/>
                <w:szCs w:val="14"/>
                <w:color w:val="auto"/>
              </w:rPr>
            </w:pPr>
          </w:p>
        </w:tc>
        <w:tc>
          <w:tcPr>
            <w:tcW w:w="800" w:type="dxa"/>
            <w:vAlign w:val="bottom"/>
            <w:tcBorders>
              <w:right w:val="single" w:sz="8" w:color="auto"/>
            </w:tcBorders>
            <w:gridSpan w:val="3"/>
          </w:tcPr>
          <w:p>
            <w:pPr>
              <w:spacing w:after="0" w:line="163" w:lineRule="exact"/>
              <w:rPr>
                <w:sz w:val="20"/>
                <w:szCs w:val="20"/>
                <w:color w:val="auto"/>
              </w:rPr>
            </w:pPr>
            <w:r>
              <w:rPr>
                <w:rFonts w:ascii="Times New Roman" w:cs="Times New Roman" w:eastAsia="Times New Roman" w:hAnsi="Times New Roman"/>
                <w:sz w:val="17"/>
                <w:szCs w:val="17"/>
                <w:color w:val="auto"/>
              </w:rPr>
              <w:t>EQUALS</w:t>
            </w:r>
          </w:p>
        </w:tc>
        <w:tc>
          <w:tcPr>
            <w:tcW w:w="1040" w:type="dxa"/>
            <w:vAlign w:val="bottom"/>
            <w:gridSpan w:val="4"/>
          </w:tcPr>
          <w:p>
            <w:pPr>
              <w:ind w:left="80"/>
              <w:spacing w:after="0" w:line="163" w:lineRule="exact"/>
              <w:rPr>
                <w:sz w:val="20"/>
                <w:szCs w:val="20"/>
                <w:color w:val="auto"/>
              </w:rPr>
            </w:pPr>
            <w:r>
              <w:rPr>
                <w:rFonts w:ascii="Times New Roman" w:cs="Times New Roman" w:eastAsia="Times New Roman" w:hAnsi="Times New Roman"/>
                <w:sz w:val="17"/>
                <w:szCs w:val="17"/>
                <w:color w:val="auto"/>
              </w:rPr>
              <w:t>PROPERTY</w:t>
            </w:r>
          </w:p>
        </w:tc>
        <w:tc>
          <w:tcPr>
            <w:tcW w:w="0" w:type="dxa"/>
            <w:vAlign w:val="bottom"/>
          </w:tcPr>
          <w:p>
            <w:pPr>
              <w:spacing w:after="0"/>
              <w:rPr>
                <w:sz w:val="1"/>
                <w:szCs w:val="1"/>
                <w:color w:val="auto"/>
              </w:rPr>
            </w:pPr>
          </w:p>
        </w:tc>
      </w:tr>
      <w:tr>
        <w:trPr>
          <w:trHeight w:val="20"/>
        </w:trPr>
        <w:tc>
          <w:tcPr>
            <w:tcW w:w="1120" w:type="dxa"/>
            <w:vAlign w:val="bottom"/>
            <w:tcBorders>
              <w:left w:val="single" w:sz="8" w:color="auto"/>
              <w:right w:val="single" w:sz="8" w:color="auto"/>
            </w:tcBorders>
            <w:gridSpan w:val="4"/>
          </w:tcPr>
          <w:p>
            <w:pPr>
              <w:spacing w:after="0" w:line="20" w:lineRule="exact"/>
              <w:rPr>
                <w:sz w:val="1"/>
                <w:szCs w:val="1"/>
                <w:color w:val="auto"/>
              </w:rPr>
            </w:pPr>
          </w:p>
        </w:tc>
        <w:tc>
          <w:tcPr>
            <w:tcW w:w="1080" w:type="dxa"/>
            <w:vAlign w:val="bottom"/>
            <w:tcBorders>
              <w:right w:val="single" w:sz="8" w:color="auto"/>
            </w:tcBorders>
            <w:gridSpan w:val="5"/>
          </w:tcPr>
          <w:p>
            <w:pPr>
              <w:spacing w:after="0" w:line="20" w:lineRule="exact"/>
              <w:rPr>
                <w:sz w:val="1"/>
                <w:szCs w:val="1"/>
                <w:color w:val="auto"/>
              </w:rPr>
            </w:pPr>
          </w:p>
        </w:tc>
        <w:tc>
          <w:tcPr>
            <w:tcW w:w="740" w:type="dxa"/>
            <w:vAlign w:val="bottom"/>
            <w:tcBorders>
              <w:right w:val="single" w:sz="8" w:color="auto"/>
            </w:tcBorders>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480" w:type="dxa"/>
            <w:vAlign w:val="bottom"/>
            <w:tcBorders>
              <w:right w:val="single" w:sz="8" w:color="auto"/>
            </w:tcBorders>
            <w:gridSpan w:val="3"/>
          </w:tcPr>
          <w:p>
            <w:pPr>
              <w:spacing w:after="0" w:line="20" w:lineRule="exact"/>
              <w:rPr>
                <w:sz w:val="1"/>
                <w:szCs w:val="1"/>
                <w:color w:val="auto"/>
              </w:rPr>
            </w:pPr>
          </w:p>
        </w:tc>
        <w:tc>
          <w:tcPr>
            <w:tcW w:w="760" w:type="dxa"/>
            <w:vAlign w:val="bottom"/>
            <w:tcBorders>
              <w:right w:val="single" w:sz="8" w:color="auto"/>
            </w:tcBorders>
            <w:gridSpan w:val="4"/>
          </w:tcPr>
          <w:p>
            <w:pPr>
              <w:spacing w:after="0" w:line="20" w:lineRule="exact"/>
              <w:rPr>
                <w:sz w:val="1"/>
                <w:szCs w:val="1"/>
                <w:color w:val="auto"/>
              </w:rPr>
            </w:pPr>
          </w:p>
        </w:tc>
        <w:tc>
          <w:tcPr>
            <w:tcW w:w="1380" w:type="dxa"/>
            <w:vAlign w:val="bottom"/>
            <w:tcBorders>
              <w:right w:val="single" w:sz="8" w:color="auto"/>
            </w:tcBorders>
            <w:gridSpan w:val="4"/>
          </w:tcPr>
          <w:p>
            <w:pPr>
              <w:spacing w:after="0" w:line="20" w:lineRule="exact"/>
              <w:rPr>
                <w:sz w:val="1"/>
                <w:szCs w:val="1"/>
                <w:color w:val="auto"/>
              </w:rPr>
            </w:pPr>
          </w:p>
        </w:tc>
        <w:tc>
          <w:tcPr>
            <w:tcW w:w="760" w:type="dxa"/>
            <w:vAlign w:val="bottom"/>
            <w:tcBorders>
              <w:right w:val="single" w:sz="8" w:color="auto"/>
            </w:tcBorders>
            <w:gridSpan w:val="3"/>
          </w:tcPr>
          <w:p>
            <w:pPr>
              <w:spacing w:after="0" w:line="20" w:lineRule="exact"/>
              <w:rPr>
                <w:sz w:val="1"/>
                <w:szCs w:val="1"/>
                <w:color w:val="auto"/>
              </w:rPr>
            </w:pPr>
          </w:p>
        </w:tc>
        <w:tc>
          <w:tcPr>
            <w:tcW w:w="620" w:type="dxa"/>
            <w:vAlign w:val="bottom"/>
            <w:tcBorders>
              <w:right w:val="single" w:sz="8" w:color="auto"/>
            </w:tcBorders>
            <w:gridSpan w:val="5"/>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tcBorders>
              <w:right w:val="single" w:sz="8" w:color="auto"/>
            </w:tcBorders>
            <w:gridSpan w:val="5"/>
            <w:shd w:val="clear" w:color="auto" w:fill="000000"/>
          </w:tcPr>
          <w:p>
            <w:pPr>
              <w:spacing w:after="0" w:line="20" w:lineRule="exact"/>
              <w:rPr>
                <w:sz w:val="1"/>
                <w:szCs w:val="1"/>
                <w:color w:val="auto"/>
              </w:rPr>
            </w:pPr>
          </w:p>
        </w:tc>
        <w:tc>
          <w:tcPr>
            <w:tcW w:w="320" w:type="dxa"/>
            <w:vAlign w:val="bottom"/>
            <w:tcBorders>
              <w:right w:val="single" w:sz="8" w:color="auto"/>
            </w:tcBorders>
            <w:gridSpan w:val="3"/>
          </w:tcPr>
          <w:p>
            <w:pPr>
              <w:spacing w:after="0" w:line="20" w:lineRule="exact"/>
              <w:rPr>
                <w:sz w:val="1"/>
                <w:szCs w:val="1"/>
                <w:color w:val="auto"/>
              </w:rPr>
            </w:pPr>
          </w:p>
        </w:tc>
        <w:tc>
          <w:tcPr>
            <w:tcW w:w="880" w:type="dxa"/>
            <w:vAlign w:val="bottom"/>
            <w:tcBorders>
              <w:right w:val="single" w:sz="8" w:color="auto"/>
            </w:tcBorders>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INCOME</w:t>
            </w:r>
          </w:p>
        </w:tc>
        <w:tc>
          <w:tcPr>
            <w:tcW w:w="180" w:type="dxa"/>
            <w:vAlign w:val="bottom"/>
          </w:tcPr>
          <w:p>
            <w:pPr>
              <w:spacing w:after="0"/>
              <w:rPr>
                <w:sz w:val="16"/>
                <w:szCs w:val="16"/>
                <w:color w:val="auto"/>
              </w:rPr>
            </w:pPr>
          </w:p>
        </w:tc>
        <w:tc>
          <w:tcPr>
            <w:tcW w:w="140" w:type="dxa"/>
            <w:vAlign w:val="bottom"/>
            <w:tcBorders>
              <w:right w:val="single" w:sz="8" w:color="auto"/>
            </w:tcBorders>
            <w:gridSpan w:val="2"/>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color w:val="auto"/>
              </w:rPr>
              <w:t>EXPENSES</w:t>
            </w:r>
          </w:p>
        </w:tc>
        <w:tc>
          <w:tcPr>
            <w:tcW w:w="480" w:type="dxa"/>
            <w:vAlign w:val="bottom"/>
            <w:tcBorders>
              <w:right w:val="single" w:sz="8" w:color="auto"/>
            </w:tcBorders>
            <w:gridSpan w:val="3"/>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w w:val="94"/>
              </w:rPr>
              <w:t>CAPITAL</w:t>
            </w:r>
          </w:p>
        </w:tc>
        <w:tc>
          <w:tcPr>
            <w:tcW w:w="580" w:type="dxa"/>
            <w:vAlign w:val="bottom"/>
            <w:tcBorders>
              <w:right w:val="single" w:sz="8" w:color="auto"/>
            </w:tcBorders>
            <w:gridSpan w:val="2"/>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right w:val="single" w:sz="8" w:color="auto"/>
            </w:tcBorders>
            <w:gridSpan w:val="14"/>
          </w:tcPr>
          <w:p>
            <w:pPr>
              <w:spacing w:after="0" w:line="189" w:lineRule="exact"/>
              <w:rPr>
                <w:sz w:val="20"/>
                <w:szCs w:val="20"/>
                <w:color w:val="auto"/>
              </w:rPr>
            </w:pPr>
            <w:r>
              <w:rPr>
                <w:rFonts w:ascii="Times New Roman" w:cs="Times New Roman" w:eastAsia="Times New Roman" w:hAnsi="Times New Roman"/>
                <w:sz w:val="17"/>
                <w:szCs w:val="17"/>
                <w:color w:val="4472C4"/>
              </w:rPr>
              <w:t>1% (FOR</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40" w:type="dxa"/>
            <w:vAlign w:val="bottom"/>
            <w:gridSpan w:val="4"/>
          </w:tcPr>
          <w:p>
            <w:pPr>
              <w:ind w:left="80"/>
              <w:spacing w:after="0" w:line="189" w:lineRule="exact"/>
              <w:rPr>
                <w:sz w:val="20"/>
                <w:szCs w:val="20"/>
                <w:color w:val="auto"/>
              </w:rPr>
            </w:pPr>
            <w:r>
              <w:rPr>
                <w:rFonts w:ascii="Times New Roman" w:cs="Times New Roman" w:eastAsia="Times New Roman" w:hAnsi="Times New Roman"/>
                <w:sz w:val="17"/>
                <w:szCs w:val="17"/>
                <w:color w:val="auto"/>
              </w:rPr>
              <w:t>NOI</w:t>
            </w:r>
          </w:p>
        </w:tc>
        <w:tc>
          <w:tcPr>
            <w:tcW w:w="0" w:type="dxa"/>
            <w:vAlign w:val="bottom"/>
          </w:tcPr>
          <w:p>
            <w:pPr>
              <w:spacing w:after="0"/>
              <w:rPr>
                <w:sz w:val="1"/>
                <w:szCs w:val="1"/>
                <w:color w:val="auto"/>
              </w:rPr>
            </w:pPr>
          </w:p>
        </w:tc>
      </w:tr>
      <w:tr>
        <w:trPr>
          <w:trHeight w:val="20"/>
        </w:trPr>
        <w:tc>
          <w:tcPr>
            <w:tcW w:w="1120" w:type="dxa"/>
            <w:vAlign w:val="bottom"/>
            <w:tcBorders>
              <w:left w:val="single" w:sz="8" w:color="auto"/>
              <w:right w:val="single" w:sz="8" w:color="auto"/>
            </w:tcBorders>
            <w:gridSpan w:val="4"/>
          </w:tcPr>
          <w:p>
            <w:pPr>
              <w:spacing w:after="0" w:line="20" w:lineRule="exact"/>
              <w:rPr>
                <w:sz w:val="1"/>
                <w:szCs w:val="1"/>
                <w:color w:val="auto"/>
              </w:rPr>
            </w:pPr>
          </w:p>
        </w:tc>
        <w:tc>
          <w:tcPr>
            <w:tcW w:w="1080" w:type="dxa"/>
            <w:vAlign w:val="bottom"/>
            <w:tcBorders>
              <w:right w:val="single" w:sz="8" w:color="auto"/>
            </w:tcBorders>
            <w:gridSpan w:val="5"/>
          </w:tcPr>
          <w:p>
            <w:pPr>
              <w:spacing w:after="0" w:line="20" w:lineRule="exact"/>
              <w:rPr>
                <w:sz w:val="1"/>
                <w:szCs w:val="1"/>
                <w:color w:val="auto"/>
              </w:rPr>
            </w:pPr>
          </w:p>
        </w:tc>
        <w:tc>
          <w:tcPr>
            <w:tcW w:w="740" w:type="dxa"/>
            <w:vAlign w:val="bottom"/>
            <w:tcBorders>
              <w:right w:val="single" w:sz="8" w:color="auto"/>
            </w:tcBorders>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00" w:type="dxa"/>
            <w:vAlign w:val="bottom"/>
            <w:tcBorders>
              <w:left w:val="single" w:sz="8" w:color="auto"/>
              <w:right w:val="single" w:sz="8" w:color="auto"/>
            </w:tcBorders>
            <w:gridSpan w:val="6"/>
            <w:shd w:val="clear" w:color="auto" w:fill="000000"/>
          </w:tcPr>
          <w:p>
            <w:pPr>
              <w:spacing w:after="0" w:line="20" w:lineRule="exact"/>
              <w:rPr>
                <w:sz w:val="1"/>
                <w:szCs w:val="1"/>
                <w:color w:val="auto"/>
              </w:rPr>
            </w:pPr>
          </w:p>
        </w:tc>
        <w:tc>
          <w:tcPr>
            <w:tcW w:w="760" w:type="dxa"/>
            <w:vAlign w:val="bottom"/>
            <w:tcBorders>
              <w:right w:val="single" w:sz="8" w:color="auto"/>
            </w:tcBorders>
            <w:gridSpan w:val="4"/>
          </w:tcPr>
          <w:p>
            <w:pPr>
              <w:spacing w:after="0" w:line="20" w:lineRule="exact"/>
              <w:rPr>
                <w:sz w:val="1"/>
                <w:szCs w:val="1"/>
                <w:color w:val="auto"/>
              </w:rPr>
            </w:pPr>
          </w:p>
        </w:tc>
        <w:tc>
          <w:tcPr>
            <w:tcW w:w="1380" w:type="dxa"/>
            <w:vAlign w:val="bottom"/>
            <w:tcBorders>
              <w:right w:val="single" w:sz="8" w:color="auto"/>
            </w:tcBorders>
            <w:gridSpan w:val="4"/>
          </w:tcPr>
          <w:p>
            <w:pPr>
              <w:spacing w:after="0" w:line="20" w:lineRule="exact"/>
              <w:rPr>
                <w:sz w:val="1"/>
                <w:szCs w:val="1"/>
                <w:color w:val="auto"/>
              </w:rPr>
            </w:pPr>
          </w:p>
        </w:tc>
        <w:tc>
          <w:tcPr>
            <w:tcW w:w="760" w:type="dxa"/>
            <w:vAlign w:val="bottom"/>
            <w:tcBorders>
              <w:right w:val="single" w:sz="8" w:color="auto"/>
            </w:tcBorders>
            <w:gridSpan w:val="3"/>
          </w:tcPr>
          <w:p>
            <w:pPr>
              <w:spacing w:after="0" w:line="20" w:lineRule="exact"/>
              <w:rPr>
                <w:sz w:val="1"/>
                <w:szCs w:val="1"/>
                <w:color w:val="auto"/>
              </w:rPr>
            </w:pPr>
          </w:p>
        </w:tc>
        <w:tc>
          <w:tcPr>
            <w:tcW w:w="620" w:type="dxa"/>
            <w:vAlign w:val="bottom"/>
            <w:tcBorders>
              <w:right w:val="single" w:sz="8" w:color="4472C4"/>
            </w:tcBorders>
            <w:gridSpan w:val="5"/>
          </w:tcPr>
          <w:p>
            <w:pPr>
              <w:spacing w:after="0" w:line="20" w:lineRule="exact"/>
              <w:rPr>
                <w:sz w:val="1"/>
                <w:szCs w:val="1"/>
                <w:color w:val="auto"/>
              </w:rPr>
            </w:pPr>
          </w:p>
        </w:tc>
        <w:tc>
          <w:tcPr>
            <w:tcW w:w="140" w:type="dxa"/>
            <w:vAlign w:val="bottom"/>
            <w:tcBorders>
              <w:right w:val="single" w:sz="8" w:color="4472C4"/>
            </w:tcBorders>
            <w:gridSpan w:val="2"/>
            <w:shd w:val="clear" w:color="auto" w:fill="4472C4"/>
          </w:tcPr>
          <w:p>
            <w:pPr>
              <w:spacing w:after="0" w:line="20" w:lineRule="exact"/>
              <w:rPr>
                <w:sz w:val="1"/>
                <w:szCs w:val="1"/>
                <w:color w:val="auto"/>
              </w:rPr>
            </w:pPr>
          </w:p>
        </w:tc>
        <w:tc>
          <w:tcPr>
            <w:tcW w:w="700" w:type="dxa"/>
            <w:vAlign w:val="bottom"/>
            <w:tcBorders>
              <w:right w:val="single" w:sz="8" w:color="auto"/>
            </w:tcBorders>
            <w:gridSpan w:val="8"/>
          </w:tcPr>
          <w:p>
            <w:pPr>
              <w:spacing w:after="0" w:line="20" w:lineRule="exact"/>
              <w:rPr>
                <w:sz w:val="1"/>
                <w:szCs w:val="1"/>
                <w:color w:val="auto"/>
              </w:rPr>
            </w:pPr>
          </w:p>
        </w:tc>
        <w:tc>
          <w:tcPr>
            <w:tcW w:w="880" w:type="dxa"/>
            <w:vAlign w:val="bottom"/>
            <w:tcBorders>
              <w:right w:val="single" w:sz="8" w:color="auto"/>
            </w:tcBorders>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5"/>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(WITHOUT</w:t>
            </w:r>
          </w:p>
        </w:tc>
        <w:tc>
          <w:tcPr>
            <w:tcW w:w="480" w:type="dxa"/>
            <w:vAlign w:val="bottom"/>
            <w:tcBorders>
              <w:right w:val="single" w:sz="8" w:color="auto"/>
            </w:tcBorders>
            <w:gridSpan w:val="3"/>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right w:val="single" w:sz="8" w:color="auto"/>
            </w:tcBorders>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EXPENDITURE</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4472C4"/>
            </w:tcBorders>
          </w:tcPr>
          <w:p>
            <w:pPr>
              <w:spacing w:after="0" w:line="20" w:lineRule="exact"/>
              <w:rPr>
                <w:sz w:val="1"/>
                <w:szCs w:val="1"/>
                <w:color w:val="auto"/>
              </w:rPr>
            </w:pPr>
          </w:p>
        </w:tc>
        <w:tc>
          <w:tcPr>
            <w:tcW w:w="160" w:type="dxa"/>
            <w:vAlign w:val="bottom"/>
            <w:tcBorders>
              <w:bottom w:val="single" w:sz="8" w:color="4472C4"/>
            </w:tcBorders>
          </w:tcPr>
          <w:p>
            <w:pPr>
              <w:spacing w:after="0" w:line="20" w:lineRule="exact"/>
              <w:rPr>
                <w:sz w:val="1"/>
                <w:szCs w:val="1"/>
                <w:color w:val="auto"/>
              </w:rPr>
            </w:pPr>
          </w:p>
        </w:tc>
        <w:tc>
          <w:tcPr>
            <w:tcW w:w="140" w:type="dxa"/>
            <w:vAlign w:val="bottom"/>
            <w:tcBorders>
              <w:bottom w:val="single" w:sz="8" w:color="4472C4"/>
            </w:tcBorders>
          </w:tcPr>
          <w:p>
            <w:pPr>
              <w:spacing w:after="0" w:line="20" w:lineRule="exact"/>
              <w:rPr>
                <w:sz w:val="1"/>
                <w:szCs w:val="1"/>
                <w:color w:val="auto"/>
              </w:rPr>
            </w:pPr>
          </w:p>
        </w:tc>
        <w:tc>
          <w:tcPr>
            <w:tcW w:w="40" w:type="dxa"/>
            <w:vAlign w:val="bottom"/>
            <w:tcBorders>
              <w:bottom w:val="single" w:sz="8" w:color="4472C4"/>
            </w:tcBorders>
          </w:tcPr>
          <w:p>
            <w:pPr>
              <w:spacing w:after="0" w:line="20" w:lineRule="exact"/>
              <w:rPr>
                <w:sz w:val="1"/>
                <w:szCs w:val="1"/>
                <w:color w:val="auto"/>
              </w:rPr>
            </w:pPr>
          </w:p>
        </w:tc>
        <w:tc>
          <w:tcPr>
            <w:tcW w:w="100" w:type="dxa"/>
            <w:vAlign w:val="bottom"/>
            <w:tcBorders>
              <w:bottom w:val="single" w:sz="8" w:color="4472C4"/>
            </w:tcBorders>
          </w:tcPr>
          <w:p>
            <w:pPr>
              <w:spacing w:after="0" w:line="20" w:lineRule="exact"/>
              <w:rPr>
                <w:sz w:val="1"/>
                <w:szCs w:val="1"/>
                <w:color w:val="auto"/>
              </w:rPr>
            </w:pPr>
          </w:p>
        </w:tc>
        <w:tc>
          <w:tcPr>
            <w:tcW w:w="700" w:type="dxa"/>
            <w:vAlign w:val="bottom"/>
            <w:tcBorders>
              <w:right w:val="single" w:sz="8" w:color="auto"/>
            </w:tcBorders>
            <w:gridSpan w:val="8"/>
            <w:vMerge w:val="restart"/>
          </w:tcPr>
          <w:p>
            <w:pPr>
              <w:spacing w:after="0" w:line="189" w:lineRule="exact"/>
              <w:rPr>
                <w:sz w:val="20"/>
                <w:szCs w:val="20"/>
                <w:color w:val="auto"/>
              </w:rPr>
            </w:pPr>
            <w:r>
              <w:rPr>
                <w:rFonts w:ascii="Times New Roman" w:cs="Times New Roman" w:eastAsia="Times New Roman" w:hAnsi="Times New Roman"/>
                <w:sz w:val="17"/>
                <w:szCs w:val="17"/>
                <w:color w:val="4472C4"/>
              </w:rPr>
              <w:t>NET</w:t>
            </w: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480" w:type="dxa"/>
            <w:vAlign w:val="bottom"/>
            <w:tcBorders>
              <w:right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60" w:type="dxa"/>
            <w:vAlign w:val="bottom"/>
            <w:gridSpan w:val="5"/>
          </w:tcPr>
          <w:p>
            <w:pPr>
              <w:spacing w:after="0" w:line="149" w:lineRule="exact"/>
              <w:rPr>
                <w:sz w:val="20"/>
                <w:szCs w:val="20"/>
                <w:color w:val="auto"/>
              </w:rPr>
            </w:pPr>
            <w:r>
              <w:rPr>
                <w:rFonts w:ascii="Times New Roman" w:cs="Times New Roman" w:eastAsia="Times New Roman" w:hAnsi="Times New Roman"/>
                <w:sz w:val="17"/>
                <w:szCs w:val="17"/>
                <w:color w:val="4472C4"/>
              </w:rPr>
              <w:t>RETAIL</w:t>
            </w:r>
          </w:p>
        </w:tc>
        <w:tc>
          <w:tcPr>
            <w:tcW w:w="700" w:type="dxa"/>
            <w:vAlign w:val="bottom"/>
            <w:tcBorders>
              <w:right w:val="single" w:sz="8" w:color="auto"/>
            </w:tcBorders>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5"/>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CAP. EX.</w:t>
            </w:r>
          </w:p>
        </w:tc>
        <w:tc>
          <w:tcPr>
            <w:tcW w:w="480" w:type="dxa"/>
            <w:vAlign w:val="bottom"/>
            <w:tcBorders>
              <w:right w:val="single" w:sz="8" w:color="auto"/>
            </w:tcBorders>
            <w:gridSpan w:val="3"/>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RESERVE</w:t>
            </w:r>
          </w:p>
        </w:tc>
        <w:tc>
          <w:tcPr>
            <w:tcW w:w="120" w:type="dxa"/>
            <w:vAlign w:val="bottom"/>
            <w:tcBorders>
              <w:right w:val="single" w:sz="8" w:color="auto"/>
            </w:tcBorders>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160" w:type="dxa"/>
            <w:vAlign w:val="bottom"/>
            <w:tcBorders>
              <w:top w:val="single" w:sz="8" w:color="4472C4"/>
              <w:bottom w:val="single" w:sz="8" w:color="4472C4"/>
            </w:tcBorders>
          </w:tcPr>
          <w:p>
            <w:pPr>
              <w:spacing w:after="0" w:line="20" w:lineRule="exact"/>
              <w:rPr>
                <w:sz w:val="1"/>
                <w:szCs w:val="1"/>
                <w:color w:val="auto"/>
              </w:rPr>
            </w:pPr>
          </w:p>
        </w:tc>
        <w:tc>
          <w:tcPr>
            <w:tcW w:w="1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1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480" w:type="dxa"/>
            <w:vAlign w:val="bottom"/>
            <w:tcBorders>
              <w:right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60" w:type="dxa"/>
            <w:vAlign w:val="bottom"/>
            <w:gridSpan w:val="8"/>
          </w:tcPr>
          <w:p>
            <w:pPr>
              <w:spacing w:after="0" w:line="149" w:lineRule="exact"/>
              <w:rPr>
                <w:sz w:val="20"/>
                <w:szCs w:val="20"/>
                <w:color w:val="auto"/>
              </w:rPr>
            </w:pPr>
            <w:r>
              <w:rPr>
                <w:rFonts w:ascii="Times New Roman" w:cs="Times New Roman" w:eastAsia="Times New Roman" w:hAnsi="Times New Roman"/>
                <w:sz w:val="17"/>
                <w:szCs w:val="17"/>
                <w:color w:val="4472C4"/>
              </w:rPr>
              <w:t>LEASE</w:t>
            </w: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4472C4"/>
          </w:tcPr>
          <w:p>
            <w:pPr>
              <w:spacing w:after="0" w:line="20" w:lineRule="exact"/>
              <w:rPr>
                <w:sz w:val="1"/>
                <w:szCs w:val="1"/>
                <w:color w:val="auto"/>
              </w:rPr>
            </w:pPr>
          </w:p>
        </w:tc>
        <w:tc>
          <w:tcPr>
            <w:tcW w:w="160" w:type="dxa"/>
            <w:vAlign w:val="bottom"/>
            <w:shd w:val="clear" w:color="auto" w:fill="4472C4"/>
          </w:tcPr>
          <w:p>
            <w:pPr>
              <w:spacing w:after="0" w:line="20" w:lineRule="exact"/>
              <w:rPr>
                <w:sz w:val="1"/>
                <w:szCs w:val="1"/>
                <w:color w:val="auto"/>
              </w:rPr>
            </w:pPr>
          </w:p>
        </w:tc>
        <w:tc>
          <w:tcPr>
            <w:tcW w:w="140" w:type="dxa"/>
            <w:vAlign w:val="bottom"/>
            <w:tcBorders>
              <w:right w:val="single" w:sz="8" w:color="4472C4"/>
            </w:tcBorders>
            <w:shd w:val="clear" w:color="auto" w:fill="4472C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6"/>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RESERVE OR</w:t>
            </w:r>
          </w:p>
        </w:tc>
        <w:tc>
          <w:tcPr>
            <w:tcW w:w="320" w:type="dxa"/>
            <w:vAlign w:val="bottom"/>
            <w:tcBorders>
              <w:right w:val="single" w:sz="8" w:color="auto"/>
            </w:tcBorders>
            <w:gridSpan w:val="2"/>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4472C4"/>
            </w:tcBorders>
          </w:tcPr>
          <w:p>
            <w:pPr>
              <w:spacing w:after="0" w:line="20" w:lineRule="exact"/>
              <w:rPr>
                <w:sz w:val="1"/>
                <w:szCs w:val="1"/>
                <w:color w:val="auto"/>
              </w:rPr>
            </w:pPr>
          </w:p>
        </w:tc>
        <w:tc>
          <w:tcPr>
            <w:tcW w:w="160" w:type="dxa"/>
            <w:vAlign w:val="bottom"/>
            <w:tcBorders>
              <w:bottom w:val="single" w:sz="8" w:color="4472C4"/>
            </w:tcBorders>
          </w:tcPr>
          <w:p>
            <w:pPr>
              <w:spacing w:after="0" w:line="20" w:lineRule="exact"/>
              <w:rPr>
                <w:sz w:val="1"/>
                <w:szCs w:val="1"/>
                <w:color w:val="auto"/>
              </w:rPr>
            </w:pPr>
          </w:p>
        </w:tc>
        <w:tc>
          <w:tcPr>
            <w:tcW w:w="140" w:type="dxa"/>
            <w:vAlign w:val="bottom"/>
            <w:tcBorders>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gridSpan w:val="6"/>
            <w:vMerge w:val="continue"/>
          </w:tcPr>
          <w:p>
            <w:pPr>
              <w:spacing w:after="0"/>
              <w:rPr>
                <w:sz w:val="12"/>
                <w:szCs w:val="12"/>
                <w:color w:val="auto"/>
              </w:rPr>
            </w:pPr>
          </w:p>
        </w:tc>
        <w:tc>
          <w:tcPr>
            <w:tcW w:w="32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60" w:type="dxa"/>
            <w:vAlign w:val="bottom"/>
            <w:tcBorders>
              <w:bottom w:val="single" w:sz="8" w:color="4472C4"/>
            </w:tcBorders>
            <w:gridSpan w:val="11"/>
          </w:tcPr>
          <w:p>
            <w:pPr>
              <w:spacing w:after="0" w:line="149" w:lineRule="exact"/>
              <w:rPr>
                <w:sz w:val="20"/>
                <w:szCs w:val="20"/>
                <w:color w:val="auto"/>
              </w:rPr>
            </w:pPr>
            <w:r>
              <w:rPr>
                <w:rFonts w:ascii="Times New Roman" w:cs="Times New Roman" w:eastAsia="Times New Roman" w:hAnsi="Times New Roman"/>
                <w:sz w:val="17"/>
                <w:szCs w:val="17"/>
                <w:color w:val="4472C4"/>
                <w:w w:val="98"/>
              </w:rPr>
              <w:t>PROPERTIES)</w:t>
            </w:r>
          </w:p>
        </w:tc>
        <w:tc>
          <w:tcPr>
            <w:tcW w:w="300" w:type="dxa"/>
            <w:vAlign w:val="bottom"/>
            <w:tcBorders>
              <w:right w:val="single" w:sz="8" w:color="auto"/>
            </w:tcBorders>
            <w:gridSpan w:val="2"/>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right w:val="single" w:sz="8" w:color="auto"/>
            </w:tcBorders>
            <w:gridSpan w:val="8"/>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MANAGEMENT</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4472C4"/>
            </w:tcBorders>
          </w:tcPr>
          <w:p>
            <w:pPr>
              <w:spacing w:after="0" w:line="20" w:lineRule="exact"/>
              <w:rPr>
                <w:sz w:val="1"/>
                <w:szCs w:val="1"/>
                <w:color w:val="auto"/>
              </w:rPr>
            </w:pPr>
          </w:p>
        </w:tc>
        <w:tc>
          <w:tcPr>
            <w:tcW w:w="160" w:type="dxa"/>
            <w:vAlign w:val="bottom"/>
            <w:tcBorders>
              <w:bottom w:val="single" w:sz="8" w:color="4472C4"/>
            </w:tcBorders>
          </w:tcPr>
          <w:p>
            <w:pPr>
              <w:spacing w:after="0" w:line="20" w:lineRule="exact"/>
              <w:rPr>
                <w:sz w:val="1"/>
                <w:szCs w:val="1"/>
                <w:color w:val="auto"/>
              </w:rPr>
            </w:pPr>
          </w:p>
        </w:tc>
        <w:tc>
          <w:tcPr>
            <w:tcW w:w="140" w:type="dxa"/>
            <w:vAlign w:val="bottom"/>
            <w:tcBorders>
              <w:bottom w:val="single" w:sz="8" w:color="4472C4"/>
            </w:tcBorders>
          </w:tcPr>
          <w:p>
            <w:pPr>
              <w:spacing w:after="0" w:line="20" w:lineRule="exact"/>
              <w:rPr>
                <w:sz w:val="1"/>
                <w:szCs w:val="1"/>
                <w:color w:val="auto"/>
              </w:rPr>
            </w:pPr>
          </w:p>
        </w:tc>
        <w:tc>
          <w:tcPr>
            <w:tcW w:w="40" w:type="dxa"/>
            <w:vAlign w:val="bottom"/>
            <w:tcBorders>
              <w:bottom w:val="single" w:sz="8" w:color="4472C4"/>
            </w:tcBorders>
          </w:tcPr>
          <w:p>
            <w:pPr>
              <w:spacing w:after="0" w:line="20" w:lineRule="exact"/>
              <w:rPr>
                <w:sz w:val="1"/>
                <w:szCs w:val="1"/>
                <w:color w:val="auto"/>
              </w:rPr>
            </w:pPr>
          </w:p>
        </w:tc>
        <w:tc>
          <w:tcPr>
            <w:tcW w:w="100" w:type="dxa"/>
            <w:vAlign w:val="bottom"/>
            <w:tcBorders>
              <w:bottom w:val="single" w:sz="8" w:color="4472C4"/>
            </w:tcBorders>
          </w:tcPr>
          <w:p>
            <w:pPr>
              <w:spacing w:after="0" w:line="20" w:lineRule="exact"/>
              <w:rPr>
                <w:sz w:val="1"/>
                <w:szCs w:val="1"/>
                <w:color w:val="auto"/>
              </w:rPr>
            </w:pPr>
          </w:p>
        </w:tc>
        <w:tc>
          <w:tcPr>
            <w:tcW w:w="100" w:type="dxa"/>
            <w:vAlign w:val="bottom"/>
            <w:tcBorders>
              <w:bottom w:val="single" w:sz="8" w:color="4472C4"/>
            </w:tcBorders>
          </w:tcPr>
          <w:p>
            <w:pPr>
              <w:spacing w:after="0" w:line="20" w:lineRule="exact"/>
              <w:rPr>
                <w:sz w:val="1"/>
                <w:szCs w:val="1"/>
                <w:color w:val="auto"/>
              </w:rPr>
            </w:pPr>
          </w:p>
        </w:tc>
        <w:tc>
          <w:tcPr>
            <w:tcW w:w="160" w:type="dxa"/>
            <w:vAlign w:val="bottom"/>
            <w:tcBorders>
              <w:bottom w:val="single" w:sz="8" w:color="4472C4"/>
            </w:tcBorders>
          </w:tcPr>
          <w:p>
            <w:pPr>
              <w:spacing w:after="0" w:line="20" w:lineRule="exact"/>
              <w:rPr>
                <w:sz w:val="1"/>
                <w:szCs w:val="1"/>
                <w:color w:val="auto"/>
              </w:rPr>
            </w:pPr>
          </w:p>
        </w:tc>
        <w:tc>
          <w:tcPr>
            <w:tcW w:w="60" w:type="dxa"/>
            <w:vAlign w:val="bottom"/>
            <w:tcBorders>
              <w:bottom w:val="single" w:sz="8" w:color="4472C4"/>
            </w:tcBorders>
            <w:gridSpan w:val="2"/>
          </w:tcPr>
          <w:p>
            <w:pPr>
              <w:spacing w:after="0" w:line="20" w:lineRule="exact"/>
              <w:rPr>
                <w:sz w:val="1"/>
                <w:szCs w:val="1"/>
                <w:color w:val="auto"/>
              </w:rPr>
            </w:pPr>
          </w:p>
        </w:tc>
        <w:tc>
          <w:tcPr>
            <w:tcW w:w="60" w:type="dxa"/>
            <w:vAlign w:val="bottom"/>
            <w:tcBorders>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right w:val="single" w:sz="8" w:color="auto"/>
            </w:tcBorders>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60" w:type="dxa"/>
            <w:vAlign w:val="bottom"/>
            <w:gridSpan w:val="11"/>
          </w:tcPr>
          <w:p>
            <w:pPr>
              <w:spacing w:after="0" w:line="149" w:lineRule="exact"/>
              <w:rPr>
                <w:sz w:val="20"/>
                <w:szCs w:val="20"/>
                <w:color w:val="auto"/>
              </w:rPr>
            </w:pPr>
            <w:r>
              <w:rPr>
                <w:rFonts w:ascii="Times New Roman" w:cs="Times New Roman" w:eastAsia="Times New Roman" w:hAnsi="Times New Roman"/>
                <w:sz w:val="17"/>
                <w:szCs w:val="17"/>
                <w:color w:val="4472C4"/>
              </w:rPr>
              <w:t xml:space="preserve">OR </w:t>
            </w:r>
            <w:r>
              <w:rPr>
                <w:rFonts w:ascii="Times New Roman" w:cs="Times New Roman" w:eastAsia="Times New Roman" w:hAnsi="Times New Roman"/>
                <w:sz w:val="17"/>
                <w:szCs w:val="17"/>
                <w:color w:val="000000"/>
              </w:rPr>
              <w:t>3% OF</w:t>
            </w:r>
          </w:p>
        </w:tc>
        <w:tc>
          <w:tcPr>
            <w:tcW w:w="180" w:type="dxa"/>
            <w:vAlign w:val="bottom"/>
            <w:vMerge w:val="continu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auto"/>
                <w:w w:val="96"/>
              </w:rPr>
              <w:t>FEES)</w:t>
            </w:r>
          </w:p>
        </w:tc>
        <w:tc>
          <w:tcPr>
            <w:tcW w:w="780" w:type="dxa"/>
            <w:vAlign w:val="bottom"/>
            <w:tcBorders>
              <w:top w:val="single" w:sz="8" w:color="auto"/>
              <w:bottom w:val="single" w:sz="8" w:color="auto"/>
            </w:tcBorders>
            <w:gridSpan w:val="5"/>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360" w:type="dxa"/>
            <w:vAlign w:val="bottom"/>
            <w:tcBorders>
              <w:right w:val="single" w:sz="8" w:color="auto"/>
            </w:tcBorders>
            <w:gridSpan w:val="13"/>
          </w:tcPr>
          <w:p>
            <w:pPr>
              <w:spacing w:after="0" w:line="149" w:lineRule="exact"/>
              <w:rPr>
                <w:sz w:val="20"/>
                <w:szCs w:val="20"/>
                <w:color w:val="auto"/>
              </w:rPr>
            </w:pPr>
            <w:r>
              <w:rPr>
                <w:rFonts w:ascii="Times New Roman" w:cs="Times New Roman" w:eastAsia="Times New Roman" w:hAnsi="Times New Roman"/>
                <w:sz w:val="17"/>
                <w:szCs w:val="17"/>
                <w:color w:val="auto"/>
              </w:rPr>
              <w:t xml:space="preserve">RENTS </w:t>
            </w:r>
            <w:r>
              <w:rPr>
                <w:rFonts w:ascii="Times New Roman" w:cs="Times New Roman" w:eastAsia="Times New Roman" w:hAnsi="Times New Roman"/>
                <w:sz w:val="17"/>
                <w:szCs w:val="17"/>
                <w:color w:val="4472C4"/>
              </w:rPr>
              <w:t>FOR</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auto"/>
              <w:right w:val="single" w:sz="8" w:color="auto"/>
            </w:tcBorders>
            <w:gridSpan w:val="4"/>
          </w:tcPr>
          <w:p>
            <w:pPr>
              <w:spacing w:after="0" w:line="20" w:lineRule="exact"/>
              <w:rPr>
                <w:sz w:val="1"/>
                <w:szCs w:val="1"/>
                <w:color w:val="auto"/>
              </w:rPr>
            </w:pPr>
          </w:p>
        </w:tc>
        <w:tc>
          <w:tcPr>
            <w:tcW w:w="1080" w:type="dxa"/>
            <w:vAlign w:val="bottom"/>
            <w:tcBorders>
              <w:right w:val="single" w:sz="8" w:color="auto"/>
            </w:tcBorders>
            <w:gridSpan w:val="5"/>
          </w:tcPr>
          <w:p>
            <w:pPr>
              <w:spacing w:after="0" w:line="20" w:lineRule="exact"/>
              <w:rPr>
                <w:sz w:val="1"/>
                <w:szCs w:val="1"/>
                <w:color w:val="auto"/>
              </w:rPr>
            </w:pPr>
          </w:p>
        </w:tc>
        <w:tc>
          <w:tcPr>
            <w:tcW w:w="740" w:type="dxa"/>
            <w:vAlign w:val="bottom"/>
            <w:tcBorders>
              <w:right w:val="single" w:sz="8" w:color="auto"/>
            </w:tcBorders>
            <w:gridSpan w:val="6"/>
          </w:tcPr>
          <w:p>
            <w:pPr>
              <w:spacing w:after="0" w:line="20" w:lineRule="exact"/>
              <w:rPr>
                <w:sz w:val="1"/>
                <w:szCs w:val="1"/>
                <w:color w:val="auto"/>
              </w:rPr>
            </w:pPr>
          </w:p>
        </w:tc>
        <w:tc>
          <w:tcPr>
            <w:tcW w:w="1460" w:type="dxa"/>
            <w:vAlign w:val="bottom"/>
            <w:tcBorders>
              <w:right w:val="single" w:sz="8" w:color="auto"/>
            </w:tcBorders>
            <w:gridSpan w:val="9"/>
          </w:tcPr>
          <w:p>
            <w:pPr>
              <w:spacing w:after="0" w:line="20" w:lineRule="exact"/>
              <w:rPr>
                <w:sz w:val="1"/>
                <w:szCs w:val="1"/>
                <w:color w:val="auto"/>
              </w:rPr>
            </w:pPr>
          </w:p>
        </w:tc>
        <w:tc>
          <w:tcPr>
            <w:tcW w:w="760" w:type="dxa"/>
            <w:vAlign w:val="bottom"/>
            <w:tcBorders>
              <w:right w:val="single" w:sz="8" w:color="auto"/>
            </w:tcBorders>
            <w:gridSpan w:val="4"/>
          </w:tcPr>
          <w:p>
            <w:pPr>
              <w:spacing w:after="0" w:line="20" w:lineRule="exact"/>
              <w:rPr>
                <w:sz w:val="1"/>
                <w:szCs w:val="1"/>
                <w:color w:val="auto"/>
              </w:rPr>
            </w:pPr>
          </w:p>
        </w:tc>
        <w:tc>
          <w:tcPr>
            <w:tcW w:w="1380" w:type="dxa"/>
            <w:vAlign w:val="bottom"/>
            <w:tcBorders>
              <w:right w:val="single" w:sz="8" w:color="auto"/>
            </w:tcBorders>
            <w:gridSpan w:val="4"/>
          </w:tcPr>
          <w:p>
            <w:pPr>
              <w:spacing w:after="0" w:line="20" w:lineRule="exact"/>
              <w:rPr>
                <w:sz w:val="1"/>
                <w:szCs w:val="1"/>
                <w:color w:val="auto"/>
              </w:rPr>
            </w:pPr>
          </w:p>
        </w:tc>
        <w:tc>
          <w:tcPr>
            <w:tcW w:w="760" w:type="dxa"/>
            <w:vAlign w:val="bottom"/>
            <w:tcBorders>
              <w:right w:val="single" w:sz="8" w:color="auto"/>
            </w:tcBorders>
            <w:gridSpan w:val="3"/>
          </w:tcPr>
          <w:p>
            <w:pPr>
              <w:spacing w:after="0" w:line="20" w:lineRule="exact"/>
              <w:rPr>
                <w:sz w:val="1"/>
                <w:szCs w:val="1"/>
                <w:color w:val="auto"/>
              </w:rPr>
            </w:pPr>
          </w:p>
        </w:tc>
        <w:tc>
          <w:tcPr>
            <w:tcW w:w="620" w:type="dxa"/>
            <w:vAlign w:val="bottom"/>
            <w:tcBorders>
              <w:right w:val="single" w:sz="8" w:color="auto"/>
            </w:tcBorders>
            <w:gridSpan w:val="5"/>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700" w:type="dxa"/>
            <w:vAlign w:val="bottom"/>
            <w:tcBorders>
              <w:right w:val="single" w:sz="8" w:color="auto"/>
            </w:tcBorders>
            <w:gridSpan w:val="8"/>
            <w:shd w:val="clear" w:color="auto" w:fill="4472C4"/>
          </w:tcPr>
          <w:p>
            <w:pPr>
              <w:spacing w:after="0" w:line="20" w:lineRule="exact"/>
              <w:rPr>
                <w:sz w:val="1"/>
                <w:szCs w:val="1"/>
                <w:color w:val="auto"/>
              </w:rPr>
            </w:pPr>
          </w:p>
        </w:tc>
        <w:tc>
          <w:tcPr>
            <w:tcW w:w="880" w:type="dxa"/>
            <w:vAlign w:val="bottom"/>
            <w:tcBorders>
              <w:right w:val="single" w:sz="8" w:color="auto"/>
            </w:tcBorders>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gridSpan w:val="6"/>
            <w:vMerge w:val="restart"/>
          </w:tcPr>
          <w:p>
            <w:pPr>
              <w:spacing w:after="0" w:line="189" w:lineRule="exact"/>
              <w:rPr>
                <w:sz w:val="20"/>
                <w:szCs w:val="20"/>
                <w:color w:val="auto"/>
              </w:rPr>
            </w:pPr>
            <w:r>
              <w:rPr>
                <w:rFonts w:ascii="Times New Roman" w:cs="Times New Roman" w:eastAsia="Times New Roman" w:hAnsi="Times New Roman"/>
                <w:sz w:val="17"/>
                <w:szCs w:val="17"/>
                <w:color w:val="4472C4"/>
              </w:rPr>
              <w:t>OTHER</w:t>
            </w:r>
          </w:p>
        </w:tc>
        <w:tc>
          <w:tcPr>
            <w:tcW w:w="260" w:type="dxa"/>
            <w:vAlign w:val="bottom"/>
            <w:tcBorders>
              <w:bottom w:val="single" w:sz="8" w:color="4472C4"/>
            </w:tcBorders>
            <w:gridSpan w:val="2"/>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vMerge w:val="continue"/>
          </w:tcPr>
          <w:p>
            <w:pPr>
              <w:spacing w:after="0"/>
              <w:rPr>
                <w:sz w:val="12"/>
                <w:szCs w:val="12"/>
                <w:color w:val="auto"/>
              </w:rPr>
            </w:pPr>
          </w:p>
        </w:tc>
        <w:tc>
          <w:tcPr>
            <w:tcW w:w="680" w:type="dxa"/>
            <w:vAlign w:val="bottom"/>
            <w:gridSpan w:val="6"/>
            <w:vMerge w:val="continue"/>
          </w:tcPr>
          <w:p>
            <w:pPr>
              <w:spacing w:after="0"/>
              <w:rPr>
                <w:sz w:val="12"/>
                <w:szCs w:val="12"/>
                <w:color w:val="auto"/>
              </w:rPr>
            </w:pPr>
          </w:p>
        </w:tc>
        <w:tc>
          <w:tcPr>
            <w:tcW w:w="260" w:type="dxa"/>
            <w:vAlign w:val="bottom"/>
            <w:gridSpan w:val="2"/>
          </w:tcPr>
          <w:p>
            <w:pPr>
              <w:spacing w:after="0"/>
              <w:rPr>
                <w:sz w:val="12"/>
                <w:szCs w:val="12"/>
                <w:color w:val="auto"/>
              </w:rPr>
            </w:pPr>
          </w:p>
        </w:tc>
        <w:tc>
          <w:tcPr>
            <w:tcW w:w="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tcBorders>
              <w:top w:val="single" w:sz="8" w:color="4472C4"/>
              <w:bottom w:val="single" w:sz="8" w:color="4472C4"/>
            </w:tcBorders>
            <w:gridSpan w:val="2"/>
          </w:tcPr>
          <w:p>
            <w:pPr>
              <w:spacing w:after="0" w:line="20" w:lineRule="exact"/>
              <w:rPr>
                <w:sz w:val="1"/>
                <w:szCs w:val="1"/>
                <w:color w:val="auto"/>
              </w:rPr>
            </w:pPr>
          </w:p>
        </w:tc>
        <w:tc>
          <w:tcPr>
            <w:tcW w:w="1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360" w:type="dxa"/>
            <w:vAlign w:val="bottom"/>
            <w:tcBorders>
              <w:right w:val="single" w:sz="8" w:color="auto"/>
            </w:tcBorders>
            <w:gridSpan w:val="13"/>
          </w:tcPr>
          <w:p>
            <w:pPr>
              <w:spacing w:after="0" w:line="149" w:lineRule="exact"/>
              <w:rPr>
                <w:sz w:val="20"/>
                <w:szCs w:val="20"/>
                <w:color w:val="auto"/>
              </w:rPr>
            </w:pPr>
            <w:r>
              <w:rPr>
                <w:rFonts w:ascii="Times New Roman" w:cs="Times New Roman" w:eastAsia="Times New Roman" w:hAnsi="Times New Roman"/>
                <w:sz w:val="17"/>
                <w:szCs w:val="17"/>
                <w:color w:val="4472C4"/>
              </w:rPr>
              <w:t>PROPERTIES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vMerge w:val="restart"/>
          </w:tcPr>
          <w:p>
            <w:pPr>
              <w:spacing w:after="0" w:line="20" w:lineRule="exact"/>
              <w:rPr>
                <w:sz w:val="1"/>
                <w:szCs w:val="1"/>
                <w:color w:val="auto"/>
              </w:rPr>
            </w:pPr>
          </w:p>
        </w:tc>
        <w:tc>
          <w:tcPr>
            <w:tcW w:w="380" w:type="dxa"/>
            <w:vAlign w:val="bottom"/>
            <w:tcBorders>
              <w:top w:val="single" w:sz="8" w:color="4472C4"/>
              <w:bottom w:val="single" w:sz="8" w:color="4472C4"/>
            </w:tcBorders>
            <w:gridSpan w:val="2"/>
          </w:tcPr>
          <w:p>
            <w:pPr>
              <w:spacing w:after="0" w:line="20" w:lineRule="exact"/>
              <w:rPr>
                <w:sz w:val="1"/>
                <w:szCs w:val="1"/>
                <w:color w:val="auto"/>
              </w:rPr>
            </w:pPr>
          </w:p>
        </w:tc>
        <w:tc>
          <w:tcPr>
            <w:tcW w:w="140" w:type="dxa"/>
            <w:vAlign w:val="bottom"/>
            <w:tcBorders>
              <w:top w:val="single" w:sz="8" w:color="4472C4"/>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6"/>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gridSpan w:val="9"/>
          </w:tcPr>
          <w:p>
            <w:pPr>
              <w:spacing w:after="0" w:line="149" w:lineRule="exact"/>
              <w:rPr>
                <w:sz w:val="20"/>
                <w:szCs w:val="20"/>
                <w:color w:val="auto"/>
              </w:rPr>
            </w:pPr>
            <w:r>
              <w:rPr>
                <w:rFonts w:ascii="Times New Roman" w:cs="Times New Roman" w:eastAsia="Times New Roman" w:hAnsi="Times New Roman"/>
                <w:sz w:val="17"/>
                <w:szCs w:val="17"/>
                <w:color w:val="auto"/>
                <w:w w:val="99"/>
              </w:rPr>
              <w:t>OR ACTUAL</w:t>
            </w:r>
          </w:p>
        </w:tc>
        <w:tc>
          <w:tcPr>
            <w:tcW w:w="6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bottom w:val="single" w:sz="8" w:color="auto"/>
            </w:tcBorders>
            <w:gridSpan w:val="13"/>
          </w:tcPr>
          <w:p>
            <w:pPr>
              <w:spacing w:after="0" w:line="189" w:lineRule="exact"/>
              <w:rPr>
                <w:sz w:val="20"/>
                <w:szCs w:val="20"/>
                <w:color w:val="auto"/>
              </w:rPr>
            </w:pPr>
            <w:r>
              <w:rPr>
                <w:rFonts w:ascii="Times New Roman" w:cs="Times New Roman" w:eastAsia="Times New Roman" w:hAnsi="Times New Roman"/>
                <w:sz w:val="17"/>
                <w:szCs w:val="17"/>
                <w:color w:val="auto"/>
              </w:rPr>
              <w:t>MANAGEMENT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right w:val="single" w:sz="8" w:color="auto"/>
            </w:tcBorders>
            <w:gridSpan w:val="14"/>
          </w:tcPr>
          <w:p>
            <w:pPr>
              <w:spacing w:after="0" w:line="189" w:lineRule="exact"/>
              <w:rPr>
                <w:sz w:val="20"/>
                <w:szCs w:val="20"/>
                <w:color w:val="auto"/>
              </w:rPr>
            </w:pPr>
            <w:r>
              <w:rPr>
                <w:rFonts w:ascii="Times New Roman" w:cs="Times New Roman" w:eastAsia="Times New Roman" w:hAnsi="Times New Roman"/>
                <w:sz w:val="17"/>
                <w:szCs w:val="17"/>
                <w:color w:val="auto"/>
              </w:rPr>
              <w:t>FEES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auto"/>
              <w:bottom w:val="single" w:sz="8" w:color="auto"/>
              <w:right w:val="single" w:sz="8" w:color="auto"/>
            </w:tcBorders>
            <w:gridSpan w:val="4"/>
          </w:tcPr>
          <w:p>
            <w:pPr>
              <w:spacing w:after="0" w:line="20" w:lineRule="exact"/>
              <w:rPr>
                <w:sz w:val="1"/>
                <w:szCs w:val="1"/>
                <w:color w:val="auto"/>
              </w:rPr>
            </w:pPr>
          </w:p>
        </w:tc>
        <w:tc>
          <w:tcPr>
            <w:tcW w:w="1080" w:type="dxa"/>
            <w:vAlign w:val="bottom"/>
            <w:tcBorders>
              <w:bottom w:val="single" w:sz="8" w:color="auto"/>
              <w:right w:val="single" w:sz="8" w:color="auto"/>
            </w:tcBorders>
            <w:gridSpan w:val="5"/>
          </w:tcPr>
          <w:p>
            <w:pPr>
              <w:spacing w:after="0" w:line="20" w:lineRule="exact"/>
              <w:rPr>
                <w:sz w:val="1"/>
                <w:szCs w:val="1"/>
                <w:color w:val="auto"/>
              </w:rPr>
            </w:pPr>
          </w:p>
        </w:tc>
        <w:tc>
          <w:tcPr>
            <w:tcW w:w="740" w:type="dxa"/>
            <w:vAlign w:val="bottom"/>
            <w:tcBorders>
              <w:bottom w:val="single" w:sz="8" w:color="auto"/>
              <w:right w:val="single" w:sz="8" w:color="auto"/>
            </w:tcBorders>
            <w:gridSpan w:val="6"/>
          </w:tcPr>
          <w:p>
            <w:pPr>
              <w:spacing w:after="0" w:line="20" w:lineRule="exact"/>
              <w:rPr>
                <w:sz w:val="1"/>
                <w:szCs w:val="1"/>
                <w:color w:val="auto"/>
              </w:rPr>
            </w:pPr>
          </w:p>
        </w:tc>
        <w:tc>
          <w:tcPr>
            <w:tcW w:w="1460" w:type="dxa"/>
            <w:vAlign w:val="bottom"/>
            <w:tcBorders>
              <w:bottom w:val="single" w:sz="8" w:color="auto"/>
              <w:right w:val="single" w:sz="8" w:color="auto"/>
            </w:tcBorders>
            <w:gridSpan w:val="9"/>
          </w:tcPr>
          <w:p>
            <w:pPr>
              <w:spacing w:after="0" w:line="20" w:lineRule="exact"/>
              <w:rPr>
                <w:sz w:val="1"/>
                <w:szCs w:val="1"/>
                <w:color w:val="auto"/>
              </w:rPr>
            </w:pPr>
          </w:p>
        </w:tc>
        <w:tc>
          <w:tcPr>
            <w:tcW w:w="760" w:type="dxa"/>
            <w:vAlign w:val="bottom"/>
            <w:tcBorders>
              <w:bottom w:val="single" w:sz="8" w:color="auto"/>
              <w:right w:val="single" w:sz="8" w:color="auto"/>
            </w:tcBorders>
            <w:gridSpan w:val="4"/>
          </w:tcPr>
          <w:p>
            <w:pPr>
              <w:spacing w:after="0" w:line="20" w:lineRule="exact"/>
              <w:rPr>
                <w:sz w:val="1"/>
                <w:szCs w:val="1"/>
                <w:color w:val="auto"/>
              </w:rPr>
            </w:pPr>
          </w:p>
        </w:tc>
        <w:tc>
          <w:tcPr>
            <w:tcW w:w="1380" w:type="dxa"/>
            <w:vAlign w:val="bottom"/>
            <w:tcBorders>
              <w:bottom w:val="single" w:sz="8" w:color="auto"/>
              <w:right w:val="single" w:sz="8" w:color="auto"/>
            </w:tcBorders>
            <w:gridSpan w:val="4"/>
          </w:tcPr>
          <w:p>
            <w:pPr>
              <w:spacing w:after="0" w:line="20" w:lineRule="exact"/>
              <w:rPr>
                <w:sz w:val="1"/>
                <w:szCs w:val="1"/>
                <w:color w:val="auto"/>
              </w:rPr>
            </w:pPr>
          </w:p>
        </w:tc>
        <w:tc>
          <w:tcPr>
            <w:tcW w:w="760" w:type="dxa"/>
            <w:vAlign w:val="bottom"/>
            <w:tcBorders>
              <w:bottom w:val="single" w:sz="8" w:color="auto"/>
              <w:right w:val="single" w:sz="8" w:color="auto"/>
            </w:tcBorders>
            <w:gridSpan w:val="3"/>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bottom w:val="single" w:sz="8" w:color="auto"/>
              <w:right w:val="single" w:sz="8" w:color="auto"/>
            </w:tcBorders>
            <w:gridSpan w:val="11"/>
          </w:tcPr>
          <w:p>
            <w:pPr>
              <w:spacing w:after="0" w:line="20" w:lineRule="exact"/>
              <w:rPr>
                <w:sz w:val="1"/>
                <w:szCs w:val="1"/>
                <w:color w:val="auto"/>
              </w:rPr>
            </w:pPr>
          </w:p>
        </w:tc>
        <w:tc>
          <w:tcPr>
            <w:tcW w:w="880" w:type="dxa"/>
            <w:vAlign w:val="bottom"/>
            <w:tcBorders>
              <w:bottom w:val="single" w:sz="8" w:color="auto"/>
              <w:right w:val="single" w:sz="8" w:color="auto"/>
            </w:tcBorders>
            <w:gridSpan w:val="4"/>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$________</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7"/>
                <w:szCs w:val="17"/>
                <w:color w:val="auto"/>
              </w:rPr>
              <w:t>$___________</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$________</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$________</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7"/>
                <w:szCs w:val="17"/>
                <w:color w:val="auto"/>
              </w:rPr>
              <w:t>$___________</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$________</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$________</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7"/>
                <w:szCs w:val="17"/>
                <w:color w:val="auto"/>
              </w:rPr>
              <w:t>$___________</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$________</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$_______</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7"/>
                <w:szCs w:val="17"/>
                <w:color w:val="auto"/>
              </w:rPr>
              <w:t>$___________</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$________</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2"/>
        </w:trPr>
        <w:tc>
          <w:tcPr>
            <w:tcW w:w="440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auto"/>
              </w:rPr>
              <w:t>TOTAL PROPERTY NOI FOR ALL PROPERTIES: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21"/>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$_____________</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gridSpan w:val="28"/>
          </w:tcPr>
          <w:p>
            <w:pPr>
              <w:spacing w:after="0"/>
              <w:rPr>
                <w:sz w:val="20"/>
                <w:szCs w:val="20"/>
                <w:color w:val="auto"/>
              </w:rPr>
            </w:pPr>
            <w:r>
              <w:rPr>
                <w:rFonts w:ascii="Times New Roman" w:cs="Times New Roman" w:eastAsia="Times New Roman" w:hAnsi="Times New Roman"/>
                <w:sz w:val="17"/>
                <w:szCs w:val="17"/>
                <w:b w:val="1"/>
                <w:bCs w:val="1"/>
                <w:color w:val="4472C4"/>
              </w:rPr>
              <w:t>TOTAL PROPERTY NOI FOR ALL UNENCUMBERED ASSETS: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21"/>
          </w:tcPr>
          <w:p>
            <w:pPr>
              <w:jc w:val="right"/>
              <w:ind w:right="400"/>
              <w:spacing w:after="0"/>
              <w:rPr>
                <w:sz w:val="20"/>
                <w:szCs w:val="20"/>
                <w:color w:val="auto"/>
              </w:rPr>
            </w:pPr>
            <w:r>
              <w:rPr>
                <w:rFonts w:ascii="Times New Roman" w:cs="Times New Roman" w:eastAsia="Times New Roman" w:hAnsi="Times New Roman"/>
                <w:sz w:val="17"/>
                <w:szCs w:val="17"/>
                <w:b w:val="1"/>
                <w:bCs w:val="1"/>
                <w:color w:val="4472C4"/>
              </w:rPr>
              <w:t>$_____________</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4472C4"/>
              <w:bottom w:val="single" w:sz="8" w:color="4472C4"/>
            </w:tcBorders>
            <w:gridSpan w:val="27"/>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1200" w:type="dxa"/>
            <w:vAlign w:val="bottom"/>
            <w:tcBorders>
              <w:top w:val="single" w:sz="8" w:color="4472C4"/>
              <w:bottom w:val="single" w:sz="8" w:color="4472C4"/>
            </w:tcBorders>
            <w:gridSpan w:val="1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ALPINE INCOME PROPERTY OP, LP</w:t>
      </w:r>
    </w:p>
    <w:p>
      <w:pPr>
        <w:spacing w:after="0" w:line="222" w:lineRule="exact"/>
        <w:rPr>
          <w:sz w:val="20"/>
          <w:szCs w:val="20"/>
          <w:color w:val="auto"/>
        </w:rPr>
      </w:pPr>
    </w:p>
    <w:p>
      <w:pPr>
        <w:ind w:left="4980"/>
        <w:spacing w:after="0"/>
        <w:tabs>
          <w:tab w:leader="none" w:pos="5340" w:val="left"/>
        </w:tabs>
        <w:rPr>
          <w:sz w:val="20"/>
          <w:szCs w:val="20"/>
          <w:color w:val="auto"/>
        </w:rPr>
      </w:pPr>
      <w:r>
        <w:rPr>
          <w:rFonts w:ascii="Times New Roman" w:cs="Times New Roman" w:eastAsia="Times New Roman" w:hAnsi="Times New Roman"/>
          <w:sz w:val="17"/>
          <w:szCs w:val="17"/>
          <w:color w:val="auto"/>
        </w:rPr>
        <w:t>By:</w:t>
        <w:tab/>
        <w:t>Alpine Income Property GP, LLC, a Delaware limited liability</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company, its General Partner</w:t>
      </w:r>
    </w:p>
    <w:p>
      <w:pPr>
        <w:spacing w:after="0" w:line="204" w:lineRule="exact"/>
        <w:rPr>
          <w:sz w:val="20"/>
          <w:szCs w:val="20"/>
          <w:color w:val="auto"/>
        </w:rPr>
      </w:pPr>
    </w:p>
    <w:p>
      <w:pPr>
        <w:ind w:left="4980"/>
        <w:spacing w:after="0"/>
        <w:tabs>
          <w:tab w:leader="none" w:pos="5340" w:val="left"/>
        </w:tabs>
        <w:rPr>
          <w:sz w:val="20"/>
          <w:szCs w:val="20"/>
          <w:color w:val="auto"/>
        </w:rPr>
      </w:pPr>
      <w:r>
        <w:rPr>
          <w:rFonts w:ascii="Times New Roman" w:cs="Times New Roman" w:eastAsia="Times New Roman" w:hAnsi="Times New Roman"/>
          <w:sz w:val="17"/>
          <w:szCs w:val="17"/>
          <w:color w:val="auto"/>
        </w:rPr>
        <w:t>By:</w:t>
        <w:tab/>
        <w:t>Alpine Income Property Trust, Inc., a Maryland corporation, its</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sole member</w:t>
      </w:r>
    </w:p>
    <w:p>
      <w:pPr>
        <w:spacing w:after="0" w:line="20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-123190</wp:posOffset>
            </wp:positionV>
            <wp:extent cx="288988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6"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16510</wp:posOffset>
            </wp:positionV>
            <wp:extent cx="24504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2450465" cy="825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-123190</wp:posOffset>
            </wp:positionV>
            <wp:extent cx="24504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245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[Exhibit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10680"/>
          </w:cols>
          <w:pgMar w:left="980" w:top="849" w:right="2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4472C4"/>
        </w:rPr>
        <w:t>EXHIBIT C TO SCHEDULE 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4472C4"/>
        </w:rPr>
        <w:t>TO COMPLIANCE CERTIFICATE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2C6234"/>
        </w:rPr>
        <w:t>OF ALPINE INCOME PROPERTY OP, LP</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4472C4"/>
        </w:rPr>
        <w:t>This Exhibit C, with a calculation date of __________,______, is attached to Schedule I to the Compliance Certificate of Alpine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4472C4"/>
        </w:rPr>
        <w:t>Income Property OP, LP dated ___________, 20__, as amended, and delivered to Truist Bank, N.A., as Administrative Agent, and the</w:t>
      </w:r>
    </w:p>
    <w:p>
      <w:pPr>
        <w:spacing w:after="0" w:line="1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u w:val="single" w:color="auto"/>
          <w:color w:val="4472C4"/>
        </w:rPr>
        <w:t>Lenders party to the Amended and Restated Credit Agreement, as amended, referred to therein. The undersigned hereby certifies that the following is a true, correct and complete calculation of Unencumbered Asset Value for Rolling Period most recently ended: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u w:val="single" w:color="auto"/>
          <w:color w:val="2C6234"/>
        </w:rPr>
        <w:t>[Insert Calculation or attach Schedule with exclusions for concentration limits]</w:t>
      </w:r>
    </w:p>
    <w:p>
      <w:pPr>
        <w:spacing w:after="0" w:line="22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u w:val="single" w:color="auto"/>
          <w:color w:val="4472C4"/>
        </w:rPr>
        <w:t>ALPINE INCOME PROPERTY OP, LP</w:t>
      </w:r>
    </w:p>
    <w:p>
      <w:pPr>
        <w:spacing w:after="0" w:line="222" w:lineRule="exact"/>
        <w:rPr>
          <w:sz w:val="20"/>
          <w:szCs w:val="20"/>
          <w:color w:val="auto"/>
        </w:rPr>
      </w:pPr>
    </w:p>
    <w:p>
      <w:pPr>
        <w:ind w:left="4980"/>
        <w:spacing w:after="0"/>
        <w:tabs>
          <w:tab w:leader="none" w:pos="5340" w:val="left"/>
        </w:tabs>
        <w:rPr>
          <w:sz w:val="20"/>
          <w:szCs w:val="20"/>
          <w:color w:val="auto"/>
        </w:rPr>
      </w:pPr>
      <w:r>
        <w:rPr>
          <w:rFonts w:ascii="Times New Roman" w:cs="Times New Roman" w:eastAsia="Times New Roman" w:hAnsi="Times New Roman"/>
          <w:sz w:val="17"/>
          <w:szCs w:val="17"/>
          <w:u w:val="single" w:color="auto"/>
          <w:color w:val="4472C4"/>
        </w:rPr>
        <w:t>By:</w:t>
        <w:tab/>
        <w:t>Alpine Income Property GP, LLC, a Delaware limited liability</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u w:val="single" w:color="auto"/>
          <w:color w:val="4472C4"/>
        </w:rPr>
        <w:t>company, its General Partner</w:t>
      </w:r>
    </w:p>
    <w:p>
      <w:pPr>
        <w:spacing w:after="0" w:line="204" w:lineRule="exact"/>
        <w:rPr>
          <w:sz w:val="20"/>
          <w:szCs w:val="20"/>
          <w:color w:val="auto"/>
        </w:rPr>
      </w:pPr>
    </w:p>
    <w:p>
      <w:pPr>
        <w:ind w:left="4980"/>
        <w:spacing w:after="0"/>
        <w:tabs>
          <w:tab w:leader="none" w:pos="5340" w:val="left"/>
        </w:tabs>
        <w:rPr>
          <w:sz w:val="20"/>
          <w:szCs w:val="20"/>
          <w:color w:val="auto"/>
        </w:rPr>
      </w:pPr>
      <w:r>
        <w:rPr>
          <w:rFonts w:ascii="Times New Roman" w:cs="Times New Roman" w:eastAsia="Times New Roman" w:hAnsi="Times New Roman"/>
          <w:sz w:val="17"/>
          <w:szCs w:val="17"/>
          <w:u w:val="single" w:color="auto"/>
          <w:color w:val="4472C4"/>
        </w:rPr>
        <w:t>By:</w:t>
        <w:tab/>
        <w:t>Alpine Income Property Trust, Inc., a Maryland corporation, its</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u w:val="single" w:color="auto"/>
          <w:color w:val="4472C4"/>
        </w:rPr>
        <w:t>sole member</w:t>
      </w:r>
    </w:p>
    <w:p>
      <w:pPr>
        <w:spacing w:after="0" w:line="2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u w:val="single" w:color="auto"/>
          <w:color w:val="4472C4"/>
        </w:rPr>
        <w:t>By:</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u w:val="single" w:color="auto"/>
          <w:color w:val="4472C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-123190</wp:posOffset>
            </wp:positionV>
            <wp:extent cx="28898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u w:val="single" w:color="auto"/>
          <w:color w:val="4472C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16510</wp:posOffset>
            </wp:positionV>
            <wp:extent cx="24504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2450465" cy="825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-123190</wp:posOffset>
            </wp:positionV>
            <wp:extent cx="24504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245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7"/>
          <w:szCs w:val="17"/>
          <w:b w:val="1"/>
          <w:bCs w:val="1"/>
          <w:color w:val="auto"/>
        </w:rPr>
        <w:t>EXHIBIT F</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ASSIGNMENT AND ACCEPTANCE</w:t>
      </w:r>
    </w:p>
    <w:p>
      <w:pPr>
        <w:spacing w:after="0" w:line="22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Dated _____________, _______</w:t>
      </w:r>
    </w:p>
    <w:p>
      <w:pPr>
        <w:spacing w:after="0" w:line="222"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 xml:space="preserve">Reference is made to the Credit Agreement dated as of May 21, 2021, as extended, renewed, amended or restated from time to time,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 xml:space="preserve">) among Alpine Income Property OP, LP, the Guarantors from time to time party thereto, the Lenders and Truist Bank, N.A., as Administrative Agent (the </w:t>
      </w:r>
      <w:r>
        <w:rPr>
          <w:rFonts w:ascii="Times New Roman" w:cs="Times New Roman" w:eastAsia="Times New Roman" w:hAnsi="Times New Roman"/>
          <w:sz w:val="17"/>
          <w:szCs w:val="17"/>
          <w:i w:val="1"/>
          <w:iCs w:val="1"/>
          <w:color w:val="auto"/>
        </w:rPr>
        <w:t>“Administrative Agent”</w:t>
      </w:r>
      <w:r>
        <w:rPr>
          <w:rFonts w:ascii="Times New Roman" w:cs="Times New Roman" w:eastAsia="Times New Roman" w:hAnsi="Times New Roman"/>
          <w:sz w:val="17"/>
          <w:szCs w:val="17"/>
          <w:color w:val="auto"/>
        </w:rPr>
        <w:t>). Terms defined in the Credit Agreement are used herein with the same meaning.</w:t>
      </w:r>
    </w:p>
    <w:p>
      <w:pPr>
        <w:spacing w:after="0" w:line="161" w:lineRule="exact"/>
        <w:rPr>
          <w:sz w:val="20"/>
          <w:szCs w:val="20"/>
          <w:color w:val="auto"/>
        </w:rPr>
      </w:pPr>
    </w:p>
    <w:p>
      <w:pPr>
        <w:ind w:left="640"/>
        <w:spacing w:after="0"/>
        <w:tabs>
          <w:tab w:leader="none" w:pos="5460" w:val="left"/>
          <w:tab w:leader="none" w:pos="5860" w:val="left"/>
          <w:tab w:leader="none" w:pos="6900" w:val="left"/>
          <w:tab w:leader="none" w:pos="7300" w:val="left"/>
          <w:tab w:leader="none" w:pos="9640" w:val="left"/>
        </w:tabs>
        <w:rPr>
          <w:sz w:val="20"/>
          <w:szCs w:val="20"/>
          <w:color w:val="auto"/>
        </w:rPr>
      </w:pPr>
      <w:r>
        <w:rPr>
          <w:rFonts w:ascii="Times New Roman" w:cs="Times New Roman" w:eastAsia="Times New Roman" w:hAnsi="Times New Roman"/>
          <w:sz w:val="17"/>
          <w:szCs w:val="17"/>
          <w:color w:val="auto"/>
        </w:rPr>
        <w:t>______________________________________________________</w:t>
        <w:tab/>
        <w:t>(the</w:t>
      </w:r>
      <w:r>
        <w:rPr>
          <w:sz w:val="20"/>
          <w:szCs w:val="20"/>
          <w:color w:val="auto"/>
        </w:rPr>
        <w:tab/>
      </w:r>
      <w:r>
        <w:rPr>
          <w:rFonts w:ascii="Times New Roman" w:cs="Times New Roman" w:eastAsia="Times New Roman" w:hAnsi="Times New Roman"/>
          <w:sz w:val="17"/>
          <w:szCs w:val="17"/>
          <w:i w:val="1"/>
          <w:iCs w:val="1"/>
          <w:color w:val="auto"/>
        </w:rPr>
        <w:t>“Assignor”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and</w:t>
        <w:tab/>
        <w:t>_________________________</w:t>
      </w:r>
      <w:r>
        <w:rPr>
          <w:sz w:val="20"/>
          <w:szCs w:val="20"/>
          <w:color w:val="auto"/>
        </w:rPr>
        <w:tab/>
      </w:r>
      <w:r>
        <w:rPr>
          <w:rFonts w:ascii="Times New Roman" w:cs="Times New Roman" w:eastAsia="Times New Roman" w:hAnsi="Times New Roman"/>
          <w:sz w:val="16"/>
          <w:szCs w:val="16"/>
          <w:color w:val="auto"/>
        </w:rPr>
        <w:t>(the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“Assignee”</w:t>
      </w:r>
      <w:r>
        <w:rPr>
          <w:rFonts w:ascii="Times New Roman" w:cs="Times New Roman" w:eastAsia="Times New Roman" w:hAnsi="Times New Roman"/>
          <w:sz w:val="17"/>
          <w:szCs w:val="17"/>
          <w:color w:val="auto"/>
        </w:rPr>
        <w:t>) agree as follows:</w:t>
      </w:r>
    </w:p>
    <w:p>
      <w:pPr>
        <w:spacing w:after="0" w:line="204" w:lineRule="exact"/>
        <w:rPr>
          <w:sz w:val="20"/>
          <w:szCs w:val="20"/>
          <w:color w:val="auto"/>
        </w:rPr>
      </w:pPr>
    </w:p>
    <w:p>
      <w:pPr>
        <w:jc w:val="both"/>
        <w:ind w:left="640" w:firstLine="617"/>
        <w:spacing w:after="0" w:line="268" w:lineRule="auto"/>
        <w:tabs>
          <w:tab w:leader="none" w:pos="1892"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without limitation, the Assignor’s Term Loan Commitments as in effect on the Effective Date and the Loans, if any, owing to the Assignor on the Effective Date</w:t>
      </w:r>
    </w:p>
    <w:p>
      <w:pPr>
        <w:spacing w:after="0" w:line="169" w:lineRule="exact"/>
        <w:rPr>
          <w:rFonts w:ascii="Times New Roman" w:cs="Times New Roman" w:eastAsia="Times New Roman" w:hAnsi="Times New Roman"/>
          <w:sz w:val="17"/>
          <w:szCs w:val="17"/>
          <w:color w:val="auto"/>
        </w:rPr>
      </w:pPr>
    </w:p>
    <w:p>
      <w:pPr>
        <w:jc w:val="both"/>
        <w:ind w:left="640" w:firstLine="617"/>
        <w:spacing w:after="0" w:line="261" w:lineRule="auto"/>
        <w:tabs>
          <w:tab w:leader="none" w:pos="1892"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spacing w:after="0" w:line="176" w:lineRule="exact"/>
        <w:rPr>
          <w:rFonts w:ascii="Times New Roman" w:cs="Times New Roman" w:eastAsia="Times New Roman" w:hAnsi="Times New Roman"/>
          <w:sz w:val="17"/>
          <w:szCs w:val="17"/>
          <w:color w:val="auto"/>
        </w:rPr>
      </w:pPr>
    </w:p>
    <w:p>
      <w:pPr>
        <w:jc w:val="both"/>
        <w:ind w:left="640" w:firstLine="617"/>
        <w:spacing w:after="0" w:line="263" w:lineRule="auto"/>
        <w:tabs>
          <w:tab w:leader="none" w:pos="1892"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Assignee (i) confirms that it has received a copy of the Credit Agreement, together with copies of the most recent financial statements delivered to the Lenders pursuant to Section 8.5(b) and (c) thereof and such other documents and information as it has deemed appropriate to make its own credit analysis and decision to enter into this Assignment and Acceptance;</w:t>
      </w:r>
    </w:p>
    <w:p>
      <w:pPr>
        <w:spacing w:after="0" w:line="1" w:lineRule="exact"/>
        <w:rPr>
          <w:rFonts w:ascii="Times New Roman" w:cs="Times New Roman" w:eastAsia="Times New Roman" w:hAnsi="Times New Roman"/>
          <w:sz w:val="17"/>
          <w:szCs w:val="17"/>
          <w:color w:val="auto"/>
        </w:rPr>
      </w:pPr>
    </w:p>
    <w:p>
      <w:pPr>
        <w:jc w:val="both"/>
        <w:ind w:left="640" w:hanging="9"/>
        <w:spacing w:after="0" w:line="261" w:lineRule="auto"/>
        <w:tabs>
          <w:tab w:leader="none" w:pos="909"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Administrative Agent on its behalf and to exercise such powers under the Credit Agreement and the other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1058" w:right="999" w:bottom="1440" w:gutter="0" w:footer="0" w:header="0"/>
        </w:sectPr>
      </w:pPr>
    </w:p>
    <w:bookmarkStart w:id="198" w:name="page199"/>
    <w:bookmarkEnd w:id="198"/>
    <w:p>
      <w:pPr>
        <w:jc w:val="both"/>
        <w:ind w:left="180"/>
        <w:spacing w:after="0" w:line="268" w:lineRule="auto"/>
        <w:rPr>
          <w:sz w:val="20"/>
          <w:szCs w:val="20"/>
          <w:color w:val="auto"/>
        </w:rPr>
      </w:pPr>
      <w:r>
        <w:rPr>
          <w:rFonts w:ascii="Times New Roman" w:cs="Times New Roman" w:eastAsia="Times New Roman" w:hAnsi="Times New Roman"/>
          <w:sz w:val="17"/>
          <w:szCs w:val="17"/>
          <w:color w:val="auto"/>
        </w:rPr>
        <w:t>Loan Documents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and (v) specifies as its lending office (and address for notices) the offices set forth on its Administrative Questionnaire.</w:t>
      </w:r>
    </w:p>
    <w:p>
      <w:pPr>
        <w:spacing w:after="0" w:line="170" w:lineRule="exact"/>
        <w:rPr>
          <w:sz w:val="20"/>
          <w:szCs w:val="20"/>
          <w:color w:val="auto"/>
        </w:rPr>
      </w:pPr>
    </w:p>
    <w:p>
      <w:pPr>
        <w:jc w:val="both"/>
        <w:ind w:left="180" w:firstLine="617"/>
        <w:spacing w:after="0" w:line="267" w:lineRule="auto"/>
        <w:tabs>
          <w:tab w:leader="none" w:pos="1432"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consideration for the assignment and sale contemplated in Annex I hereof, the Assignee shall pay to the Assignor on the Effective Date in Federal funds the amount agreed upon between them.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spacing w:after="0" w:line="379" w:lineRule="exact"/>
        <w:rPr>
          <w:rFonts w:ascii="Times New Roman" w:cs="Times New Roman" w:eastAsia="Times New Roman" w:hAnsi="Times New Roman"/>
          <w:sz w:val="17"/>
          <w:szCs w:val="17"/>
          <w:color w:val="auto"/>
        </w:rPr>
      </w:pPr>
    </w:p>
    <w:p>
      <w:pPr>
        <w:jc w:val="both"/>
        <w:ind w:left="180" w:firstLine="617"/>
        <w:spacing w:after="0" w:line="276" w:lineRule="auto"/>
        <w:tabs>
          <w:tab w:leader="none" w:pos="1432"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effective date for this Assignment and Acceptance shall be </w:t>
      </w:r>
      <w:r>
        <w:rPr>
          <w:rFonts w:ascii="Times New Roman" w:cs="Times New Roman" w:eastAsia="Times New Roman" w:hAnsi="Times New Roman"/>
          <w:sz w:val="17"/>
          <w:szCs w:val="17"/>
          <w:u w:val="single" w:color="auto"/>
          <w:color w:val="auto"/>
        </w:rPr>
        <w:t>___________</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Following the execution of this Assignment and Acceptance, it will be delivered to the Administrative Agent for acceptance and recording by the Administrative Agent and, if required, the Borrower.</w:t>
      </w:r>
    </w:p>
    <w:p>
      <w:pPr>
        <w:spacing w:after="0" w:line="162" w:lineRule="exact"/>
        <w:rPr>
          <w:rFonts w:ascii="Times New Roman" w:cs="Times New Roman" w:eastAsia="Times New Roman" w:hAnsi="Times New Roman"/>
          <w:sz w:val="17"/>
          <w:szCs w:val="17"/>
          <w:color w:val="auto"/>
        </w:rPr>
      </w:pPr>
    </w:p>
    <w:p>
      <w:pPr>
        <w:jc w:val="both"/>
        <w:ind w:left="180" w:firstLine="617"/>
        <w:spacing w:after="0" w:line="268" w:lineRule="auto"/>
        <w:tabs>
          <w:tab w:leader="none" w:pos="1432"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such acceptance and recording,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69" w:lineRule="exact"/>
        <w:rPr>
          <w:rFonts w:ascii="Times New Roman" w:cs="Times New Roman" w:eastAsia="Times New Roman" w:hAnsi="Times New Roman"/>
          <w:sz w:val="17"/>
          <w:szCs w:val="17"/>
          <w:color w:val="auto"/>
        </w:rPr>
      </w:pPr>
    </w:p>
    <w:p>
      <w:pPr>
        <w:jc w:val="both"/>
        <w:ind w:left="180" w:firstLine="617"/>
        <w:spacing w:after="0" w:line="268" w:lineRule="auto"/>
        <w:tabs>
          <w:tab w:leader="none" w:pos="1432"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such acceptance and recording, from and after the Effective Date, the Administrative Agent shall make all payments under the Credit Agreement in respect of the interest assigned hereby (including, without limitation, all payments of principal and interest with respect thereto) to the Assignee. The Assignor and Assignee shall make all appropriate adjustments in payments under the Credit Agreement for periods prior to the Effective Date directly between themselves.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color w:val="auto"/>
        </w:rPr>
        <w:t>[Exhibit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60"/>
          </w:cols>
          <w:pgMar w:left="1440" w:top="851" w:right="999" w:bottom="1440" w:gutter="0" w:footer="0" w:header="0"/>
        </w:sectPr>
      </w:pPr>
    </w:p>
    <w:bookmarkStart w:id="199" w:name="page200"/>
    <w:bookmarkEnd w:id="199"/>
    <w:p>
      <w:pPr>
        <w:ind w:left="640" w:firstLine="617"/>
        <w:spacing w:after="0" w:line="294" w:lineRule="auto"/>
        <w:tabs>
          <w:tab w:leader="none" w:pos="1892"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Assignment and Acceptance shall be governed by, and construed in accordance with, the internal laws of the State of New York.</w:t>
      </w:r>
    </w:p>
    <w:p>
      <w:pPr>
        <w:spacing w:after="0" w:line="1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[ASSIGNOR LENDER]</w:t>
      </w:r>
    </w:p>
    <w:p>
      <w:pPr>
        <w:spacing w:after="0" w:line="200" w:lineRule="exact"/>
        <w:rPr>
          <w:sz w:val="20"/>
          <w:szCs w:val="20"/>
          <w:color w:val="auto"/>
        </w:rPr>
      </w:pPr>
    </w:p>
    <w:p>
      <w:pPr>
        <w:spacing w:after="0" w:line="23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Name</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16510</wp:posOffset>
            </wp:positionV>
            <wp:extent cx="28314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2831465" cy="8255"/>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-123190</wp:posOffset>
            </wp:positionV>
            <wp:extent cx="28314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pacing w:after="0" w:line="19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[ASSIGNOR LENDER]</w:t>
      </w:r>
    </w:p>
    <w:p>
      <w:pPr>
        <w:spacing w:after="0" w:line="200" w:lineRule="exact"/>
        <w:rPr>
          <w:sz w:val="20"/>
          <w:szCs w:val="20"/>
          <w:color w:val="auto"/>
        </w:rPr>
      </w:pPr>
    </w:p>
    <w:p>
      <w:pPr>
        <w:spacing w:after="0" w:line="23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Name</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16510</wp:posOffset>
            </wp:positionV>
            <wp:extent cx="28314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2831465" cy="8255"/>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-123190</wp:posOffset>
            </wp:positionV>
            <wp:extent cx="28314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consented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 day of _____________</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ALPINE INCOME PROPERTY OP, 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16510</wp:posOffset>
            </wp:positionV>
            <wp:extent cx="25171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251714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-123190</wp:posOffset>
            </wp:positionV>
            <wp:extent cx="25171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251714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consented to by the Administrative Agent this ___ day of _________</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TRUIST BANK, N.A., as Administrative Agent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16510</wp:posOffset>
            </wp:positionV>
            <wp:extent cx="25171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251714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-123190</wp:posOffset>
            </wp:positionV>
            <wp:extent cx="25171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2517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[Exhibit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7"/>
          <w:szCs w:val="17"/>
          <w:b w:val="1"/>
          <w:bCs w:val="1"/>
          <w:color w:val="auto"/>
        </w:rPr>
        <w:t>ANNEX 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ASSIGNMENT AND ACCEPTANCE</w:t>
      </w:r>
    </w:p>
    <w:p>
      <w:pPr>
        <w:spacing w:after="0" w:line="347" w:lineRule="exact"/>
        <w:rPr>
          <w:sz w:val="20"/>
          <w:szCs w:val="20"/>
          <w:color w:val="auto"/>
        </w:rPr>
      </w:pPr>
    </w:p>
    <w:p>
      <w:pPr>
        <w:ind w:firstLine="626"/>
        <w:spacing w:after="0" w:line="294" w:lineRule="auto"/>
        <w:rPr>
          <w:sz w:val="20"/>
          <w:szCs w:val="20"/>
          <w:color w:val="auto"/>
        </w:rPr>
      </w:pPr>
      <w:r>
        <w:rPr>
          <w:rFonts w:ascii="Times New Roman" w:cs="Times New Roman" w:eastAsia="Times New Roman" w:hAnsi="Times New Roman"/>
          <w:sz w:val="17"/>
          <w:szCs w:val="17"/>
          <w:color w:val="auto"/>
        </w:rPr>
        <w:t>The assignee hereby purchases and assumes from the assignor the following interest in and to all of the Assignor’s rights and obligations under the Credit Agreement as of the effective date.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20" w:type="dxa"/>
            <w:vAlign w:val="bottom"/>
          </w:tcPr>
          <w:p>
            <w:pPr>
              <w:spacing w:after="0"/>
              <w:rPr>
                <w:sz w:val="18"/>
                <w:szCs w:val="18"/>
                <w:color w:val="auto"/>
              </w:rPr>
            </w:pPr>
          </w:p>
        </w:tc>
        <w:tc>
          <w:tcPr>
            <w:tcW w:w="22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AGGREGATE</w:t>
            </w:r>
          </w:p>
        </w:tc>
        <w:tc>
          <w:tcPr>
            <w:tcW w:w="268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AMOUNT OF</w:t>
            </w:r>
          </w:p>
        </w:tc>
        <w:tc>
          <w:tcPr>
            <w:tcW w:w="2820" w:type="dxa"/>
            <w:vAlign w:val="bottom"/>
          </w:tcPr>
          <w:p>
            <w:pPr>
              <w:spacing w:after="0"/>
              <w:rPr>
                <w:sz w:val="18"/>
                <w:szCs w:val="18"/>
                <w:color w:val="auto"/>
              </w:rPr>
            </w:pPr>
          </w:p>
        </w:tc>
      </w:tr>
      <w:tr>
        <w:trPr>
          <w:trHeight w:val="209"/>
        </w:trPr>
        <w:tc>
          <w:tcPr>
            <w:tcW w:w="2220" w:type="dxa"/>
            <w:vAlign w:val="bottom"/>
          </w:tcPr>
          <w:p>
            <w:pPr>
              <w:spacing w:after="0"/>
              <w:rPr>
                <w:sz w:val="18"/>
                <w:szCs w:val="18"/>
                <w:color w:val="auto"/>
              </w:rPr>
            </w:pPr>
          </w:p>
        </w:tc>
        <w:tc>
          <w:tcPr>
            <w:tcW w:w="22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COMMITMENT/LOANS</w:t>
            </w:r>
          </w:p>
        </w:tc>
        <w:tc>
          <w:tcPr>
            <w:tcW w:w="268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COMMITMENT/LOANS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PERCENTAGE ASSIGNED</w:t>
            </w:r>
          </w:p>
        </w:tc>
      </w:tr>
      <w:tr>
        <w:trPr>
          <w:trHeight w:val="209"/>
        </w:trPr>
        <w:tc>
          <w:tcPr>
            <w:tcW w:w="22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FACILITY ASSIGNED</w:t>
            </w:r>
          </w:p>
        </w:tc>
        <w:tc>
          <w:tcPr>
            <w:tcW w:w="22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FOR ALL LENDERS</w:t>
            </w:r>
          </w:p>
        </w:tc>
        <w:tc>
          <w:tcPr>
            <w:tcW w:w="268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ASSIGNED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OF COMMITMENT/LOANS</w:t>
            </w:r>
          </w:p>
        </w:tc>
      </w:tr>
      <w:tr>
        <w:trPr>
          <w:trHeight w:val="227"/>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22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$____________</w:t>
            </w:r>
          </w:p>
        </w:tc>
        <w:tc>
          <w:tcPr>
            <w:tcW w:w="268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$____________</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_____%</w:t>
            </w:r>
          </w:p>
        </w:tc>
      </w:tr>
      <w:tr>
        <w:trPr>
          <w:trHeight w:val="834"/>
        </w:trPr>
        <w:tc>
          <w:tcPr>
            <w:tcW w:w="2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[Exhibit F-4]</w:t>
            </w:r>
          </w:p>
        </w:tc>
        <w:tc>
          <w:tcPr>
            <w:tcW w:w="2820" w:type="dxa"/>
            <w:vAlign w:val="bottom"/>
          </w:tcPr>
          <w:p>
            <w:pPr>
              <w:spacing w:after="0"/>
              <w:rPr>
                <w:sz w:val="24"/>
                <w:szCs w:val="24"/>
                <w:color w:val="auto"/>
              </w:rPr>
            </w:pPr>
          </w:p>
        </w:tc>
      </w:tr>
      <w:tr>
        <w:trPr>
          <w:trHeight w:val="528"/>
        </w:trPr>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50" w:right="99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7"/>
          <w:szCs w:val="17"/>
          <w:b w:val="1"/>
          <w:bCs w:val="1"/>
          <w:color w:val="auto"/>
        </w:rPr>
        <w:t>EXHIBIT 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GUARANTOR SUPPLEMENT</w:t>
      </w:r>
    </w:p>
    <w:p>
      <w:pPr>
        <w:spacing w:after="0" w:line="3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7"/>
          <w:szCs w:val="17"/>
          <w:color w:val="auto"/>
        </w:rPr>
        <w:t>______________, ___</w:t>
      </w:r>
    </w:p>
    <w:p>
      <w:pPr>
        <w:spacing w:after="0" w:line="217" w:lineRule="exact"/>
        <w:rPr>
          <w:sz w:val="20"/>
          <w:szCs w:val="20"/>
          <w:color w:val="auto"/>
        </w:rPr>
      </w:pPr>
    </w:p>
    <w:p>
      <w:pPr>
        <w:jc w:val="both"/>
        <w:ind w:right="4620"/>
        <w:spacing w:after="0" w:line="265" w:lineRule="auto"/>
        <w:rPr>
          <w:sz w:val="20"/>
          <w:szCs w:val="20"/>
          <w:color w:val="auto"/>
        </w:rPr>
      </w:pPr>
      <w:r>
        <w:rPr>
          <w:rFonts w:ascii="Times New Roman" w:cs="Times New Roman" w:eastAsia="Times New Roman" w:hAnsi="Times New Roman"/>
          <w:sz w:val="17"/>
          <w:szCs w:val="17"/>
          <w:color w:val="auto"/>
        </w:rPr>
        <w:t xml:space="preserve">Truist Bank, N.A., as Administrative Agent for the Lenders named in the Credit Agreement dated as of May 21, 2021, among Alpine Income Property OP, LP, as Borrower, the Guarantors signatories thereto, the Lenders from time to time party thereto, and the Administrative Agent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2"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Reference is made to the Credit Agreement described above. Terms not defined herein which are defined in the Credit Agreement shall have for the purposes hereof the meaning provided therein.</w:t>
      </w:r>
    </w:p>
    <w:p>
      <w:pPr>
        <w:spacing w:after="0" w:line="145" w:lineRule="exact"/>
        <w:rPr>
          <w:sz w:val="20"/>
          <w:szCs w:val="20"/>
          <w:color w:val="auto"/>
        </w:rPr>
      </w:pPr>
    </w:p>
    <w:p>
      <w:pPr>
        <w:jc w:val="both"/>
        <w:ind w:firstLine="626"/>
        <w:spacing w:after="0" w:line="269" w:lineRule="auto"/>
        <w:rPr>
          <w:sz w:val="20"/>
          <w:szCs w:val="20"/>
          <w:color w:val="auto"/>
        </w:rPr>
      </w:pPr>
      <w:r>
        <w:rPr>
          <w:rFonts w:ascii="Times New Roman" w:cs="Times New Roman" w:eastAsia="Times New Roman" w:hAnsi="Times New Roman"/>
          <w:sz w:val="17"/>
          <w:szCs w:val="17"/>
          <w:color w:val="auto"/>
        </w:rPr>
        <w:t xml:space="preserve">The undersigned, </w:t>
      </w:r>
      <w:r>
        <w:rPr>
          <w:rFonts w:ascii="Times New Roman" w:cs="Times New Roman" w:eastAsia="Times New Roman" w:hAnsi="Times New Roman"/>
          <w:sz w:val="17"/>
          <w:szCs w:val="17"/>
          <w:b w:val="1"/>
          <w:bCs w:val="1"/>
          <w:color w:val="auto"/>
        </w:rPr>
        <w:t>[name of Subsidiary Guarantor]</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color w:val="auto"/>
        </w:rPr>
        <w:t>[jurisdiction of incorporation or organization]</w:t>
      </w:r>
      <w:r>
        <w:rPr>
          <w:rFonts w:ascii="Times New Roman" w:cs="Times New Roman" w:eastAsia="Times New Roman" w:hAnsi="Times New Roman"/>
          <w:sz w:val="17"/>
          <w:szCs w:val="17"/>
          <w:color w:val="auto"/>
        </w:rPr>
        <w:t xml:space="preserve"> hereby elects to be a </w:t>
      </w:r>
      <w:r>
        <w:rPr>
          <w:rFonts w:ascii="Times New Roman" w:cs="Times New Roman" w:eastAsia="Times New Roman" w:hAnsi="Times New Roman"/>
          <w:sz w:val="17"/>
          <w:szCs w:val="17"/>
          <w:i w:val="1"/>
          <w:iCs w:val="1"/>
          <w:color w:val="auto"/>
        </w:rPr>
        <w:t xml:space="preserve">“Guarantor” </w:t>
      </w:r>
      <w:r>
        <w:rPr>
          <w:rFonts w:ascii="Times New Roman" w:cs="Times New Roman" w:eastAsia="Times New Roman" w:hAnsi="Times New Roman"/>
          <w:sz w:val="17"/>
          <w:szCs w:val="17"/>
          <w:color w:val="auto"/>
        </w:rPr>
        <w:t>for all purposes of the Credit Agreement, effective from the date hereof. The undersigned confirms that the representations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warranties set forth in Section 6 of the Credit Agreement are true and correct as to the undersigned as of the date hereof and the undersigned shall comply with each of the covenants set forth in Section 8 of the Credit Agreement applicable to it.</w:t>
      </w:r>
    </w:p>
    <w:p>
      <w:pPr>
        <w:spacing w:after="0" w:line="169"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Without limiting the generality of the foregoing, the undersigned hereby agrees to perform all the obligations of a Guarantor under, and to be bound in all respects by the terms of, the Credit Agreement, including, without limitation, Section 13 thereof, to the same extent and with the same force and effect as if the undersigned were a signatory party thereto.</w:t>
      </w:r>
    </w:p>
    <w:p>
      <w:pPr>
        <w:spacing w:after="0" w:line="163"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The undersigned acknowledges that this Agreement shall be effective upon its execution and delivery by the undersigned to the Administrative Agent, and it shall not be necessary for the Administrative Agent or any Lender, or any of their Affiliates entitled to the benefits hereof, to execute this Agreement or any other acceptance hereof. This Agreement shall be construed in accordance with and governed by the internal laws of the State of New York.</w:t>
      </w:r>
    </w:p>
    <w:p>
      <w:pPr>
        <w:spacing w:after="0" w:line="18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 OF SUBSIDIARY GUARANTOR]</w:t>
      </w:r>
    </w:p>
    <w:p>
      <w:pPr>
        <w:spacing w:after="0" w:line="200" w:lineRule="exact"/>
        <w:rPr>
          <w:sz w:val="20"/>
          <w:szCs w:val="20"/>
          <w:color w:val="auto"/>
        </w:rPr>
      </w:pP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-123190</wp:posOffset>
            </wp:positionV>
            <wp:extent cx="26993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24765</wp:posOffset>
            </wp:positionV>
            <wp:extent cx="26993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2699385" cy="8255"/>
                    </a:xfrm>
                    <a:prstGeom prst="rect">
                      <a:avLst/>
                    </a:prstGeom>
                    <a:noFill/>
                  </pic:spPr>
                </pic:pic>
              </a:graphicData>
            </a:graphic>
          </wp:anchor>
        </w:drawing>
        <w:drawing>
          <wp:anchor simplePos="0" relativeHeight="251657728" behindDoc="1" locked="0" layoutInCell="0" allowOverlap="1">
            <wp:simplePos x="0" y="0"/>
            <wp:positionH relativeFrom="column">
              <wp:posOffset>3599180</wp:posOffset>
            </wp:positionH>
            <wp:positionV relativeFrom="paragraph">
              <wp:posOffset>-114935</wp:posOffset>
            </wp:positionV>
            <wp:extent cx="26993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6292215" cy="16510"/>
                    </a:xfrm>
                    <a:prstGeom prst="rect">
                      <a:avLst/>
                    </a:prstGeom>
                    <a:noFill/>
                  </pic:spPr>
                </pic:pic>
              </a:graphicData>
            </a:graphic>
          </wp:anchor>
        </w:drawing>
      </w:r>
    </w:p>
    <w:p>
      <w:pPr>
        <w:sectPr>
          <w:pgSz w:w="11900" w:h="16838" w:orient="portrait"/>
          <w:cols w:equalWidth="0" w:num="1">
            <w:col w:w="9920"/>
          </w:cols>
          <w:pgMar w:left="980" w:top="1058" w:right="99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H</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COMMITMENT AMOUNT INCREASE REQUEST</w:t>
      </w:r>
    </w:p>
    <w:p>
      <w:pPr>
        <w:spacing w:after="0" w:line="2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_______________, ____</w:t>
      </w:r>
    </w:p>
    <w:p>
      <w:pPr>
        <w:sectPr>
          <w:pgSz w:w="11900" w:h="16838" w:orient="portrait"/>
          <w:cols w:equalWidth="0" w:num="1">
            <w:col w:w="9920"/>
          </w:cols>
          <w:pgMar w:left="980" w:top="1058" w:right="99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Truist Bank, N.A., as Administrative Agent for the Lenders parties to the Credit Agreement dated as of May 21, 2021 (as extended, renewed, amended or restated from time to time,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 among Alpine Income Property OP, LP, the Guarantors which are signatories thereto, certain Lenders parties thereto, and Truist Bank, N.A., as Administrative Agent</w:t>
      </w:r>
    </w:p>
    <w:p>
      <w:pPr>
        <w:spacing w:after="0" w:line="163" w:lineRule="exact"/>
        <w:rPr>
          <w:sz w:val="20"/>
          <w:szCs w:val="20"/>
          <w:color w:val="auto"/>
        </w:rPr>
      </w:pPr>
    </w:p>
    <w:p>
      <w:pPr>
        <w:sectPr>
          <w:pgSz w:w="11900" w:h="16838" w:orient="portrait"/>
          <w:cols w:equalWidth="0" w:num="2">
            <w:col w:w="240" w:space="400"/>
            <w:col w:w="9280"/>
          </w:cols>
          <w:pgMar w:left="980" w:top="1058"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0"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17"/>
          <w:szCs w:val="17"/>
          <w:color w:val="auto"/>
        </w:rPr>
        <w:t xml:space="preserve">The undersigned, Alpine Income Property OP, LP (the </w:t>
      </w:r>
      <w:r>
        <w:rPr>
          <w:rFonts w:ascii="Times New Roman" w:cs="Times New Roman" w:eastAsia="Times New Roman" w:hAnsi="Times New Roman"/>
          <w:sz w:val="17"/>
          <w:szCs w:val="17"/>
          <w:i w:val="1"/>
          <w:iCs w:val="1"/>
          <w:color w:val="auto"/>
        </w:rPr>
        <w:t>“Borrower”</w:t>
      </w:r>
      <w:r>
        <w:rPr>
          <w:rFonts w:ascii="Times New Roman" w:cs="Times New Roman" w:eastAsia="Times New Roman" w:hAnsi="Times New Roman"/>
          <w:sz w:val="17"/>
          <w:szCs w:val="17"/>
          <w:color w:val="auto"/>
        </w:rPr>
        <w:t xml:space="preserve">) hereby refers to the Credit Agreement and requests that the Administrative Agent consent to an increase in the aggregate Commitments (the </w:t>
      </w:r>
      <w:r>
        <w:rPr>
          <w:rFonts w:ascii="Times New Roman" w:cs="Times New Roman" w:eastAsia="Times New Roman" w:hAnsi="Times New Roman"/>
          <w:sz w:val="17"/>
          <w:szCs w:val="17"/>
          <w:i w:val="1"/>
          <w:iCs w:val="1"/>
          <w:color w:val="auto"/>
        </w:rPr>
        <w:t>“Commitment Increase”</w:t>
      </w:r>
      <w:r>
        <w:rPr>
          <w:rFonts w:ascii="Times New Roman" w:cs="Times New Roman" w:eastAsia="Times New Roman" w:hAnsi="Times New Roman"/>
          <w:sz w:val="17"/>
          <w:szCs w:val="17"/>
          <w:color w:val="auto"/>
        </w:rPr>
        <w:t xml:space="preserve">), in accordance with Section 1.15 of the Credit Agreement, to be effected by </w:t>
      </w:r>
      <w:r>
        <w:rPr>
          <w:rFonts w:ascii="Times New Roman" w:cs="Times New Roman" w:eastAsia="Times New Roman" w:hAnsi="Times New Roman"/>
          <w:sz w:val="17"/>
          <w:szCs w:val="17"/>
          <w:b w:val="1"/>
          <w:bCs w:val="1"/>
          <w:color w:val="auto"/>
        </w:rPr>
        <w:t>[an increase in the Commitment of [name of existing Lender]] [the addition of [name of 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Lender] (the </w:t>
      </w:r>
      <w:r>
        <w:rPr>
          <w:rFonts w:ascii="Times New Roman" w:cs="Times New Roman" w:eastAsia="Times New Roman" w:hAnsi="Times New Roman"/>
          <w:sz w:val="17"/>
          <w:szCs w:val="17"/>
          <w:b w:val="1"/>
          <w:bCs w:val="1"/>
          <w:i w:val="1"/>
          <w:iCs w:val="1"/>
          <w:color w:val="auto"/>
        </w:rPr>
        <w:t>“New Lender”</w:t>
      </w:r>
      <w:r>
        <w:rPr>
          <w:rFonts w:ascii="Times New Roman" w:cs="Times New Roman" w:eastAsia="Times New Roman" w:hAnsi="Times New Roman"/>
          <w:sz w:val="17"/>
          <w:szCs w:val="17"/>
          <w:b w:val="1"/>
          <w:bCs w:val="1"/>
          <w:color w:val="auto"/>
        </w:rPr>
        <w:t>) as a Lender under the terms of the Credit Agreement]</w:t>
      </w:r>
      <w:r>
        <w:rPr>
          <w:rFonts w:ascii="Times New Roman" w:cs="Times New Roman" w:eastAsia="Times New Roman" w:hAnsi="Times New Roman"/>
          <w:sz w:val="17"/>
          <w:szCs w:val="17"/>
          <w:color w:val="auto"/>
        </w:rPr>
        <w:t>. Capitalized terms used herein without definition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same meanings herein as such terms have in the Credit Agreement.</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After giving effect to such Commitment Increase, the Commitment of the </w:t>
      </w:r>
      <w:r>
        <w:rPr>
          <w:rFonts w:ascii="Times New Roman" w:cs="Times New Roman" w:eastAsia="Times New Roman" w:hAnsi="Times New Roman"/>
          <w:sz w:val="17"/>
          <w:szCs w:val="17"/>
          <w:b w:val="1"/>
          <w:bCs w:val="1"/>
          <w:color w:val="auto"/>
        </w:rPr>
        <w:t>[Lender] [New Lender]</w:t>
      </w:r>
      <w:r>
        <w:rPr>
          <w:rFonts w:ascii="Times New Roman" w:cs="Times New Roman" w:eastAsia="Times New Roman" w:hAnsi="Times New Roman"/>
          <w:sz w:val="17"/>
          <w:szCs w:val="17"/>
          <w:color w:val="auto"/>
        </w:rPr>
        <w:t xml:space="preserve"> shall be $_____________.</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[Include paragraphs 1-4 for a New Lender]</w:t>
      </w:r>
    </w:p>
    <w:p>
      <w:pPr>
        <w:spacing w:after="0" w:line="224" w:lineRule="exact"/>
        <w:rPr>
          <w:sz w:val="20"/>
          <w:szCs w:val="20"/>
          <w:color w:val="auto"/>
        </w:rPr>
      </w:pPr>
    </w:p>
    <w:p>
      <w:pPr>
        <w:jc w:val="both"/>
        <w:ind w:firstLine="631"/>
        <w:spacing w:after="0" w:line="261" w:lineRule="auto"/>
        <w:tabs>
          <w:tab w:leader="none" w:pos="1252"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Lender hereby confirms that it has received a copy of the Loan Documents and the exhibits related thereto, together with copies of the documents which were required to be delivered under the Credit Agreement as a condition to the making of the Term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Loan Document or with respect to the legality, validity, sufficiency or enforceability of the Credit Agreement or any other Loan Document or the value of any security therefor.</w:t>
      </w:r>
    </w:p>
    <w:p>
      <w:pPr>
        <w:spacing w:after="0" w:line="176" w:lineRule="exact"/>
        <w:rPr>
          <w:rFonts w:ascii="Times New Roman" w:cs="Times New Roman" w:eastAsia="Times New Roman" w:hAnsi="Times New Roman"/>
          <w:sz w:val="17"/>
          <w:szCs w:val="17"/>
          <w:color w:val="auto"/>
        </w:rPr>
      </w:pPr>
    </w:p>
    <w:p>
      <w:pPr>
        <w:jc w:val="both"/>
        <w:ind w:firstLine="631"/>
        <w:spacing w:after="0" w:line="268" w:lineRule="auto"/>
        <w:tabs>
          <w:tab w:leader="none" w:pos="1252"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provided in the Credit Agreement, effective as of the date of acceptance hereof by the Administrative Agent, the New Lender (i) shall be deemed automatically to have become a party to the Credit Agreement and have all the rights and obligations of a </w:t>
      </w:r>
      <w:r>
        <w:rPr>
          <w:rFonts w:ascii="Times New Roman" w:cs="Times New Roman" w:eastAsia="Times New Roman" w:hAnsi="Times New Roman"/>
          <w:sz w:val="17"/>
          <w:szCs w:val="17"/>
          <w:i w:val="1"/>
          <w:iCs w:val="1"/>
          <w:color w:val="auto"/>
        </w:rPr>
        <w:t>“Lender”</w:t>
      </w:r>
      <w:r>
        <w:rPr>
          <w:rFonts w:ascii="Times New Roman" w:cs="Times New Roman" w:eastAsia="Times New Roman" w:hAnsi="Times New Roman"/>
          <w:sz w:val="17"/>
          <w:szCs w:val="17"/>
          <w:color w:val="auto"/>
        </w:rPr>
        <w:t xml:space="preserve"> under the Credit Agreement as if it were an original signatory thereto and (ii) agrees to be bound by the terms and conditions set forth in the Credit Agreement as if it were an original signatory thereto.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6292215" cy="16510"/>
                    </a:xfrm>
                    <a:prstGeom prst="rect">
                      <a:avLst/>
                    </a:prstGeom>
                    <a:noFill/>
                  </pic:spPr>
                </pic:pic>
              </a:graphicData>
            </a:graphic>
          </wp:anchor>
        </w:drawing>
      </w:r>
    </w:p>
    <w:p>
      <w:pPr>
        <w:sectPr>
          <w:pgSz w:w="11900" w:h="16838" w:orient="portrait"/>
          <w:cols w:equalWidth="0" w:num="1">
            <w:col w:w="9920"/>
          </w:cols>
          <w:pgMar w:left="980" w:top="1058" w:right="999" w:bottom="1440" w:gutter="0" w:footer="0" w:header="0"/>
          <w:type w:val="continuous"/>
        </w:sectPr>
      </w:pPr>
    </w:p>
    <w:bookmarkStart w:id="203" w:name="page204"/>
    <w:bookmarkEnd w:id="203"/>
    <w:p>
      <w:pPr>
        <w:ind w:firstLine="631"/>
        <w:spacing w:after="0" w:line="294" w:lineRule="auto"/>
        <w:tabs>
          <w:tab w:leader="none" w:pos="1252"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Lender shall deliver to the Administrative Agent an Administrative Questionnaire and shall have executed an Incremental Term Loan Amendment.</w:t>
      </w:r>
    </w:p>
    <w:p>
      <w:pPr>
        <w:spacing w:after="0" w:line="145" w:lineRule="exact"/>
        <w:rPr>
          <w:sz w:val="20"/>
          <w:szCs w:val="20"/>
          <w:color w:val="auto"/>
        </w:rPr>
      </w:pPr>
    </w:p>
    <w:p>
      <w:pPr>
        <w:ind w:firstLine="626"/>
        <w:spacing w:after="0" w:line="291" w:lineRule="auto"/>
        <w:rPr>
          <w:sz w:val="20"/>
          <w:szCs w:val="20"/>
          <w:color w:val="auto"/>
        </w:rPr>
      </w:pPr>
      <w:r>
        <w:rPr>
          <w:rFonts w:ascii="Times New Roman" w:cs="Times New Roman" w:eastAsia="Times New Roman" w:hAnsi="Times New Roman"/>
          <w:sz w:val="17"/>
          <w:szCs w:val="17"/>
          <w:b w:val="1"/>
          <w:bCs w:val="1"/>
          <w:color w:val="auto"/>
        </w:rPr>
        <w:t>[4. The New Lender has delivered, if appropriate, to the Borrower and the Administrative Agent (or is delivering to the Borrower and the Administrative Agent concurrently herewith) the tax forms referred to in [Section 12.1] of the Credit Agreement.]</w:t>
      </w:r>
      <w:r>
        <w:rPr>
          <w:rFonts w:ascii="Times New Roman" w:cs="Times New Roman" w:eastAsia="Times New Roman" w:hAnsi="Times New Roman"/>
          <w:sz w:val="26"/>
          <w:szCs w:val="26"/>
          <w:b w:val="1"/>
          <w:bCs w:val="1"/>
          <w:color w:val="auto"/>
          <w:vertAlign w:val="superscript"/>
        </w:rPr>
        <w:t>*</w:t>
      </w:r>
    </w:p>
    <w:p>
      <w:pPr>
        <w:spacing w:after="0" w:line="28" w:lineRule="exact"/>
        <w:rPr>
          <w:sz w:val="20"/>
          <w:szCs w:val="20"/>
          <w:color w:val="auto"/>
        </w:rPr>
      </w:pPr>
    </w:p>
    <w:p>
      <w:pPr>
        <w:ind w:firstLine="626"/>
        <w:spacing w:after="0" w:line="294" w:lineRule="auto"/>
        <w:rPr>
          <w:sz w:val="20"/>
          <w:szCs w:val="20"/>
          <w:color w:val="auto"/>
        </w:rPr>
      </w:pPr>
      <w:r>
        <w:rPr>
          <w:rFonts w:ascii="Times New Roman" w:cs="Times New Roman" w:eastAsia="Times New Roman" w:hAnsi="Times New Roman"/>
          <w:sz w:val="17"/>
          <w:szCs w:val="17"/>
          <w:color w:val="auto"/>
        </w:rPr>
        <w:t>THIS AGREEMENT SHALL BE DEEMED TO BE A CONTRACTUAL OBLIGATION UNDER, AND SHALL BE GOVERNED BY AND CONSTRUED IN ACCORDANCE WITH, THE INTERNAL LAWS OF THE STATE OF NEW YORK.</w:t>
      </w:r>
    </w:p>
    <w:p>
      <w:pPr>
        <w:spacing w:after="0" w:line="147" w:lineRule="exact"/>
        <w:rPr>
          <w:sz w:val="20"/>
          <w:szCs w:val="20"/>
          <w:color w:val="auto"/>
        </w:rPr>
      </w:pPr>
    </w:p>
    <w:p>
      <w:pPr>
        <w:ind w:firstLine="626"/>
        <w:spacing w:after="0" w:line="267" w:lineRule="auto"/>
        <w:rPr>
          <w:sz w:val="20"/>
          <w:szCs w:val="20"/>
          <w:color w:val="auto"/>
        </w:rPr>
      </w:pPr>
      <w:r>
        <w:rPr>
          <w:rFonts w:ascii="Times New Roman" w:cs="Times New Roman" w:eastAsia="Times New Roman" w:hAnsi="Times New Roman"/>
          <w:sz w:val="17"/>
          <w:szCs w:val="17"/>
          <w:color w:val="auto"/>
        </w:rPr>
        <w:t>The Commitment Increase shall be effective when the executed (x) Incremental Term Loan Amendment, (y) consent of the Administrative Agent is received or otherwise in accordance with Section 1.15 of the Credit Agreement, but not in any case prior to</w:t>
      </w:r>
    </w:p>
    <w:p>
      <w:pPr>
        <w:spacing w:after="0" w:line="1"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7"/>
          <w:szCs w:val="17"/>
          <w:color w:val="auto"/>
        </w:rPr>
        <w:t>___________________, ____.</w:t>
        <w:tab/>
        <w:t>It shall be a condition to the effectiveness of the Commitment Increase that all expenses referred to 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1.15 of the Credit Agreement shall have been paid.</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Borrower hereby certifies that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218440</wp:posOffset>
            </wp:positionV>
            <wp:extent cx="15728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20" w:right="20" w:hanging="315"/>
        <w:spacing w:after="0" w:line="211" w:lineRule="auto"/>
        <w:tabs>
          <w:tab w:leader="none" w:pos="320" w:val="left"/>
        </w:tabs>
        <w:numPr>
          <w:ilvl w:val="0"/>
          <w:numId w:val="1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Insert bracketed paragraph if New Lender is organized under the law of a jurisdiction other than the United States of America or a state thereof.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204" w:name="page205"/>
    <w:bookmarkEnd w:id="204"/>
    <w:p>
      <w:pPr>
        <w:ind w:firstLine="626"/>
        <w:spacing w:after="0" w:line="294" w:lineRule="auto"/>
        <w:rPr>
          <w:sz w:val="20"/>
          <w:szCs w:val="20"/>
          <w:color w:val="auto"/>
        </w:rPr>
      </w:pPr>
      <w:r>
        <w:rPr>
          <w:rFonts w:ascii="Times New Roman" w:cs="Times New Roman" w:eastAsia="Times New Roman" w:hAnsi="Times New Roman"/>
          <w:sz w:val="17"/>
          <w:szCs w:val="17"/>
          <w:color w:val="auto"/>
        </w:rPr>
        <w:t>Please indicate the Administrative Agent’s consent to such Commitment Increase by signing the enclosed copy of this letter in the space provided below.</w:t>
      </w:r>
    </w:p>
    <w:p>
      <w:pPr>
        <w:spacing w:after="0" w:line="16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ALPINE INCOME PROPERTY OP, LP</w:t>
      </w:r>
    </w:p>
    <w:p>
      <w:pPr>
        <w:spacing w:after="0" w:line="200" w:lineRule="exact"/>
        <w:rPr>
          <w:sz w:val="20"/>
          <w:szCs w:val="20"/>
          <w:color w:val="auto"/>
        </w:rPr>
      </w:pP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-123190</wp:posOffset>
            </wp:positionV>
            <wp:extent cx="26993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jc w:val="center"/>
        <w:ind w:right="-399"/>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24765</wp:posOffset>
            </wp:positionV>
            <wp:extent cx="26993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2699385" cy="8255"/>
                    </a:xfrm>
                    <a:prstGeom prst="rect">
                      <a:avLst/>
                    </a:prstGeom>
                    <a:noFill/>
                  </pic:spPr>
                </pic:pic>
              </a:graphicData>
            </a:graphic>
          </wp:anchor>
        </w:drawing>
        <w:drawing>
          <wp:anchor simplePos="0" relativeHeight="251657728" behindDoc="1" locked="0" layoutInCell="0" allowOverlap="1">
            <wp:simplePos x="0" y="0"/>
            <wp:positionH relativeFrom="column">
              <wp:posOffset>3599180</wp:posOffset>
            </wp:positionH>
            <wp:positionV relativeFrom="paragraph">
              <wp:posOffset>-114935</wp:posOffset>
            </wp:positionV>
            <wp:extent cx="269938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[NEW OR EXISTING LENDER INCREASING</w:t>
      </w:r>
    </w:p>
    <w:p>
      <w:pPr>
        <w:spacing w:after="0" w:line="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COMMITMENTS]</w:t>
      </w:r>
    </w:p>
    <w:p>
      <w:pPr>
        <w:spacing w:after="0" w:line="200" w:lineRule="exact"/>
        <w:rPr>
          <w:sz w:val="20"/>
          <w:szCs w:val="20"/>
          <w:color w:val="auto"/>
        </w:rPr>
      </w:pP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-123190</wp:posOffset>
            </wp:positionV>
            <wp:extent cx="26993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jc w:val="center"/>
        <w:ind w:right="-399"/>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24765</wp:posOffset>
            </wp:positionV>
            <wp:extent cx="26993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2699385" cy="8255"/>
                    </a:xfrm>
                    <a:prstGeom prst="rect">
                      <a:avLst/>
                    </a:prstGeom>
                    <a:noFill/>
                  </pic:spPr>
                </pic:pic>
              </a:graphicData>
            </a:graphic>
          </wp:anchor>
        </w:drawing>
        <w:drawing>
          <wp:anchor simplePos="0" relativeHeight="251657728" behindDoc="1" locked="0" layoutInCell="0" allowOverlap="1">
            <wp:simplePos x="0" y="0"/>
            <wp:positionH relativeFrom="column">
              <wp:posOffset>3599180</wp:posOffset>
            </wp:positionH>
            <wp:positionV relativeFrom="paragraph">
              <wp:posOffset>-114935</wp:posOffset>
            </wp:positionV>
            <wp:extent cx="26993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undersigned hereby consents on this __ day of _____________, _____ to the above-requested Commitment Amount Increase.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TRUIST BANK, N.A.,</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as Administrative Agent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-123190</wp:posOffset>
            </wp:positionV>
            <wp:extent cx="251714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25171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24765</wp:posOffset>
            </wp:positionV>
            <wp:extent cx="25171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251714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-114935</wp:posOffset>
            </wp:positionV>
            <wp:extent cx="251714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2517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[Exhibit 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60" w:type="dxa"/>
            <w:vAlign w:val="bottom"/>
            <w:gridSpan w:val="2"/>
          </w:tcPr>
          <w:p>
            <w:pPr>
              <w:ind w:left="980"/>
              <w:spacing w:after="0"/>
              <w:rPr>
                <w:sz w:val="20"/>
                <w:szCs w:val="20"/>
                <w:color w:val="auto"/>
              </w:rPr>
            </w:pPr>
            <w:r>
              <w:rPr>
                <w:rFonts w:ascii="Times New Roman" w:cs="Times New Roman" w:eastAsia="Times New Roman" w:hAnsi="Times New Roman"/>
                <w:sz w:val="17"/>
                <w:szCs w:val="17"/>
                <w:b w:val="1"/>
                <w:bCs w:val="1"/>
                <w:color w:val="auto"/>
              </w:rPr>
              <w:t>EXHIBIT I</w:t>
            </w: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20" w:type="dxa"/>
            <w:vAlign w:val="bottom"/>
            <w:gridSpan w:val="3"/>
          </w:tcPr>
          <w:p>
            <w:pPr>
              <w:ind w:left="2360"/>
              <w:spacing w:after="0"/>
              <w:rPr>
                <w:sz w:val="20"/>
                <w:szCs w:val="20"/>
                <w:color w:val="auto"/>
              </w:rPr>
            </w:pPr>
            <w:r>
              <w:rPr>
                <w:rFonts w:ascii="Times New Roman" w:cs="Times New Roman" w:eastAsia="Times New Roman" w:hAnsi="Times New Roman"/>
                <w:sz w:val="17"/>
                <w:szCs w:val="17"/>
                <w:b w:val="1"/>
                <w:bCs w:val="1"/>
                <w:color w:val="FF0000"/>
                <w:strike w:val="1"/>
              </w:rPr>
              <w:t>BORROWING BASE CERTIFICATE</w:t>
            </w:r>
          </w:p>
        </w:tc>
        <w:tc>
          <w:tcPr>
            <w:tcW w:w="1060" w:type="dxa"/>
            <w:vAlign w:val="bottom"/>
            <w:tcBorders>
              <w:bottom w:val="single" w:sz="8" w:color="4472C4"/>
            </w:tcBorders>
          </w:tcPr>
          <w:p>
            <w:pPr>
              <w:ind w:left="20"/>
              <w:spacing w:after="0"/>
              <w:rPr>
                <w:sz w:val="20"/>
                <w:szCs w:val="20"/>
                <w:color w:val="auto"/>
              </w:rPr>
            </w:pPr>
            <w:r>
              <w:rPr>
                <w:rFonts w:ascii="Times New Roman" w:cs="Times New Roman" w:eastAsia="Times New Roman" w:hAnsi="Times New Roman"/>
                <w:sz w:val="17"/>
                <w:szCs w:val="17"/>
                <w:b w:val="1"/>
                <w:bCs w:val="1"/>
                <w:color w:val="4472C4"/>
                <w:w w:val="98"/>
              </w:rPr>
              <w:t>[RESERVED]</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FF0000"/>
                <w:strike w:val="1"/>
                <w:w w:val="92"/>
              </w:rPr>
              <w:t>To:</w:t>
            </w:r>
          </w:p>
        </w:tc>
        <w:tc>
          <w:tcPr>
            <w:tcW w:w="400" w:type="dxa"/>
            <w:vAlign w:val="bottom"/>
          </w:tcPr>
          <w:p>
            <w:pPr>
              <w:spacing w:after="0" w:line="20" w:lineRule="exact"/>
              <w:rPr>
                <w:sz w:val="1"/>
                <w:szCs w:val="1"/>
                <w:color w:val="auto"/>
              </w:rPr>
            </w:pPr>
          </w:p>
        </w:tc>
        <w:tc>
          <w:tcPr>
            <w:tcW w:w="2600" w:type="dxa"/>
            <w:vAlign w:val="bottom"/>
            <w:vMerge w:val="restart"/>
          </w:tcPr>
          <w:p>
            <w:pPr>
              <w:spacing w:after="0"/>
              <w:rPr>
                <w:sz w:val="20"/>
                <w:szCs w:val="20"/>
                <w:color w:val="auto"/>
              </w:rPr>
            </w:pPr>
            <w:r>
              <w:rPr>
                <w:rFonts w:ascii="Times New Roman" w:cs="Times New Roman" w:eastAsia="Times New Roman" w:hAnsi="Times New Roman"/>
                <w:sz w:val="17"/>
                <w:szCs w:val="17"/>
                <w:color w:val="FF0000"/>
                <w:strike w:val="1"/>
              </w:rPr>
              <w:t>Truist Bank, N.A., as Administrative</w:t>
            </w: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Borders>
              <w:bottom w:val="single" w:sz="8" w:color="4472C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32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FF0000"/>
                <w:strike w:val="1"/>
              </w:rPr>
              <w:t>Agent under, and the Lenders party to, the</w:t>
            </w:r>
          </w:p>
        </w:tc>
        <w:tc>
          <w:tcPr>
            <w:tcW w:w="3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0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FF0000"/>
                <w:strike w:val="1"/>
              </w:rPr>
              <w:t>Credit Agreement described below.</w:t>
            </w:r>
          </w:p>
        </w:tc>
        <w:tc>
          <w:tcPr>
            <w:tcW w:w="36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17"/>
          <w:szCs w:val="17"/>
          <w:color w:val="FF0000"/>
          <w:strike w:val="1"/>
        </w:rPr>
        <w:t xml:space="preserve">Pursuant to the terms of the Credit Agreement dated as of May 21, 2021, as amended, among us (the </w:t>
      </w:r>
      <w:r>
        <w:rPr>
          <w:rFonts w:ascii="Times New Roman" w:cs="Times New Roman" w:eastAsia="Times New Roman" w:hAnsi="Times New Roman"/>
          <w:sz w:val="17"/>
          <w:szCs w:val="17"/>
          <w:i w:val="1"/>
          <w:iCs w:val="1"/>
          <w:color w:val="FF0000"/>
          <w:strike w:val="1"/>
        </w:rPr>
        <w:t>“Credit Agreement”</w:t>
      </w:r>
      <w:r>
        <w:rPr>
          <w:rFonts w:ascii="Times New Roman" w:cs="Times New Roman" w:eastAsia="Times New Roman" w:hAnsi="Times New Roman"/>
          <w:sz w:val="17"/>
          <w:szCs w:val="17"/>
          <w:color w:val="FF0000"/>
          <w:strike w:val="1"/>
        </w:rPr>
        <w:t>), we submit this Borrowing Base Certificate to you and certify that the calculation of the Borrowing Base set forth below and on any Exhibits to this Certificate is true, correct and complete as of the Borrowing Base Determination Date.</w:t>
      </w:r>
    </w:p>
    <w:p>
      <w:pPr>
        <w:spacing w:after="0" w:line="162" w:lineRule="exact"/>
        <w:rPr>
          <w:sz w:val="20"/>
          <w:szCs w:val="20"/>
          <w:color w:val="auto"/>
        </w:rPr>
      </w:pPr>
    </w:p>
    <w:p>
      <w:pPr>
        <w:ind w:left="1260" w:hanging="629"/>
        <w:spacing w:after="0"/>
        <w:tabs>
          <w:tab w:leader="none" w:pos="1260" w:val="left"/>
        </w:tabs>
        <w:numPr>
          <w:ilvl w:val="0"/>
          <w:numId w:val="17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Borrowing Base Determination Date: __________________ ____, 20___.</w:t>
      </w:r>
    </w:p>
    <w:p>
      <w:pPr>
        <w:spacing w:after="0" w:line="221" w:lineRule="exact"/>
        <w:rPr>
          <w:rFonts w:ascii="Times New Roman" w:cs="Times New Roman" w:eastAsia="Times New Roman" w:hAnsi="Times New Roman"/>
          <w:sz w:val="17"/>
          <w:szCs w:val="17"/>
          <w:color w:val="FF0000"/>
          <w:strike w:val="1"/>
        </w:rPr>
      </w:pPr>
    </w:p>
    <w:p>
      <w:pPr>
        <w:ind w:left="1260" w:hanging="629"/>
        <w:spacing w:after="0"/>
        <w:tabs>
          <w:tab w:leader="none" w:pos="1260" w:val="left"/>
        </w:tabs>
        <w:numPr>
          <w:ilvl w:val="0"/>
          <w:numId w:val="17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The Adjusted Borrowing Base and the Borrowing Base as of the Borrowing Base Determination Date is calculated as:</w:t>
      </w:r>
    </w:p>
    <w:p>
      <w:pPr>
        <w:spacing w:after="0" w:line="235" w:lineRule="exact"/>
        <w:rPr>
          <w:sz w:val="20"/>
          <w:szCs w:val="20"/>
          <w:color w:val="auto"/>
        </w:rPr>
      </w:pPr>
    </w:p>
    <w:tbl>
      <w:tblPr>
        <w:tblLayout w:type="fixed"/>
        <w:tblInd w:w="1100" w:type="dxa"/>
        <w:tblCellMar>
          <w:top w:w="0" w:type="dxa"/>
          <w:left w:w="0" w:type="dxa"/>
          <w:bottom w:w="0" w:type="dxa"/>
          <w:right w:w="0" w:type="dxa"/>
        </w:tblCellMar>
      </w:tblPr>
      <w:tr>
        <w:trPr>
          <w:trHeight w:val="209"/>
        </w:trPr>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FF0000"/>
                <w:strike w:val="1"/>
                <w:w w:val="78"/>
              </w:rPr>
              <w:t>1.</w:t>
            </w:r>
          </w:p>
        </w:tc>
        <w:tc>
          <w:tcPr>
            <w:tcW w:w="352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60% of the Borrowing Base Value as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rPr>
              <w:t>$_________________</w:t>
            </w:r>
          </w:p>
        </w:tc>
      </w:tr>
      <w:tr>
        <w:trPr>
          <w:trHeight w:val="227"/>
        </w:trPr>
        <w:tc>
          <w:tcPr>
            <w:tcW w:w="38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calculated on Exhibit A hereto</w:t>
            </w:r>
          </w:p>
        </w:tc>
        <w:tc>
          <w:tcPr>
            <w:tcW w:w="1680" w:type="dxa"/>
            <w:vAlign w:val="bottom"/>
          </w:tcPr>
          <w:p>
            <w:pPr>
              <w:spacing w:after="0"/>
              <w:rPr>
                <w:sz w:val="19"/>
                <w:szCs w:val="19"/>
                <w:color w:val="auto"/>
              </w:rPr>
            </w:pPr>
          </w:p>
        </w:tc>
      </w:tr>
      <w:tr>
        <w:trPr>
          <w:trHeight w:val="295"/>
        </w:trPr>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FF0000"/>
                <w:strike w:val="1"/>
                <w:w w:val="78"/>
              </w:rPr>
              <w:t>2.</w:t>
            </w:r>
          </w:p>
        </w:tc>
        <w:tc>
          <w:tcPr>
            <w:tcW w:w="352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Debt Service Coverage Amount as calculated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rPr>
              <w:t>$_________________</w:t>
            </w:r>
          </w:p>
        </w:tc>
      </w:tr>
      <w:tr>
        <w:trPr>
          <w:trHeight w:val="227"/>
        </w:trPr>
        <w:tc>
          <w:tcPr>
            <w:tcW w:w="38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on Exhibit B hereto</w:t>
            </w:r>
          </w:p>
        </w:tc>
        <w:tc>
          <w:tcPr>
            <w:tcW w:w="1680" w:type="dxa"/>
            <w:vAlign w:val="bottom"/>
          </w:tcPr>
          <w:p>
            <w:pPr>
              <w:spacing w:after="0"/>
              <w:rPr>
                <w:sz w:val="19"/>
                <w:szCs w:val="19"/>
                <w:color w:val="auto"/>
              </w:rPr>
            </w:pPr>
          </w:p>
        </w:tc>
      </w:tr>
      <w:tr>
        <w:trPr>
          <w:trHeight w:val="293"/>
        </w:trPr>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FF0000"/>
                <w:strike w:val="1"/>
                <w:w w:val="78"/>
              </w:rPr>
              <w:t>3.</w:t>
            </w:r>
          </w:p>
        </w:tc>
        <w:tc>
          <w:tcPr>
            <w:tcW w:w="352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 xml:space="preserve">The </w:t>
            </w:r>
            <w:r>
              <w:rPr>
                <w:rFonts w:ascii="Times New Roman" w:cs="Times New Roman" w:eastAsia="Times New Roman" w:hAnsi="Times New Roman"/>
                <w:sz w:val="17"/>
                <w:szCs w:val="17"/>
                <w:i w:val="1"/>
                <w:iCs w:val="1"/>
                <w:color w:val="FF0000"/>
                <w:strike w:val="1"/>
              </w:rPr>
              <w:t>lesser</w:t>
            </w:r>
            <w:r>
              <w:rPr>
                <w:rFonts w:ascii="Times New Roman" w:cs="Times New Roman" w:eastAsia="Times New Roman" w:hAnsi="Times New Roman"/>
                <w:sz w:val="17"/>
                <w:szCs w:val="17"/>
                <w:color w:val="FF0000"/>
                <w:strike w:val="1"/>
              </w:rPr>
              <w:t xml:space="preserve"> of Line 1 and Line 2 (the</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rPr>
              <w:t>$_________________</w:t>
            </w:r>
          </w:p>
        </w:tc>
      </w:tr>
      <w:tr>
        <w:trPr>
          <w:trHeight w:val="229"/>
        </w:trPr>
        <w:tc>
          <w:tcPr>
            <w:tcW w:w="38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FF0000"/>
                <w:strike w:val="1"/>
              </w:rPr>
              <w:t>“Borrowing Base”</w:t>
            </w:r>
            <w:r>
              <w:rPr>
                <w:rFonts w:ascii="Times New Roman" w:cs="Times New Roman" w:eastAsia="Times New Roman" w:hAnsi="Times New Roman"/>
                <w:sz w:val="17"/>
                <w:szCs w:val="17"/>
                <w:color w:val="FF0000"/>
                <w:strike w:val="1"/>
              </w:rPr>
              <w:t>)</w:t>
            </w:r>
          </w:p>
        </w:tc>
        <w:tc>
          <w:tcPr>
            <w:tcW w:w="1680" w:type="dxa"/>
            <w:vAlign w:val="bottom"/>
          </w:tcPr>
          <w:p>
            <w:pPr>
              <w:spacing w:after="0"/>
              <w:rPr>
                <w:sz w:val="19"/>
                <w:szCs w:val="19"/>
                <w:color w:val="auto"/>
              </w:rPr>
            </w:pPr>
          </w:p>
        </w:tc>
      </w:tr>
      <w:tr>
        <w:trPr>
          <w:trHeight w:val="295"/>
        </w:trPr>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FF0000"/>
                <w:strike w:val="1"/>
                <w:w w:val="78"/>
              </w:rPr>
              <w:t>4.</w:t>
            </w:r>
          </w:p>
        </w:tc>
        <w:tc>
          <w:tcPr>
            <w:tcW w:w="352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Aggregate Other Unsecured Indebtedness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rPr>
              <w:t>$_________________</w:t>
            </w:r>
          </w:p>
        </w:tc>
      </w:tr>
      <w:tr>
        <w:trPr>
          <w:trHeight w:val="227"/>
        </w:trPr>
        <w:tc>
          <w:tcPr>
            <w:tcW w:w="38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Times New Roman" w:cs="Times New Roman" w:eastAsia="Times New Roman" w:hAnsi="Times New Roman"/>
                <w:sz w:val="17"/>
                <w:szCs w:val="17"/>
                <w:color w:val="FF0000"/>
                <w:strike w:val="1"/>
              </w:rPr>
              <w:t>outstanding</w:t>
            </w:r>
          </w:p>
        </w:tc>
        <w:tc>
          <w:tcPr>
            <w:tcW w:w="1680" w:type="dxa"/>
            <w:vAlign w:val="bottom"/>
          </w:tcPr>
          <w:p>
            <w:pPr>
              <w:spacing w:after="0"/>
              <w:rPr>
                <w:sz w:val="19"/>
                <w:szCs w:val="19"/>
                <w:color w:val="auto"/>
              </w:rPr>
            </w:pPr>
          </w:p>
        </w:tc>
      </w:tr>
    </w:tbl>
    <w:p>
      <w:pPr>
        <w:spacing w:after="0" w:line="190" w:lineRule="exact"/>
        <w:rPr>
          <w:sz w:val="20"/>
          <w:szCs w:val="20"/>
          <w:color w:val="auto"/>
        </w:rPr>
      </w:pPr>
    </w:p>
    <w:p>
      <w:pPr>
        <w:ind w:left="1720" w:right="5720" w:hanging="626"/>
        <w:spacing w:after="0" w:line="294" w:lineRule="auto"/>
        <w:tabs>
          <w:tab w:leader="none" w:pos="1720" w:val="left"/>
        </w:tabs>
        <w:numPr>
          <w:ilvl w:val="0"/>
          <w:numId w:val="17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Line 3 minus Line 4 (the “Adjusted Borrowing Base”)</w:t>
      </w:r>
    </w:p>
    <w:p>
      <w:pPr>
        <w:spacing w:after="0" w:line="4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FF0000"/>
          <w:strike w:val="1"/>
        </w:rPr>
        <w:t>$_________________</w:t>
      </w: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The foregoing certifications, together with the computations set forth in Schedule I hereto are made and delivered this ______ day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__________________ 20___.</w:t>
      </w:r>
    </w:p>
    <w:p>
      <w:pPr>
        <w:spacing w:after="0" w:line="2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FF0000"/>
          <w:strike w:val="1"/>
        </w:rPr>
        <w:t>ALPINE INCOME PROPERTY OP, LP</w:t>
      </w:r>
    </w:p>
    <w:p>
      <w:pPr>
        <w:spacing w:after="0" w:line="200" w:lineRule="exact"/>
        <w:rPr>
          <w:sz w:val="20"/>
          <w:szCs w:val="20"/>
          <w:color w:val="auto"/>
        </w:rPr>
      </w:pP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FF0000"/>
          <w:strike w:val="1"/>
        </w:rPr>
        <w:t>By:</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FF0000"/>
          <w:strike w:val="1"/>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-123190</wp:posOffset>
            </wp:positionV>
            <wp:extent cx="26993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jc w:val="center"/>
        <w:ind w:right="-399"/>
        <w:spacing w:after="0"/>
        <w:rPr>
          <w:sz w:val="20"/>
          <w:szCs w:val="20"/>
          <w:color w:val="auto"/>
        </w:rPr>
      </w:pPr>
      <w:r>
        <w:rPr>
          <w:rFonts w:ascii="Times New Roman" w:cs="Times New Roman" w:eastAsia="Times New Roman" w:hAnsi="Times New Roman"/>
          <w:sz w:val="17"/>
          <w:szCs w:val="17"/>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24765</wp:posOffset>
            </wp:positionV>
            <wp:extent cx="26993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2699385" cy="8255"/>
                    </a:xfrm>
                    <a:prstGeom prst="rect">
                      <a:avLst/>
                    </a:prstGeom>
                    <a:noFill/>
                  </pic:spPr>
                </pic:pic>
              </a:graphicData>
            </a:graphic>
          </wp:anchor>
        </w:drawing>
        <w:drawing>
          <wp:anchor simplePos="0" relativeHeight="251657728" behindDoc="1" locked="0" layoutInCell="0" allowOverlap="1">
            <wp:simplePos x="0" y="0"/>
            <wp:positionH relativeFrom="column">
              <wp:posOffset>3599180</wp:posOffset>
            </wp:positionH>
            <wp:positionV relativeFrom="paragraph">
              <wp:posOffset>-114935</wp:posOffset>
            </wp:positionV>
            <wp:extent cx="26993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[Exhibit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1058" w:right="99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7"/>
          <w:szCs w:val="17"/>
          <w:b w:val="1"/>
          <w:bCs w:val="1"/>
          <w:color w:val="FF0000"/>
          <w:strike w:val="1"/>
        </w:rPr>
        <w:t>EXHIBIT A TO BORROWING BASE CERTIFICATE</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C6234"/>
          <w:strike w:val="1"/>
        </w:rPr>
        <w:t>OF ALPINE INCOME PROPERTY OP, LP</w:t>
      </w:r>
    </w:p>
    <w:p>
      <w:pPr>
        <w:spacing w:after="0" w:line="13" w:lineRule="exact"/>
        <w:rPr>
          <w:sz w:val="20"/>
          <w:szCs w:val="20"/>
          <w:color w:val="auto"/>
        </w:rPr>
      </w:pPr>
    </w:p>
    <w:p>
      <w:pPr>
        <w:ind w:firstLine="626"/>
        <w:spacing w:after="0" w:line="256" w:lineRule="auto"/>
        <w:rPr>
          <w:sz w:val="20"/>
          <w:szCs w:val="20"/>
          <w:color w:val="auto"/>
        </w:rPr>
      </w:pPr>
      <w:r>
        <w:rPr>
          <w:rFonts w:ascii="Times New Roman" w:cs="Times New Roman" w:eastAsia="Times New Roman" w:hAnsi="Times New Roman"/>
          <w:sz w:val="17"/>
          <w:szCs w:val="17"/>
          <w:color w:val="FF0000"/>
          <w:strike w:val="1"/>
        </w:rPr>
        <w:t>This Exhibit A is attached to the Borrowing Base Certificate of Alpine Income Property OP, LP for the Borrowing Base Determination Date of ___________ ____, 20___ and delivered to Truist Bank, N.A., as Administrative Agent, and the Lenders party to the</w:t>
      </w:r>
    </w:p>
    <w:p>
      <w:pPr>
        <w:spacing w:after="0" w:line="272" w:lineRule="auto"/>
        <w:rPr>
          <w:sz w:val="20"/>
          <w:szCs w:val="20"/>
          <w:color w:val="auto"/>
        </w:rPr>
      </w:pPr>
      <w:r>
        <w:rPr>
          <w:rFonts w:ascii="Times New Roman" w:cs="Times New Roman" w:eastAsia="Times New Roman" w:hAnsi="Times New Roman"/>
          <w:sz w:val="17"/>
          <w:szCs w:val="17"/>
          <w:color w:val="FF0000"/>
          <w:strike w:val="1"/>
        </w:rPr>
        <w:t>Credit Agreement dated May 21, 2021, as amended, referred to therein. The undersigned hereby certifies that the following is a true, correct and complete calculation of Borrowing Base Value as of the Borrowing Base Determination Date set forth above:</w:t>
      </w:r>
    </w:p>
    <w:p>
      <w:pPr>
        <w:spacing w:after="0" w:line="165" w:lineRule="exact"/>
        <w:rPr>
          <w:sz w:val="20"/>
          <w:szCs w:val="20"/>
          <w:color w:val="auto"/>
        </w:rPr>
      </w:pPr>
    </w:p>
    <w:p>
      <w:pPr>
        <w:ind w:right="3800" w:firstLine="626"/>
        <w:spacing w:after="0" w:line="517" w:lineRule="auto"/>
        <w:rPr>
          <w:sz w:val="20"/>
          <w:szCs w:val="20"/>
          <w:color w:val="auto"/>
        </w:rPr>
      </w:pPr>
      <w:r>
        <w:rPr>
          <w:rFonts w:ascii="Times New Roman" w:cs="Times New Roman" w:eastAsia="Times New Roman" w:hAnsi="Times New Roman"/>
          <w:sz w:val="17"/>
          <w:szCs w:val="17"/>
          <w:color w:val="2C6234"/>
          <w:strike w:val="1"/>
        </w:rPr>
        <w:t xml:space="preserve">[Insert Calculation or attach Schedule with exclusions for concentration limits] </w:t>
      </w:r>
      <w:r>
        <w:rPr>
          <w:rFonts w:ascii="Times New Roman" w:cs="Times New Roman" w:eastAsia="Times New Roman" w:hAnsi="Times New Roman"/>
          <w:sz w:val="17"/>
          <w:szCs w:val="17"/>
          <w:color w:val="FF0000"/>
          <w:strike w:val="1"/>
        </w:rPr>
        <w:t>BORROWING BASE VALUE OF ALL ELIGIBLE PROPERTIES: $__________ BORROWING BASE REQUIREMENTS:</w:t>
      </w:r>
    </w:p>
    <w:p>
      <w:pPr>
        <w:spacing w:after="0" w:line="1" w:lineRule="exact"/>
        <w:rPr>
          <w:sz w:val="20"/>
          <w:szCs w:val="20"/>
          <w:color w:val="auto"/>
        </w:rPr>
      </w:pPr>
    </w:p>
    <w:p>
      <w:pPr>
        <w:ind w:left="640" w:hanging="635"/>
        <w:spacing w:after="0"/>
        <w:tabs>
          <w:tab w:leader="none" w:pos="640" w:val="left"/>
        </w:tabs>
        <w:numPr>
          <w:ilvl w:val="0"/>
          <w:numId w:val="173"/>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Number of Properties</w:t>
      </w:r>
    </w:p>
    <w:p>
      <w:pPr>
        <w:spacing w:after="0" w:line="222" w:lineRule="exact"/>
        <w:rPr>
          <w:sz w:val="20"/>
          <w:szCs w:val="20"/>
          <w:color w:val="auto"/>
        </w:rPr>
      </w:pPr>
    </w:p>
    <w:p>
      <w:pPr>
        <w:ind w:left="640"/>
        <w:spacing w:after="0"/>
        <w:tabs>
          <w:tab w:leader="none" w:pos="1240" w:val="left"/>
          <w:tab w:leader="none" w:pos="8580" w:val="left"/>
        </w:tabs>
        <w:rPr>
          <w:sz w:val="20"/>
          <w:szCs w:val="20"/>
          <w:color w:val="auto"/>
        </w:rPr>
      </w:pPr>
      <w:r>
        <w:rPr>
          <w:rFonts w:ascii="Times New Roman" w:cs="Times New Roman" w:eastAsia="Times New Roman" w:hAnsi="Times New Roman"/>
          <w:sz w:val="17"/>
          <w:szCs w:val="17"/>
          <w:color w:val="FF0000"/>
          <w:strike w:val="1"/>
        </w:rPr>
        <w:t>1.</w:t>
      </w:r>
      <w:r>
        <w:rPr>
          <w:sz w:val="20"/>
          <w:szCs w:val="20"/>
          <w:color w:val="auto"/>
        </w:rPr>
        <w:tab/>
      </w:r>
      <w:r>
        <w:rPr>
          <w:rFonts w:ascii="Times New Roman" w:cs="Times New Roman" w:eastAsia="Times New Roman" w:hAnsi="Times New Roman"/>
          <w:sz w:val="17"/>
          <w:szCs w:val="17"/>
          <w:color w:val="FF0000"/>
          <w:strike w:val="1"/>
        </w:rPr>
        <w:t>The number of Eligible Properties</w:t>
      </w:r>
      <w:r>
        <w:rPr>
          <w:sz w:val="20"/>
          <w:szCs w:val="20"/>
          <w:color w:val="auto"/>
        </w:rPr>
        <w:tab/>
      </w:r>
      <w:r>
        <w:rPr>
          <w:rFonts w:ascii="Times New Roman" w:cs="Times New Roman" w:eastAsia="Times New Roman" w:hAnsi="Times New Roman"/>
          <w:sz w:val="17"/>
          <w:szCs w:val="17"/>
          <w:color w:val="FF0000"/>
          <w:strike w:val="1"/>
        </w:rPr>
        <w:t>___________</w:t>
      </w:r>
    </w:p>
    <w:p>
      <w:pPr>
        <w:spacing w:after="0" w:line="222" w:lineRule="exact"/>
        <w:rPr>
          <w:sz w:val="20"/>
          <w:szCs w:val="20"/>
          <w:color w:val="auto"/>
        </w:rPr>
      </w:pPr>
    </w:p>
    <w:p>
      <w:pPr>
        <w:ind w:left="1260" w:hanging="629"/>
        <w:spacing w:after="0"/>
        <w:tabs>
          <w:tab w:leader="none" w:pos="1260" w:val="left"/>
        </w:tabs>
        <w:numPr>
          <w:ilvl w:val="0"/>
          <w:numId w:val="17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Line A1 shall not be less than 10</w:t>
      </w:r>
    </w:p>
    <w:p>
      <w:pPr>
        <w:spacing w:after="0" w:line="222" w:lineRule="exact"/>
        <w:rPr>
          <w:sz w:val="20"/>
          <w:szCs w:val="20"/>
          <w:color w:val="auto"/>
        </w:rPr>
      </w:pPr>
    </w:p>
    <w:p>
      <w:pPr>
        <w:ind w:left="640"/>
        <w:spacing w:after="0"/>
        <w:tabs>
          <w:tab w:leader="none" w:pos="1240" w:val="left"/>
          <w:tab w:leader="none" w:pos="8820" w:val="left"/>
        </w:tabs>
        <w:rPr>
          <w:sz w:val="20"/>
          <w:szCs w:val="20"/>
          <w:color w:val="auto"/>
        </w:rPr>
      </w:pPr>
      <w:r>
        <w:rPr>
          <w:rFonts w:ascii="Times New Roman" w:cs="Times New Roman" w:eastAsia="Times New Roman" w:hAnsi="Times New Roman"/>
          <w:sz w:val="17"/>
          <w:szCs w:val="17"/>
          <w:color w:val="FF0000"/>
          <w:strike w:val="1"/>
        </w:rPr>
        <w:t>3.</w:t>
      </w:r>
      <w:r>
        <w:rPr>
          <w:sz w:val="20"/>
          <w:szCs w:val="20"/>
          <w:color w:val="auto"/>
        </w:rPr>
        <w:tab/>
      </w:r>
      <w:r>
        <w:rPr>
          <w:rFonts w:ascii="Times New Roman" w:cs="Times New Roman" w:eastAsia="Times New Roman" w:hAnsi="Times New Roman"/>
          <w:sz w:val="17"/>
          <w:szCs w:val="17"/>
          <w:color w:val="FF0000"/>
          <w:strike w:val="1"/>
        </w:rPr>
        <w:t>The Borrower is in compliance (circle yes or no)</w:t>
      </w:r>
      <w:r>
        <w:rPr>
          <w:sz w:val="20"/>
          <w:szCs w:val="20"/>
          <w:color w:val="auto"/>
        </w:rPr>
        <w:tab/>
      </w:r>
      <w:r>
        <w:rPr>
          <w:rFonts w:ascii="Times New Roman" w:cs="Times New Roman" w:eastAsia="Times New Roman" w:hAnsi="Times New Roman"/>
          <w:sz w:val="17"/>
          <w:szCs w:val="17"/>
          <w:color w:val="FF0000"/>
          <w:strike w:val="1"/>
        </w:rPr>
        <w:t>yes/no</w:t>
      </w:r>
    </w:p>
    <w:p>
      <w:pPr>
        <w:spacing w:after="0" w:line="222" w:lineRule="exact"/>
        <w:rPr>
          <w:sz w:val="20"/>
          <w:szCs w:val="20"/>
          <w:color w:val="auto"/>
        </w:rPr>
      </w:pPr>
    </w:p>
    <w:p>
      <w:pPr>
        <w:ind w:left="640" w:hanging="635"/>
        <w:spacing w:after="0"/>
        <w:tabs>
          <w:tab w:leader="none" w:pos="640" w:val="left"/>
        </w:tabs>
        <w:numPr>
          <w:ilvl w:val="0"/>
          <w:numId w:val="17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Borrowing Base Value</w:t>
      </w:r>
    </w:p>
    <w:p>
      <w:pPr>
        <w:spacing w:after="0" w:line="222" w:lineRule="exact"/>
        <w:rPr>
          <w:sz w:val="20"/>
          <w:szCs w:val="20"/>
          <w:color w:val="auto"/>
        </w:rPr>
      </w:pPr>
    </w:p>
    <w:p>
      <w:pPr>
        <w:ind w:left="640"/>
        <w:spacing w:after="0"/>
        <w:tabs>
          <w:tab w:leader="none" w:pos="1240" w:val="left"/>
          <w:tab w:leader="none" w:pos="8540" w:val="left"/>
        </w:tabs>
        <w:rPr>
          <w:sz w:val="20"/>
          <w:szCs w:val="20"/>
          <w:color w:val="auto"/>
        </w:rPr>
      </w:pPr>
      <w:r>
        <w:rPr>
          <w:rFonts w:ascii="Times New Roman" w:cs="Times New Roman" w:eastAsia="Times New Roman" w:hAnsi="Times New Roman"/>
          <w:sz w:val="17"/>
          <w:szCs w:val="17"/>
          <w:color w:val="FF0000"/>
          <w:strike w:val="1"/>
        </w:rPr>
        <w:t>1.</w:t>
      </w:r>
      <w:r>
        <w:rPr>
          <w:sz w:val="20"/>
          <w:szCs w:val="20"/>
          <w:color w:val="auto"/>
        </w:rPr>
        <w:tab/>
      </w:r>
      <w:r>
        <w:rPr>
          <w:rFonts w:ascii="Times New Roman" w:cs="Times New Roman" w:eastAsia="Times New Roman" w:hAnsi="Times New Roman"/>
          <w:sz w:val="17"/>
          <w:szCs w:val="17"/>
          <w:color w:val="FF0000"/>
          <w:strike w:val="1"/>
        </w:rPr>
        <w:t>Borrowing Base Value</w:t>
      </w:r>
      <w:r>
        <w:rPr>
          <w:sz w:val="20"/>
          <w:szCs w:val="20"/>
          <w:color w:val="auto"/>
        </w:rPr>
        <w:tab/>
      </w:r>
      <w:r>
        <w:rPr>
          <w:rFonts w:ascii="Times New Roman" w:cs="Times New Roman" w:eastAsia="Times New Roman" w:hAnsi="Times New Roman"/>
          <w:sz w:val="17"/>
          <w:szCs w:val="17"/>
          <w:color w:val="FF0000"/>
          <w:strike w:val="1"/>
        </w:rPr>
        <w:t>$___________</w:t>
      </w:r>
    </w:p>
    <w:p>
      <w:pPr>
        <w:spacing w:after="0" w:line="222" w:lineRule="exact"/>
        <w:rPr>
          <w:sz w:val="20"/>
          <w:szCs w:val="20"/>
          <w:color w:val="auto"/>
        </w:rPr>
      </w:pPr>
    </w:p>
    <w:p>
      <w:pPr>
        <w:ind w:left="1260" w:hanging="629"/>
        <w:spacing w:after="0"/>
        <w:tabs>
          <w:tab w:leader="none" w:pos="1260" w:val="left"/>
        </w:tabs>
        <w:numPr>
          <w:ilvl w:val="0"/>
          <w:numId w:val="17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Line B1 shall not be less than $100,000,000</w:t>
      </w:r>
    </w:p>
    <w:p>
      <w:pPr>
        <w:spacing w:after="0" w:line="222" w:lineRule="exact"/>
        <w:rPr>
          <w:sz w:val="20"/>
          <w:szCs w:val="20"/>
          <w:color w:val="auto"/>
        </w:rPr>
      </w:pPr>
    </w:p>
    <w:p>
      <w:pPr>
        <w:ind w:left="640"/>
        <w:spacing w:after="0"/>
        <w:tabs>
          <w:tab w:leader="none" w:pos="1240" w:val="left"/>
          <w:tab w:leader="none" w:pos="8820" w:val="left"/>
        </w:tabs>
        <w:rPr>
          <w:sz w:val="20"/>
          <w:szCs w:val="20"/>
          <w:color w:val="auto"/>
        </w:rPr>
      </w:pPr>
      <w:r>
        <w:rPr>
          <w:rFonts w:ascii="Times New Roman" w:cs="Times New Roman" w:eastAsia="Times New Roman" w:hAnsi="Times New Roman"/>
          <w:sz w:val="17"/>
          <w:szCs w:val="17"/>
          <w:color w:val="FF0000"/>
          <w:strike w:val="1"/>
        </w:rPr>
        <w:t>3.</w:t>
      </w:r>
      <w:r>
        <w:rPr>
          <w:sz w:val="20"/>
          <w:szCs w:val="20"/>
          <w:color w:val="auto"/>
        </w:rPr>
        <w:tab/>
      </w:r>
      <w:r>
        <w:rPr>
          <w:rFonts w:ascii="Times New Roman" w:cs="Times New Roman" w:eastAsia="Times New Roman" w:hAnsi="Times New Roman"/>
          <w:sz w:val="17"/>
          <w:szCs w:val="17"/>
          <w:color w:val="FF0000"/>
          <w:strike w:val="1"/>
        </w:rPr>
        <w:t>The Borrower is in compliance (circle yes or no)</w:t>
      </w:r>
      <w:r>
        <w:rPr>
          <w:sz w:val="20"/>
          <w:szCs w:val="20"/>
          <w:color w:val="auto"/>
        </w:rPr>
        <w:tab/>
      </w:r>
      <w:r>
        <w:rPr>
          <w:rFonts w:ascii="Times New Roman" w:cs="Times New Roman" w:eastAsia="Times New Roman" w:hAnsi="Times New Roman"/>
          <w:sz w:val="17"/>
          <w:szCs w:val="17"/>
          <w:color w:val="FF0000"/>
          <w:strike w:val="1"/>
        </w:rPr>
        <w:t>yes/no</w:t>
      </w:r>
    </w:p>
    <w:p>
      <w:pPr>
        <w:spacing w:after="0" w:line="222" w:lineRule="exact"/>
        <w:rPr>
          <w:sz w:val="20"/>
          <w:szCs w:val="20"/>
          <w:color w:val="auto"/>
        </w:rPr>
      </w:pPr>
    </w:p>
    <w:p>
      <w:pPr>
        <w:ind w:left="640" w:hanging="635"/>
        <w:spacing w:after="0"/>
        <w:tabs>
          <w:tab w:leader="none" w:pos="640" w:val="left"/>
        </w:tabs>
        <w:numPr>
          <w:ilvl w:val="0"/>
          <w:numId w:val="177"/>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Non-Retail, Office or Mixed-Use Retail/Office Properties</w:t>
      </w:r>
    </w:p>
    <w:p>
      <w:pPr>
        <w:spacing w:after="0" w:line="222" w:lineRule="exact"/>
        <w:rPr>
          <w:sz w:val="20"/>
          <w:szCs w:val="20"/>
          <w:color w:val="auto"/>
        </w:rPr>
      </w:pPr>
    </w:p>
    <w:p>
      <w:pPr>
        <w:ind w:left="1260" w:hanging="629"/>
        <w:spacing w:after="0"/>
        <w:tabs>
          <w:tab w:leader="none" w:pos="1260" w:val="left"/>
        </w:tabs>
        <w:numPr>
          <w:ilvl w:val="0"/>
          <w:numId w:val="178"/>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Percent of Borrowing Base Value attributable to Non-Retail, Office or Mixed-Use Retail/Office</w:t>
      </w:r>
    </w:p>
    <w:p>
      <w:pPr>
        <w:spacing w:after="0" w:line="31" w:lineRule="exact"/>
        <w:rPr>
          <w:sz w:val="20"/>
          <w:szCs w:val="20"/>
          <w:color w:val="auto"/>
        </w:rPr>
      </w:pPr>
    </w:p>
    <w:p>
      <w:pPr>
        <w:ind w:left="1260"/>
        <w:spacing w:after="0"/>
        <w:tabs>
          <w:tab w:leader="none" w:pos="8500" w:val="left"/>
        </w:tabs>
        <w:rPr>
          <w:sz w:val="20"/>
          <w:szCs w:val="20"/>
          <w:color w:val="auto"/>
        </w:rPr>
      </w:pPr>
      <w:r>
        <w:rPr>
          <w:rFonts w:ascii="Times New Roman" w:cs="Times New Roman" w:eastAsia="Times New Roman" w:hAnsi="Times New Roman"/>
          <w:sz w:val="17"/>
          <w:szCs w:val="17"/>
          <w:color w:val="FF0000"/>
          <w:strike w:val="1"/>
        </w:rPr>
        <w:t>Properties</w:t>
      </w:r>
      <w:r>
        <w:rPr>
          <w:sz w:val="20"/>
          <w:szCs w:val="20"/>
          <w:color w:val="auto"/>
        </w:rPr>
        <w:tab/>
      </w:r>
      <w:r>
        <w:rPr>
          <w:rFonts w:ascii="Times New Roman" w:cs="Times New Roman" w:eastAsia="Times New Roman" w:hAnsi="Times New Roman"/>
          <w:sz w:val="17"/>
          <w:szCs w:val="17"/>
          <w:color w:val="FF0000"/>
          <w:strike w:val="1"/>
        </w:rPr>
        <w:t>___________%</w:t>
      </w:r>
    </w:p>
    <w:p>
      <w:pPr>
        <w:spacing w:after="0" w:line="204" w:lineRule="exact"/>
        <w:rPr>
          <w:sz w:val="20"/>
          <w:szCs w:val="20"/>
          <w:color w:val="auto"/>
        </w:rPr>
      </w:pPr>
    </w:p>
    <w:p>
      <w:pPr>
        <w:ind w:left="1260" w:hanging="629"/>
        <w:spacing w:after="0"/>
        <w:tabs>
          <w:tab w:leader="none" w:pos="1260" w:val="left"/>
        </w:tabs>
        <w:numPr>
          <w:ilvl w:val="0"/>
          <w:numId w:val="179"/>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Line C1 shall not be greater than 20%</w:t>
      </w:r>
    </w:p>
    <w:p>
      <w:pPr>
        <w:spacing w:after="0" w:line="222" w:lineRule="exact"/>
        <w:rPr>
          <w:sz w:val="20"/>
          <w:szCs w:val="20"/>
          <w:color w:val="auto"/>
        </w:rPr>
      </w:pPr>
    </w:p>
    <w:p>
      <w:pPr>
        <w:ind w:left="640"/>
        <w:spacing w:after="0"/>
        <w:tabs>
          <w:tab w:leader="none" w:pos="1240" w:val="left"/>
          <w:tab w:leader="none" w:pos="8820" w:val="left"/>
        </w:tabs>
        <w:rPr>
          <w:sz w:val="20"/>
          <w:szCs w:val="20"/>
          <w:color w:val="auto"/>
        </w:rPr>
      </w:pPr>
      <w:r>
        <w:rPr>
          <w:rFonts w:ascii="Times New Roman" w:cs="Times New Roman" w:eastAsia="Times New Roman" w:hAnsi="Times New Roman"/>
          <w:sz w:val="17"/>
          <w:szCs w:val="17"/>
          <w:color w:val="FF0000"/>
          <w:strike w:val="1"/>
        </w:rPr>
        <w:t>3.</w:t>
      </w:r>
      <w:r>
        <w:rPr>
          <w:sz w:val="20"/>
          <w:szCs w:val="20"/>
          <w:color w:val="auto"/>
        </w:rPr>
        <w:tab/>
      </w:r>
      <w:r>
        <w:rPr>
          <w:rFonts w:ascii="Times New Roman" w:cs="Times New Roman" w:eastAsia="Times New Roman" w:hAnsi="Times New Roman"/>
          <w:sz w:val="17"/>
          <w:szCs w:val="17"/>
          <w:color w:val="FF0000"/>
          <w:strike w:val="1"/>
        </w:rPr>
        <w:t>The Borrower is in compliance (circle yes or no)</w:t>
      </w:r>
      <w:r>
        <w:rPr>
          <w:sz w:val="20"/>
          <w:szCs w:val="20"/>
          <w:color w:val="auto"/>
        </w:rPr>
        <w:tab/>
      </w:r>
      <w:r>
        <w:rPr>
          <w:rFonts w:ascii="Times New Roman" w:cs="Times New Roman" w:eastAsia="Times New Roman" w:hAnsi="Times New Roman"/>
          <w:sz w:val="17"/>
          <w:szCs w:val="17"/>
          <w:color w:val="FF0000"/>
          <w:strike w:val="1"/>
        </w:rPr>
        <w:t>yes/no</w:t>
      </w:r>
    </w:p>
    <w:p>
      <w:pPr>
        <w:spacing w:after="0" w:line="222" w:lineRule="exact"/>
        <w:rPr>
          <w:sz w:val="20"/>
          <w:szCs w:val="20"/>
          <w:color w:val="auto"/>
        </w:rPr>
      </w:pPr>
    </w:p>
    <w:p>
      <w:pPr>
        <w:ind w:left="640" w:hanging="635"/>
        <w:spacing w:after="0"/>
        <w:tabs>
          <w:tab w:leader="none" w:pos="640" w:val="left"/>
        </w:tabs>
        <w:numPr>
          <w:ilvl w:val="0"/>
          <w:numId w:val="180"/>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Individual Eligible Property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[Exhibit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20"/>
          </w:cols>
          <w:pgMar w:left="980" w:top="849" w:right="999" w:bottom="1440" w:gutter="0" w:footer="0" w:header="0"/>
        </w:sectPr>
      </w:pPr>
    </w:p>
    <w:bookmarkStart w:id="207" w:name="page208"/>
    <w:bookmarkEnd w:id="207"/>
    <w:p>
      <w:pPr>
        <w:ind w:left="1255" w:right="1720" w:hanging="629"/>
        <w:spacing w:after="0" w:line="267" w:lineRule="auto"/>
        <w:tabs>
          <w:tab w:leader="none" w:pos="1255" w:val="left"/>
        </w:tabs>
        <w:numPr>
          <w:ilvl w:val="0"/>
          <w:numId w:val="18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The Percentage of Borrowing Base Value of each Eligible Property is set forth [above or on the attached Schedule] and the largest Borrowing Base Value or any Eligible Property is $___________</w:t>
      </w:r>
    </w:p>
    <w:p>
      <w:pPr>
        <w:ind w:left="1255"/>
        <w:spacing w:after="0"/>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for the ___________ Eligible Property.</w:t>
      </w:r>
    </w:p>
    <w:p>
      <w:pPr>
        <w:spacing w:after="0" w:line="203" w:lineRule="exact"/>
        <w:rPr>
          <w:rFonts w:ascii="Times New Roman" w:cs="Times New Roman" w:eastAsia="Times New Roman" w:hAnsi="Times New Roman"/>
          <w:sz w:val="17"/>
          <w:szCs w:val="17"/>
          <w:color w:val="FF0000"/>
          <w:strike w:val="1"/>
        </w:rPr>
      </w:pPr>
    </w:p>
    <w:p>
      <w:pPr>
        <w:ind w:left="1255" w:hanging="629"/>
        <w:spacing w:after="0"/>
        <w:tabs>
          <w:tab w:leader="none" w:pos="1255" w:val="left"/>
        </w:tabs>
        <w:numPr>
          <w:ilvl w:val="0"/>
          <w:numId w:val="18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No Eligible Property comprises more than 25% of Borrowing Base Value</w:t>
      </w:r>
    </w:p>
    <w:p>
      <w:pPr>
        <w:spacing w:after="0" w:line="222" w:lineRule="exact"/>
        <w:rPr>
          <w:sz w:val="20"/>
          <w:szCs w:val="20"/>
          <w:color w:val="auto"/>
        </w:rPr>
      </w:pPr>
    </w:p>
    <w:p>
      <w:pPr>
        <w:ind w:left="635"/>
        <w:spacing w:after="0"/>
        <w:tabs>
          <w:tab w:leader="none" w:pos="1235" w:val="left"/>
          <w:tab w:leader="none" w:pos="8795" w:val="left"/>
        </w:tabs>
        <w:rPr>
          <w:sz w:val="20"/>
          <w:szCs w:val="20"/>
          <w:color w:val="auto"/>
        </w:rPr>
      </w:pPr>
      <w:r>
        <w:rPr>
          <w:rFonts w:ascii="Times New Roman" w:cs="Times New Roman" w:eastAsia="Times New Roman" w:hAnsi="Times New Roman"/>
          <w:sz w:val="17"/>
          <w:szCs w:val="17"/>
          <w:color w:val="FF0000"/>
          <w:strike w:val="1"/>
        </w:rPr>
        <w:t>3.</w:t>
      </w:r>
      <w:r>
        <w:rPr>
          <w:sz w:val="20"/>
          <w:szCs w:val="20"/>
          <w:color w:val="auto"/>
        </w:rPr>
        <w:tab/>
      </w:r>
      <w:r>
        <w:rPr>
          <w:rFonts w:ascii="Times New Roman" w:cs="Times New Roman" w:eastAsia="Times New Roman" w:hAnsi="Times New Roman"/>
          <w:sz w:val="17"/>
          <w:szCs w:val="17"/>
          <w:color w:val="FF0000"/>
          <w:strike w:val="1"/>
        </w:rPr>
        <w:t>The Borrower is in compliance (circle yes or no)</w:t>
      </w:r>
      <w:r>
        <w:rPr>
          <w:sz w:val="20"/>
          <w:szCs w:val="20"/>
          <w:color w:val="auto"/>
        </w:rPr>
        <w:tab/>
      </w:r>
      <w:r>
        <w:rPr>
          <w:rFonts w:ascii="Times New Roman" w:cs="Times New Roman" w:eastAsia="Times New Roman" w:hAnsi="Times New Roman"/>
          <w:sz w:val="16"/>
          <w:szCs w:val="16"/>
          <w:color w:val="FF0000"/>
          <w:strike w:val="1"/>
        </w:rPr>
        <w:t>yes/no</w:t>
      </w:r>
      <w:r>
        <w:rPr>
          <w:rFonts w:ascii="Times New Roman" w:cs="Times New Roman" w:eastAsia="Times New Roman" w:hAnsi="Times New Roman"/>
          <w:sz w:val="24"/>
          <w:szCs w:val="24"/>
          <w:color w:val="FF0000"/>
          <w:strike w:val="1"/>
          <w:vertAlign w:val="superscript"/>
        </w:rPr>
        <w:t>5</w:t>
      </w:r>
    </w:p>
    <w:p>
      <w:pPr>
        <w:spacing w:after="0" w:line="141" w:lineRule="exact"/>
        <w:rPr>
          <w:sz w:val="20"/>
          <w:szCs w:val="20"/>
          <w:color w:val="auto"/>
        </w:rPr>
      </w:pPr>
    </w:p>
    <w:p>
      <w:pPr>
        <w:ind w:left="635" w:hanging="635"/>
        <w:spacing w:after="0"/>
        <w:tabs>
          <w:tab w:leader="none" w:pos="635" w:val="left"/>
        </w:tabs>
        <w:numPr>
          <w:ilvl w:val="0"/>
          <w:numId w:val="18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Single Tenant Borrowing Base Value</w:t>
      </w:r>
    </w:p>
    <w:p>
      <w:pPr>
        <w:spacing w:after="0" w:line="221" w:lineRule="exact"/>
        <w:rPr>
          <w:rFonts w:ascii="Times New Roman" w:cs="Times New Roman" w:eastAsia="Times New Roman" w:hAnsi="Times New Roman"/>
          <w:sz w:val="17"/>
          <w:szCs w:val="17"/>
          <w:color w:val="FF0000"/>
          <w:strike w:val="1"/>
        </w:rPr>
      </w:pPr>
    </w:p>
    <w:p>
      <w:pPr>
        <w:ind w:left="1255" w:right="1840" w:hanging="629"/>
        <w:spacing w:after="0" w:line="267" w:lineRule="auto"/>
        <w:tabs>
          <w:tab w:leader="none" w:pos="1255" w:val="left"/>
        </w:tabs>
        <w:numPr>
          <w:ilvl w:val="1"/>
          <w:numId w:val="18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The largest amount of Borrowing Base Value from a single Tenant that does not maintain a Rating of at least BBB-/Baa3 from S&amp;P or Moody’s, respectively, is $_____________ from</w:t>
      </w:r>
    </w:p>
    <w:p>
      <w:pPr>
        <w:ind w:left="1255"/>
        <w:spacing w:after="0"/>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_____________.</w:t>
      </w:r>
    </w:p>
    <w:p>
      <w:pPr>
        <w:spacing w:after="0" w:line="203" w:lineRule="exact"/>
        <w:rPr>
          <w:rFonts w:ascii="Times New Roman" w:cs="Times New Roman" w:eastAsia="Times New Roman" w:hAnsi="Times New Roman"/>
          <w:sz w:val="17"/>
          <w:szCs w:val="17"/>
          <w:color w:val="FF0000"/>
          <w:strike w:val="1"/>
        </w:rPr>
      </w:pPr>
    </w:p>
    <w:p>
      <w:pPr>
        <w:ind w:left="1255" w:right="2040" w:hanging="629"/>
        <w:spacing w:after="0" w:line="294" w:lineRule="auto"/>
        <w:tabs>
          <w:tab w:leader="none" w:pos="1255" w:val="left"/>
        </w:tabs>
        <w:numPr>
          <w:ilvl w:val="1"/>
          <w:numId w:val="18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No single Tenant that does not maintain a Rating of at least BBB-/Baa3 from S&amp;P or Moody’s, respectively, comprises more than 20% of Borrowing Base Value</w:t>
      </w:r>
    </w:p>
    <w:p>
      <w:pPr>
        <w:spacing w:after="0" w:line="147" w:lineRule="exact"/>
        <w:rPr>
          <w:sz w:val="20"/>
          <w:szCs w:val="20"/>
          <w:color w:val="auto"/>
        </w:rPr>
      </w:pPr>
    </w:p>
    <w:p>
      <w:pPr>
        <w:ind w:left="635"/>
        <w:spacing w:after="0"/>
        <w:tabs>
          <w:tab w:leader="none" w:pos="1235" w:val="left"/>
          <w:tab w:leader="none" w:pos="8795" w:val="left"/>
        </w:tabs>
        <w:rPr>
          <w:sz w:val="20"/>
          <w:szCs w:val="20"/>
          <w:color w:val="auto"/>
        </w:rPr>
      </w:pPr>
      <w:r>
        <w:rPr>
          <w:rFonts w:ascii="Times New Roman" w:cs="Times New Roman" w:eastAsia="Times New Roman" w:hAnsi="Times New Roman"/>
          <w:sz w:val="17"/>
          <w:szCs w:val="17"/>
          <w:color w:val="FF0000"/>
          <w:strike w:val="1"/>
        </w:rPr>
        <w:t>3.</w:t>
      </w:r>
      <w:r>
        <w:rPr>
          <w:sz w:val="20"/>
          <w:szCs w:val="20"/>
          <w:color w:val="auto"/>
        </w:rPr>
        <w:tab/>
      </w:r>
      <w:r>
        <w:rPr>
          <w:rFonts w:ascii="Times New Roman" w:cs="Times New Roman" w:eastAsia="Times New Roman" w:hAnsi="Times New Roman"/>
          <w:sz w:val="17"/>
          <w:szCs w:val="17"/>
          <w:color w:val="FF0000"/>
          <w:strike w:val="1"/>
        </w:rPr>
        <w:t>The Borrower is in compliance (circle yes or no)</w:t>
      </w:r>
      <w:r>
        <w:rPr>
          <w:sz w:val="20"/>
          <w:szCs w:val="20"/>
          <w:color w:val="auto"/>
        </w:rPr>
        <w:tab/>
      </w:r>
      <w:r>
        <w:rPr>
          <w:rFonts w:ascii="Times New Roman" w:cs="Times New Roman" w:eastAsia="Times New Roman" w:hAnsi="Times New Roman"/>
          <w:sz w:val="16"/>
          <w:szCs w:val="16"/>
          <w:color w:val="FF0000"/>
          <w:strike w:val="1"/>
        </w:rPr>
        <w:t>yes/no</w:t>
      </w:r>
      <w:r>
        <w:rPr>
          <w:rFonts w:ascii="Times New Roman" w:cs="Times New Roman" w:eastAsia="Times New Roman" w:hAnsi="Times New Roman"/>
          <w:sz w:val="24"/>
          <w:szCs w:val="24"/>
          <w:color w:val="FF0000"/>
          <w:strike w:val="1"/>
          <w:vertAlign w:val="superscript"/>
        </w:rPr>
        <w:t>6</w:t>
      </w:r>
    </w:p>
    <w:p>
      <w:pPr>
        <w:spacing w:after="0" w:line="141" w:lineRule="exact"/>
        <w:rPr>
          <w:sz w:val="20"/>
          <w:szCs w:val="20"/>
          <w:color w:val="auto"/>
        </w:rPr>
      </w:pPr>
    </w:p>
    <w:p>
      <w:pPr>
        <w:ind w:left="635" w:hanging="635"/>
        <w:spacing w:after="0"/>
        <w:tabs>
          <w:tab w:leader="none" w:pos="635" w:val="left"/>
        </w:tabs>
        <w:numPr>
          <w:ilvl w:val="0"/>
          <w:numId w:val="183"/>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Permitted Ground Lease Investments</w:t>
      </w:r>
    </w:p>
    <w:p>
      <w:pPr>
        <w:spacing w:after="0" w:line="222" w:lineRule="exact"/>
        <w:rPr>
          <w:sz w:val="20"/>
          <w:szCs w:val="20"/>
          <w:color w:val="auto"/>
        </w:rPr>
      </w:pPr>
    </w:p>
    <w:p>
      <w:pPr>
        <w:ind w:left="635"/>
        <w:spacing w:after="0"/>
        <w:tabs>
          <w:tab w:leader="none" w:pos="1235" w:val="left"/>
          <w:tab w:leader="none" w:pos="8895" w:val="left"/>
        </w:tabs>
        <w:rPr>
          <w:sz w:val="20"/>
          <w:szCs w:val="20"/>
          <w:color w:val="auto"/>
        </w:rPr>
      </w:pPr>
      <w:r>
        <w:rPr>
          <w:rFonts w:ascii="Times New Roman" w:cs="Times New Roman" w:eastAsia="Times New Roman" w:hAnsi="Times New Roman"/>
          <w:sz w:val="17"/>
          <w:szCs w:val="17"/>
          <w:color w:val="FF0000"/>
          <w:strike w:val="1"/>
        </w:rPr>
        <w:t>1.</w:t>
      </w:r>
      <w:r>
        <w:rPr>
          <w:sz w:val="20"/>
          <w:szCs w:val="20"/>
          <w:color w:val="auto"/>
        </w:rPr>
        <w:tab/>
      </w:r>
      <w:r>
        <w:rPr>
          <w:rFonts w:ascii="Times New Roman" w:cs="Times New Roman" w:eastAsia="Times New Roman" w:hAnsi="Times New Roman"/>
          <w:sz w:val="17"/>
          <w:szCs w:val="17"/>
          <w:color w:val="FF0000"/>
          <w:strike w:val="1"/>
        </w:rPr>
        <w:t>Percent of Borrowing Base Value attributable to Permitted Ground Lease Investments</w:t>
      </w:r>
      <w:r>
        <w:rPr>
          <w:sz w:val="20"/>
          <w:szCs w:val="20"/>
          <w:color w:val="auto"/>
        </w:rPr>
        <w:tab/>
      </w:r>
      <w:r>
        <w:rPr>
          <w:rFonts w:ascii="Times New Roman" w:cs="Times New Roman" w:eastAsia="Times New Roman" w:hAnsi="Times New Roman"/>
          <w:sz w:val="17"/>
          <w:szCs w:val="17"/>
          <w:color w:val="FF0000"/>
          <w:strike w:val="1"/>
        </w:rPr>
        <w:t>__%</w:t>
      </w:r>
    </w:p>
    <w:p>
      <w:pPr>
        <w:spacing w:after="0" w:line="222" w:lineRule="exact"/>
        <w:rPr>
          <w:sz w:val="20"/>
          <w:szCs w:val="20"/>
          <w:color w:val="auto"/>
        </w:rPr>
      </w:pPr>
    </w:p>
    <w:p>
      <w:pPr>
        <w:ind w:left="1255" w:hanging="629"/>
        <w:spacing w:after="0"/>
        <w:tabs>
          <w:tab w:leader="none" w:pos="1255" w:val="left"/>
        </w:tabs>
        <w:numPr>
          <w:ilvl w:val="0"/>
          <w:numId w:val="18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Line F1 shall not be greater than 30%</w:t>
      </w:r>
    </w:p>
    <w:p>
      <w:pPr>
        <w:spacing w:after="0" w:line="222" w:lineRule="exact"/>
        <w:rPr>
          <w:sz w:val="20"/>
          <w:szCs w:val="20"/>
          <w:color w:val="auto"/>
        </w:rPr>
      </w:pPr>
    </w:p>
    <w:p>
      <w:pPr>
        <w:ind w:left="635"/>
        <w:spacing w:after="0"/>
        <w:tabs>
          <w:tab w:leader="none" w:pos="1235" w:val="left"/>
          <w:tab w:leader="none" w:pos="8795" w:val="left"/>
        </w:tabs>
        <w:rPr>
          <w:sz w:val="20"/>
          <w:szCs w:val="20"/>
          <w:color w:val="auto"/>
        </w:rPr>
      </w:pPr>
      <w:r>
        <w:rPr>
          <w:rFonts w:ascii="Times New Roman" w:cs="Times New Roman" w:eastAsia="Times New Roman" w:hAnsi="Times New Roman"/>
          <w:sz w:val="17"/>
          <w:szCs w:val="17"/>
          <w:color w:val="FF0000"/>
          <w:strike w:val="1"/>
        </w:rPr>
        <w:t>3.</w:t>
      </w:r>
      <w:r>
        <w:rPr>
          <w:sz w:val="20"/>
          <w:szCs w:val="20"/>
          <w:color w:val="auto"/>
        </w:rPr>
        <w:tab/>
      </w:r>
      <w:r>
        <w:rPr>
          <w:rFonts w:ascii="Times New Roman" w:cs="Times New Roman" w:eastAsia="Times New Roman" w:hAnsi="Times New Roman"/>
          <w:sz w:val="17"/>
          <w:szCs w:val="17"/>
          <w:color w:val="FF0000"/>
          <w:strike w:val="1"/>
        </w:rPr>
        <w:t>The Borrower is in compliance (circle yes or no)</w:t>
      </w:r>
      <w:r>
        <w:rPr>
          <w:sz w:val="20"/>
          <w:szCs w:val="20"/>
          <w:color w:val="auto"/>
        </w:rPr>
        <w:tab/>
      </w:r>
      <w:r>
        <w:rPr>
          <w:rFonts w:ascii="Times New Roman" w:cs="Times New Roman" w:eastAsia="Times New Roman" w:hAnsi="Times New Roman"/>
          <w:sz w:val="16"/>
          <w:szCs w:val="16"/>
          <w:color w:val="FF0000"/>
          <w:strike w:val="1"/>
        </w:rPr>
        <w:t>yes/no</w:t>
      </w:r>
      <w:r>
        <w:rPr>
          <w:rFonts w:ascii="Times New Roman" w:cs="Times New Roman" w:eastAsia="Times New Roman" w:hAnsi="Times New Roman"/>
          <w:sz w:val="24"/>
          <w:szCs w:val="24"/>
          <w:color w:val="FF0000"/>
          <w:strike w:val="1"/>
          <w:vertAlign w:val="superscript"/>
        </w:rPr>
        <w:t>7</w:t>
      </w:r>
    </w:p>
    <w:p>
      <w:pPr>
        <w:spacing w:after="0" w:line="141" w:lineRule="exact"/>
        <w:rPr>
          <w:sz w:val="20"/>
          <w:szCs w:val="20"/>
          <w:color w:val="auto"/>
        </w:rPr>
      </w:pPr>
    </w:p>
    <w:p>
      <w:pPr>
        <w:ind w:left="635" w:hanging="635"/>
        <w:spacing w:after="0"/>
        <w:tabs>
          <w:tab w:leader="none" w:pos="635" w:val="left"/>
        </w:tabs>
        <w:numPr>
          <w:ilvl w:val="0"/>
          <w:numId w:val="18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Occupancy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157289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5" w:firstLine="5"/>
        <w:spacing w:after="0" w:line="211" w:lineRule="auto"/>
        <w:tabs>
          <w:tab w:leader="none" w:pos="110" w:val="left"/>
        </w:tabs>
        <w:numPr>
          <w:ilvl w:val="0"/>
          <w:numId w:val="186"/>
        </w:numPr>
        <w:rPr>
          <w:rFonts w:ascii="Times New Roman" w:cs="Times New Roman" w:eastAsia="Times New Roman" w:hAnsi="Times New Roman"/>
          <w:sz w:val="26"/>
          <w:szCs w:val="26"/>
          <w:color w:val="FF0000"/>
          <w:strike w:val="1"/>
          <w:vertAlign w:val="superscript"/>
        </w:rPr>
      </w:pPr>
      <w:r>
        <w:rPr>
          <w:rFonts w:ascii="Times New Roman" w:cs="Times New Roman" w:eastAsia="Times New Roman" w:hAnsi="Times New Roman"/>
          <w:sz w:val="17"/>
          <w:szCs w:val="17"/>
          <w:color w:val="FF0000"/>
        </w:rPr>
        <w:t xml:space="preserve">If applicable, the calculation of Borrowing Base Value includes an adjustment to exclude that portion of the Property NOI or book value of </w:t>
      </w:r>
      <w:r>
        <w:rPr>
          <w:rFonts w:ascii="Times New Roman" w:cs="Times New Roman" w:eastAsia="Times New Roman" w:hAnsi="Times New Roman"/>
          <w:sz w:val="17"/>
          <w:szCs w:val="17"/>
          <w:color w:val="FF0000"/>
          <w:strike w:val="1"/>
        </w:rPr>
        <w:t>any Eligible Properties attributable to any Eligible Properties to the extent it exceeds the 25% concentration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-205740</wp:posOffset>
            </wp:positionV>
            <wp:extent cx="62503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6250305" cy="8255"/>
                    </a:xfrm>
                    <a:prstGeom prst="rect">
                      <a:avLst/>
                    </a:prstGeom>
                    <a:noFill/>
                  </pic:spPr>
                </pic:pic>
              </a:graphicData>
            </a:graphic>
          </wp:anchor>
        </w:drawing>
      </w:r>
    </w:p>
    <w:p>
      <w:pPr>
        <w:spacing w:after="0" w:line="171" w:lineRule="exact"/>
        <w:rPr>
          <w:sz w:val="20"/>
          <w:szCs w:val="20"/>
          <w:color w:val="auto"/>
        </w:rPr>
      </w:pPr>
    </w:p>
    <w:p>
      <w:pPr>
        <w:ind w:left="-5" w:firstLine="5"/>
        <w:spacing w:after="0" w:line="211" w:lineRule="auto"/>
        <w:tabs>
          <w:tab w:leader="none" w:pos="110" w:val="left"/>
        </w:tabs>
        <w:numPr>
          <w:ilvl w:val="0"/>
          <w:numId w:val="187"/>
        </w:numPr>
        <w:rPr>
          <w:rFonts w:ascii="Times New Roman" w:cs="Times New Roman" w:eastAsia="Times New Roman" w:hAnsi="Times New Roman"/>
          <w:sz w:val="26"/>
          <w:szCs w:val="26"/>
          <w:color w:val="FF0000"/>
          <w:strike w:val="1"/>
          <w:vertAlign w:val="superscript"/>
        </w:rPr>
      </w:pPr>
      <w:r>
        <w:rPr>
          <w:rFonts w:ascii="Times New Roman" w:cs="Times New Roman" w:eastAsia="Times New Roman" w:hAnsi="Times New Roman"/>
          <w:sz w:val="17"/>
          <w:szCs w:val="17"/>
          <w:color w:val="FF0000"/>
        </w:rPr>
        <w:t xml:space="preserve">If applicable, the calculation of Borrowing Base Value includes an adjustment to exclude that portion of the Property NOI or book value of </w:t>
      </w:r>
      <w:r>
        <w:rPr>
          <w:rFonts w:ascii="Times New Roman" w:cs="Times New Roman" w:eastAsia="Times New Roman" w:hAnsi="Times New Roman"/>
          <w:sz w:val="17"/>
          <w:szCs w:val="17"/>
          <w:color w:val="FF0000"/>
          <w:strike w:val="1"/>
        </w:rPr>
        <w:t>any Eligible Properties attributable to any Eligible Properties to the extent it exceeds the 20% concentration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-205740</wp:posOffset>
            </wp:positionV>
            <wp:extent cx="62503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6250305" cy="8255"/>
                    </a:xfrm>
                    <a:prstGeom prst="rect">
                      <a:avLst/>
                    </a:prstGeom>
                    <a:noFill/>
                  </pic:spPr>
                </pic:pic>
              </a:graphicData>
            </a:graphic>
          </wp:anchor>
        </w:drawing>
      </w:r>
    </w:p>
    <w:p>
      <w:pPr>
        <w:spacing w:after="0" w:line="171" w:lineRule="exact"/>
        <w:rPr>
          <w:sz w:val="20"/>
          <w:szCs w:val="20"/>
          <w:color w:val="auto"/>
        </w:rPr>
      </w:pPr>
    </w:p>
    <w:p>
      <w:pPr>
        <w:jc w:val="both"/>
        <w:ind w:left="-5" w:firstLine="5"/>
        <w:spacing w:after="0" w:line="224" w:lineRule="auto"/>
        <w:tabs>
          <w:tab w:leader="none" w:pos="110" w:val="left"/>
        </w:tabs>
        <w:numPr>
          <w:ilvl w:val="0"/>
          <w:numId w:val="188"/>
        </w:numPr>
        <w:rPr>
          <w:rFonts w:ascii="Times New Roman" w:cs="Times New Roman" w:eastAsia="Times New Roman" w:hAnsi="Times New Roman"/>
          <w:sz w:val="26"/>
          <w:szCs w:val="26"/>
          <w:color w:val="FF0000"/>
          <w:strike w:val="1"/>
          <w:vertAlign w:val="superscript"/>
        </w:rPr>
      </w:pPr>
      <w:r>
        <w:rPr>
          <w:rFonts w:ascii="Times New Roman" w:cs="Times New Roman" w:eastAsia="Times New Roman" w:hAnsi="Times New Roman"/>
          <w:sz w:val="17"/>
          <w:szCs w:val="17"/>
          <w:color w:val="FF0000"/>
        </w:rPr>
        <w:t xml:space="preserve">If applicable, the calculation of Borrowing Base Value includes an adjustment to exclude that portion of the Property NOI or book value of </w:t>
      </w:r>
      <w:r>
        <w:rPr>
          <w:rFonts w:ascii="Times New Roman" w:cs="Times New Roman" w:eastAsia="Times New Roman" w:hAnsi="Times New Roman"/>
          <w:sz w:val="17"/>
          <w:szCs w:val="17"/>
          <w:color w:val="FF0000"/>
          <w:strike w:val="1"/>
        </w:rPr>
        <w:t>any Permitted Ground Lease Investments attributable to any Permitted Ground Lease Investments to the extent it exceeds the 35% concentration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-338455</wp:posOffset>
            </wp:positionV>
            <wp:extent cx="62503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6250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[Exhibit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351155</wp:posOffset>
            </wp:positionV>
            <wp:extent cx="6292215" cy="247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15"/>
          </w:cols>
          <w:pgMar w:left="985" w:top="865" w:right="999" w:bottom="1440" w:gutter="0" w:footer="0" w:header="0"/>
        </w:sectPr>
      </w:pPr>
    </w:p>
    <w:bookmarkStart w:id="208" w:name="page209"/>
    <w:bookmarkEnd w:id="208"/>
    <w:p>
      <w:pPr>
        <w:ind w:left="635"/>
        <w:spacing w:after="0"/>
        <w:tabs>
          <w:tab w:leader="none" w:pos="1235" w:val="left"/>
          <w:tab w:leader="none" w:pos="8895" w:val="left"/>
        </w:tabs>
        <w:rPr>
          <w:sz w:val="20"/>
          <w:szCs w:val="20"/>
          <w:color w:val="auto"/>
        </w:rPr>
      </w:pPr>
      <w:r>
        <w:rPr>
          <w:rFonts w:ascii="Times New Roman" w:cs="Times New Roman" w:eastAsia="Times New Roman" w:hAnsi="Times New Roman"/>
          <w:sz w:val="17"/>
          <w:szCs w:val="17"/>
          <w:color w:val="FF0000"/>
          <w:strike w:val="1"/>
        </w:rPr>
        <w:t>1.</w:t>
      </w:r>
      <w:r>
        <w:rPr>
          <w:sz w:val="20"/>
          <w:szCs w:val="20"/>
          <w:color w:val="auto"/>
        </w:rPr>
        <w:tab/>
      </w:r>
      <w:r>
        <w:rPr>
          <w:rFonts w:ascii="Times New Roman" w:cs="Times New Roman" w:eastAsia="Times New Roman" w:hAnsi="Times New Roman"/>
          <w:sz w:val="17"/>
          <w:szCs w:val="17"/>
          <w:color w:val="FF0000"/>
          <w:strike w:val="1"/>
        </w:rPr>
        <w:t>Aggregate Occupancy Rate of Eligible Properties</w:t>
      </w:r>
      <w:r>
        <w:rPr>
          <w:sz w:val="20"/>
          <w:szCs w:val="20"/>
          <w:color w:val="auto"/>
        </w:rPr>
        <w:tab/>
      </w:r>
      <w:r>
        <w:rPr>
          <w:rFonts w:ascii="Times New Roman" w:cs="Times New Roman" w:eastAsia="Times New Roman" w:hAnsi="Times New Roman"/>
          <w:sz w:val="17"/>
          <w:szCs w:val="17"/>
          <w:color w:val="FF0000"/>
          <w:strike w:val="1"/>
        </w:rPr>
        <w:t>__%</w:t>
      </w:r>
    </w:p>
    <w:p>
      <w:pPr>
        <w:spacing w:after="0" w:line="222" w:lineRule="exact"/>
        <w:rPr>
          <w:sz w:val="20"/>
          <w:szCs w:val="20"/>
          <w:color w:val="auto"/>
        </w:rPr>
      </w:pPr>
    </w:p>
    <w:p>
      <w:pPr>
        <w:ind w:left="1255" w:hanging="629"/>
        <w:spacing w:after="0"/>
        <w:tabs>
          <w:tab w:leader="none" w:pos="1255" w:val="left"/>
        </w:tabs>
        <w:numPr>
          <w:ilvl w:val="0"/>
          <w:numId w:val="189"/>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Line G1 shall not be less than 85%</w:t>
      </w:r>
    </w:p>
    <w:p>
      <w:pPr>
        <w:spacing w:after="0" w:line="222" w:lineRule="exact"/>
        <w:rPr>
          <w:sz w:val="20"/>
          <w:szCs w:val="20"/>
          <w:color w:val="auto"/>
        </w:rPr>
      </w:pPr>
    </w:p>
    <w:p>
      <w:pPr>
        <w:ind w:left="635"/>
        <w:spacing w:after="0"/>
        <w:tabs>
          <w:tab w:leader="none" w:pos="1235" w:val="left"/>
          <w:tab w:leader="none" w:pos="8815" w:val="left"/>
        </w:tabs>
        <w:rPr>
          <w:sz w:val="20"/>
          <w:szCs w:val="20"/>
          <w:color w:val="auto"/>
        </w:rPr>
      </w:pPr>
      <w:r>
        <w:rPr>
          <w:rFonts w:ascii="Times New Roman" w:cs="Times New Roman" w:eastAsia="Times New Roman" w:hAnsi="Times New Roman"/>
          <w:sz w:val="17"/>
          <w:szCs w:val="17"/>
          <w:color w:val="FF0000"/>
          <w:strike w:val="1"/>
        </w:rPr>
        <w:t>3.</w:t>
      </w:r>
      <w:r>
        <w:rPr>
          <w:sz w:val="20"/>
          <w:szCs w:val="20"/>
          <w:color w:val="auto"/>
        </w:rPr>
        <w:tab/>
      </w:r>
      <w:r>
        <w:rPr>
          <w:rFonts w:ascii="Times New Roman" w:cs="Times New Roman" w:eastAsia="Times New Roman" w:hAnsi="Times New Roman"/>
          <w:sz w:val="17"/>
          <w:szCs w:val="17"/>
          <w:color w:val="FF0000"/>
          <w:strike w:val="1"/>
        </w:rPr>
        <w:t>The Borrower is in compliance (circle yes or no)</w:t>
      </w:r>
      <w:r>
        <w:rPr>
          <w:sz w:val="20"/>
          <w:szCs w:val="20"/>
          <w:color w:val="auto"/>
        </w:rPr>
        <w:tab/>
      </w:r>
      <w:r>
        <w:rPr>
          <w:rFonts w:ascii="Times New Roman" w:cs="Times New Roman" w:eastAsia="Times New Roman" w:hAnsi="Times New Roman"/>
          <w:sz w:val="17"/>
          <w:szCs w:val="17"/>
          <w:color w:val="FF0000"/>
          <w:strike w:val="1"/>
        </w:rPr>
        <w:t>yes/no</w:t>
      </w:r>
    </w:p>
    <w:p>
      <w:pPr>
        <w:spacing w:after="0" w:line="222" w:lineRule="exact"/>
        <w:rPr>
          <w:sz w:val="20"/>
          <w:szCs w:val="20"/>
          <w:color w:val="auto"/>
        </w:rPr>
      </w:pPr>
    </w:p>
    <w:p>
      <w:pPr>
        <w:ind w:left="635" w:hanging="635"/>
        <w:spacing w:after="0"/>
        <w:tabs>
          <w:tab w:leader="none" w:pos="635" w:val="left"/>
        </w:tabs>
        <w:numPr>
          <w:ilvl w:val="0"/>
          <w:numId w:val="190"/>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MSA</w:t>
      </w:r>
      <w:r>
        <w:rPr>
          <w:rFonts w:ascii="Times New Roman" w:cs="Times New Roman" w:eastAsia="Times New Roman" w:hAnsi="Times New Roman"/>
          <w:sz w:val="26"/>
          <w:szCs w:val="26"/>
          <w:color w:val="FF0000"/>
          <w:strike w:val="1"/>
          <w:vertAlign w:val="superscript"/>
        </w:rPr>
        <w:t>8</w:t>
      </w:r>
    </w:p>
    <w:p>
      <w:pPr>
        <w:spacing w:after="0" w:line="118" w:lineRule="exact"/>
        <w:rPr>
          <w:sz w:val="20"/>
          <w:szCs w:val="20"/>
          <w:color w:val="auto"/>
        </w:rPr>
      </w:pPr>
    </w:p>
    <w:p>
      <w:pPr>
        <w:ind w:left="635"/>
        <w:spacing w:after="0"/>
        <w:tabs>
          <w:tab w:leader="none" w:pos="1235" w:val="left"/>
          <w:tab w:leader="none" w:pos="8895" w:val="left"/>
        </w:tabs>
        <w:rPr>
          <w:sz w:val="20"/>
          <w:szCs w:val="20"/>
          <w:color w:val="auto"/>
        </w:rPr>
      </w:pPr>
      <w:r>
        <w:rPr>
          <w:rFonts w:ascii="Times New Roman" w:cs="Times New Roman" w:eastAsia="Times New Roman" w:hAnsi="Times New Roman"/>
          <w:sz w:val="17"/>
          <w:szCs w:val="17"/>
          <w:color w:val="FF0000"/>
          <w:strike w:val="1"/>
        </w:rPr>
        <w:t>1.</w:t>
      </w:r>
      <w:r>
        <w:rPr>
          <w:sz w:val="20"/>
          <w:szCs w:val="20"/>
          <w:color w:val="auto"/>
        </w:rPr>
        <w:tab/>
      </w:r>
      <w:r>
        <w:rPr>
          <w:rFonts w:ascii="Times New Roman" w:cs="Times New Roman" w:eastAsia="Times New Roman" w:hAnsi="Times New Roman"/>
          <w:sz w:val="17"/>
          <w:szCs w:val="17"/>
          <w:color w:val="FF0000"/>
          <w:strike w:val="1"/>
        </w:rPr>
        <w:t>Percent of Borrowing Base Value attributable to Eligible Properties in [________] MSA</w:t>
      </w:r>
      <w:r>
        <w:rPr>
          <w:sz w:val="20"/>
          <w:szCs w:val="20"/>
          <w:color w:val="auto"/>
        </w:rPr>
        <w:tab/>
      </w:r>
      <w:r>
        <w:rPr>
          <w:rFonts w:ascii="Times New Roman" w:cs="Times New Roman" w:eastAsia="Times New Roman" w:hAnsi="Times New Roman"/>
          <w:sz w:val="17"/>
          <w:szCs w:val="17"/>
          <w:color w:val="FF0000"/>
          <w:strike w:val="1"/>
        </w:rPr>
        <w:t>__%</w:t>
      </w:r>
    </w:p>
    <w:p>
      <w:pPr>
        <w:spacing w:after="0" w:line="222" w:lineRule="exact"/>
        <w:rPr>
          <w:sz w:val="20"/>
          <w:szCs w:val="20"/>
          <w:color w:val="auto"/>
        </w:rPr>
      </w:pPr>
    </w:p>
    <w:p>
      <w:pPr>
        <w:ind w:left="1255" w:hanging="629"/>
        <w:spacing w:after="0"/>
        <w:tabs>
          <w:tab w:leader="none" w:pos="1255" w:val="left"/>
        </w:tabs>
        <w:numPr>
          <w:ilvl w:val="0"/>
          <w:numId w:val="19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Line H1 shall not be greater than 35%</w:t>
      </w:r>
    </w:p>
    <w:p>
      <w:pPr>
        <w:spacing w:after="0" w:line="222" w:lineRule="exact"/>
        <w:rPr>
          <w:sz w:val="20"/>
          <w:szCs w:val="20"/>
          <w:color w:val="auto"/>
        </w:rPr>
      </w:pPr>
    </w:p>
    <w:p>
      <w:pPr>
        <w:ind w:left="635"/>
        <w:spacing w:after="0"/>
        <w:tabs>
          <w:tab w:leader="none" w:pos="1235" w:val="left"/>
          <w:tab w:leader="none" w:pos="8815" w:val="left"/>
        </w:tabs>
        <w:rPr>
          <w:sz w:val="20"/>
          <w:szCs w:val="20"/>
          <w:color w:val="auto"/>
        </w:rPr>
      </w:pPr>
      <w:r>
        <w:rPr>
          <w:rFonts w:ascii="Times New Roman" w:cs="Times New Roman" w:eastAsia="Times New Roman" w:hAnsi="Times New Roman"/>
          <w:sz w:val="17"/>
          <w:szCs w:val="17"/>
          <w:color w:val="FF0000"/>
          <w:strike w:val="1"/>
        </w:rPr>
        <w:t>3.</w:t>
      </w:r>
      <w:r>
        <w:rPr>
          <w:sz w:val="20"/>
          <w:szCs w:val="20"/>
          <w:color w:val="auto"/>
        </w:rPr>
        <w:tab/>
      </w:r>
      <w:r>
        <w:rPr>
          <w:rFonts w:ascii="Times New Roman" w:cs="Times New Roman" w:eastAsia="Times New Roman" w:hAnsi="Times New Roman"/>
          <w:sz w:val="17"/>
          <w:szCs w:val="17"/>
          <w:color w:val="FF0000"/>
          <w:strike w:val="1"/>
        </w:rPr>
        <w:t>The Borrower is in compliance (circle yes or no)</w:t>
      </w:r>
      <w:r>
        <w:rPr>
          <w:sz w:val="20"/>
          <w:szCs w:val="20"/>
          <w:color w:val="auto"/>
        </w:rPr>
        <w:tab/>
      </w:r>
      <w:r>
        <w:rPr>
          <w:rFonts w:ascii="Times New Roman" w:cs="Times New Roman" w:eastAsia="Times New Roman" w:hAnsi="Times New Roman"/>
          <w:sz w:val="17"/>
          <w:szCs w:val="17"/>
          <w:color w:val="FF0000"/>
          <w:strike w:val="1"/>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748665</wp:posOffset>
            </wp:positionV>
            <wp:extent cx="15728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5" w:hanging="115"/>
        <w:spacing w:after="0"/>
        <w:tabs>
          <w:tab w:leader="none" w:pos="115" w:val="left"/>
        </w:tabs>
        <w:numPr>
          <w:ilvl w:val="0"/>
          <w:numId w:val="192"/>
        </w:numPr>
        <w:rPr>
          <w:rFonts w:ascii="Times New Roman" w:cs="Times New Roman" w:eastAsia="Times New Roman" w:hAnsi="Times New Roman"/>
          <w:sz w:val="26"/>
          <w:szCs w:val="26"/>
          <w:color w:val="FF0000"/>
          <w:strike w:val="1"/>
          <w:vertAlign w:val="superscript"/>
        </w:rPr>
      </w:pPr>
      <w:r>
        <w:rPr>
          <w:rFonts w:ascii="Times New Roman" w:cs="Times New Roman" w:eastAsia="Times New Roman" w:hAnsi="Times New Roman"/>
          <w:sz w:val="17"/>
          <w:szCs w:val="17"/>
          <w:color w:val="FF0000"/>
        </w:rPr>
        <w:t>To be duplicated for each MSA with Eligible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-73660</wp:posOffset>
            </wp:positionV>
            <wp:extent cx="25171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251714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435"/>
        <w:spacing w:after="0"/>
        <w:rPr>
          <w:sz w:val="20"/>
          <w:szCs w:val="20"/>
          <w:color w:val="auto"/>
        </w:rPr>
      </w:pPr>
      <w:r>
        <w:rPr>
          <w:rFonts w:ascii="Times New Roman" w:cs="Times New Roman" w:eastAsia="Times New Roman" w:hAnsi="Times New Roman"/>
          <w:sz w:val="17"/>
          <w:szCs w:val="17"/>
          <w:color w:val="auto"/>
        </w:rPr>
        <w:t>[Exhibit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351155</wp:posOffset>
            </wp:positionV>
            <wp:extent cx="6292215" cy="247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4"/>
          </w:cols>
          <w:pgMar w:left="985" w:top="852" w:right="1440"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7"/>
          <w:szCs w:val="17"/>
          <w:b w:val="1"/>
          <w:bCs w:val="1"/>
          <w:color w:val="FF0000"/>
          <w:strike w:val="1"/>
        </w:rPr>
        <w:t>EXHIBIT B TO BORROWING BASE CERTIFICATE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strike w:val="1"/>
        </w:rPr>
        <w:t>OF ALPINE INCOME PROPERTY OP, LP</w:t>
      </w:r>
    </w:p>
    <w:p>
      <w:pPr>
        <w:spacing w:after="0" w:line="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FF0000"/>
          <w:strike w:val="1"/>
        </w:rPr>
        <w:t>This Exhibit B is attached to the Borrowing Base Certificate of Alpine Income Property OP, LP for the Borrowing Base Determination Date of __________ ___, 20__ and delivered to Truist Bank, N.A., as Administrative Agent, and the Lenders party to the Credit Agreement dated</w:t>
      </w:r>
    </w:p>
    <w:p>
      <w:pPr>
        <w:spacing w:after="0" w:line="272" w:lineRule="auto"/>
        <w:rPr>
          <w:sz w:val="20"/>
          <w:szCs w:val="20"/>
          <w:color w:val="auto"/>
        </w:rPr>
      </w:pPr>
      <w:r>
        <w:rPr>
          <w:rFonts w:ascii="Times New Roman" w:cs="Times New Roman" w:eastAsia="Times New Roman" w:hAnsi="Times New Roman"/>
          <w:sz w:val="17"/>
          <w:szCs w:val="17"/>
          <w:color w:val="FF0000"/>
          <w:strike w:val="1"/>
        </w:rPr>
        <w:t>May 21, 2021, as amended, referred to therein. The undersigned hereby certifies that the following is a true, correct and complete calculation of Debt Service Coverage Amount as of the Borrowing Base Determination Date set forth above:</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53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7"/>
                <w:szCs w:val="17"/>
                <w:color w:val="FF0000"/>
                <w:strike w:val="1"/>
              </w:rPr>
              <w:t>ELIGIBLE PROPERTIES</w:t>
            </w:r>
          </w:p>
        </w:tc>
        <w:tc>
          <w:tcPr>
            <w:tcW w:w="2450" w:type="dxa"/>
            <w:vAlign w:val="bottom"/>
            <w:tcBorders>
              <w:top w:val="single" w:sz="8" w:color="auto"/>
              <w:right w:val="single" w:sz="8" w:color="auto"/>
            </w:tcBorders>
          </w:tcPr>
          <w:p>
            <w:pPr>
              <w:spacing w:after="0"/>
              <w:rPr>
                <w:sz w:val="17"/>
                <w:szCs w:val="17"/>
                <w:color w:val="auto"/>
              </w:rPr>
            </w:pPr>
          </w:p>
        </w:tc>
        <w:tc>
          <w:tcPr>
            <w:tcW w:w="49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FF0000"/>
                <w:strike w:val="1"/>
              </w:rPr>
              <w:t>DEBT SERVICE COVERAGE AMOUNT</w:t>
            </w:r>
          </w:p>
        </w:tc>
      </w:tr>
      <w:tr>
        <w:trPr>
          <w:trHeight w:val="227"/>
        </w:trPr>
        <w:tc>
          <w:tcPr>
            <w:tcW w:w="2530" w:type="dxa"/>
            <w:vAlign w:val="bottom"/>
            <w:tcBorders>
              <w:left w:val="single" w:sz="8" w:color="auto"/>
              <w:bottom w:val="single" w:sz="8" w:color="auto"/>
            </w:tcBorders>
          </w:tcPr>
          <w:p>
            <w:pPr>
              <w:spacing w:after="0"/>
              <w:rPr>
                <w:sz w:val="19"/>
                <w:szCs w:val="19"/>
                <w:color w:val="auto"/>
              </w:rPr>
            </w:pPr>
          </w:p>
        </w:tc>
        <w:tc>
          <w:tcPr>
            <w:tcW w:w="2450" w:type="dxa"/>
            <w:vAlign w:val="bottom"/>
            <w:tcBorders>
              <w:bottom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FF0000"/>
                <w:strike w:val="1"/>
              </w:rPr>
              <w:t>AS CALCULATED ON ANNEX I TO THIS EXHIBIT B</w:t>
            </w:r>
          </w:p>
        </w:tc>
      </w:tr>
      <w:tr>
        <w:trPr>
          <w:trHeight w:val="202"/>
        </w:trPr>
        <w:tc>
          <w:tcPr>
            <w:tcW w:w="2530" w:type="dxa"/>
            <w:vAlign w:val="bottom"/>
            <w:tcBorders>
              <w:left w:val="single" w:sz="8" w:color="auto"/>
              <w:bottom w:val="single" w:sz="8" w:color="auto"/>
            </w:tcBorders>
          </w:tcPr>
          <w:p>
            <w:pPr>
              <w:spacing w:after="0"/>
              <w:rPr>
                <w:sz w:val="17"/>
                <w:szCs w:val="17"/>
                <w:color w:val="auto"/>
              </w:rPr>
            </w:pPr>
          </w:p>
        </w:tc>
        <w:tc>
          <w:tcPr>
            <w:tcW w:w="245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$__________</w:t>
            </w:r>
          </w:p>
        </w:tc>
        <w:tc>
          <w:tcPr>
            <w:tcW w:w="3720" w:type="dxa"/>
            <w:vAlign w:val="bottom"/>
            <w:tcBorders>
              <w:bottom w:val="single" w:sz="8" w:color="auto"/>
              <w:right w:val="single" w:sz="8" w:color="auto"/>
            </w:tcBorders>
          </w:tcPr>
          <w:p>
            <w:pPr>
              <w:spacing w:after="0"/>
              <w:rPr>
                <w:sz w:val="17"/>
                <w:szCs w:val="17"/>
                <w:color w:val="auto"/>
              </w:rPr>
            </w:pPr>
          </w:p>
        </w:tc>
      </w:tr>
      <w:tr>
        <w:trPr>
          <w:trHeight w:val="202"/>
        </w:trPr>
        <w:tc>
          <w:tcPr>
            <w:tcW w:w="2530" w:type="dxa"/>
            <w:vAlign w:val="bottom"/>
            <w:tcBorders>
              <w:left w:val="single" w:sz="8" w:color="auto"/>
              <w:bottom w:val="single" w:sz="8" w:color="auto"/>
            </w:tcBorders>
          </w:tcPr>
          <w:p>
            <w:pPr>
              <w:spacing w:after="0"/>
              <w:rPr>
                <w:sz w:val="17"/>
                <w:szCs w:val="17"/>
                <w:color w:val="auto"/>
              </w:rPr>
            </w:pPr>
          </w:p>
        </w:tc>
        <w:tc>
          <w:tcPr>
            <w:tcW w:w="245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$__________</w:t>
            </w:r>
          </w:p>
        </w:tc>
        <w:tc>
          <w:tcPr>
            <w:tcW w:w="3720" w:type="dxa"/>
            <w:vAlign w:val="bottom"/>
            <w:tcBorders>
              <w:bottom w:val="single" w:sz="8" w:color="auto"/>
              <w:right w:val="single" w:sz="8" w:color="auto"/>
            </w:tcBorders>
          </w:tcPr>
          <w:p>
            <w:pPr>
              <w:spacing w:after="0"/>
              <w:rPr>
                <w:sz w:val="17"/>
                <w:szCs w:val="17"/>
                <w:color w:val="auto"/>
              </w:rPr>
            </w:pPr>
          </w:p>
        </w:tc>
      </w:tr>
      <w:tr>
        <w:trPr>
          <w:trHeight w:val="202"/>
        </w:trPr>
        <w:tc>
          <w:tcPr>
            <w:tcW w:w="2530" w:type="dxa"/>
            <w:vAlign w:val="bottom"/>
            <w:tcBorders>
              <w:left w:val="single" w:sz="8" w:color="auto"/>
              <w:bottom w:val="single" w:sz="8" w:color="auto"/>
            </w:tcBorders>
          </w:tcPr>
          <w:p>
            <w:pPr>
              <w:spacing w:after="0"/>
              <w:rPr>
                <w:sz w:val="17"/>
                <w:szCs w:val="17"/>
                <w:color w:val="auto"/>
              </w:rPr>
            </w:pPr>
          </w:p>
        </w:tc>
        <w:tc>
          <w:tcPr>
            <w:tcW w:w="245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$__________</w:t>
            </w:r>
          </w:p>
        </w:tc>
        <w:tc>
          <w:tcPr>
            <w:tcW w:w="3720" w:type="dxa"/>
            <w:vAlign w:val="bottom"/>
            <w:tcBorders>
              <w:bottom w:val="single" w:sz="8" w:color="auto"/>
              <w:right w:val="single" w:sz="8" w:color="auto"/>
            </w:tcBorders>
          </w:tcPr>
          <w:p>
            <w:pPr>
              <w:spacing w:after="0"/>
              <w:rPr>
                <w:sz w:val="17"/>
                <w:szCs w:val="17"/>
                <w:color w:val="auto"/>
              </w:rPr>
            </w:pPr>
          </w:p>
        </w:tc>
      </w:tr>
      <w:tr>
        <w:trPr>
          <w:trHeight w:val="202"/>
        </w:trPr>
        <w:tc>
          <w:tcPr>
            <w:tcW w:w="2530" w:type="dxa"/>
            <w:vAlign w:val="bottom"/>
            <w:tcBorders>
              <w:left w:val="single" w:sz="8" w:color="auto"/>
              <w:bottom w:val="single" w:sz="8" w:color="auto"/>
            </w:tcBorders>
          </w:tcPr>
          <w:p>
            <w:pPr>
              <w:spacing w:after="0"/>
              <w:rPr>
                <w:sz w:val="17"/>
                <w:szCs w:val="17"/>
                <w:color w:val="auto"/>
              </w:rPr>
            </w:pPr>
          </w:p>
        </w:tc>
        <w:tc>
          <w:tcPr>
            <w:tcW w:w="245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$__________</w:t>
            </w:r>
          </w:p>
        </w:tc>
        <w:tc>
          <w:tcPr>
            <w:tcW w:w="3720" w:type="dxa"/>
            <w:vAlign w:val="bottom"/>
            <w:tcBorders>
              <w:bottom w:val="single" w:sz="8" w:color="auto"/>
              <w:right w:val="single" w:sz="8" w:color="auto"/>
            </w:tcBorders>
          </w:tcPr>
          <w:p>
            <w:pPr>
              <w:spacing w:after="0"/>
              <w:rPr>
                <w:sz w:val="17"/>
                <w:szCs w:val="17"/>
                <w:color w:val="auto"/>
              </w:rPr>
            </w:pPr>
          </w:p>
        </w:tc>
      </w:tr>
      <w:tr>
        <w:trPr>
          <w:trHeight w:val="410"/>
        </w:trPr>
        <w:tc>
          <w:tcPr>
            <w:tcW w:w="6200" w:type="dxa"/>
            <w:vAlign w:val="bottom"/>
            <w:gridSpan w:val="3"/>
          </w:tcPr>
          <w:p>
            <w:pPr>
              <w:spacing w:after="0"/>
              <w:rPr>
                <w:sz w:val="20"/>
                <w:szCs w:val="20"/>
                <w:color w:val="auto"/>
              </w:rPr>
            </w:pPr>
            <w:r>
              <w:rPr>
                <w:rFonts w:ascii="Times New Roman" w:cs="Times New Roman" w:eastAsia="Times New Roman" w:hAnsi="Times New Roman"/>
                <w:sz w:val="17"/>
                <w:szCs w:val="17"/>
                <w:color w:val="FF0000"/>
                <w:strike w:val="1"/>
              </w:rPr>
              <w:t>TOTAL DEBT SERVICE COVERAGE AMOUNT OF ALL ELIGIBLE PROPERTIES:</w:t>
            </w:r>
          </w:p>
        </w:tc>
        <w:tc>
          <w:tcPr>
            <w:tcW w:w="3720" w:type="dxa"/>
            <w:vAlign w:val="bottom"/>
          </w:tcPr>
          <w:p>
            <w:pPr>
              <w:jc w:val="right"/>
              <w:ind w:right="2653"/>
              <w:spacing w:after="0"/>
              <w:rPr>
                <w:sz w:val="20"/>
                <w:szCs w:val="20"/>
                <w:color w:val="auto"/>
              </w:rPr>
            </w:pPr>
            <w:r>
              <w:rPr>
                <w:rFonts w:ascii="Times New Roman" w:cs="Times New Roman" w:eastAsia="Times New Roman" w:hAnsi="Times New Roman"/>
                <w:sz w:val="17"/>
                <w:szCs w:val="17"/>
                <w:color w:val="FF0000"/>
                <w:strike w:val="1"/>
              </w:rPr>
              <w:t>$__________</w:t>
            </w:r>
          </w:p>
        </w:tc>
      </w:tr>
      <w:tr>
        <w:trPr>
          <w:trHeight w:val="834"/>
        </w:trPr>
        <w:tc>
          <w:tcPr>
            <w:tcW w:w="2530" w:type="dxa"/>
            <w:vAlign w:val="bottom"/>
          </w:tcPr>
          <w:p>
            <w:pPr>
              <w:spacing w:after="0"/>
              <w:rPr>
                <w:sz w:val="24"/>
                <w:szCs w:val="24"/>
                <w:color w:val="auto"/>
              </w:rPr>
            </w:pPr>
          </w:p>
        </w:tc>
        <w:tc>
          <w:tcPr>
            <w:tcW w:w="7390" w:type="dxa"/>
            <w:vAlign w:val="bottom"/>
            <w:gridSpan w:val="3"/>
          </w:tcPr>
          <w:p>
            <w:pPr>
              <w:jc w:val="right"/>
              <w:ind w:right="4433"/>
              <w:spacing w:after="0"/>
              <w:rPr>
                <w:sz w:val="20"/>
                <w:szCs w:val="20"/>
                <w:color w:val="auto"/>
              </w:rPr>
            </w:pPr>
            <w:r>
              <w:rPr>
                <w:rFonts w:ascii="Times New Roman" w:cs="Times New Roman" w:eastAsia="Times New Roman" w:hAnsi="Times New Roman"/>
                <w:sz w:val="17"/>
                <w:szCs w:val="17"/>
                <w:color w:val="auto"/>
              </w:rPr>
              <w:t>[Exhibit I-5]</w:t>
            </w:r>
          </w:p>
        </w:tc>
      </w:tr>
      <w:tr>
        <w:trPr>
          <w:trHeight w:val="541"/>
        </w:trPr>
        <w:tc>
          <w:tcPr>
            <w:tcW w:w="2530" w:type="dxa"/>
            <w:vAlign w:val="bottom"/>
            <w:tcBorders>
              <w:bottom w:val="single" w:sz="8" w:color="auto"/>
            </w:tcBorders>
          </w:tcPr>
          <w:p>
            <w:pPr>
              <w:spacing w:after="0"/>
              <w:rPr>
                <w:sz w:val="24"/>
                <w:szCs w:val="24"/>
                <w:color w:val="auto"/>
              </w:rPr>
            </w:pPr>
          </w:p>
        </w:tc>
        <w:tc>
          <w:tcPr>
            <w:tcW w:w="245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49" w:right="999" w:bottom="1440" w:gutter="0" w:footer="0" w:header="0"/>
        </w:sectPr>
      </w:pPr>
    </w:p>
    <w:bookmarkStart w:id="210" w:name="page211"/>
    <w:bookmarkEnd w:id="210"/>
    <w:p>
      <w:pPr>
        <w:jc w:val="center"/>
        <w:ind w:right="-440"/>
        <w:spacing w:after="0"/>
        <w:rPr>
          <w:sz w:val="20"/>
          <w:szCs w:val="20"/>
          <w:color w:val="auto"/>
        </w:rPr>
      </w:pPr>
      <w:r>
        <w:rPr>
          <w:rFonts w:ascii="Times New Roman" w:cs="Times New Roman" w:eastAsia="Times New Roman" w:hAnsi="Times New Roman"/>
          <w:sz w:val="17"/>
          <w:szCs w:val="17"/>
          <w:b w:val="1"/>
          <w:bCs w:val="1"/>
          <w:color w:val="FF0000"/>
          <w:strike w:val="1"/>
        </w:rPr>
        <w:t>ANNEX I TO EXHIBIT B TO BORROWING BASE CERTIFICATE</w:t>
      </w:r>
    </w:p>
    <w:p>
      <w:pPr>
        <w:spacing w:after="0" w:line="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FF0000"/>
          <w:strike w:val="1"/>
        </w:rPr>
        <w:t>OF ALPINE INCOME PROPERTY OP, 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[Borrower to Insert Calculation of Debt Service Coverage Amount for each Eligible Property with concentration limit exclusions]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[Exhibit 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850" w:right="1440" w:bottom="1440" w:gutter="0" w:footer="0" w:header="0"/>
        </w:sectPr>
      </w:pPr>
    </w:p>
    <w:bookmarkStart w:id="211" w:name="page212"/>
    <w:bookmarkEnd w:id="211"/>
    <w:tbl>
      <w:tblPr>
        <w:tblLayout w:type="fixed"/>
        <w:tblInd w:w="550" w:type="dxa"/>
        <w:tblCellMar>
          <w:top w:w="0" w:type="dxa"/>
          <w:left w:w="0" w:type="dxa"/>
          <w:bottom w:w="0" w:type="dxa"/>
          <w:right w:w="0" w:type="dxa"/>
        </w:tblCellMar>
      </w:tblPr>
      <w:tr>
        <w:trPr>
          <w:trHeight w:val="229"/>
        </w:trPr>
        <w:tc>
          <w:tcPr>
            <w:tcW w:w="3140" w:type="dxa"/>
            <w:vAlign w:val="bottom"/>
          </w:tcPr>
          <w:p>
            <w:pPr>
              <w:spacing w:after="0"/>
              <w:rPr>
                <w:sz w:val="19"/>
                <w:szCs w:val="19"/>
                <w:color w:val="auto"/>
              </w:rPr>
            </w:pPr>
          </w:p>
        </w:tc>
        <w:tc>
          <w:tcPr>
            <w:tcW w:w="4800" w:type="dxa"/>
            <w:vAlign w:val="bottom"/>
            <w:gridSpan w:val="2"/>
          </w:tcPr>
          <w:p>
            <w:pPr>
              <w:jc w:val="center"/>
              <w:ind w:right="3053"/>
              <w:spacing w:after="0"/>
              <w:rPr>
                <w:sz w:val="20"/>
                <w:szCs w:val="20"/>
                <w:color w:val="auto"/>
              </w:rPr>
            </w:pPr>
            <w:r>
              <w:rPr>
                <w:rFonts w:ascii="Times New Roman" w:cs="Times New Roman" w:eastAsia="Times New Roman" w:hAnsi="Times New Roman"/>
                <w:sz w:val="17"/>
                <w:szCs w:val="17"/>
                <w:b w:val="1"/>
                <w:bCs w:val="1"/>
                <w:color w:val="auto"/>
              </w:rPr>
              <w:t>SCHEDULE I</w:t>
            </w:r>
          </w:p>
        </w:tc>
      </w:tr>
      <w:tr>
        <w:trPr>
          <w:trHeight w:val="417"/>
        </w:trPr>
        <w:tc>
          <w:tcPr>
            <w:tcW w:w="3140" w:type="dxa"/>
            <w:vAlign w:val="bottom"/>
          </w:tcPr>
          <w:p>
            <w:pPr>
              <w:spacing w:after="0"/>
              <w:rPr>
                <w:sz w:val="24"/>
                <w:szCs w:val="24"/>
                <w:color w:val="auto"/>
              </w:rPr>
            </w:pPr>
          </w:p>
        </w:tc>
        <w:tc>
          <w:tcPr>
            <w:tcW w:w="4800" w:type="dxa"/>
            <w:vAlign w:val="bottom"/>
            <w:gridSpan w:val="2"/>
          </w:tcPr>
          <w:p>
            <w:pPr>
              <w:jc w:val="center"/>
              <w:ind w:right="3073"/>
              <w:spacing w:after="0"/>
              <w:rPr>
                <w:sz w:val="20"/>
                <w:szCs w:val="20"/>
                <w:color w:val="auto"/>
              </w:rPr>
            </w:pPr>
            <w:r>
              <w:rPr>
                <w:rFonts w:ascii="Times New Roman" w:cs="Times New Roman" w:eastAsia="Times New Roman" w:hAnsi="Times New Roman"/>
                <w:sz w:val="17"/>
                <w:szCs w:val="17"/>
                <w:b w:val="1"/>
                <w:bCs w:val="1"/>
                <w:color w:val="auto"/>
              </w:rPr>
              <w:t>COMMITMENTS</w:t>
            </w:r>
          </w:p>
        </w:tc>
      </w:tr>
      <w:tr>
        <w:trPr>
          <w:trHeight w:val="222"/>
        </w:trPr>
        <w:tc>
          <w:tcPr>
            <w:tcW w:w="3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r>
      <w:tr>
        <w:trPr>
          <w:trHeight w:val="234"/>
        </w:trPr>
        <w:tc>
          <w:tcPr>
            <w:tcW w:w="3140" w:type="dxa"/>
            <w:vAlign w:val="bottom"/>
            <w:tcBorders>
              <w:left w:val="single" w:sz="8" w:color="auto"/>
              <w:bottom w:val="single" w:sz="8" w:color="auto"/>
            </w:tcBorders>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Name of Lender</w:t>
            </w:r>
          </w:p>
        </w:tc>
        <w:tc>
          <w:tcPr>
            <w:tcW w:w="7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7"/>
                <w:szCs w:val="17"/>
                <w:b w:val="1"/>
                <w:bCs w:val="1"/>
                <w:color w:val="auto"/>
              </w:rPr>
              <w:t>Term Loan Commitment</w:t>
            </w:r>
          </w:p>
        </w:tc>
      </w:tr>
      <w:tr>
        <w:trPr>
          <w:trHeight w:val="227"/>
        </w:trPr>
        <w:tc>
          <w:tcPr>
            <w:tcW w:w="3140" w:type="dxa"/>
            <w:vAlign w:val="bottom"/>
            <w:tcBorders>
              <w:left w:val="single" w:sz="8" w:color="auto"/>
            </w:tcBorders>
          </w:tcPr>
          <w:p>
            <w:pPr>
              <w:jc w:val="center"/>
              <w:ind w:left="593"/>
              <w:spacing w:after="0"/>
              <w:rPr>
                <w:sz w:val="20"/>
                <w:szCs w:val="20"/>
                <w:color w:val="auto"/>
              </w:rPr>
            </w:pPr>
            <w:r>
              <w:rPr>
                <w:rFonts w:ascii="Times New Roman" w:cs="Times New Roman" w:eastAsia="Times New Roman" w:hAnsi="Times New Roman"/>
                <w:sz w:val="17"/>
                <w:szCs w:val="17"/>
                <w:color w:val="auto"/>
              </w:rPr>
              <w:t>Truist Bank</w:t>
            </w:r>
          </w:p>
        </w:tc>
        <w:tc>
          <w:tcPr>
            <w:tcW w:w="70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$22,500,000.00</w:t>
            </w:r>
          </w:p>
        </w:tc>
      </w:tr>
      <w:tr>
        <w:trPr>
          <w:trHeight w:val="21"/>
        </w:trPr>
        <w:tc>
          <w:tcPr>
            <w:tcW w:w="3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140" w:type="dxa"/>
            <w:vAlign w:val="bottom"/>
            <w:tcBorders>
              <w:left w:val="single" w:sz="8" w:color="auto"/>
            </w:tcBorders>
          </w:tcPr>
          <w:p>
            <w:pPr>
              <w:jc w:val="center"/>
              <w:ind w:left="613"/>
              <w:spacing w:after="0"/>
              <w:rPr>
                <w:sz w:val="20"/>
                <w:szCs w:val="20"/>
                <w:color w:val="auto"/>
              </w:rPr>
            </w:pPr>
            <w:r>
              <w:rPr>
                <w:rFonts w:ascii="Times New Roman" w:cs="Times New Roman" w:eastAsia="Times New Roman" w:hAnsi="Times New Roman"/>
                <w:sz w:val="17"/>
                <w:szCs w:val="17"/>
                <w:color w:val="auto"/>
              </w:rPr>
              <w:t>Bank of Montreal</w:t>
            </w:r>
          </w:p>
        </w:tc>
        <w:tc>
          <w:tcPr>
            <w:tcW w:w="70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$13,750,000.00</w:t>
            </w:r>
          </w:p>
        </w:tc>
      </w:tr>
      <w:tr>
        <w:trPr>
          <w:trHeight w:val="21"/>
        </w:trPr>
        <w:tc>
          <w:tcPr>
            <w:tcW w:w="3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140" w:type="dxa"/>
            <w:vAlign w:val="bottom"/>
            <w:tcBorders>
              <w:left w:val="single" w:sz="8" w:color="auto"/>
            </w:tcBorders>
          </w:tcPr>
          <w:p>
            <w:pPr>
              <w:jc w:val="center"/>
              <w:ind w:left="593"/>
              <w:spacing w:after="0"/>
              <w:rPr>
                <w:sz w:val="20"/>
                <w:szCs w:val="20"/>
                <w:color w:val="auto"/>
              </w:rPr>
            </w:pPr>
            <w:r>
              <w:rPr>
                <w:rFonts w:ascii="Times New Roman" w:cs="Times New Roman" w:eastAsia="Times New Roman" w:hAnsi="Times New Roman"/>
                <w:sz w:val="17"/>
                <w:szCs w:val="17"/>
                <w:color w:val="auto"/>
              </w:rPr>
              <w:t>Raymond James Bank, N.A.</w:t>
            </w:r>
          </w:p>
        </w:tc>
        <w:tc>
          <w:tcPr>
            <w:tcW w:w="70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$13,750,000.00</w:t>
            </w:r>
          </w:p>
        </w:tc>
      </w:tr>
      <w:tr>
        <w:trPr>
          <w:trHeight w:val="21"/>
        </w:trPr>
        <w:tc>
          <w:tcPr>
            <w:tcW w:w="3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140" w:type="dxa"/>
            <w:vAlign w:val="bottom"/>
            <w:tcBorders>
              <w:left w:val="single" w:sz="8" w:color="auto"/>
            </w:tcBorders>
          </w:tcPr>
          <w:p>
            <w:pPr>
              <w:jc w:val="center"/>
              <w:ind w:left="613"/>
              <w:spacing w:after="0"/>
              <w:rPr>
                <w:sz w:val="20"/>
                <w:szCs w:val="20"/>
                <w:color w:val="auto"/>
              </w:rPr>
            </w:pPr>
            <w:r>
              <w:rPr>
                <w:rFonts w:ascii="Times New Roman" w:cs="Times New Roman" w:eastAsia="Times New Roman" w:hAnsi="Times New Roman"/>
                <w:sz w:val="17"/>
                <w:szCs w:val="17"/>
                <w:color w:val="auto"/>
              </w:rPr>
              <w:t>Stifel Bank &amp; Trust</w:t>
            </w:r>
          </w:p>
        </w:tc>
        <w:tc>
          <w:tcPr>
            <w:tcW w:w="70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$20,000,000.00</w:t>
            </w:r>
          </w:p>
        </w:tc>
      </w:tr>
      <w:tr>
        <w:trPr>
          <w:trHeight w:val="21"/>
        </w:trPr>
        <w:tc>
          <w:tcPr>
            <w:tcW w:w="3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140" w:type="dxa"/>
            <w:vAlign w:val="bottom"/>
            <w:tcBorders>
              <w:left w:val="single" w:sz="8" w:color="auto"/>
            </w:tcBorders>
          </w:tcPr>
          <w:p>
            <w:pPr>
              <w:jc w:val="center"/>
              <w:ind w:left="613"/>
              <w:spacing w:after="0"/>
              <w:rPr>
                <w:sz w:val="20"/>
                <w:szCs w:val="20"/>
                <w:color w:val="auto"/>
              </w:rPr>
            </w:pPr>
            <w:r>
              <w:rPr>
                <w:rFonts w:ascii="Times New Roman" w:cs="Times New Roman" w:eastAsia="Times New Roman" w:hAnsi="Times New Roman"/>
                <w:sz w:val="17"/>
                <w:szCs w:val="17"/>
                <w:color w:val="auto"/>
              </w:rPr>
              <w:t>The Huntington National Bank</w:t>
            </w:r>
          </w:p>
        </w:tc>
        <w:tc>
          <w:tcPr>
            <w:tcW w:w="70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$5,000,000.00</w:t>
            </w:r>
          </w:p>
        </w:tc>
      </w:tr>
      <w:tr>
        <w:trPr>
          <w:trHeight w:val="21"/>
        </w:trPr>
        <w:tc>
          <w:tcPr>
            <w:tcW w:w="3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140" w:type="dxa"/>
            <w:vAlign w:val="bottom"/>
            <w:tcBorders>
              <w:left w:val="single" w:sz="8" w:color="auto"/>
            </w:tcBorders>
          </w:tcPr>
          <w:p>
            <w:pPr>
              <w:jc w:val="center"/>
              <w:ind w:left="613"/>
              <w:spacing w:after="0"/>
              <w:rPr>
                <w:sz w:val="20"/>
                <w:szCs w:val="20"/>
                <w:color w:val="auto"/>
              </w:rPr>
            </w:pPr>
            <w:r>
              <w:rPr>
                <w:rFonts w:ascii="Times New Roman" w:cs="Times New Roman" w:eastAsia="Times New Roman" w:hAnsi="Times New Roman"/>
                <w:sz w:val="17"/>
                <w:szCs w:val="17"/>
                <w:color w:val="auto"/>
              </w:rPr>
              <w:t>KeyBank National Association</w:t>
            </w:r>
          </w:p>
        </w:tc>
        <w:tc>
          <w:tcPr>
            <w:tcW w:w="70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$5,000,000.00</w:t>
            </w:r>
          </w:p>
        </w:tc>
      </w:tr>
      <w:tr>
        <w:trPr>
          <w:trHeight w:val="21"/>
        </w:trPr>
        <w:tc>
          <w:tcPr>
            <w:tcW w:w="3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140" w:type="dxa"/>
            <w:vAlign w:val="bottom"/>
            <w:tcBorders>
              <w:left w:val="single" w:sz="8" w:color="auto"/>
            </w:tcBorders>
          </w:tcPr>
          <w:p>
            <w:pPr>
              <w:jc w:val="center"/>
              <w:ind w:left="593"/>
              <w:spacing w:after="0"/>
              <w:rPr>
                <w:sz w:val="20"/>
                <w:szCs w:val="20"/>
                <w:color w:val="auto"/>
              </w:rPr>
            </w:pPr>
            <w:r>
              <w:rPr>
                <w:rFonts w:ascii="Times New Roman" w:cs="Times New Roman" w:eastAsia="Times New Roman" w:hAnsi="Times New Roman"/>
                <w:sz w:val="17"/>
                <w:szCs w:val="17"/>
                <w:color w:val="auto"/>
              </w:rPr>
              <w:t>Regions Bank</w:t>
            </w:r>
          </w:p>
        </w:tc>
        <w:tc>
          <w:tcPr>
            <w:tcW w:w="70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$5,000,000.00</w:t>
            </w:r>
          </w:p>
        </w:tc>
      </w:tr>
      <w:tr>
        <w:trPr>
          <w:trHeight w:val="21"/>
        </w:trPr>
        <w:tc>
          <w:tcPr>
            <w:tcW w:w="3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140" w:type="dxa"/>
            <w:vAlign w:val="bottom"/>
            <w:tcBorders>
              <w:left w:val="single" w:sz="8" w:color="auto"/>
            </w:tcBorders>
          </w:tcPr>
          <w:p>
            <w:pPr>
              <w:jc w:val="center"/>
              <w:ind w:left="593"/>
              <w:spacing w:after="0"/>
              <w:rPr>
                <w:sz w:val="20"/>
                <w:szCs w:val="20"/>
                <w:color w:val="auto"/>
              </w:rPr>
            </w:pPr>
            <w:r>
              <w:rPr>
                <w:rFonts w:ascii="Times New Roman" w:cs="Times New Roman" w:eastAsia="Times New Roman" w:hAnsi="Times New Roman"/>
                <w:sz w:val="17"/>
                <w:szCs w:val="17"/>
                <w:color w:val="auto"/>
              </w:rPr>
              <w:t>U.S. Bank National Association</w:t>
            </w:r>
          </w:p>
        </w:tc>
        <w:tc>
          <w:tcPr>
            <w:tcW w:w="70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$5,000,000.00</w:t>
            </w:r>
          </w:p>
        </w:tc>
      </w:tr>
      <w:tr>
        <w:trPr>
          <w:trHeight w:val="21"/>
        </w:trPr>
        <w:tc>
          <w:tcPr>
            <w:tcW w:w="3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140" w:type="dxa"/>
            <w:vAlign w:val="bottom"/>
            <w:tcBorders>
              <w:left w:val="single" w:sz="8" w:color="auto"/>
            </w:tcBorders>
          </w:tcPr>
          <w:p>
            <w:pPr>
              <w:jc w:val="center"/>
              <w:ind w:left="613"/>
              <w:spacing w:after="0"/>
              <w:rPr>
                <w:sz w:val="20"/>
                <w:szCs w:val="20"/>
                <w:color w:val="auto"/>
              </w:rPr>
            </w:pPr>
            <w:r>
              <w:rPr>
                <w:rFonts w:ascii="Times New Roman" w:cs="Times New Roman" w:eastAsia="Times New Roman" w:hAnsi="Times New Roman"/>
                <w:sz w:val="17"/>
                <w:szCs w:val="17"/>
                <w:color w:val="auto"/>
              </w:rPr>
              <w:t>Synovus Financial Corporation</w:t>
            </w:r>
          </w:p>
        </w:tc>
        <w:tc>
          <w:tcPr>
            <w:tcW w:w="70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$10,000,000.00</w:t>
            </w:r>
          </w:p>
        </w:tc>
      </w:tr>
      <w:tr>
        <w:trPr>
          <w:trHeight w:val="21"/>
        </w:trPr>
        <w:tc>
          <w:tcPr>
            <w:tcW w:w="31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351155</wp:posOffset>
            </wp:positionV>
            <wp:extent cx="6292215" cy="247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212" w:name="page213"/>
    <w:bookmarkEnd w:id="21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SCHEDULE 1.1</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FF0000"/>
          <w:strike w:val="1"/>
        </w:rPr>
        <w:t>INITIAL PROPERTIES</w:t>
      </w: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3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Tenant </w:t>
            </w:r>
            <w:r>
              <w:rPr>
                <w:rFonts w:ascii="Times New Roman" w:cs="Times New Roman" w:eastAsia="Times New Roman" w:hAnsi="Times New Roman"/>
                <w:sz w:val="17"/>
                <w:szCs w:val="17"/>
                <w:b w:val="1"/>
                <w:bCs w:val="1"/>
                <w:color w:val="4472C4"/>
              </w:rPr>
              <w:t>(DBA)</w:t>
            </w:r>
          </w:p>
        </w:tc>
        <w:tc>
          <w:tcPr>
            <w:tcW w:w="330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City, State</w:t>
            </w:r>
          </w:p>
        </w:tc>
        <w:tc>
          <w:tcPr>
            <w:tcW w:w="3320" w:type="dxa"/>
            <w:vAlign w:val="bottom"/>
            <w:tcBorders>
              <w:top w:val="single" w:sz="8" w:color="auto"/>
              <w:right w:val="single" w:sz="8" w:color="auto"/>
            </w:tcBorders>
            <w:gridSpan w:val="3"/>
          </w:tcPr>
          <w:p>
            <w:pPr>
              <w:ind w:left="1200"/>
              <w:spacing w:after="0"/>
              <w:rPr>
                <w:sz w:val="20"/>
                <w:szCs w:val="20"/>
                <w:color w:val="auto"/>
              </w:rPr>
            </w:pPr>
            <w:r>
              <w:rPr>
                <w:rFonts w:ascii="Times New Roman" w:cs="Times New Roman" w:eastAsia="Times New Roman" w:hAnsi="Times New Roman"/>
                <w:sz w:val="17"/>
                <w:szCs w:val="17"/>
                <w:b w:val="1"/>
                <w:bCs w:val="1"/>
                <w:color w:val="auto"/>
              </w:rPr>
              <w:t>Square Feet</w:t>
            </w:r>
          </w:p>
        </w:tc>
      </w:tr>
      <w:tr>
        <w:trPr>
          <w:trHeight w:val="20"/>
        </w:trPr>
        <w:tc>
          <w:tcPr>
            <w:tcW w:w="1700" w:type="dxa"/>
            <w:vAlign w:val="bottom"/>
            <w:tcBorders>
              <w:left w:val="single" w:sz="8" w:color="auto"/>
            </w:tcBorders>
          </w:tcPr>
          <w:p>
            <w:pPr>
              <w:spacing w:after="0" w:line="20" w:lineRule="exact"/>
              <w:rPr>
                <w:sz w:val="1"/>
                <w:szCs w:val="1"/>
                <w:color w:val="auto"/>
              </w:rPr>
            </w:pPr>
          </w:p>
        </w:tc>
        <w:tc>
          <w:tcPr>
            <w:tcW w:w="480" w:type="dxa"/>
            <w:vAlign w:val="bottom"/>
            <w:tcBorders>
              <w:top w:val="single" w:sz="8" w:color="4472C4"/>
              <w:bottom w:val="single" w:sz="8" w:color="4472C4"/>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r>
      <w:tr>
        <w:trPr>
          <w:trHeight w:val="20"/>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3320" w:type="dxa"/>
            <w:vAlign w:val="bottom"/>
            <w:tcBorders>
              <w:left w:val="single" w:sz="8" w:color="auto"/>
              <w:right w:val="single" w:sz="8" w:color="auto"/>
            </w:tcBorders>
            <w:gridSpan w:val="3"/>
          </w:tcPr>
          <w:p>
            <w:pPr>
              <w:jc w:val="center"/>
              <w:spacing w:after="0" w:line="161" w:lineRule="exact"/>
              <w:rPr>
                <w:sz w:val="20"/>
                <w:szCs w:val="20"/>
                <w:color w:val="auto"/>
              </w:rPr>
            </w:pPr>
            <w:r>
              <w:rPr>
                <w:rFonts w:ascii="Times New Roman" w:cs="Times New Roman" w:eastAsia="Times New Roman" w:hAnsi="Times New Roman"/>
                <w:sz w:val="17"/>
                <w:szCs w:val="17"/>
                <w:color w:val="auto"/>
              </w:rPr>
              <w:t>LA Fitness</w:t>
            </w:r>
          </w:p>
        </w:tc>
        <w:tc>
          <w:tcPr>
            <w:tcW w:w="1280" w:type="dxa"/>
            <w:vAlign w:val="bottom"/>
          </w:tcPr>
          <w:p>
            <w:pPr>
              <w:ind w:left="680"/>
              <w:spacing w:after="0" w:line="161" w:lineRule="exact"/>
              <w:rPr>
                <w:sz w:val="20"/>
                <w:szCs w:val="20"/>
                <w:color w:val="auto"/>
              </w:rPr>
            </w:pPr>
            <w:r>
              <w:rPr>
                <w:rFonts w:ascii="Times New Roman" w:cs="Times New Roman" w:eastAsia="Times New Roman" w:hAnsi="Times New Roman"/>
                <w:sz w:val="17"/>
                <w:szCs w:val="17"/>
                <w:color w:val="FF0000"/>
                <w:strike w:val="1"/>
                <w:w w:val="98"/>
              </w:rPr>
              <w:t>Brandon</w:t>
            </w:r>
          </w:p>
        </w:tc>
        <w:tc>
          <w:tcPr>
            <w:tcW w:w="2020" w:type="dxa"/>
            <w:vAlign w:val="bottom"/>
            <w:tcBorders>
              <w:right w:val="single" w:sz="8" w:color="auto"/>
            </w:tcBorders>
            <w:gridSpan w:val="2"/>
          </w:tcPr>
          <w:p>
            <w:pPr>
              <w:spacing w:after="0" w:line="161" w:lineRule="exact"/>
              <w:rPr>
                <w:sz w:val="20"/>
                <w:szCs w:val="20"/>
                <w:color w:val="auto"/>
              </w:rPr>
            </w:pPr>
            <w:r>
              <w:rPr>
                <w:rFonts w:ascii="Times New Roman" w:cs="Times New Roman" w:eastAsia="Times New Roman" w:hAnsi="Times New Roman"/>
                <w:sz w:val="17"/>
                <w:szCs w:val="17"/>
                <w:color w:val="4472C4"/>
              </w:rPr>
              <w:t>Riverview</w:t>
            </w:r>
            <w:r>
              <w:rPr>
                <w:rFonts w:ascii="Times New Roman" w:cs="Times New Roman" w:eastAsia="Times New Roman" w:hAnsi="Times New Roman"/>
                <w:sz w:val="17"/>
                <w:szCs w:val="17"/>
                <w:color w:val="000000"/>
              </w:rPr>
              <w:t>, Florida</w:t>
            </w:r>
          </w:p>
        </w:tc>
        <w:tc>
          <w:tcPr>
            <w:tcW w:w="1980" w:type="dxa"/>
            <w:vAlign w:val="bottom"/>
            <w:gridSpan w:val="2"/>
          </w:tcPr>
          <w:p>
            <w:pPr>
              <w:jc w:val="center"/>
              <w:ind w:left="1233"/>
              <w:spacing w:after="0" w:line="161" w:lineRule="exact"/>
              <w:rPr>
                <w:sz w:val="20"/>
                <w:szCs w:val="20"/>
                <w:color w:val="auto"/>
              </w:rPr>
            </w:pPr>
            <w:r>
              <w:rPr>
                <w:rFonts w:ascii="Times New Roman" w:cs="Times New Roman" w:eastAsia="Times New Roman" w:hAnsi="Times New Roman"/>
                <w:sz w:val="17"/>
                <w:szCs w:val="17"/>
                <w:color w:val="auto"/>
                <w:w w:val="98"/>
              </w:rPr>
              <w:t>45,000</w:t>
            </w:r>
          </w:p>
        </w:tc>
        <w:tc>
          <w:tcPr>
            <w:tcW w:w="1340" w:type="dxa"/>
            <w:vAlign w:val="bottom"/>
            <w:tcBorders>
              <w:right w:val="single" w:sz="8" w:color="auto"/>
            </w:tcBorders>
          </w:tcPr>
          <w:p>
            <w:pPr>
              <w:spacing w:after="0"/>
              <w:rPr>
                <w:sz w:val="13"/>
                <w:szCs w:val="13"/>
                <w:color w:val="auto"/>
              </w:rPr>
            </w:pPr>
          </w:p>
        </w:tc>
      </w:tr>
      <w:tr>
        <w:trPr>
          <w:trHeight w:val="20"/>
        </w:trPr>
        <w:tc>
          <w:tcPr>
            <w:tcW w:w="170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top w:val="single" w:sz="8" w:color="4472C4"/>
              <w:bottom w:val="single" w:sz="8" w:color="4472C4"/>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r>
      <w:tr>
        <w:trPr>
          <w:trHeight w:val="20"/>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2180" w:type="dxa"/>
            <w:vAlign w:val="bottom"/>
            <w:tcBorders>
              <w:left w:val="single" w:sz="8" w:color="auto"/>
            </w:tcBorders>
            <w:gridSpan w:val="2"/>
          </w:tcPr>
          <w:p>
            <w:pPr>
              <w:jc w:val="center"/>
              <w:ind w:left="1053"/>
              <w:spacing w:after="0"/>
              <w:rPr>
                <w:sz w:val="20"/>
                <w:szCs w:val="20"/>
                <w:color w:val="auto"/>
              </w:rPr>
            </w:pPr>
            <w:r>
              <w:rPr>
                <w:rFonts w:ascii="Times New Roman" w:cs="Times New Roman" w:eastAsia="Times New Roman" w:hAnsi="Times New Roman"/>
                <w:sz w:val="17"/>
                <w:szCs w:val="17"/>
                <w:color w:val="FF0000"/>
                <w:strike w:val="1"/>
              </w:rPr>
              <w:t>JoAnn Fabrics</w:t>
            </w:r>
          </w:p>
        </w:tc>
        <w:tc>
          <w:tcPr>
            <w:tcW w:w="1140" w:type="dxa"/>
            <w:vAlign w:val="bottom"/>
            <w:tcBorders>
              <w:right w:val="single" w:sz="8" w:color="auto"/>
            </w:tcBorders>
          </w:tcPr>
          <w:p>
            <w:pPr>
              <w:spacing w:after="0"/>
              <w:rPr>
                <w:sz w:val="17"/>
                <w:szCs w:val="17"/>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FF0000"/>
                <w:strike w:val="1"/>
              </w:rPr>
              <w:t>Saugus, Massachusetts</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FF0000"/>
                <w:strike w:val="1"/>
                <w:w w:val="98"/>
              </w:rPr>
              <w:t>22,500</w:t>
            </w:r>
          </w:p>
        </w:tc>
        <w:tc>
          <w:tcPr>
            <w:tcW w:w="1340" w:type="dxa"/>
            <w:vAlign w:val="bottom"/>
            <w:tcBorders>
              <w:right w:val="single" w:sz="8" w:color="auto"/>
            </w:tcBorders>
          </w:tcPr>
          <w:p>
            <w:pPr>
              <w:spacing w:after="0"/>
              <w:rPr>
                <w:sz w:val="17"/>
                <w:szCs w:val="17"/>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Century Theater</w:t>
            </w:r>
          </w:p>
        </w:tc>
        <w:tc>
          <w:tcPr>
            <w:tcW w:w="33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Reno, Nevada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auto"/>
                <w:w w:val="98"/>
              </w:rPr>
              <w:t>52,474</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2180" w:type="dxa"/>
            <w:vAlign w:val="bottom"/>
            <w:tcBorders>
              <w:left w:val="single" w:sz="8" w:color="auto"/>
            </w:tcBorders>
            <w:gridSpan w:val="2"/>
          </w:tcPr>
          <w:p>
            <w:pPr>
              <w:jc w:val="center"/>
              <w:ind w:left="1053"/>
              <w:spacing w:after="0"/>
              <w:rPr>
                <w:sz w:val="20"/>
                <w:szCs w:val="20"/>
                <w:color w:val="auto"/>
              </w:rPr>
            </w:pPr>
            <w:r>
              <w:rPr>
                <w:rFonts w:ascii="Times New Roman" w:cs="Times New Roman" w:eastAsia="Times New Roman" w:hAnsi="Times New Roman"/>
                <w:sz w:val="17"/>
                <w:szCs w:val="17"/>
                <w:color w:val="FF0000"/>
                <w:strike w:val="1"/>
              </w:rPr>
              <w:t>At Home</w:t>
            </w:r>
          </w:p>
        </w:tc>
        <w:tc>
          <w:tcPr>
            <w:tcW w:w="114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FF0000"/>
                <w:strike w:val="1"/>
              </w:rPr>
              <w:t>Raleigh, North Carolina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FF0000"/>
                <w:strike w:val="1"/>
                <w:w w:val="97"/>
              </w:rPr>
              <w:t>116,334</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Dick’s Sporting Goods, Inc.</w:t>
            </w: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McDonough, Georgia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auto"/>
                <w:w w:val="98"/>
              </w:rPr>
              <w:t>46,315</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Best Buy Stores, L.P.</w:t>
            </w: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McDonough, Georgia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auto"/>
                <w:w w:val="98"/>
              </w:rPr>
              <w:t>30,038</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FF0000"/>
                <w:strike w:val="1"/>
              </w:rPr>
              <w:t>Hilton Metrowest</w:t>
            </w: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FF0000"/>
                <w:strike w:val="1"/>
              </w:rPr>
              <w:t>Orlando, Florida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FF0000"/>
                <w:strike w:val="1"/>
              </w:rPr>
              <w:t>102,019</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FF0000"/>
                <w:strike w:val="1"/>
              </w:rPr>
              <w:t>Hilton Cambridge</w:t>
            </w: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FF0000"/>
                <w:strike w:val="1"/>
              </w:rPr>
              <w:t>Orlando, Florida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FF0000"/>
                <w:strike w:val="1"/>
                <w:w w:val="98"/>
              </w:rPr>
              <w:t>31,895</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FF0000"/>
                <w:strike w:val="1"/>
              </w:rPr>
              <w:t>Outback Steakhouse</w:t>
            </w: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FF0000"/>
                <w:strike w:val="1"/>
              </w:rPr>
              <w:t>Huntersville, North Carolina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FF0000"/>
                <w:strike w:val="1"/>
                <w:w w:val="99"/>
              </w:rPr>
              <w:t>6,297</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2180" w:type="dxa"/>
            <w:vAlign w:val="bottom"/>
            <w:tcBorders>
              <w:left w:val="single" w:sz="8" w:color="auto"/>
            </w:tcBorders>
            <w:gridSpan w:val="2"/>
          </w:tcPr>
          <w:p>
            <w:pPr>
              <w:jc w:val="center"/>
              <w:ind w:left="1073"/>
              <w:spacing w:after="0"/>
              <w:rPr>
                <w:sz w:val="20"/>
                <w:szCs w:val="20"/>
                <w:color w:val="auto"/>
              </w:rPr>
            </w:pPr>
            <w:r>
              <w:rPr>
                <w:rFonts w:ascii="Times New Roman" w:cs="Times New Roman" w:eastAsia="Times New Roman" w:hAnsi="Times New Roman"/>
                <w:sz w:val="17"/>
                <w:szCs w:val="17"/>
                <w:color w:val="FF0000"/>
                <w:strike w:val="1"/>
              </w:rPr>
              <w:t>Hobby Lobby</w:t>
            </w:r>
          </w:p>
        </w:tc>
        <w:tc>
          <w:tcPr>
            <w:tcW w:w="114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FF0000"/>
                <w:strike w:val="1"/>
              </w:rPr>
              <w:t>Winston-Salem, North Carolina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FF0000"/>
                <w:strike w:val="1"/>
                <w:w w:val="98"/>
              </w:rPr>
              <w:t>55,000</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FF0000"/>
                <w:strike w:val="1"/>
              </w:rPr>
              <w:t>Wells Fargo Building</w:t>
            </w:r>
          </w:p>
        </w:tc>
        <w:tc>
          <w:tcPr>
            <w:tcW w:w="33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FF0000"/>
                <w:strike w:val="1"/>
              </w:rPr>
              <w:t>Hillsboro, Oregon</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FF0000"/>
                <w:strike w:val="1"/>
              </w:rPr>
              <w:t>212,363</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332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Times New Roman" w:cs="Times New Roman" w:eastAsia="Times New Roman" w:hAnsi="Times New Roman"/>
                <w:sz w:val="17"/>
                <w:szCs w:val="17"/>
                <w:color w:val="auto"/>
              </w:rPr>
              <w:t>Alpine Valley Music Theatre</w:t>
            </w:r>
          </w:p>
        </w:tc>
        <w:tc>
          <w:tcPr>
            <w:tcW w:w="3300" w:type="dxa"/>
            <w:vAlign w:val="bottom"/>
            <w:tcBorders>
              <w:right w:val="single" w:sz="8" w:color="auto"/>
            </w:tcBorders>
            <w:gridSpan w:val="3"/>
          </w:tcPr>
          <w:p>
            <w:pPr>
              <w:jc w:val="center"/>
              <w:ind w:right="20"/>
              <w:spacing w:after="0" w:line="176" w:lineRule="exact"/>
              <w:rPr>
                <w:sz w:val="20"/>
                <w:szCs w:val="20"/>
                <w:color w:val="auto"/>
              </w:rPr>
            </w:pPr>
            <w:r>
              <w:rPr>
                <w:rFonts w:ascii="Times New Roman" w:cs="Times New Roman" w:eastAsia="Times New Roman" w:hAnsi="Times New Roman"/>
                <w:sz w:val="17"/>
                <w:szCs w:val="17"/>
                <w:color w:val="auto"/>
              </w:rPr>
              <w:t>East Troy, Wisconsin</w:t>
            </w:r>
          </w:p>
        </w:tc>
        <w:tc>
          <w:tcPr>
            <w:tcW w:w="15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FF0000"/>
                <w:strike w:val="1"/>
              </w:rPr>
              <w:t>---</w:t>
            </w:r>
          </w:p>
        </w:tc>
        <w:tc>
          <w:tcPr>
            <w:tcW w:w="1820" w:type="dxa"/>
            <w:vAlign w:val="bottom"/>
            <w:tcBorders>
              <w:right w:val="single" w:sz="8" w:color="auto"/>
            </w:tcBorders>
            <w:gridSpan w:val="2"/>
          </w:tcPr>
          <w:p>
            <w:pPr>
              <w:jc w:val="right"/>
              <w:ind w:right="1340"/>
              <w:spacing w:after="0" w:line="176" w:lineRule="exact"/>
              <w:rPr>
                <w:sz w:val="20"/>
                <w:szCs w:val="20"/>
                <w:color w:val="auto"/>
              </w:rPr>
            </w:pPr>
            <w:r>
              <w:rPr>
                <w:rFonts w:ascii="Times New Roman" w:cs="Times New Roman" w:eastAsia="Times New Roman" w:hAnsi="Times New Roman"/>
                <w:sz w:val="17"/>
                <w:szCs w:val="17"/>
                <w:color w:val="4472C4"/>
                <w:w w:val="98"/>
              </w:rPr>
              <w:t>93,322</w:t>
            </w:r>
          </w:p>
        </w:tc>
      </w:tr>
      <w:tr>
        <w:trPr>
          <w:trHeight w:val="20"/>
        </w:trPr>
        <w:tc>
          <w:tcPr>
            <w:tcW w:w="170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Borders>
              <w:top w:val="single" w:sz="8" w:color="4472C4"/>
              <w:bottom w:val="single" w:sz="8" w:color="4472C4"/>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r>
      <w:tr>
        <w:trPr>
          <w:trHeight w:val="20"/>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Family Dollar</w:t>
            </w: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Lynn, Massachusetts</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auto"/>
                <w:w w:val="99"/>
              </w:rPr>
              <w:t>9,228</w:t>
            </w:r>
          </w:p>
        </w:tc>
        <w:tc>
          <w:tcPr>
            <w:tcW w:w="1340" w:type="dxa"/>
            <w:vAlign w:val="bottom"/>
            <w:tcBorders>
              <w:right w:val="single" w:sz="8" w:color="auto"/>
            </w:tcBorders>
          </w:tcPr>
          <w:p>
            <w:pPr>
              <w:spacing w:after="0"/>
              <w:rPr>
                <w:sz w:val="17"/>
                <w:szCs w:val="17"/>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Walgreens</w:t>
            </w: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Birmingham, Alabama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auto"/>
                <w:w w:val="98"/>
              </w:rPr>
              <w:t>14,516</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Walgreens</w:t>
            </w:r>
          </w:p>
        </w:tc>
        <w:tc>
          <w:tcPr>
            <w:tcW w:w="33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Albany, Georgia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auto"/>
                <w:w w:val="98"/>
              </w:rPr>
              <w:t>14,770</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Walgreens</w:t>
            </w:r>
          </w:p>
        </w:tc>
        <w:tc>
          <w:tcPr>
            <w:tcW w:w="33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Alpharetta, Georgia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auto"/>
                <w:w w:val="98"/>
              </w:rPr>
              <w:t>15,120</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FF0000"/>
                <w:strike w:val="1"/>
              </w:rPr>
              <w:t>Container Store</w:t>
            </w: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FF0000"/>
                <w:strike w:val="1"/>
              </w:rPr>
              <w:t>Glendale, Arizona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FF0000"/>
                <w:strike w:val="1"/>
                <w:w w:val="98"/>
              </w:rPr>
              <w:t>23,329</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2180" w:type="dxa"/>
            <w:vAlign w:val="bottom"/>
            <w:tcBorders>
              <w:left w:val="single" w:sz="8" w:color="auto"/>
            </w:tcBorders>
            <w:gridSpan w:val="2"/>
          </w:tcPr>
          <w:p>
            <w:pPr>
              <w:jc w:val="center"/>
              <w:ind w:left="1053"/>
              <w:spacing w:after="0"/>
              <w:rPr>
                <w:sz w:val="20"/>
                <w:szCs w:val="20"/>
                <w:color w:val="auto"/>
              </w:rPr>
            </w:pPr>
            <w:r>
              <w:rPr>
                <w:rFonts w:ascii="Times New Roman" w:cs="Times New Roman" w:eastAsia="Times New Roman" w:hAnsi="Times New Roman"/>
                <w:sz w:val="17"/>
                <w:szCs w:val="17"/>
                <w:color w:val="FF0000"/>
                <w:strike w:val="1"/>
              </w:rPr>
              <w:t>Cheddar’s</w:t>
            </w:r>
          </w:p>
        </w:tc>
        <w:tc>
          <w:tcPr>
            <w:tcW w:w="114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FF0000"/>
                <w:strike w:val="1"/>
              </w:rPr>
              <w:t>Jacksonville, Florida</w:t>
            </w:r>
          </w:p>
        </w:tc>
        <w:tc>
          <w:tcPr>
            <w:tcW w:w="1980" w:type="dxa"/>
            <w:vAlign w:val="bottom"/>
            <w:gridSpan w:val="2"/>
          </w:tcPr>
          <w:p>
            <w:pPr>
              <w:jc w:val="center"/>
              <w:ind w:left="1233"/>
              <w:spacing w:after="0"/>
              <w:rPr>
                <w:sz w:val="20"/>
                <w:szCs w:val="20"/>
                <w:color w:val="auto"/>
              </w:rPr>
            </w:pPr>
            <w:r>
              <w:rPr>
                <w:rFonts w:ascii="Times New Roman" w:cs="Times New Roman" w:eastAsia="Times New Roman" w:hAnsi="Times New Roman"/>
                <w:sz w:val="17"/>
                <w:szCs w:val="17"/>
                <w:color w:val="FF0000"/>
                <w:strike w:val="1"/>
                <w:w w:val="99"/>
              </w:rPr>
              <w:t>8,146</w:t>
            </w:r>
          </w:p>
        </w:tc>
        <w:tc>
          <w:tcPr>
            <w:tcW w:w="1340" w:type="dxa"/>
            <w:vAlign w:val="bottom"/>
            <w:tcBorders>
              <w:right w:val="single" w:sz="8" w:color="auto"/>
            </w:tcBorders>
          </w:tcPr>
          <w:p>
            <w:pPr>
              <w:spacing w:after="0"/>
              <w:rPr>
                <w:sz w:val="19"/>
                <w:szCs w:val="19"/>
                <w:color w:val="auto"/>
              </w:rPr>
            </w:pP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58" w:right="979" w:bottom="1440" w:gutter="0" w:footer="0" w:header="0"/>
        </w:sectPr>
      </w:pPr>
    </w:p>
    <w:bookmarkStart w:id="213" w:name="page214"/>
    <w:bookmarkEnd w:id="213"/>
    <w:tbl>
      <w:tblPr>
        <w:tblLayout w:type="fixed"/>
        <w:tblInd w:w="10" w:type="dxa"/>
        <w:tblCellMar>
          <w:top w:w="0" w:type="dxa"/>
          <w:left w:w="0" w:type="dxa"/>
          <w:bottom w:w="0" w:type="dxa"/>
          <w:right w:w="0" w:type="dxa"/>
        </w:tblCellMar>
      </w:tblPr>
      <w:tr>
        <w:trPr>
          <w:trHeight w:val="240"/>
        </w:trPr>
        <w:tc>
          <w:tcPr>
            <w:tcW w:w="3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strike w:val="1"/>
              </w:rPr>
              <w:t>Scrubbles Car Wash</w:t>
            </w:r>
          </w:p>
        </w:tc>
        <w:tc>
          <w:tcPr>
            <w:tcW w:w="3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strike w:val="1"/>
              </w:rPr>
              <w:t>Jacksonville, Florida</w:t>
            </w: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strike w:val="1"/>
                <w:w w:val="99"/>
              </w:rPr>
              <w:t>4,512</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Old Time Pottery</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Orange Park, Florida</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84,180</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Freddy’s Frozen Custard</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Orange Park, Florida</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3,200</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strike w:val="1"/>
              </w:rPr>
              <w:t>7 Eleven</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strike w:val="1"/>
              </w:rPr>
              <w:t>Georgetown, Texas</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strike w:val="1"/>
                <w:w w:val="99"/>
              </w:rPr>
              <w:t>7,726</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Conn’s HomePlus</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Hurst, Texas</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37,957</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strike w:val="1"/>
              </w:rPr>
              <w:t>7 Eleven</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strike w:val="1"/>
              </w:rPr>
              <w:t>Austin, Texas</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FF0000"/>
                <w:strike w:val="1"/>
                <w:w w:val="99"/>
              </w:rPr>
              <w:t>6,400</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Hobby Lobby</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Tulsa, Oklahoma</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84,180</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Long John Silvers</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Tulsa, Oklahoma</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3,000</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BP Convenience Store</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Highland Heights, Kentucky</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2,578</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AMC Theatre</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Tynsborough, Massachusetts</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39,474</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Hobby Lobby</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Arden, North Carolina</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55,000</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Barker, New York</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9,275</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Bingham, Maine</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9,345</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Chazy, New York</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9,277</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Hammond, New York</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9,219</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Harrisville, New York</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9,309</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Heuvelton, New York</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9,342</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Walmart</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Howell, Michigan</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214,172</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Limestone, Maine</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9,167</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Milford, Maine</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9,128</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Newtonsville, Ohio</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9,290</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Odessa, Texas</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9,127</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 General</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Salem, New York</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9,199</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71" w:right="979" w:bottom="1440" w:gutter="0" w:footer="0" w:header="0"/>
        </w:sectPr>
      </w:pPr>
    </w:p>
    <w:bookmarkStart w:id="214" w:name="page215"/>
    <w:bookmarkEnd w:id="214"/>
    <w:tbl>
      <w:tblPr>
        <w:tblLayout w:type="fixed"/>
        <w:tblInd w:w="10" w:type="dxa"/>
        <w:tblCellMar>
          <w:top w:w="0" w:type="dxa"/>
          <w:left w:w="0" w:type="dxa"/>
          <w:bottom w:w="0" w:type="dxa"/>
          <w:right w:w="0" w:type="dxa"/>
        </w:tblCellMar>
      </w:tblPr>
      <w:tr>
        <w:trPr>
          <w:trHeight w:val="240"/>
        </w:trPr>
        <w:tc>
          <w:tcPr>
            <w:tcW w:w="820" w:type="dxa"/>
            <w:vAlign w:val="bottom"/>
            <w:tcBorders>
              <w:top w:val="single" w:sz="8" w:color="auto"/>
              <w:left w:val="single" w:sz="8" w:color="auto"/>
            </w:tcBorders>
          </w:tcPr>
          <w:p>
            <w:pPr>
              <w:spacing w:after="0"/>
              <w:rPr>
                <w:sz w:val="20"/>
                <w:szCs w:val="20"/>
                <w:color w:val="auto"/>
              </w:rPr>
            </w:pPr>
          </w:p>
        </w:tc>
        <w:tc>
          <w:tcPr>
            <w:tcW w:w="2500" w:type="dxa"/>
            <w:vAlign w:val="bottom"/>
            <w:tcBorders>
              <w:top w:val="single" w:sz="8" w:color="auto"/>
              <w:right w:val="single" w:sz="8" w:color="auto"/>
            </w:tcBorders>
            <w:gridSpan w:val="16"/>
          </w:tcPr>
          <w:p>
            <w:pPr>
              <w:jc w:val="center"/>
              <w:ind w:right="820"/>
              <w:spacing w:after="0"/>
              <w:rPr>
                <w:sz w:val="20"/>
                <w:szCs w:val="20"/>
                <w:color w:val="auto"/>
              </w:rPr>
            </w:pPr>
            <w:r>
              <w:rPr>
                <w:rFonts w:ascii="Times New Roman" w:cs="Times New Roman" w:eastAsia="Times New Roman" w:hAnsi="Times New Roman"/>
                <w:sz w:val="17"/>
                <w:szCs w:val="17"/>
                <w:color w:val="auto"/>
              </w:rPr>
              <w:t>Advance Auto Parts</w:t>
            </w:r>
          </w:p>
        </w:tc>
        <w:tc>
          <w:tcPr>
            <w:tcW w:w="760" w:type="dxa"/>
            <w:vAlign w:val="bottom"/>
            <w:tcBorders>
              <w:top w:val="single" w:sz="8" w:color="auto"/>
            </w:tcBorders>
          </w:tcPr>
          <w:p>
            <w:pPr>
              <w:spacing w:after="0"/>
              <w:rPr>
                <w:sz w:val="20"/>
                <w:szCs w:val="20"/>
                <w:color w:val="auto"/>
              </w:rPr>
            </w:pPr>
          </w:p>
        </w:tc>
        <w:tc>
          <w:tcPr>
            <w:tcW w:w="2540" w:type="dxa"/>
            <w:vAlign w:val="bottom"/>
            <w:tcBorders>
              <w:top w:val="single" w:sz="8" w:color="auto"/>
              <w:right w:val="single" w:sz="8" w:color="auto"/>
            </w:tcBorders>
            <w:gridSpan w:val="17"/>
          </w:tcPr>
          <w:p>
            <w:pPr>
              <w:jc w:val="center"/>
              <w:ind w:right="780"/>
              <w:spacing w:after="0"/>
              <w:rPr>
                <w:sz w:val="20"/>
                <w:szCs w:val="20"/>
                <w:color w:val="auto"/>
              </w:rPr>
            </w:pPr>
            <w:r>
              <w:rPr>
                <w:rFonts w:ascii="Times New Roman" w:cs="Times New Roman" w:eastAsia="Times New Roman" w:hAnsi="Times New Roman"/>
                <w:sz w:val="17"/>
                <w:szCs w:val="17"/>
                <w:color w:val="auto"/>
              </w:rPr>
              <w:t>Severn, Maryland</w:t>
            </w:r>
          </w:p>
        </w:tc>
        <w:tc>
          <w:tcPr>
            <w:tcW w:w="1880" w:type="dxa"/>
            <w:vAlign w:val="bottom"/>
            <w:tcBorders>
              <w:top w:val="single" w:sz="8" w:color="auto"/>
            </w:tcBorders>
            <w:gridSpan w:val="5"/>
          </w:tcPr>
          <w:p>
            <w:pPr>
              <w:jc w:val="center"/>
              <w:ind w:left="1333"/>
              <w:spacing w:after="0"/>
              <w:rPr>
                <w:sz w:val="20"/>
                <w:szCs w:val="20"/>
                <w:color w:val="auto"/>
              </w:rPr>
            </w:pPr>
            <w:r>
              <w:rPr>
                <w:rFonts w:ascii="Times New Roman" w:cs="Times New Roman" w:eastAsia="Times New Roman" w:hAnsi="Times New Roman"/>
                <w:sz w:val="17"/>
                <w:szCs w:val="17"/>
                <w:color w:val="auto"/>
                <w:w w:val="99"/>
              </w:rPr>
              <w:t>6,876</w:t>
            </w:r>
          </w:p>
        </w:tc>
        <w:tc>
          <w:tcPr>
            <w:tcW w:w="20" w:type="dxa"/>
            <w:vAlign w:val="bottom"/>
            <w:tcBorders>
              <w:top w:val="single" w:sz="8" w:color="auto"/>
            </w:tcBorders>
          </w:tcPr>
          <w:p>
            <w:pPr>
              <w:spacing w:after="0"/>
              <w:rPr>
                <w:sz w:val="20"/>
                <w:szCs w:val="20"/>
                <w:color w:val="auto"/>
              </w:rPr>
            </w:pPr>
          </w:p>
        </w:tc>
        <w:tc>
          <w:tcPr>
            <w:tcW w:w="1420" w:type="dxa"/>
            <w:vAlign w:val="bottom"/>
            <w:tcBorders>
              <w:top w:val="single" w:sz="8" w:color="auto"/>
              <w:right w:val="single" w:sz="8" w:color="auto"/>
            </w:tcBorders>
          </w:tcPr>
          <w:p>
            <w:pPr>
              <w:spacing w:after="0"/>
              <w:rPr>
                <w:sz w:val="20"/>
                <w:szCs w:val="20"/>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tcBorders>
              <w:right w:val="single" w:sz="8" w:color="auto"/>
            </w:tcBorders>
            <w:gridSpan w:val="15"/>
          </w:tcPr>
          <w:p>
            <w:pPr>
              <w:jc w:val="center"/>
              <w:ind w:right="1080"/>
              <w:spacing w:after="0"/>
              <w:rPr>
                <w:sz w:val="20"/>
                <w:szCs w:val="20"/>
                <w:color w:val="auto"/>
              </w:rPr>
            </w:pPr>
            <w:r>
              <w:rPr>
                <w:rFonts w:ascii="Times New Roman" w:cs="Times New Roman" w:eastAsia="Times New Roman" w:hAnsi="Times New Roman"/>
                <w:sz w:val="17"/>
                <w:szCs w:val="17"/>
                <w:color w:val="auto"/>
              </w:rPr>
              <w:t>Dollar General</w:t>
            </w:r>
          </w:p>
        </w:tc>
        <w:tc>
          <w:tcPr>
            <w:tcW w:w="760" w:type="dxa"/>
            <w:vAlign w:val="bottom"/>
          </w:tcPr>
          <w:p>
            <w:pPr>
              <w:spacing w:after="0"/>
              <w:rPr>
                <w:sz w:val="19"/>
                <w:szCs w:val="19"/>
                <w:color w:val="auto"/>
              </w:rPr>
            </w:pPr>
          </w:p>
        </w:tc>
        <w:tc>
          <w:tcPr>
            <w:tcW w:w="2540" w:type="dxa"/>
            <w:vAlign w:val="bottom"/>
            <w:tcBorders>
              <w:right w:val="single" w:sz="8" w:color="auto"/>
            </w:tcBorders>
            <w:gridSpan w:val="17"/>
          </w:tcPr>
          <w:p>
            <w:pPr>
              <w:jc w:val="center"/>
              <w:ind w:right="760"/>
              <w:spacing w:after="0"/>
              <w:rPr>
                <w:sz w:val="20"/>
                <w:szCs w:val="20"/>
                <w:color w:val="auto"/>
              </w:rPr>
            </w:pPr>
            <w:r>
              <w:rPr>
                <w:rFonts w:ascii="Times New Roman" w:cs="Times New Roman" w:eastAsia="Times New Roman" w:hAnsi="Times New Roman"/>
                <w:sz w:val="17"/>
                <w:szCs w:val="17"/>
                <w:color w:val="auto"/>
              </w:rPr>
              <w:t>Somerville, Texas</w:t>
            </w:r>
          </w:p>
        </w:tc>
        <w:tc>
          <w:tcPr>
            <w:tcW w:w="1880" w:type="dxa"/>
            <w:vAlign w:val="bottom"/>
            <w:gridSpan w:val="5"/>
          </w:tcPr>
          <w:p>
            <w:pPr>
              <w:jc w:val="center"/>
              <w:ind w:left="1333"/>
              <w:spacing w:after="0"/>
              <w:rPr>
                <w:sz w:val="20"/>
                <w:szCs w:val="20"/>
                <w:color w:val="auto"/>
              </w:rPr>
            </w:pPr>
            <w:r>
              <w:rPr>
                <w:rFonts w:ascii="Times New Roman" w:cs="Times New Roman" w:eastAsia="Times New Roman" w:hAnsi="Times New Roman"/>
                <w:sz w:val="17"/>
                <w:szCs w:val="17"/>
                <w:color w:val="auto"/>
                <w:w w:val="99"/>
              </w:rPr>
              <w:t>9,252</w:t>
            </w:r>
          </w:p>
        </w:tc>
        <w:tc>
          <w:tcPr>
            <w:tcW w:w="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tcBorders>
              <w:right w:val="single" w:sz="8" w:color="auto"/>
            </w:tcBorders>
            <w:gridSpan w:val="15"/>
          </w:tcPr>
          <w:p>
            <w:pPr>
              <w:jc w:val="center"/>
              <w:ind w:right="1080"/>
              <w:spacing w:after="0"/>
              <w:rPr>
                <w:sz w:val="20"/>
                <w:szCs w:val="20"/>
                <w:color w:val="auto"/>
              </w:rPr>
            </w:pPr>
            <w:r>
              <w:rPr>
                <w:rFonts w:ascii="Times New Roman" w:cs="Times New Roman" w:eastAsia="Times New Roman" w:hAnsi="Times New Roman"/>
                <w:sz w:val="17"/>
                <w:szCs w:val="17"/>
                <w:color w:val="auto"/>
              </w:rPr>
              <w:t>Dollar General</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Borders>
              <w:right w:val="single" w:sz="8" w:color="auto"/>
            </w:tcBorders>
            <w:gridSpan w:val="13"/>
          </w:tcPr>
          <w:p>
            <w:pPr>
              <w:jc w:val="center"/>
              <w:ind w:right="1180"/>
              <w:spacing w:after="0"/>
              <w:rPr>
                <w:sz w:val="20"/>
                <w:szCs w:val="20"/>
                <w:color w:val="auto"/>
              </w:rPr>
            </w:pPr>
            <w:r>
              <w:rPr>
                <w:rFonts w:ascii="Times New Roman" w:cs="Times New Roman" w:eastAsia="Times New Roman" w:hAnsi="Times New Roman"/>
                <w:sz w:val="17"/>
                <w:szCs w:val="17"/>
                <w:color w:val="auto"/>
                <w:w w:val="99"/>
              </w:rPr>
              <w:t>Willis, Texas</w:t>
            </w:r>
          </w:p>
        </w:tc>
        <w:tc>
          <w:tcPr>
            <w:tcW w:w="1880" w:type="dxa"/>
            <w:vAlign w:val="bottom"/>
            <w:gridSpan w:val="5"/>
          </w:tcPr>
          <w:p>
            <w:pPr>
              <w:jc w:val="center"/>
              <w:ind w:left="1333"/>
              <w:spacing w:after="0"/>
              <w:rPr>
                <w:sz w:val="20"/>
                <w:szCs w:val="20"/>
                <w:color w:val="auto"/>
              </w:rPr>
            </w:pPr>
            <w:r>
              <w:rPr>
                <w:rFonts w:ascii="Times New Roman" w:cs="Times New Roman" w:eastAsia="Times New Roman" w:hAnsi="Times New Roman"/>
                <w:sz w:val="17"/>
                <w:szCs w:val="17"/>
                <w:color w:val="auto"/>
                <w:w w:val="99"/>
              </w:rPr>
              <w:t>9,138</w:t>
            </w:r>
          </w:p>
        </w:tc>
        <w:tc>
          <w:tcPr>
            <w:tcW w:w="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820" w:type="dxa"/>
            <w:vAlign w:val="bottom"/>
            <w:tcBorders>
              <w:lef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tcBorders>
              <w:right w:val="single" w:sz="8" w:color="auto"/>
            </w:tcBorders>
            <w:gridSpan w:val="15"/>
          </w:tcPr>
          <w:p>
            <w:pPr>
              <w:jc w:val="center"/>
              <w:ind w:right="1080"/>
              <w:spacing w:after="0" w:line="176" w:lineRule="exact"/>
              <w:rPr>
                <w:sz w:val="20"/>
                <w:szCs w:val="20"/>
                <w:color w:val="auto"/>
              </w:rPr>
            </w:pPr>
            <w:r>
              <w:rPr>
                <w:rFonts w:ascii="Times New Roman" w:cs="Times New Roman" w:eastAsia="Times New Roman" w:hAnsi="Times New Roman"/>
                <w:sz w:val="17"/>
                <w:szCs w:val="17"/>
                <w:color w:val="auto"/>
              </w:rPr>
              <w:t>Dollar General</w:t>
            </w:r>
          </w:p>
        </w:tc>
        <w:tc>
          <w:tcPr>
            <w:tcW w:w="1460" w:type="dxa"/>
            <w:vAlign w:val="bottom"/>
            <w:gridSpan w:val="8"/>
          </w:tcPr>
          <w:p>
            <w:pPr>
              <w:ind w:left="720"/>
              <w:spacing w:after="0" w:line="176" w:lineRule="exact"/>
              <w:rPr>
                <w:sz w:val="20"/>
                <w:szCs w:val="20"/>
                <w:color w:val="auto"/>
              </w:rPr>
            </w:pPr>
            <w:r>
              <w:rPr>
                <w:rFonts w:ascii="Times New Roman" w:cs="Times New Roman" w:eastAsia="Times New Roman" w:hAnsi="Times New Roman"/>
                <w:sz w:val="17"/>
                <w:szCs w:val="17"/>
                <w:color w:val="auto"/>
              </w:rPr>
              <w:t>Winthrop,</w:t>
            </w:r>
          </w:p>
        </w:tc>
        <w:tc>
          <w:tcPr>
            <w:tcW w:w="4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FF0000"/>
                <w:strike w:val="1"/>
                <w:w w:val="98"/>
              </w:rPr>
              <w:t>Texas</w:t>
            </w:r>
          </w:p>
        </w:tc>
        <w:tc>
          <w:tcPr>
            <w:tcW w:w="1440" w:type="dxa"/>
            <w:vAlign w:val="bottom"/>
            <w:tcBorders>
              <w:right w:val="single" w:sz="8" w:color="auto"/>
            </w:tcBorders>
            <w:gridSpan w:val="9"/>
          </w:tcPr>
          <w:p>
            <w:pPr>
              <w:spacing w:after="0" w:line="176" w:lineRule="exact"/>
              <w:rPr>
                <w:sz w:val="20"/>
                <w:szCs w:val="20"/>
                <w:color w:val="auto"/>
              </w:rPr>
            </w:pPr>
            <w:r>
              <w:rPr>
                <w:rFonts w:ascii="Times New Roman" w:cs="Times New Roman" w:eastAsia="Times New Roman" w:hAnsi="Times New Roman"/>
                <w:sz w:val="17"/>
                <w:szCs w:val="17"/>
                <w:color w:val="4472C4"/>
              </w:rPr>
              <w:t>New York</w:t>
            </w:r>
          </w:p>
        </w:tc>
        <w:tc>
          <w:tcPr>
            <w:tcW w:w="1880" w:type="dxa"/>
            <w:vAlign w:val="bottom"/>
            <w:gridSpan w:val="5"/>
          </w:tcPr>
          <w:p>
            <w:pPr>
              <w:jc w:val="center"/>
              <w:ind w:left="1333"/>
              <w:spacing w:after="0" w:line="176" w:lineRule="exact"/>
              <w:rPr>
                <w:sz w:val="20"/>
                <w:szCs w:val="20"/>
                <w:color w:val="auto"/>
              </w:rPr>
            </w:pPr>
            <w:r>
              <w:rPr>
                <w:rFonts w:ascii="Times New Roman" w:cs="Times New Roman" w:eastAsia="Times New Roman" w:hAnsi="Times New Roman"/>
                <w:sz w:val="17"/>
                <w:szCs w:val="17"/>
                <w:color w:val="auto"/>
                <w:w w:val="99"/>
              </w:rPr>
              <w:t>9,167</w:t>
            </w:r>
          </w:p>
        </w:tc>
        <w:tc>
          <w:tcPr>
            <w:tcW w:w="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820" w:type="dxa"/>
            <w:vAlign w:val="bottom"/>
            <w:tcBorders>
              <w:lef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FF0000"/>
                <w:strike w:val="1"/>
                <w:w w:val="99"/>
              </w:rPr>
              <w:t>Kohl’s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780" w:type="dxa"/>
            <w:vAlign w:val="bottom"/>
            <w:gridSpan w:val="15"/>
          </w:tcPr>
          <w:p>
            <w:pPr>
              <w:jc w:val="center"/>
              <w:ind w:right="20"/>
              <w:spacing w:after="0"/>
              <w:rPr>
                <w:sz w:val="20"/>
                <w:szCs w:val="20"/>
                <w:color w:val="auto"/>
              </w:rPr>
            </w:pPr>
            <w:r>
              <w:rPr>
                <w:rFonts w:ascii="Times New Roman" w:cs="Times New Roman" w:eastAsia="Times New Roman" w:hAnsi="Times New Roman"/>
                <w:sz w:val="17"/>
                <w:szCs w:val="17"/>
                <w:color w:val="FF0000"/>
                <w:strike w:val="1"/>
              </w:rPr>
              <w:t>Glendale, Arizona</w:t>
            </w:r>
          </w:p>
        </w:tc>
        <w:tc>
          <w:tcPr>
            <w:tcW w:w="760" w:type="dxa"/>
            <w:vAlign w:val="bottom"/>
            <w:tcBorders>
              <w:right w:val="single" w:sz="8" w:color="auto"/>
            </w:tcBorders>
            <w:gridSpan w:val="2"/>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FF0000"/>
                <w:strike w:val="1"/>
                <w:w w:val="98"/>
              </w:rPr>
              <w:t>87,875</w:t>
            </w:r>
          </w:p>
        </w:tc>
        <w:tc>
          <w:tcPr>
            <w:tcW w:w="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tcBorders>
              <w:right w:val="single" w:sz="8" w:color="auto"/>
            </w:tcBorders>
            <w:gridSpan w:val="15"/>
          </w:tcPr>
          <w:p>
            <w:pPr>
              <w:jc w:val="center"/>
              <w:ind w:right="1080"/>
              <w:spacing w:after="0"/>
              <w:rPr>
                <w:sz w:val="20"/>
                <w:szCs w:val="20"/>
                <w:color w:val="auto"/>
              </w:rPr>
            </w:pPr>
            <w:r>
              <w:rPr>
                <w:rFonts w:ascii="Times New Roman" w:cs="Times New Roman" w:eastAsia="Times New Roman" w:hAnsi="Times New Roman"/>
                <w:sz w:val="17"/>
                <w:szCs w:val="17"/>
                <w:color w:val="auto"/>
              </w:rPr>
              <w:t>Dollar General</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tcBorders>
              <w:right w:val="single" w:sz="8" w:color="auto"/>
            </w:tcBorders>
            <w:gridSpan w:val="14"/>
          </w:tcPr>
          <w:p>
            <w:pPr>
              <w:jc w:val="center"/>
              <w:ind w:right="1140"/>
              <w:spacing w:after="0"/>
              <w:rPr>
                <w:sz w:val="20"/>
                <w:szCs w:val="20"/>
                <w:color w:val="auto"/>
              </w:rPr>
            </w:pPr>
            <w:r>
              <w:rPr>
                <w:rFonts w:ascii="Times New Roman" w:cs="Times New Roman" w:eastAsia="Times New Roman" w:hAnsi="Times New Roman"/>
                <w:sz w:val="17"/>
                <w:szCs w:val="17"/>
                <w:color w:val="auto"/>
              </w:rPr>
              <w:t>Kermit, Texas</w:t>
            </w:r>
          </w:p>
        </w:tc>
        <w:tc>
          <w:tcPr>
            <w:tcW w:w="1900" w:type="dxa"/>
            <w:vAlign w:val="bottom"/>
            <w:gridSpan w:val="6"/>
          </w:tcPr>
          <w:p>
            <w:pPr>
              <w:jc w:val="center"/>
              <w:ind w:left="1313"/>
              <w:spacing w:after="0"/>
              <w:rPr>
                <w:sz w:val="20"/>
                <w:szCs w:val="20"/>
                <w:color w:val="auto"/>
              </w:rPr>
            </w:pPr>
            <w:r>
              <w:rPr>
                <w:rFonts w:ascii="Times New Roman" w:cs="Times New Roman" w:eastAsia="Times New Roman" w:hAnsi="Times New Roman"/>
                <w:sz w:val="17"/>
                <w:szCs w:val="17"/>
                <w:color w:val="auto"/>
                <w:w w:val="98"/>
              </w:rPr>
              <w:t>10,920</w:t>
            </w: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Borders>
              <w:right w:val="single" w:sz="8" w:color="auto"/>
            </w:tcBorders>
            <w:gridSpan w:val="13"/>
          </w:tcPr>
          <w:p>
            <w:pPr>
              <w:jc w:val="center"/>
              <w:ind w:right="1240"/>
              <w:spacing w:after="0"/>
              <w:rPr>
                <w:sz w:val="20"/>
                <w:szCs w:val="20"/>
                <w:color w:val="auto"/>
              </w:rPr>
            </w:pPr>
            <w:r>
              <w:rPr>
                <w:rFonts w:ascii="Times New Roman" w:cs="Times New Roman" w:eastAsia="Times New Roman" w:hAnsi="Times New Roman"/>
                <w:sz w:val="17"/>
                <w:szCs w:val="17"/>
                <w:color w:val="auto"/>
                <w:w w:val="99"/>
              </w:rPr>
              <w:t>Walgreen’s</w:t>
            </w:r>
          </w:p>
        </w:tc>
        <w:tc>
          <w:tcPr>
            <w:tcW w:w="760" w:type="dxa"/>
            <w:vAlign w:val="bottom"/>
          </w:tcPr>
          <w:p>
            <w:pPr>
              <w:spacing w:after="0"/>
              <w:rPr>
                <w:sz w:val="19"/>
                <w:szCs w:val="19"/>
                <w:color w:val="auto"/>
              </w:rPr>
            </w:pPr>
          </w:p>
        </w:tc>
        <w:tc>
          <w:tcPr>
            <w:tcW w:w="2540" w:type="dxa"/>
            <w:vAlign w:val="bottom"/>
            <w:tcBorders>
              <w:right w:val="single" w:sz="8" w:color="auto"/>
            </w:tcBorders>
            <w:gridSpan w:val="17"/>
          </w:tcPr>
          <w:p>
            <w:pPr>
              <w:jc w:val="center"/>
              <w:ind w:right="760"/>
              <w:spacing w:after="0"/>
              <w:rPr>
                <w:sz w:val="20"/>
                <w:szCs w:val="20"/>
                <w:color w:val="auto"/>
              </w:rPr>
            </w:pPr>
            <w:r>
              <w:rPr>
                <w:rFonts w:ascii="Times New Roman" w:cs="Times New Roman" w:eastAsia="Times New Roman" w:hAnsi="Times New Roman"/>
                <w:sz w:val="17"/>
                <w:szCs w:val="17"/>
                <w:color w:val="auto"/>
              </w:rPr>
              <w:t>Tacoma, Washington</w:t>
            </w:r>
          </w:p>
        </w:tc>
        <w:tc>
          <w:tcPr>
            <w:tcW w:w="1900" w:type="dxa"/>
            <w:vAlign w:val="bottom"/>
            <w:gridSpan w:val="6"/>
          </w:tcPr>
          <w:p>
            <w:pPr>
              <w:jc w:val="center"/>
              <w:ind w:left="1313"/>
              <w:spacing w:after="0"/>
              <w:rPr>
                <w:sz w:val="20"/>
                <w:szCs w:val="20"/>
                <w:color w:val="auto"/>
              </w:rPr>
            </w:pPr>
            <w:r>
              <w:rPr>
                <w:rFonts w:ascii="Times New Roman" w:cs="Times New Roman" w:eastAsia="Times New Roman" w:hAnsi="Times New Roman"/>
                <w:sz w:val="17"/>
                <w:szCs w:val="17"/>
                <w:color w:val="auto"/>
                <w:w w:val="98"/>
              </w:rPr>
              <w:t>14,125</w:t>
            </w: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tcBorders>
              <w:right w:val="single" w:sz="8" w:color="auto"/>
            </w:tcBorders>
            <w:gridSpan w:val="15"/>
          </w:tcPr>
          <w:p>
            <w:pPr>
              <w:jc w:val="center"/>
              <w:ind w:right="1080"/>
              <w:spacing w:after="0"/>
              <w:rPr>
                <w:sz w:val="20"/>
                <w:szCs w:val="20"/>
                <w:color w:val="auto"/>
              </w:rPr>
            </w:pPr>
            <w:r>
              <w:rPr>
                <w:rFonts w:ascii="Times New Roman" w:cs="Times New Roman" w:eastAsia="Times New Roman" w:hAnsi="Times New Roman"/>
                <w:sz w:val="17"/>
                <w:szCs w:val="17"/>
                <w:color w:val="auto"/>
              </w:rPr>
              <w:t>Dollar General</w:t>
            </w:r>
          </w:p>
        </w:tc>
        <w:tc>
          <w:tcPr>
            <w:tcW w:w="760" w:type="dxa"/>
            <w:vAlign w:val="bottom"/>
          </w:tcPr>
          <w:p>
            <w:pPr>
              <w:spacing w:after="0"/>
              <w:rPr>
                <w:sz w:val="19"/>
                <w:szCs w:val="19"/>
                <w:color w:val="auto"/>
              </w:rPr>
            </w:pPr>
          </w:p>
        </w:tc>
        <w:tc>
          <w:tcPr>
            <w:tcW w:w="2540" w:type="dxa"/>
            <w:vAlign w:val="bottom"/>
            <w:tcBorders>
              <w:right w:val="single" w:sz="8" w:color="auto"/>
            </w:tcBorders>
            <w:gridSpan w:val="17"/>
          </w:tcPr>
          <w:p>
            <w:pPr>
              <w:jc w:val="center"/>
              <w:ind w:right="780"/>
              <w:spacing w:after="0"/>
              <w:rPr>
                <w:sz w:val="20"/>
                <w:szCs w:val="20"/>
                <w:color w:val="auto"/>
              </w:rPr>
            </w:pPr>
            <w:r>
              <w:rPr>
                <w:rFonts w:ascii="Times New Roman" w:cs="Times New Roman" w:eastAsia="Times New Roman" w:hAnsi="Times New Roman"/>
                <w:sz w:val="17"/>
                <w:szCs w:val="17"/>
                <w:color w:val="auto"/>
              </w:rPr>
              <w:t>Cut &amp; Shoot, Texas</w:t>
            </w:r>
          </w:p>
        </w:tc>
        <w:tc>
          <w:tcPr>
            <w:tcW w:w="1880" w:type="dxa"/>
            <w:vAlign w:val="bottom"/>
            <w:gridSpan w:val="5"/>
          </w:tcPr>
          <w:p>
            <w:pPr>
              <w:jc w:val="center"/>
              <w:ind w:left="1333"/>
              <w:spacing w:after="0"/>
              <w:rPr>
                <w:sz w:val="20"/>
                <w:szCs w:val="20"/>
                <w:color w:val="auto"/>
              </w:rPr>
            </w:pPr>
            <w:r>
              <w:rPr>
                <w:rFonts w:ascii="Times New Roman" w:cs="Times New Roman" w:eastAsia="Times New Roman" w:hAnsi="Times New Roman"/>
                <w:sz w:val="17"/>
                <w:szCs w:val="17"/>
                <w:color w:val="auto"/>
                <w:w w:val="99"/>
              </w:rPr>
              <w:t>9,096</w:t>
            </w:r>
          </w:p>
        </w:tc>
        <w:tc>
          <w:tcPr>
            <w:tcW w:w="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tcBorders>
              <w:right w:val="single" w:sz="8" w:color="auto"/>
            </w:tcBorders>
            <w:gridSpan w:val="15"/>
          </w:tcPr>
          <w:p>
            <w:pPr>
              <w:jc w:val="center"/>
              <w:ind w:right="1080"/>
              <w:spacing w:after="0"/>
              <w:rPr>
                <w:sz w:val="20"/>
                <w:szCs w:val="20"/>
                <w:color w:val="auto"/>
              </w:rPr>
            </w:pPr>
            <w:r>
              <w:rPr>
                <w:rFonts w:ascii="Times New Roman" w:cs="Times New Roman" w:eastAsia="Times New Roman" w:hAnsi="Times New Roman"/>
                <w:sz w:val="17"/>
                <w:szCs w:val="17"/>
                <w:color w:val="auto"/>
              </w:rPr>
              <w:t>Dollar General</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Borders>
              <w:right w:val="single" w:sz="8" w:color="auto"/>
            </w:tcBorders>
            <w:gridSpan w:val="15"/>
          </w:tcPr>
          <w:p>
            <w:pPr>
              <w:jc w:val="center"/>
              <w:ind w:right="1120"/>
              <w:spacing w:after="0"/>
              <w:rPr>
                <w:sz w:val="20"/>
                <w:szCs w:val="20"/>
                <w:color w:val="auto"/>
              </w:rPr>
            </w:pPr>
            <w:r>
              <w:rPr>
                <w:rFonts w:ascii="Times New Roman" w:cs="Times New Roman" w:eastAsia="Times New Roman" w:hAnsi="Times New Roman"/>
                <w:sz w:val="17"/>
                <w:szCs w:val="17"/>
                <w:color w:val="auto"/>
              </w:rPr>
              <w:t>Del Rio, Texas</w:t>
            </w:r>
          </w:p>
        </w:tc>
        <w:tc>
          <w:tcPr>
            <w:tcW w:w="1880" w:type="dxa"/>
            <w:vAlign w:val="bottom"/>
            <w:gridSpan w:val="5"/>
          </w:tcPr>
          <w:p>
            <w:pPr>
              <w:jc w:val="center"/>
              <w:ind w:left="1333"/>
              <w:spacing w:after="0"/>
              <w:rPr>
                <w:sz w:val="20"/>
                <w:szCs w:val="20"/>
                <w:color w:val="auto"/>
              </w:rPr>
            </w:pPr>
            <w:r>
              <w:rPr>
                <w:rFonts w:ascii="Times New Roman" w:cs="Times New Roman" w:eastAsia="Times New Roman" w:hAnsi="Times New Roman"/>
                <w:sz w:val="17"/>
                <w:szCs w:val="17"/>
                <w:color w:val="auto"/>
                <w:w w:val="99"/>
              </w:rPr>
              <w:t>9,219</w:t>
            </w:r>
          </w:p>
        </w:tc>
        <w:tc>
          <w:tcPr>
            <w:tcW w:w="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tcBorders>
              <w:right w:val="single" w:sz="8" w:color="auto"/>
            </w:tcBorders>
            <w:gridSpan w:val="15"/>
          </w:tcPr>
          <w:p>
            <w:pPr>
              <w:jc w:val="center"/>
              <w:ind w:right="1080"/>
              <w:spacing w:after="0"/>
              <w:rPr>
                <w:sz w:val="20"/>
                <w:szCs w:val="20"/>
                <w:color w:val="auto"/>
              </w:rPr>
            </w:pPr>
            <w:r>
              <w:rPr>
                <w:rFonts w:ascii="Times New Roman" w:cs="Times New Roman" w:eastAsia="Times New Roman" w:hAnsi="Times New Roman"/>
                <w:sz w:val="17"/>
                <w:szCs w:val="17"/>
                <w:color w:val="auto"/>
              </w:rPr>
              <w:t>Dollar General</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tcBorders>
              <w:right w:val="single" w:sz="8" w:color="auto"/>
            </w:tcBorders>
            <w:gridSpan w:val="14"/>
          </w:tcPr>
          <w:p>
            <w:pPr>
              <w:jc w:val="center"/>
              <w:ind w:right="1140"/>
              <w:spacing w:after="0"/>
              <w:rPr>
                <w:sz w:val="20"/>
                <w:szCs w:val="20"/>
                <w:color w:val="auto"/>
              </w:rPr>
            </w:pPr>
            <w:r>
              <w:rPr>
                <w:rFonts w:ascii="Times New Roman" w:cs="Times New Roman" w:eastAsia="Times New Roman" w:hAnsi="Times New Roman"/>
                <w:sz w:val="17"/>
                <w:szCs w:val="17"/>
                <w:color w:val="auto"/>
              </w:rPr>
              <w:t>Seguin, Texas</w:t>
            </w:r>
          </w:p>
        </w:tc>
        <w:tc>
          <w:tcPr>
            <w:tcW w:w="1880" w:type="dxa"/>
            <w:vAlign w:val="bottom"/>
            <w:gridSpan w:val="5"/>
          </w:tcPr>
          <w:p>
            <w:pPr>
              <w:jc w:val="center"/>
              <w:ind w:left="1333"/>
              <w:spacing w:after="0"/>
              <w:rPr>
                <w:sz w:val="20"/>
                <w:szCs w:val="20"/>
                <w:color w:val="auto"/>
              </w:rPr>
            </w:pPr>
            <w:r>
              <w:rPr>
                <w:rFonts w:ascii="Times New Roman" w:cs="Times New Roman" w:eastAsia="Times New Roman" w:hAnsi="Times New Roman"/>
                <w:sz w:val="17"/>
                <w:szCs w:val="17"/>
                <w:color w:val="auto"/>
                <w:w w:val="99"/>
              </w:rPr>
              <w:t>9,155</w:t>
            </w:r>
          </w:p>
        </w:tc>
        <w:tc>
          <w:tcPr>
            <w:tcW w:w="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1680" w:type="dxa"/>
            <w:vAlign w:val="bottom"/>
            <w:gridSpan w:val="14"/>
          </w:tcPr>
          <w:p>
            <w:pPr>
              <w:jc w:val="center"/>
              <w:spacing w:after="0"/>
              <w:rPr>
                <w:sz w:val="20"/>
                <w:szCs w:val="20"/>
                <w:color w:val="auto"/>
              </w:rPr>
            </w:pPr>
            <w:r>
              <w:rPr>
                <w:rFonts w:ascii="Times New Roman" w:cs="Times New Roman" w:eastAsia="Times New Roman" w:hAnsi="Times New Roman"/>
                <w:sz w:val="17"/>
                <w:szCs w:val="17"/>
                <w:color w:val="FF0000"/>
                <w:strike w:val="1"/>
              </w:rPr>
              <w:t>Sportsman’s Warehouse</w:t>
            </w:r>
          </w:p>
        </w:tc>
        <w:tc>
          <w:tcPr>
            <w:tcW w:w="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gridSpan w:val="18"/>
          </w:tcPr>
          <w:p>
            <w:pPr>
              <w:jc w:val="center"/>
              <w:spacing w:after="0"/>
              <w:rPr>
                <w:sz w:val="20"/>
                <w:szCs w:val="20"/>
                <w:color w:val="auto"/>
              </w:rPr>
            </w:pPr>
            <w:r>
              <w:rPr>
                <w:rFonts w:ascii="Times New Roman" w:cs="Times New Roman" w:eastAsia="Times New Roman" w:hAnsi="Times New Roman"/>
                <w:sz w:val="17"/>
                <w:szCs w:val="17"/>
                <w:color w:val="FF0000"/>
                <w:strike w:val="1"/>
              </w:rPr>
              <w:t>Albuquerque, New Mexico</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FF0000"/>
                <w:strike w:val="1"/>
                <w:w w:val="98"/>
              </w:rPr>
              <w:t>48,974</w:t>
            </w:r>
          </w:p>
        </w:tc>
        <w:tc>
          <w:tcPr>
            <w:tcW w:w="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17"/>
                <w:szCs w:val="17"/>
                <w:color w:val="FF0000"/>
                <w:strike w:val="1"/>
              </w:rPr>
              <w:t>Burlington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gridSpan w:val="18"/>
          </w:tcPr>
          <w:p>
            <w:pPr>
              <w:jc w:val="center"/>
              <w:ind w:right="20"/>
              <w:spacing w:after="0"/>
              <w:rPr>
                <w:sz w:val="20"/>
                <w:szCs w:val="20"/>
                <w:color w:val="auto"/>
              </w:rPr>
            </w:pPr>
            <w:r>
              <w:rPr>
                <w:rFonts w:ascii="Times New Roman" w:cs="Times New Roman" w:eastAsia="Times New Roman" w:hAnsi="Times New Roman"/>
                <w:sz w:val="17"/>
                <w:szCs w:val="17"/>
                <w:color w:val="FF0000"/>
                <w:strike w:val="1"/>
              </w:rPr>
              <w:t>DallasNorth Richland Hills, Texas</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FF0000"/>
                <w:strike w:val="1"/>
                <w:w w:val="98"/>
              </w:rPr>
              <w:t>70,891</w:t>
            </w:r>
          </w:p>
        </w:tc>
        <w:tc>
          <w:tcPr>
            <w:tcW w:w="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Borders>
              <w:right w:val="single" w:sz="8" w:color="auto"/>
            </w:tcBorders>
            <w:gridSpan w:val="11"/>
          </w:tcPr>
          <w:p>
            <w:pPr>
              <w:jc w:val="center"/>
              <w:ind w:right="1340"/>
              <w:spacing w:after="0"/>
              <w:rPr>
                <w:sz w:val="20"/>
                <w:szCs w:val="20"/>
                <w:color w:val="auto"/>
              </w:rPr>
            </w:pPr>
            <w:r>
              <w:rPr>
                <w:rFonts w:ascii="Times New Roman" w:cs="Times New Roman" w:eastAsia="Times New Roman" w:hAnsi="Times New Roman"/>
                <w:sz w:val="17"/>
                <w:szCs w:val="17"/>
                <w:color w:val="auto"/>
              </w:rPr>
              <w:t>At Home</w:t>
            </w:r>
          </w:p>
        </w:tc>
        <w:tc>
          <w:tcPr>
            <w:tcW w:w="760" w:type="dxa"/>
            <w:vAlign w:val="bottom"/>
          </w:tcPr>
          <w:p>
            <w:pPr>
              <w:spacing w:after="0"/>
              <w:rPr>
                <w:sz w:val="19"/>
                <w:szCs w:val="19"/>
                <w:color w:val="auto"/>
              </w:rPr>
            </w:pPr>
          </w:p>
        </w:tc>
        <w:tc>
          <w:tcPr>
            <w:tcW w:w="2540" w:type="dxa"/>
            <w:vAlign w:val="bottom"/>
            <w:tcBorders>
              <w:right w:val="single" w:sz="8" w:color="auto"/>
            </w:tcBorders>
            <w:gridSpan w:val="17"/>
          </w:tcPr>
          <w:p>
            <w:pPr>
              <w:jc w:val="center"/>
              <w:ind w:right="760"/>
              <w:spacing w:after="0"/>
              <w:rPr>
                <w:sz w:val="20"/>
                <w:szCs w:val="20"/>
                <w:color w:val="auto"/>
              </w:rPr>
            </w:pPr>
            <w:r>
              <w:rPr>
                <w:rFonts w:ascii="Times New Roman" w:cs="Times New Roman" w:eastAsia="Times New Roman" w:hAnsi="Times New Roman"/>
                <w:sz w:val="17"/>
                <w:szCs w:val="17"/>
                <w:color w:val="auto"/>
              </w:rPr>
              <w:t>North Canton, Ohio</w:t>
            </w:r>
          </w:p>
        </w:tc>
        <w:tc>
          <w:tcPr>
            <w:tcW w:w="1900" w:type="dxa"/>
            <w:vAlign w:val="bottom"/>
            <w:gridSpan w:val="6"/>
          </w:tcPr>
          <w:p>
            <w:pPr>
              <w:jc w:val="center"/>
              <w:ind w:left="1313"/>
              <w:spacing w:after="0"/>
              <w:rPr>
                <w:sz w:val="20"/>
                <w:szCs w:val="20"/>
                <w:color w:val="auto"/>
              </w:rPr>
            </w:pPr>
            <w:r>
              <w:rPr>
                <w:rFonts w:ascii="Times New Roman" w:cs="Times New Roman" w:eastAsia="Times New Roman" w:hAnsi="Times New Roman"/>
                <w:sz w:val="17"/>
                <w:szCs w:val="17"/>
                <w:color w:val="auto"/>
                <w:w w:val="98"/>
              </w:rPr>
              <w:t>89,902</w:t>
            </w: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500" w:type="dxa"/>
            <w:vAlign w:val="bottom"/>
            <w:tcBorders>
              <w:right w:val="single" w:sz="8" w:color="auto"/>
            </w:tcBorders>
            <w:gridSpan w:val="16"/>
          </w:tcPr>
          <w:p>
            <w:pPr>
              <w:jc w:val="center"/>
              <w:ind w:right="820"/>
              <w:spacing w:after="0"/>
              <w:rPr>
                <w:sz w:val="20"/>
                <w:szCs w:val="20"/>
                <w:color w:val="auto"/>
              </w:rPr>
            </w:pPr>
            <w:r>
              <w:rPr>
                <w:rFonts w:ascii="Times New Roman" w:cs="Times New Roman" w:eastAsia="Times New Roman" w:hAnsi="Times New Roman"/>
                <w:sz w:val="17"/>
                <w:szCs w:val="17"/>
                <w:color w:val="auto"/>
              </w:rPr>
              <w:t>Pet Supplies Plus</w:t>
            </w:r>
          </w:p>
        </w:tc>
        <w:tc>
          <w:tcPr>
            <w:tcW w:w="760" w:type="dxa"/>
            <w:vAlign w:val="bottom"/>
          </w:tcPr>
          <w:p>
            <w:pPr>
              <w:spacing w:after="0"/>
              <w:rPr>
                <w:sz w:val="19"/>
                <w:szCs w:val="19"/>
                <w:color w:val="auto"/>
              </w:rPr>
            </w:pPr>
          </w:p>
        </w:tc>
        <w:tc>
          <w:tcPr>
            <w:tcW w:w="2540" w:type="dxa"/>
            <w:vAlign w:val="bottom"/>
            <w:tcBorders>
              <w:right w:val="single" w:sz="8" w:color="auto"/>
            </w:tcBorders>
            <w:gridSpan w:val="17"/>
          </w:tcPr>
          <w:p>
            <w:pPr>
              <w:jc w:val="center"/>
              <w:ind w:right="760"/>
              <w:spacing w:after="0"/>
              <w:rPr>
                <w:sz w:val="20"/>
                <w:szCs w:val="20"/>
                <w:color w:val="auto"/>
              </w:rPr>
            </w:pPr>
            <w:r>
              <w:rPr>
                <w:rFonts w:ascii="Times New Roman" w:cs="Times New Roman" w:eastAsia="Times New Roman" w:hAnsi="Times New Roman"/>
                <w:sz w:val="17"/>
                <w:szCs w:val="17"/>
                <w:color w:val="auto"/>
              </w:rPr>
              <w:t>North Canton, Ohio</w:t>
            </w:r>
          </w:p>
        </w:tc>
        <w:tc>
          <w:tcPr>
            <w:tcW w:w="1880" w:type="dxa"/>
            <w:vAlign w:val="bottom"/>
            <w:gridSpan w:val="5"/>
          </w:tcPr>
          <w:p>
            <w:pPr>
              <w:jc w:val="center"/>
              <w:ind w:left="1333"/>
              <w:spacing w:after="0"/>
              <w:rPr>
                <w:sz w:val="20"/>
                <w:szCs w:val="20"/>
                <w:color w:val="auto"/>
              </w:rPr>
            </w:pPr>
            <w:r>
              <w:rPr>
                <w:rFonts w:ascii="Times New Roman" w:cs="Times New Roman" w:eastAsia="Times New Roman" w:hAnsi="Times New Roman"/>
                <w:sz w:val="17"/>
                <w:szCs w:val="17"/>
                <w:color w:val="auto"/>
                <w:w w:val="99"/>
              </w:rPr>
              <w:t>8,400</w:t>
            </w:r>
          </w:p>
        </w:tc>
        <w:tc>
          <w:tcPr>
            <w:tcW w:w="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8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Borders>
              <w:right w:val="single" w:sz="8" w:color="auto"/>
            </w:tcBorders>
            <w:gridSpan w:val="13"/>
          </w:tcPr>
          <w:p>
            <w:pPr>
              <w:jc w:val="center"/>
              <w:ind w:right="1260"/>
              <w:spacing w:after="0"/>
              <w:rPr>
                <w:sz w:val="20"/>
                <w:szCs w:val="20"/>
                <w:color w:val="auto"/>
              </w:rPr>
            </w:pPr>
            <w:r>
              <w:rPr>
                <w:rFonts w:ascii="Times New Roman" w:cs="Times New Roman" w:eastAsia="Times New Roman" w:hAnsi="Times New Roman"/>
                <w:sz w:val="17"/>
                <w:szCs w:val="17"/>
                <w:color w:val="auto"/>
              </w:rPr>
              <w:t>Salon Lofts</w:t>
            </w:r>
          </w:p>
        </w:tc>
        <w:tc>
          <w:tcPr>
            <w:tcW w:w="760" w:type="dxa"/>
            <w:vAlign w:val="bottom"/>
          </w:tcPr>
          <w:p>
            <w:pPr>
              <w:spacing w:after="0"/>
              <w:rPr>
                <w:sz w:val="19"/>
                <w:szCs w:val="19"/>
                <w:color w:val="auto"/>
              </w:rPr>
            </w:pPr>
          </w:p>
        </w:tc>
        <w:tc>
          <w:tcPr>
            <w:tcW w:w="2540" w:type="dxa"/>
            <w:vAlign w:val="bottom"/>
            <w:tcBorders>
              <w:right w:val="single" w:sz="8" w:color="auto"/>
            </w:tcBorders>
            <w:gridSpan w:val="17"/>
          </w:tcPr>
          <w:p>
            <w:pPr>
              <w:jc w:val="center"/>
              <w:ind w:right="760"/>
              <w:spacing w:after="0"/>
              <w:rPr>
                <w:sz w:val="20"/>
                <w:szCs w:val="20"/>
                <w:color w:val="auto"/>
              </w:rPr>
            </w:pPr>
            <w:r>
              <w:rPr>
                <w:rFonts w:ascii="Times New Roman" w:cs="Times New Roman" w:eastAsia="Times New Roman" w:hAnsi="Times New Roman"/>
                <w:sz w:val="17"/>
                <w:szCs w:val="17"/>
                <w:color w:val="auto"/>
              </w:rPr>
              <w:t>North Canton, Ohio</w:t>
            </w:r>
          </w:p>
        </w:tc>
        <w:tc>
          <w:tcPr>
            <w:tcW w:w="1880" w:type="dxa"/>
            <w:vAlign w:val="bottom"/>
            <w:gridSpan w:val="5"/>
          </w:tcPr>
          <w:p>
            <w:pPr>
              <w:jc w:val="center"/>
              <w:ind w:left="1333"/>
              <w:spacing w:after="0"/>
              <w:rPr>
                <w:sz w:val="20"/>
                <w:szCs w:val="20"/>
                <w:color w:val="auto"/>
              </w:rPr>
            </w:pPr>
            <w:r>
              <w:rPr>
                <w:rFonts w:ascii="Times New Roman" w:cs="Times New Roman" w:eastAsia="Times New Roman" w:hAnsi="Times New Roman"/>
                <w:sz w:val="17"/>
                <w:szCs w:val="17"/>
                <w:color w:val="auto"/>
                <w:w w:val="99"/>
              </w:rPr>
              <w:t>4,000</w:t>
            </w:r>
          </w:p>
        </w:tc>
        <w:tc>
          <w:tcPr>
            <w:tcW w:w="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820" w:type="dxa"/>
            <w:vAlign w:val="bottom"/>
            <w:tcBorders>
              <w:lef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Borders>
              <w:right w:val="single" w:sz="8" w:color="auto"/>
            </w:tcBorders>
            <w:gridSpan w:val="12"/>
          </w:tcPr>
          <w:p>
            <w:pPr>
              <w:jc w:val="center"/>
              <w:ind w:right="1280"/>
              <w:spacing w:after="0" w:line="176" w:lineRule="exact"/>
              <w:rPr>
                <w:sz w:val="20"/>
                <w:szCs w:val="20"/>
                <w:color w:val="auto"/>
              </w:rPr>
            </w:pPr>
            <w:r>
              <w:rPr>
                <w:rFonts w:ascii="Times New Roman" w:cs="Times New Roman" w:eastAsia="Times New Roman" w:hAnsi="Times New Roman"/>
                <w:sz w:val="17"/>
                <w:szCs w:val="17"/>
                <w:color w:val="4472C4"/>
              </w:rPr>
              <w:t>Burlington</w:t>
            </w:r>
          </w:p>
        </w:tc>
        <w:tc>
          <w:tcPr>
            <w:tcW w:w="760" w:type="dxa"/>
            <w:vAlign w:val="bottom"/>
          </w:tcPr>
          <w:p>
            <w:pPr>
              <w:spacing w:after="0"/>
              <w:rPr>
                <w:sz w:val="15"/>
                <w:szCs w:val="15"/>
                <w:color w:val="auto"/>
              </w:rPr>
            </w:pPr>
          </w:p>
        </w:tc>
        <w:tc>
          <w:tcPr>
            <w:tcW w:w="2540" w:type="dxa"/>
            <w:vAlign w:val="bottom"/>
            <w:tcBorders>
              <w:right w:val="single" w:sz="8" w:color="auto"/>
            </w:tcBorders>
            <w:gridSpan w:val="17"/>
          </w:tcPr>
          <w:p>
            <w:pPr>
              <w:jc w:val="center"/>
              <w:ind w:right="760"/>
              <w:spacing w:after="0" w:line="176" w:lineRule="exact"/>
              <w:rPr>
                <w:sz w:val="20"/>
                <w:szCs w:val="20"/>
                <w:color w:val="auto"/>
              </w:rPr>
            </w:pPr>
            <w:r>
              <w:rPr>
                <w:rFonts w:ascii="Times New Roman" w:cs="Times New Roman" w:eastAsia="Times New Roman" w:hAnsi="Times New Roman"/>
                <w:sz w:val="17"/>
                <w:szCs w:val="17"/>
                <w:color w:val="4472C4"/>
              </w:rPr>
              <w:t>North Richland Hills, TX</w:t>
            </w:r>
          </w:p>
        </w:tc>
        <w:tc>
          <w:tcPr>
            <w:tcW w:w="1900" w:type="dxa"/>
            <w:vAlign w:val="bottom"/>
            <w:gridSpan w:val="6"/>
          </w:tcPr>
          <w:p>
            <w:pPr>
              <w:jc w:val="center"/>
              <w:ind w:left="1313"/>
              <w:spacing w:after="0" w:line="176" w:lineRule="exact"/>
              <w:rPr>
                <w:sz w:val="20"/>
                <w:szCs w:val="20"/>
                <w:color w:val="auto"/>
              </w:rPr>
            </w:pPr>
            <w:r>
              <w:rPr>
                <w:rFonts w:ascii="Times New Roman" w:cs="Times New Roman" w:eastAsia="Times New Roman" w:hAnsi="Times New Roman"/>
                <w:sz w:val="17"/>
                <w:szCs w:val="17"/>
                <w:color w:val="4472C4"/>
                <w:w w:val="98"/>
              </w:rPr>
              <w:t>70,891</w:t>
            </w:r>
          </w:p>
        </w:tc>
        <w:tc>
          <w:tcPr>
            <w:tcW w:w="1420" w:type="dxa"/>
            <w:vAlign w:val="bottom"/>
            <w:tcBorders>
              <w:right w:val="single" w:sz="8" w:color="auto"/>
            </w:tcBorders>
          </w:tcPr>
          <w:p>
            <w:pPr>
              <w:spacing w:after="0"/>
              <w:rPr>
                <w:sz w:val="15"/>
                <w:szCs w:val="15"/>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2500" w:type="dxa"/>
            <w:vAlign w:val="bottom"/>
            <w:tcBorders>
              <w:right w:val="single" w:sz="8" w:color="auto"/>
            </w:tcBorders>
            <w:gridSpan w:val="16"/>
          </w:tcPr>
          <w:p>
            <w:pPr>
              <w:jc w:val="center"/>
              <w:ind w:right="820"/>
              <w:spacing w:after="0" w:line="161" w:lineRule="exact"/>
              <w:rPr>
                <w:sz w:val="20"/>
                <w:szCs w:val="20"/>
                <w:color w:val="auto"/>
              </w:rPr>
            </w:pPr>
            <w:r>
              <w:rPr>
                <w:rFonts w:ascii="Times New Roman" w:cs="Times New Roman" w:eastAsia="Times New Roman" w:hAnsi="Times New Roman"/>
                <w:sz w:val="17"/>
                <w:szCs w:val="17"/>
                <w:color w:val="4472C4"/>
              </w:rPr>
              <w:t>Academy Sports</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tcBorders>
              <w:right w:val="single" w:sz="8" w:color="auto"/>
            </w:tcBorders>
            <w:gridSpan w:val="13"/>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Florence, SC</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58,410</w:t>
            </w:r>
          </w:p>
        </w:tc>
        <w:tc>
          <w:tcPr>
            <w:tcW w:w="1420" w:type="dxa"/>
            <w:vAlign w:val="bottom"/>
            <w:tcBorders>
              <w:right w:val="single" w:sz="8" w:color="auto"/>
            </w:tcBorders>
          </w:tcPr>
          <w:p>
            <w:pPr>
              <w:spacing w:after="0"/>
              <w:rPr>
                <w:sz w:val="13"/>
                <w:szCs w:val="13"/>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2500" w:type="dxa"/>
            <w:vAlign w:val="bottom"/>
            <w:tcBorders>
              <w:right w:val="single" w:sz="8" w:color="auto"/>
            </w:tcBorders>
            <w:gridSpan w:val="16"/>
          </w:tcPr>
          <w:p>
            <w:pPr>
              <w:jc w:val="center"/>
              <w:ind w:right="820"/>
              <w:spacing w:after="0" w:line="161" w:lineRule="exact"/>
              <w:rPr>
                <w:sz w:val="20"/>
                <w:szCs w:val="20"/>
                <w:color w:val="auto"/>
              </w:rPr>
            </w:pPr>
            <w:r>
              <w:rPr>
                <w:rFonts w:ascii="Times New Roman" w:cs="Times New Roman" w:eastAsia="Times New Roman" w:hAnsi="Times New Roman"/>
                <w:sz w:val="17"/>
                <w:szCs w:val="17"/>
                <w:color w:val="4472C4"/>
              </w:rPr>
              <w:t>Orscheln Farm &amp; Home</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right w:val="single" w:sz="8" w:color="auto"/>
            </w:tcBorders>
            <w:gridSpan w:val="12"/>
          </w:tcPr>
          <w:p>
            <w:pPr>
              <w:jc w:val="center"/>
              <w:ind w:right="1200"/>
              <w:spacing w:after="0" w:line="161" w:lineRule="exact"/>
              <w:rPr>
                <w:sz w:val="20"/>
                <w:szCs w:val="20"/>
                <w:color w:val="auto"/>
              </w:rPr>
            </w:pPr>
            <w:r>
              <w:rPr>
                <w:rFonts w:ascii="Times New Roman" w:cs="Times New Roman" w:eastAsia="Times New Roman" w:hAnsi="Times New Roman"/>
                <w:sz w:val="17"/>
                <w:szCs w:val="17"/>
                <w:color w:val="4472C4"/>
              </w:rPr>
              <w:t>Durant, OK</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37,965</w:t>
            </w:r>
          </w:p>
        </w:tc>
        <w:tc>
          <w:tcPr>
            <w:tcW w:w="1420" w:type="dxa"/>
            <w:vAlign w:val="bottom"/>
            <w:tcBorders>
              <w:right w:val="single" w:sz="8" w:color="auto"/>
            </w:tcBorders>
          </w:tcPr>
          <w:p>
            <w:pPr>
              <w:spacing w:after="0"/>
              <w:rPr>
                <w:sz w:val="13"/>
                <w:szCs w:val="13"/>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tcBorders>
              <w:right w:val="single" w:sz="8" w:color="auto"/>
            </w:tcBorders>
            <w:gridSpan w:val="11"/>
          </w:tcPr>
          <w:p>
            <w:pPr>
              <w:jc w:val="center"/>
              <w:ind w:right="1340"/>
              <w:spacing w:after="0" w:line="161" w:lineRule="exact"/>
              <w:rPr>
                <w:sz w:val="20"/>
                <w:szCs w:val="20"/>
                <w:color w:val="auto"/>
              </w:rPr>
            </w:pPr>
            <w:r>
              <w:rPr>
                <w:rFonts w:ascii="Times New Roman" w:cs="Times New Roman" w:eastAsia="Times New Roman" w:hAnsi="Times New Roman"/>
                <w:sz w:val="17"/>
                <w:szCs w:val="17"/>
                <w:color w:val="4472C4"/>
              </w:rPr>
              <w:t>Big Lots</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right w:val="single" w:sz="8" w:color="auto"/>
            </w:tcBorders>
            <w:gridSpan w:val="12"/>
          </w:tcPr>
          <w:p>
            <w:pPr>
              <w:jc w:val="center"/>
              <w:ind w:right="1200"/>
              <w:spacing w:after="0" w:line="161" w:lineRule="exact"/>
              <w:rPr>
                <w:sz w:val="20"/>
                <w:szCs w:val="20"/>
                <w:color w:val="auto"/>
              </w:rPr>
            </w:pPr>
            <w:r>
              <w:rPr>
                <w:rFonts w:ascii="Times New Roman" w:cs="Times New Roman" w:eastAsia="Times New Roman" w:hAnsi="Times New Roman"/>
                <w:sz w:val="17"/>
                <w:szCs w:val="17"/>
                <w:color w:val="4472C4"/>
              </w:rPr>
              <w:t>Durant, OK</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36,794</w:t>
            </w:r>
          </w:p>
        </w:tc>
        <w:tc>
          <w:tcPr>
            <w:tcW w:w="1420" w:type="dxa"/>
            <w:vAlign w:val="bottom"/>
            <w:tcBorders>
              <w:right w:val="single" w:sz="8" w:color="auto"/>
            </w:tcBorders>
          </w:tcPr>
          <w:p>
            <w:pPr>
              <w:spacing w:after="0"/>
              <w:rPr>
                <w:sz w:val="13"/>
                <w:szCs w:val="13"/>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right w:val="single" w:sz="8" w:color="auto"/>
            </w:tcBorders>
            <w:gridSpan w:val="10"/>
          </w:tcPr>
          <w:p>
            <w:pPr>
              <w:jc w:val="center"/>
              <w:ind w:right="1360"/>
              <w:spacing w:after="0" w:line="161" w:lineRule="exact"/>
              <w:rPr>
                <w:sz w:val="20"/>
                <w:szCs w:val="20"/>
                <w:color w:val="auto"/>
              </w:rPr>
            </w:pPr>
            <w:r>
              <w:rPr>
                <w:rFonts w:ascii="Times New Roman" w:cs="Times New Roman" w:eastAsia="Times New Roman" w:hAnsi="Times New Roman"/>
                <w:sz w:val="17"/>
                <w:szCs w:val="17"/>
                <w:color w:val="4472C4"/>
              </w:rPr>
              <w:t>Circle K</w:t>
            </w:r>
          </w:p>
        </w:tc>
        <w:tc>
          <w:tcPr>
            <w:tcW w:w="760" w:type="dxa"/>
            <w:vAlign w:val="bottom"/>
          </w:tcPr>
          <w:p>
            <w:pPr>
              <w:spacing w:after="0"/>
              <w:rPr>
                <w:sz w:val="13"/>
                <w:szCs w:val="13"/>
                <w:color w:val="auto"/>
              </w:rPr>
            </w:pPr>
          </w:p>
        </w:tc>
        <w:tc>
          <w:tcPr>
            <w:tcW w:w="2540" w:type="dxa"/>
            <w:vAlign w:val="bottom"/>
            <w:tcBorders>
              <w:right w:val="single" w:sz="8" w:color="auto"/>
            </w:tcBorders>
            <w:gridSpan w:val="17"/>
          </w:tcPr>
          <w:p>
            <w:pPr>
              <w:jc w:val="center"/>
              <w:ind w:right="780"/>
              <w:spacing w:after="0" w:line="161" w:lineRule="exact"/>
              <w:rPr>
                <w:sz w:val="20"/>
                <w:szCs w:val="20"/>
                <w:color w:val="auto"/>
              </w:rPr>
            </w:pPr>
            <w:r>
              <w:rPr>
                <w:rFonts w:ascii="Times New Roman" w:cs="Times New Roman" w:eastAsia="Times New Roman" w:hAnsi="Times New Roman"/>
                <w:sz w:val="17"/>
                <w:szCs w:val="17"/>
                <w:color w:val="4472C4"/>
              </w:rPr>
              <w:t>Indianapolis, IN</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4,283</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tcBorders>
              <w:right w:val="single" w:sz="8" w:color="auto"/>
            </w:tcBorders>
            <w:gridSpan w:val="15"/>
          </w:tcPr>
          <w:p>
            <w:pPr>
              <w:jc w:val="center"/>
              <w:ind w:right="1060"/>
              <w:spacing w:after="0" w:line="161" w:lineRule="exact"/>
              <w:rPr>
                <w:sz w:val="20"/>
                <w:szCs w:val="20"/>
                <w:color w:val="auto"/>
              </w:rPr>
            </w:pPr>
            <w:r>
              <w:rPr>
                <w:rFonts w:ascii="Times New Roman" w:cs="Times New Roman" w:eastAsia="Times New Roman" w:hAnsi="Times New Roman"/>
                <w:sz w:val="17"/>
                <w:szCs w:val="17"/>
                <w:color w:val="4472C4"/>
              </w:rPr>
              <w:t>Burger King</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tcBorders>
              <w:right w:val="single" w:sz="8" w:color="auto"/>
            </w:tcBorders>
            <w:gridSpan w:val="14"/>
          </w:tcPr>
          <w:p>
            <w:pPr>
              <w:jc w:val="center"/>
              <w:ind w:right="1160"/>
              <w:spacing w:after="0" w:line="161" w:lineRule="exact"/>
              <w:rPr>
                <w:sz w:val="20"/>
                <w:szCs w:val="20"/>
                <w:color w:val="auto"/>
              </w:rPr>
            </w:pPr>
            <w:r>
              <w:rPr>
                <w:rFonts w:ascii="Times New Roman" w:cs="Times New Roman" w:eastAsia="Times New Roman" w:hAnsi="Times New Roman"/>
                <w:sz w:val="17"/>
                <w:szCs w:val="17"/>
                <w:color w:val="4472C4"/>
              </w:rPr>
              <w:t>Plymouth, NC</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3,142</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right w:val="single" w:sz="8" w:color="auto"/>
            </w:tcBorders>
            <w:gridSpan w:val="13"/>
          </w:tcPr>
          <w:p>
            <w:pPr>
              <w:jc w:val="center"/>
              <w:ind w:right="1260"/>
              <w:spacing w:after="0" w:line="161" w:lineRule="exact"/>
              <w:rPr>
                <w:sz w:val="20"/>
                <w:szCs w:val="20"/>
                <w:color w:val="auto"/>
              </w:rPr>
            </w:pPr>
            <w:r>
              <w:rPr>
                <w:rFonts w:ascii="Times New Roman" w:cs="Times New Roman" w:eastAsia="Times New Roman" w:hAnsi="Times New Roman"/>
                <w:sz w:val="17"/>
                <w:szCs w:val="17"/>
                <w:color w:val="4472C4"/>
              </w:rPr>
              <w:t>Dollar Tree</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right w:val="single" w:sz="8" w:color="auto"/>
            </w:tcBorders>
            <w:gridSpan w:val="15"/>
          </w:tcPr>
          <w:p>
            <w:pPr>
              <w:jc w:val="center"/>
              <w:ind w:right="1120"/>
              <w:spacing w:after="0" w:line="161" w:lineRule="exact"/>
              <w:rPr>
                <w:sz w:val="20"/>
                <w:szCs w:val="20"/>
                <w:color w:val="auto"/>
              </w:rPr>
            </w:pPr>
            <w:r>
              <w:rPr>
                <w:rFonts w:ascii="Times New Roman" w:cs="Times New Roman" w:eastAsia="Times New Roman" w:hAnsi="Times New Roman"/>
                <w:sz w:val="17"/>
                <w:szCs w:val="17"/>
                <w:color w:val="4472C4"/>
              </w:rPr>
              <w:t>Demopolis, AL</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10,159</w:t>
            </w:r>
          </w:p>
        </w:tc>
        <w:tc>
          <w:tcPr>
            <w:tcW w:w="1420" w:type="dxa"/>
            <w:vAlign w:val="bottom"/>
            <w:tcBorders>
              <w:right w:val="single" w:sz="8" w:color="auto"/>
            </w:tcBorders>
          </w:tcPr>
          <w:p>
            <w:pPr>
              <w:spacing w:after="0"/>
              <w:rPr>
                <w:sz w:val="13"/>
                <w:szCs w:val="13"/>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tcBorders>
              <w:right w:val="single" w:sz="8" w:color="auto"/>
            </w:tcBorders>
            <w:gridSpan w:val="11"/>
          </w:tcPr>
          <w:p>
            <w:pPr>
              <w:jc w:val="center"/>
              <w:ind w:right="1340"/>
              <w:spacing w:after="0" w:line="161" w:lineRule="exact"/>
              <w:rPr>
                <w:sz w:val="20"/>
                <w:szCs w:val="20"/>
                <w:color w:val="auto"/>
              </w:rPr>
            </w:pPr>
            <w:r>
              <w:rPr>
                <w:rFonts w:ascii="Times New Roman" w:cs="Times New Roman" w:eastAsia="Times New Roman" w:hAnsi="Times New Roman"/>
                <w:sz w:val="17"/>
                <w:szCs w:val="17"/>
                <w:color w:val="4472C4"/>
              </w:rPr>
              <w:t>Firestone</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tcBorders>
              <w:right w:val="single" w:sz="8" w:color="auto"/>
            </w:tcBorders>
            <w:gridSpan w:val="14"/>
          </w:tcPr>
          <w:p>
            <w:pPr>
              <w:jc w:val="center"/>
              <w:ind w:right="1160"/>
              <w:spacing w:after="0" w:line="161" w:lineRule="exact"/>
              <w:rPr>
                <w:sz w:val="20"/>
                <w:szCs w:val="20"/>
                <w:color w:val="auto"/>
              </w:rPr>
            </w:pPr>
            <w:r>
              <w:rPr>
                <w:rFonts w:ascii="Times New Roman" w:cs="Times New Roman" w:eastAsia="Times New Roman" w:hAnsi="Times New Roman"/>
                <w:sz w:val="17"/>
                <w:szCs w:val="17"/>
                <w:color w:val="4472C4"/>
                <w:w w:val="99"/>
              </w:rPr>
              <w:t>Pittsburgh, PA</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10,629</w:t>
            </w:r>
          </w:p>
        </w:tc>
        <w:tc>
          <w:tcPr>
            <w:tcW w:w="1420" w:type="dxa"/>
            <w:vAlign w:val="bottom"/>
            <w:tcBorders>
              <w:right w:val="single" w:sz="8" w:color="auto"/>
            </w:tcBorders>
          </w:tcPr>
          <w:p>
            <w:pPr>
              <w:spacing w:after="0"/>
              <w:rPr>
                <w:sz w:val="13"/>
                <w:szCs w:val="13"/>
                <w:color w:val="auto"/>
              </w:rPr>
            </w:pPr>
          </w:p>
        </w:tc>
      </w:tr>
      <w:tr>
        <w:trPr>
          <w:trHeight w:val="20"/>
        </w:trPr>
        <w:tc>
          <w:tcPr>
            <w:tcW w:w="8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72" w:right="979" w:bottom="1440" w:gutter="0" w:footer="0" w:header="0"/>
        </w:sectPr>
      </w:pPr>
    </w:p>
    <w:bookmarkStart w:id="215" w:name="page216"/>
    <w:bookmarkEnd w:id="215"/>
    <w:tbl>
      <w:tblPr>
        <w:tblLayout w:type="fixed"/>
        <w:tblInd w:w="10" w:type="dxa"/>
        <w:tblCellMar>
          <w:top w:w="0" w:type="dxa"/>
          <w:left w:w="0" w:type="dxa"/>
          <w:bottom w:w="0" w:type="dxa"/>
          <w:right w:w="0" w:type="dxa"/>
        </w:tblCellMar>
      </w:tblPr>
      <w:tr>
        <w:trPr>
          <w:trHeight w:val="196"/>
        </w:trPr>
        <w:tc>
          <w:tcPr>
            <w:tcW w:w="760" w:type="dxa"/>
            <w:vAlign w:val="bottom"/>
            <w:tcBorders>
              <w:top w:val="single" w:sz="8" w:color="auto"/>
              <w:lef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27"/>
          </w:tcPr>
          <w:p>
            <w:pPr>
              <w:jc w:val="center"/>
              <w:ind w:right="960"/>
              <w:spacing w:after="0"/>
              <w:rPr>
                <w:sz w:val="20"/>
                <w:szCs w:val="20"/>
                <w:color w:val="auto"/>
              </w:rPr>
            </w:pPr>
            <w:r>
              <w:rPr>
                <w:rFonts w:ascii="Times New Roman" w:cs="Times New Roman" w:eastAsia="Times New Roman" w:hAnsi="Times New Roman"/>
                <w:sz w:val="17"/>
                <w:szCs w:val="17"/>
                <w:color w:val="4472C4"/>
              </w:rPr>
              <w:t>Advance Auto Parts</w:t>
            </w: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20" w:type="dxa"/>
            <w:vAlign w:val="bottom"/>
            <w:tcBorders>
              <w:top w:val="single" w:sz="8" w:color="auto"/>
              <w:right w:val="single" w:sz="8" w:color="auto"/>
            </w:tcBorders>
            <w:gridSpan w:val="14"/>
          </w:tcPr>
          <w:p>
            <w:pPr>
              <w:jc w:val="center"/>
              <w:ind w:right="1300"/>
              <w:spacing w:after="0"/>
              <w:rPr>
                <w:sz w:val="20"/>
                <w:szCs w:val="20"/>
                <w:color w:val="auto"/>
              </w:rPr>
            </w:pPr>
            <w:r>
              <w:rPr>
                <w:rFonts w:ascii="Times New Roman" w:cs="Times New Roman" w:eastAsia="Times New Roman" w:hAnsi="Times New Roman"/>
                <w:sz w:val="17"/>
                <w:szCs w:val="17"/>
                <w:color w:val="4472C4"/>
                <w:w w:val="98"/>
              </w:rPr>
              <w:t>Ware, MA</w:t>
            </w:r>
          </w:p>
        </w:tc>
        <w:tc>
          <w:tcPr>
            <w:tcW w:w="1880" w:type="dxa"/>
            <w:vAlign w:val="bottom"/>
            <w:tcBorders>
              <w:top w:val="single" w:sz="8" w:color="auto"/>
            </w:tcBorders>
            <w:gridSpan w:val="5"/>
          </w:tcPr>
          <w:p>
            <w:pPr>
              <w:jc w:val="center"/>
              <w:ind w:left="1333"/>
              <w:spacing w:after="0"/>
              <w:rPr>
                <w:sz w:val="20"/>
                <w:szCs w:val="20"/>
                <w:color w:val="auto"/>
              </w:rPr>
            </w:pPr>
            <w:r>
              <w:rPr>
                <w:rFonts w:ascii="Times New Roman" w:cs="Times New Roman" w:eastAsia="Times New Roman" w:hAnsi="Times New Roman"/>
                <w:sz w:val="17"/>
                <w:szCs w:val="17"/>
                <w:color w:val="4472C4"/>
                <w:w w:val="99"/>
              </w:rPr>
              <w:t>6,889</w:t>
            </w:r>
          </w:p>
        </w:tc>
        <w:tc>
          <w:tcPr>
            <w:tcW w:w="20" w:type="dxa"/>
            <w:vAlign w:val="bottom"/>
            <w:tcBorders>
              <w:top w:val="single" w:sz="8" w:color="auto"/>
            </w:tcBorders>
          </w:tcPr>
          <w:p>
            <w:pPr>
              <w:spacing w:after="0"/>
              <w:rPr>
                <w:sz w:val="17"/>
                <w:szCs w:val="17"/>
                <w:color w:val="auto"/>
              </w:rPr>
            </w:pPr>
          </w:p>
        </w:tc>
        <w:tc>
          <w:tcPr>
            <w:tcW w:w="1420" w:type="dxa"/>
            <w:vAlign w:val="bottom"/>
            <w:tcBorders>
              <w:top w:val="single" w:sz="8" w:color="auto"/>
              <w:right w:val="single" w:sz="8" w:color="auto"/>
            </w:tcBorders>
          </w:tcPr>
          <w:p>
            <w:pPr>
              <w:spacing w:after="0"/>
              <w:rPr>
                <w:sz w:val="17"/>
                <w:szCs w:val="17"/>
                <w:color w:val="auto"/>
              </w:rPr>
            </w:pPr>
          </w:p>
        </w:tc>
      </w:tr>
      <w:tr>
        <w:trPr>
          <w:trHeight w:val="20"/>
        </w:trPr>
        <w:tc>
          <w:tcPr>
            <w:tcW w:w="960" w:type="dxa"/>
            <w:vAlign w:val="bottom"/>
            <w:tcBorders>
              <w:left w:val="single" w:sz="8" w:color="auto"/>
            </w:tcBorders>
            <w:gridSpan w:val="2"/>
          </w:tcPr>
          <w:p>
            <w:pPr>
              <w:spacing w:after="0" w:line="20" w:lineRule="exact"/>
              <w:rPr>
                <w:sz w:val="1"/>
                <w:szCs w:val="1"/>
                <w:color w:val="auto"/>
              </w:rPr>
            </w:pPr>
          </w:p>
        </w:tc>
        <w:tc>
          <w:tcPr>
            <w:tcW w:w="1400" w:type="dxa"/>
            <w:vAlign w:val="bottom"/>
            <w:tcBorders>
              <w:top w:val="single" w:sz="8" w:color="4472C4"/>
              <w:bottom w:val="single" w:sz="8" w:color="4472C4"/>
            </w:tcBorders>
            <w:gridSpan w:val="25"/>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80" w:type="dxa"/>
            <w:vAlign w:val="bottom"/>
            <w:gridSpan w:val="12"/>
          </w:tcPr>
          <w:p>
            <w:pPr>
              <w:spacing w:after="0" w:line="20" w:lineRule="exact"/>
              <w:rPr>
                <w:sz w:val="1"/>
                <w:szCs w:val="1"/>
                <w:color w:val="auto"/>
              </w:rPr>
            </w:pPr>
          </w:p>
        </w:tc>
        <w:tc>
          <w:tcPr>
            <w:tcW w:w="720" w:type="dxa"/>
            <w:vAlign w:val="bottom"/>
            <w:tcBorders>
              <w:top w:val="single" w:sz="8" w:color="4472C4"/>
              <w:bottom w:val="single" w:sz="8" w:color="4472C4"/>
            </w:tcBorders>
            <w:gridSpan w:val="3"/>
          </w:tcPr>
          <w:p>
            <w:pPr>
              <w:spacing w:after="0" w:line="20" w:lineRule="exact"/>
              <w:rPr>
                <w:sz w:val="1"/>
                <w:szCs w:val="1"/>
                <w:color w:val="auto"/>
              </w:rPr>
            </w:pPr>
          </w:p>
        </w:tc>
        <w:tc>
          <w:tcPr>
            <w:tcW w:w="1300" w:type="dxa"/>
            <w:vAlign w:val="bottom"/>
            <w:tcBorders>
              <w:right w:val="single" w:sz="8" w:color="auto"/>
            </w:tcBorders>
            <w:gridSpan w:val="11"/>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Borders>
              <w:right w:val="single" w:sz="8" w:color="auto"/>
            </w:tcBorders>
            <w:gridSpan w:val="25"/>
          </w:tcPr>
          <w:p>
            <w:pPr>
              <w:jc w:val="center"/>
              <w:ind w:right="1080"/>
              <w:spacing w:after="0" w:line="161" w:lineRule="exact"/>
              <w:rPr>
                <w:sz w:val="20"/>
                <w:szCs w:val="20"/>
                <w:color w:val="auto"/>
              </w:rPr>
            </w:pPr>
            <w:r>
              <w:rPr>
                <w:rFonts w:ascii="Times New Roman" w:cs="Times New Roman" w:eastAsia="Times New Roman" w:hAnsi="Times New Roman"/>
                <w:sz w:val="17"/>
                <w:szCs w:val="17"/>
                <w:color w:val="4472C4"/>
              </w:rPr>
              <w:t>Grease Monkey</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tcBorders>
              <w:right w:val="single" w:sz="8" w:color="auto"/>
            </w:tcBorders>
            <w:gridSpan w:val="24"/>
          </w:tcPr>
          <w:p>
            <w:pPr>
              <w:jc w:val="center"/>
              <w:ind w:right="1000"/>
              <w:spacing w:after="0" w:line="161" w:lineRule="exact"/>
              <w:rPr>
                <w:sz w:val="20"/>
                <w:szCs w:val="20"/>
                <w:color w:val="auto"/>
              </w:rPr>
            </w:pPr>
            <w:r>
              <w:rPr>
                <w:rFonts w:ascii="Times New Roman" w:cs="Times New Roman" w:eastAsia="Times New Roman" w:hAnsi="Times New Roman"/>
                <w:sz w:val="17"/>
                <w:szCs w:val="17"/>
                <w:color w:val="4472C4"/>
              </w:rPr>
              <w:t>Stockbridge, GA</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1,846</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120" w:type="dxa"/>
            <w:vAlign w:val="bottom"/>
            <w:tcBorders>
              <w:left w:val="single" w:sz="8" w:color="auto"/>
            </w:tcBorders>
            <w:gridSpan w:val="5"/>
          </w:tcPr>
          <w:p>
            <w:pPr>
              <w:spacing w:after="0" w:line="20" w:lineRule="exact"/>
              <w:rPr>
                <w:sz w:val="1"/>
                <w:szCs w:val="1"/>
                <w:color w:val="auto"/>
              </w:rPr>
            </w:pPr>
          </w:p>
        </w:tc>
        <w:tc>
          <w:tcPr>
            <w:tcW w:w="1100" w:type="dxa"/>
            <w:vAlign w:val="bottom"/>
            <w:tcBorders>
              <w:top w:val="single" w:sz="8" w:color="4472C4"/>
              <w:bottom w:val="single" w:sz="8" w:color="4472C4"/>
            </w:tcBorders>
            <w:gridSpan w:val="21"/>
          </w:tcPr>
          <w:p>
            <w:pPr>
              <w:spacing w:after="0" w:line="20" w:lineRule="exact"/>
              <w:rPr>
                <w:sz w:val="1"/>
                <w:szCs w:val="1"/>
                <w:color w:val="auto"/>
              </w:rPr>
            </w:pPr>
          </w:p>
        </w:tc>
        <w:tc>
          <w:tcPr>
            <w:tcW w:w="1100" w:type="dxa"/>
            <w:vAlign w:val="bottom"/>
            <w:tcBorders>
              <w:right w:val="single" w:sz="8" w:color="auto"/>
            </w:tcBorders>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180" w:type="dxa"/>
            <w:vAlign w:val="bottom"/>
            <w:tcBorders>
              <w:top w:val="single" w:sz="8" w:color="4472C4"/>
              <w:bottom w:val="single" w:sz="8" w:color="4472C4"/>
            </w:tcBorders>
            <w:gridSpan w:val="20"/>
          </w:tcPr>
          <w:p>
            <w:pPr>
              <w:spacing w:after="0" w:line="20" w:lineRule="exact"/>
              <w:rPr>
                <w:sz w:val="1"/>
                <w:szCs w:val="1"/>
                <w:color w:val="auto"/>
              </w:rPr>
            </w:pPr>
          </w:p>
        </w:tc>
        <w:tc>
          <w:tcPr>
            <w:tcW w:w="1060" w:type="dxa"/>
            <w:vAlign w:val="bottom"/>
            <w:tcBorders>
              <w:right w:val="single" w:sz="8" w:color="auto"/>
            </w:tcBorders>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right w:val="single" w:sz="8" w:color="auto"/>
            </w:tcBorders>
            <w:gridSpan w:val="16"/>
          </w:tcPr>
          <w:p>
            <w:pPr>
              <w:jc w:val="center"/>
              <w:ind w:right="1340"/>
              <w:spacing w:after="0" w:line="161" w:lineRule="exact"/>
              <w:rPr>
                <w:sz w:val="20"/>
                <w:szCs w:val="20"/>
                <w:color w:val="auto"/>
              </w:rPr>
            </w:pPr>
            <w:r>
              <w:rPr>
                <w:rFonts w:ascii="Times New Roman" w:cs="Times New Roman" w:eastAsia="Times New Roman" w:hAnsi="Times New Roman"/>
                <w:sz w:val="17"/>
                <w:szCs w:val="17"/>
                <w:color w:val="4472C4"/>
              </w:rPr>
              <w:t>Hardee’s</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right w:val="single" w:sz="8" w:color="auto"/>
            </w:tcBorders>
            <w:gridSpan w:val="13"/>
          </w:tcPr>
          <w:p>
            <w:pPr>
              <w:jc w:val="center"/>
              <w:ind w:right="1320"/>
              <w:spacing w:after="0" w:line="161" w:lineRule="exact"/>
              <w:rPr>
                <w:sz w:val="20"/>
                <w:szCs w:val="20"/>
                <w:color w:val="auto"/>
              </w:rPr>
            </w:pPr>
            <w:r>
              <w:rPr>
                <w:rFonts w:ascii="Times New Roman" w:cs="Times New Roman" w:eastAsia="Times New Roman" w:hAnsi="Times New Roman"/>
                <w:sz w:val="17"/>
                <w:szCs w:val="17"/>
                <w:color w:val="4472C4"/>
              </w:rPr>
              <w:t>Boaz, AL</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3,542</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360" w:type="dxa"/>
            <w:vAlign w:val="bottom"/>
            <w:tcBorders>
              <w:left w:val="single" w:sz="8" w:color="auto"/>
            </w:tcBorders>
            <w:gridSpan w:val="13"/>
          </w:tcPr>
          <w:p>
            <w:pPr>
              <w:spacing w:after="0" w:line="20" w:lineRule="exact"/>
              <w:rPr>
                <w:sz w:val="1"/>
                <w:szCs w:val="1"/>
                <w:color w:val="auto"/>
              </w:rPr>
            </w:pPr>
          </w:p>
        </w:tc>
        <w:tc>
          <w:tcPr>
            <w:tcW w:w="620" w:type="dxa"/>
            <w:vAlign w:val="bottom"/>
            <w:tcBorders>
              <w:top w:val="single" w:sz="8" w:color="4472C4"/>
              <w:bottom w:val="single" w:sz="8" w:color="4472C4"/>
            </w:tcBorders>
            <w:gridSpan w:val="6"/>
          </w:tcPr>
          <w:p>
            <w:pPr>
              <w:spacing w:after="0" w:line="20" w:lineRule="exact"/>
              <w:rPr>
                <w:sz w:val="1"/>
                <w:szCs w:val="1"/>
                <w:color w:val="auto"/>
              </w:rPr>
            </w:pPr>
          </w:p>
        </w:tc>
        <w:tc>
          <w:tcPr>
            <w:tcW w:w="1340" w:type="dxa"/>
            <w:vAlign w:val="bottom"/>
            <w:tcBorders>
              <w:right w:val="single" w:sz="8" w:color="auto"/>
            </w:tcBorders>
            <w:gridSpan w:val="10"/>
          </w:tcPr>
          <w:p>
            <w:pPr>
              <w:spacing w:after="0" w:line="20" w:lineRule="exact"/>
              <w:rPr>
                <w:sz w:val="1"/>
                <w:szCs w:val="1"/>
                <w:color w:val="auto"/>
              </w:rPr>
            </w:pPr>
          </w:p>
        </w:tc>
        <w:tc>
          <w:tcPr>
            <w:tcW w:w="1300" w:type="dxa"/>
            <w:vAlign w:val="bottom"/>
            <w:gridSpan w:val="13"/>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1320" w:type="dxa"/>
            <w:vAlign w:val="bottom"/>
            <w:tcBorders>
              <w:right w:val="single" w:sz="8" w:color="auto"/>
            </w:tcBorders>
            <w:gridSpan w:val="1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right w:val="single" w:sz="8" w:color="auto"/>
            </w:tcBorders>
            <w:gridSpan w:val="19"/>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Schlotzsky’s</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right w:val="single" w:sz="8" w:color="auto"/>
            </w:tcBorders>
            <w:gridSpan w:val="22"/>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Sweetwater, TX</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2,431</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220" w:type="dxa"/>
            <w:vAlign w:val="bottom"/>
            <w:tcBorders>
              <w:left w:val="single" w:sz="8" w:color="auto"/>
            </w:tcBorders>
            <w:gridSpan w:val="10"/>
          </w:tcPr>
          <w:p>
            <w:pPr>
              <w:spacing w:after="0" w:line="20" w:lineRule="exact"/>
              <w:rPr>
                <w:sz w:val="1"/>
                <w:szCs w:val="1"/>
                <w:color w:val="auto"/>
              </w:rPr>
            </w:pPr>
          </w:p>
        </w:tc>
        <w:tc>
          <w:tcPr>
            <w:tcW w:w="880" w:type="dxa"/>
            <w:vAlign w:val="bottom"/>
            <w:tcBorders>
              <w:top w:val="single" w:sz="8" w:color="4472C4"/>
              <w:bottom w:val="single" w:sz="8" w:color="4472C4"/>
            </w:tcBorders>
            <w:gridSpan w:val="12"/>
          </w:tcPr>
          <w:p>
            <w:pPr>
              <w:spacing w:after="0" w:line="20" w:lineRule="exact"/>
              <w:rPr>
                <w:sz w:val="1"/>
                <w:szCs w:val="1"/>
                <w:color w:val="auto"/>
              </w:rPr>
            </w:pPr>
          </w:p>
        </w:tc>
        <w:tc>
          <w:tcPr>
            <w:tcW w:w="1220" w:type="dxa"/>
            <w:vAlign w:val="bottom"/>
            <w:tcBorders>
              <w:right w:val="single" w:sz="8" w:color="auto"/>
            </w:tcBorders>
            <w:gridSpan w:val="7"/>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120" w:type="dxa"/>
            <w:vAlign w:val="bottom"/>
            <w:tcBorders>
              <w:top w:val="single" w:sz="8" w:color="4472C4"/>
              <w:bottom w:val="single" w:sz="8" w:color="4472C4"/>
            </w:tcBorders>
            <w:gridSpan w:val="18"/>
          </w:tcPr>
          <w:p>
            <w:pPr>
              <w:spacing w:after="0" w:line="20" w:lineRule="exact"/>
              <w:rPr>
                <w:sz w:val="1"/>
                <w:szCs w:val="1"/>
                <w:color w:val="auto"/>
              </w:rPr>
            </w:pPr>
          </w:p>
        </w:tc>
        <w:tc>
          <w:tcPr>
            <w:tcW w:w="1100" w:type="dxa"/>
            <w:vAlign w:val="bottom"/>
            <w:tcBorders>
              <w:right w:val="single" w:sz="8" w:color="auto"/>
            </w:tcBorders>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tcBorders>
              <w:right w:val="single" w:sz="8" w:color="auto"/>
            </w:tcBorders>
            <w:gridSpan w:val="27"/>
          </w:tcPr>
          <w:p>
            <w:pPr>
              <w:jc w:val="center"/>
              <w:ind w:right="960"/>
              <w:spacing w:after="0" w:line="161" w:lineRule="exact"/>
              <w:rPr>
                <w:sz w:val="20"/>
                <w:szCs w:val="20"/>
                <w:color w:val="auto"/>
              </w:rPr>
            </w:pPr>
            <w:r>
              <w:rPr>
                <w:rFonts w:ascii="Times New Roman" w:cs="Times New Roman" w:eastAsia="Times New Roman" w:hAnsi="Times New Roman"/>
                <w:sz w:val="17"/>
                <w:szCs w:val="17"/>
                <w:color w:val="4472C4"/>
              </w:rPr>
              <w:t>Advance Auto Parts</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right w:val="single" w:sz="8" w:color="auto"/>
            </w:tcBorders>
            <w:gridSpan w:val="16"/>
          </w:tcPr>
          <w:p>
            <w:pPr>
              <w:jc w:val="center"/>
              <w:ind w:right="1240"/>
              <w:spacing w:after="0" w:line="161" w:lineRule="exact"/>
              <w:rPr>
                <w:sz w:val="20"/>
                <w:szCs w:val="20"/>
                <w:color w:val="auto"/>
              </w:rPr>
            </w:pPr>
            <w:r>
              <w:rPr>
                <w:rFonts w:ascii="Times New Roman" w:cs="Times New Roman" w:eastAsia="Times New Roman" w:hAnsi="Times New Roman"/>
                <w:sz w:val="17"/>
                <w:szCs w:val="17"/>
                <w:color w:val="4472C4"/>
              </w:rPr>
              <w:t>Athens, GA</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6,871</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960" w:type="dxa"/>
            <w:vAlign w:val="bottom"/>
            <w:tcBorders>
              <w:left w:val="single" w:sz="8" w:color="auto"/>
            </w:tcBorders>
            <w:gridSpan w:val="2"/>
          </w:tcPr>
          <w:p>
            <w:pPr>
              <w:spacing w:after="0" w:line="20" w:lineRule="exact"/>
              <w:rPr>
                <w:sz w:val="1"/>
                <w:szCs w:val="1"/>
                <w:color w:val="auto"/>
              </w:rPr>
            </w:pPr>
          </w:p>
        </w:tc>
        <w:tc>
          <w:tcPr>
            <w:tcW w:w="1400" w:type="dxa"/>
            <w:vAlign w:val="bottom"/>
            <w:tcBorders>
              <w:top w:val="single" w:sz="8" w:color="4472C4"/>
              <w:bottom w:val="single" w:sz="8" w:color="4472C4"/>
            </w:tcBorders>
            <w:gridSpan w:val="25"/>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840" w:type="dxa"/>
            <w:vAlign w:val="bottom"/>
            <w:tcBorders>
              <w:top w:val="single" w:sz="8" w:color="4472C4"/>
              <w:bottom w:val="single" w:sz="8" w:color="4472C4"/>
            </w:tcBorders>
            <w:gridSpan w:val="6"/>
          </w:tcPr>
          <w:p>
            <w:pPr>
              <w:spacing w:after="0" w:line="20" w:lineRule="exact"/>
              <w:rPr>
                <w:sz w:val="1"/>
                <w:szCs w:val="1"/>
                <w:color w:val="auto"/>
              </w:rPr>
            </w:pPr>
          </w:p>
        </w:tc>
        <w:tc>
          <w:tcPr>
            <w:tcW w:w="1240" w:type="dxa"/>
            <w:vAlign w:val="bottom"/>
            <w:tcBorders>
              <w:right w:val="single" w:sz="8" w:color="auto"/>
            </w:tcBorders>
            <w:gridSpan w:val="1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3320" w:type="dxa"/>
            <w:vAlign w:val="bottom"/>
            <w:tcBorders>
              <w:left w:val="single" w:sz="8" w:color="auto"/>
              <w:right w:val="single" w:sz="8" w:color="auto"/>
            </w:tcBorders>
            <w:gridSpan w:val="29"/>
          </w:tcPr>
          <w:p>
            <w:pPr>
              <w:jc w:val="center"/>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right w:val="single" w:sz="8" w:color="auto"/>
            </w:tcBorders>
            <w:gridSpan w:val="21"/>
          </w:tcPr>
          <w:p>
            <w:pPr>
              <w:jc w:val="center"/>
              <w:ind w:right="1120"/>
              <w:spacing w:after="0" w:line="161" w:lineRule="exact"/>
              <w:rPr>
                <w:sz w:val="20"/>
                <w:szCs w:val="20"/>
                <w:color w:val="auto"/>
              </w:rPr>
            </w:pPr>
            <w:r>
              <w:rPr>
                <w:rFonts w:ascii="Times New Roman" w:cs="Times New Roman" w:eastAsia="Times New Roman" w:hAnsi="Times New Roman"/>
                <w:sz w:val="17"/>
                <w:szCs w:val="17"/>
                <w:color w:val="4472C4"/>
              </w:rPr>
              <w:t>Burlington, NC</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8"/>
              </w:rPr>
              <w:t>11,394</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1820" w:type="dxa"/>
            <w:vAlign w:val="bottom"/>
            <w:tcBorders>
              <w:top w:val="single" w:sz="8" w:color="4472C4"/>
              <w:bottom w:val="single" w:sz="8" w:color="4472C4"/>
            </w:tcBorders>
            <w:gridSpan w:val="27"/>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80" w:type="dxa"/>
            <w:vAlign w:val="bottom"/>
            <w:tcBorders>
              <w:top w:val="single" w:sz="8" w:color="4472C4"/>
              <w:bottom w:val="single" w:sz="8" w:color="4472C4"/>
            </w:tcBorders>
            <w:gridSpan w:val="16"/>
          </w:tcPr>
          <w:p>
            <w:pPr>
              <w:spacing w:after="0" w:line="20" w:lineRule="exact"/>
              <w:rPr>
                <w:sz w:val="1"/>
                <w:szCs w:val="1"/>
                <w:color w:val="auto"/>
              </w:rPr>
            </w:pPr>
          </w:p>
        </w:tc>
        <w:tc>
          <w:tcPr>
            <w:tcW w:w="1120" w:type="dxa"/>
            <w:vAlign w:val="bottom"/>
            <w:tcBorders>
              <w:right w:val="single" w:sz="8" w:color="auto"/>
            </w:tcBorders>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tcBorders>
              <w:right w:val="single" w:sz="8" w:color="auto"/>
            </w:tcBorders>
            <w:gridSpan w:val="27"/>
          </w:tcPr>
          <w:p>
            <w:pPr>
              <w:jc w:val="center"/>
              <w:ind w:right="940"/>
              <w:spacing w:after="0" w:line="161" w:lineRule="exact"/>
              <w:rPr>
                <w:sz w:val="20"/>
                <w:szCs w:val="20"/>
                <w:color w:val="auto"/>
              </w:rPr>
            </w:pPr>
            <w:r>
              <w:rPr>
                <w:rFonts w:ascii="Times New Roman" w:cs="Times New Roman" w:eastAsia="Times New Roman" w:hAnsi="Times New Roman"/>
                <w:sz w:val="17"/>
                <w:szCs w:val="17"/>
                <w:color w:val="4472C4"/>
              </w:rPr>
              <w:t>O’Reilly Auto Parts</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right w:val="single" w:sz="8" w:color="auto"/>
            </w:tcBorders>
            <w:gridSpan w:val="16"/>
          </w:tcPr>
          <w:p>
            <w:pPr>
              <w:jc w:val="center"/>
              <w:ind w:right="1240"/>
              <w:spacing w:after="0" w:line="161" w:lineRule="exact"/>
              <w:rPr>
                <w:sz w:val="20"/>
                <w:szCs w:val="20"/>
                <w:color w:val="auto"/>
              </w:rPr>
            </w:pPr>
            <w:r>
              <w:rPr>
                <w:rFonts w:ascii="Times New Roman" w:cs="Times New Roman" w:eastAsia="Times New Roman" w:hAnsi="Times New Roman"/>
                <w:sz w:val="17"/>
                <w:szCs w:val="17"/>
                <w:color w:val="4472C4"/>
              </w:rPr>
              <w:t>Duluth, MN</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8"/>
              </w:rPr>
              <w:t>11,182</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980" w:type="dxa"/>
            <w:vAlign w:val="bottom"/>
            <w:tcBorders>
              <w:left w:val="single" w:sz="8" w:color="auto"/>
            </w:tcBorders>
            <w:gridSpan w:val="3"/>
          </w:tcPr>
          <w:p>
            <w:pPr>
              <w:spacing w:after="0" w:line="20" w:lineRule="exact"/>
              <w:rPr>
                <w:sz w:val="1"/>
                <w:szCs w:val="1"/>
                <w:color w:val="auto"/>
              </w:rPr>
            </w:pPr>
          </w:p>
        </w:tc>
        <w:tc>
          <w:tcPr>
            <w:tcW w:w="1380" w:type="dxa"/>
            <w:vAlign w:val="bottom"/>
            <w:tcBorders>
              <w:top w:val="single" w:sz="8" w:color="4472C4"/>
              <w:bottom w:val="single" w:sz="8" w:color="4472C4"/>
            </w:tcBorders>
            <w:gridSpan w:val="24"/>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840" w:type="dxa"/>
            <w:vAlign w:val="bottom"/>
            <w:tcBorders>
              <w:top w:val="single" w:sz="8" w:color="4472C4"/>
              <w:bottom w:val="single" w:sz="8" w:color="4472C4"/>
            </w:tcBorders>
            <w:gridSpan w:val="6"/>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220" w:type="dxa"/>
            <w:vAlign w:val="bottom"/>
            <w:tcBorders>
              <w:right w:val="single" w:sz="8" w:color="auto"/>
            </w:tcBorders>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right w:val="single" w:sz="8" w:color="auto"/>
            </w:tcBorders>
            <w:gridSpan w:val="23"/>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Harbor Freight</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right w:val="single" w:sz="8" w:color="auto"/>
            </w:tcBorders>
            <w:gridSpan w:val="17"/>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Midland, MI</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14,624</w:t>
            </w:r>
          </w:p>
        </w:tc>
        <w:tc>
          <w:tcPr>
            <w:tcW w:w="1420" w:type="dxa"/>
            <w:vAlign w:val="bottom"/>
            <w:tcBorders>
              <w:right w:val="single" w:sz="8" w:color="auto"/>
            </w:tcBorders>
          </w:tcPr>
          <w:p>
            <w:pPr>
              <w:spacing w:after="0"/>
              <w:rPr>
                <w:sz w:val="13"/>
                <w:szCs w:val="13"/>
                <w:color w:val="auto"/>
              </w:rPr>
            </w:pPr>
          </w:p>
        </w:tc>
      </w:tr>
      <w:tr>
        <w:trPr>
          <w:trHeight w:val="20"/>
        </w:trPr>
        <w:tc>
          <w:tcPr>
            <w:tcW w:w="1140" w:type="dxa"/>
            <w:vAlign w:val="bottom"/>
            <w:tcBorders>
              <w:left w:val="single" w:sz="8" w:color="auto"/>
            </w:tcBorders>
            <w:gridSpan w:val="6"/>
          </w:tcPr>
          <w:p>
            <w:pPr>
              <w:spacing w:after="0" w:line="20" w:lineRule="exact"/>
              <w:rPr>
                <w:sz w:val="1"/>
                <w:szCs w:val="1"/>
                <w:color w:val="auto"/>
              </w:rPr>
            </w:pPr>
          </w:p>
        </w:tc>
        <w:tc>
          <w:tcPr>
            <w:tcW w:w="1040" w:type="dxa"/>
            <w:vAlign w:val="bottom"/>
            <w:tcBorders>
              <w:top w:val="single" w:sz="8" w:color="4472C4"/>
              <w:bottom w:val="single" w:sz="8" w:color="4472C4"/>
            </w:tcBorders>
            <w:gridSpan w:val="19"/>
          </w:tcPr>
          <w:p>
            <w:pPr>
              <w:spacing w:after="0" w:line="20" w:lineRule="exact"/>
              <w:rPr>
                <w:sz w:val="1"/>
                <w:szCs w:val="1"/>
                <w:color w:val="auto"/>
              </w:rPr>
            </w:pPr>
          </w:p>
        </w:tc>
        <w:tc>
          <w:tcPr>
            <w:tcW w:w="1140" w:type="dxa"/>
            <w:vAlign w:val="bottom"/>
            <w:tcBorders>
              <w:right w:val="single" w:sz="8" w:color="auto"/>
            </w:tcBorders>
            <w:gridSpan w:val="4"/>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880" w:type="dxa"/>
            <w:vAlign w:val="bottom"/>
            <w:tcBorders>
              <w:top w:val="single" w:sz="8" w:color="4472C4"/>
              <w:bottom w:val="single" w:sz="8" w:color="4472C4"/>
            </w:tcBorders>
            <w:gridSpan w:val="8"/>
          </w:tcPr>
          <w:p>
            <w:pPr>
              <w:spacing w:after="0" w:line="20" w:lineRule="exact"/>
              <w:rPr>
                <w:sz w:val="1"/>
                <w:szCs w:val="1"/>
                <w:color w:val="auto"/>
              </w:rPr>
            </w:pPr>
          </w:p>
        </w:tc>
        <w:tc>
          <w:tcPr>
            <w:tcW w:w="1220" w:type="dxa"/>
            <w:vAlign w:val="bottom"/>
            <w:tcBorders>
              <w:right w:val="single" w:sz="8" w:color="auto"/>
            </w:tcBorders>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tcBorders>
              <w:right w:val="single" w:sz="8" w:color="auto"/>
            </w:tcBorders>
            <w:gridSpan w:val="27"/>
          </w:tcPr>
          <w:p>
            <w:pPr>
              <w:jc w:val="center"/>
              <w:ind w:right="960"/>
              <w:spacing w:after="0" w:line="161" w:lineRule="exact"/>
              <w:rPr>
                <w:sz w:val="20"/>
                <w:szCs w:val="20"/>
                <w:color w:val="auto"/>
              </w:rPr>
            </w:pPr>
            <w:r>
              <w:rPr>
                <w:rFonts w:ascii="Times New Roman" w:cs="Times New Roman" w:eastAsia="Times New Roman" w:hAnsi="Times New Roman"/>
                <w:sz w:val="17"/>
                <w:szCs w:val="17"/>
                <w:color w:val="4472C4"/>
              </w:rPr>
              <w:t>Advance Auto Parts</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right w:val="single" w:sz="8" w:color="auto"/>
            </w:tcBorders>
            <w:gridSpan w:val="21"/>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Ludington, MI</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6,604</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960" w:type="dxa"/>
            <w:vAlign w:val="bottom"/>
            <w:tcBorders>
              <w:left w:val="single" w:sz="8" w:color="auto"/>
            </w:tcBorders>
            <w:gridSpan w:val="2"/>
          </w:tcPr>
          <w:p>
            <w:pPr>
              <w:spacing w:after="0" w:line="20" w:lineRule="exact"/>
              <w:rPr>
                <w:sz w:val="1"/>
                <w:szCs w:val="1"/>
                <w:color w:val="auto"/>
              </w:rPr>
            </w:pPr>
          </w:p>
        </w:tc>
        <w:tc>
          <w:tcPr>
            <w:tcW w:w="1400" w:type="dxa"/>
            <w:vAlign w:val="bottom"/>
            <w:tcBorders>
              <w:top w:val="single" w:sz="8" w:color="4472C4"/>
              <w:bottom w:val="single" w:sz="8" w:color="4472C4"/>
            </w:tcBorders>
            <w:gridSpan w:val="25"/>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020" w:type="dxa"/>
            <w:vAlign w:val="bottom"/>
            <w:tcBorders>
              <w:top w:val="single" w:sz="8" w:color="4472C4"/>
              <w:bottom w:val="single" w:sz="8" w:color="4472C4"/>
            </w:tcBorders>
            <w:gridSpan w:val="14"/>
          </w:tcPr>
          <w:p>
            <w:pPr>
              <w:spacing w:after="0" w:line="20" w:lineRule="exact"/>
              <w:rPr>
                <w:sz w:val="1"/>
                <w:szCs w:val="1"/>
                <w:color w:val="auto"/>
              </w:rPr>
            </w:pPr>
          </w:p>
        </w:tc>
        <w:tc>
          <w:tcPr>
            <w:tcW w:w="1140" w:type="dxa"/>
            <w:vAlign w:val="bottom"/>
            <w:tcBorders>
              <w:right w:val="single" w:sz="8" w:color="auto"/>
            </w:tcBorders>
            <w:gridSpan w:val="6"/>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tcBorders>
              <w:right w:val="single" w:sz="8" w:color="auto"/>
            </w:tcBorders>
            <w:gridSpan w:val="27"/>
          </w:tcPr>
          <w:p>
            <w:pPr>
              <w:jc w:val="center"/>
              <w:ind w:right="960"/>
              <w:spacing w:after="0" w:line="161" w:lineRule="exact"/>
              <w:rPr>
                <w:sz w:val="20"/>
                <w:szCs w:val="20"/>
                <w:color w:val="auto"/>
              </w:rPr>
            </w:pPr>
            <w:r>
              <w:rPr>
                <w:rFonts w:ascii="Times New Roman" w:cs="Times New Roman" w:eastAsia="Times New Roman" w:hAnsi="Times New Roman"/>
                <w:sz w:val="17"/>
                <w:szCs w:val="17"/>
                <w:color w:val="4472C4"/>
              </w:rPr>
              <w:t>Advance Auto Parts</w:t>
            </w:r>
          </w:p>
        </w:tc>
        <w:tc>
          <w:tcPr>
            <w:tcW w:w="3300" w:type="dxa"/>
            <w:vAlign w:val="bottom"/>
            <w:tcBorders>
              <w:right w:val="single" w:sz="8" w:color="auto"/>
            </w:tcBorders>
            <w:gridSpan w:val="26"/>
          </w:tcPr>
          <w:p>
            <w:pPr>
              <w:jc w:val="center"/>
              <w:ind w:right="20"/>
              <w:spacing w:after="0" w:line="161" w:lineRule="exact"/>
              <w:rPr>
                <w:sz w:val="20"/>
                <w:szCs w:val="20"/>
                <w:color w:val="auto"/>
              </w:rPr>
            </w:pPr>
            <w:r>
              <w:rPr>
                <w:rFonts w:ascii="Times New Roman" w:cs="Times New Roman" w:eastAsia="Times New Roman" w:hAnsi="Times New Roman"/>
                <w:sz w:val="17"/>
                <w:szCs w:val="17"/>
                <w:color w:val="4472C4"/>
              </w:rPr>
              <w:t>New Baltimore, MI</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6,784</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960" w:type="dxa"/>
            <w:vAlign w:val="bottom"/>
            <w:tcBorders>
              <w:left w:val="single" w:sz="8" w:color="auto"/>
            </w:tcBorders>
            <w:gridSpan w:val="2"/>
          </w:tcPr>
          <w:p>
            <w:pPr>
              <w:spacing w:after="0" w:line="20" w:lineRule="exact"/>
              <w:rPr>
                <w:sz w:val="1"/>
                <w:szCs w:val="1"/>
                <w:color w:val="auto"/>
              </w:rPr>
            </w:pPr>
          </w:p>
        </w:tc>
        <w:tc>
          <w:tcPr>
            <w:tcW w:w="1400" w:type="dxa"/>
            <w:vAlign w:val="bottom"/>
            <w:tcBorders>
              <w:top w:val="single" w:sz="8" w:color="4472C4"/>
              <w:bottom w:val="single" w:sz="8" w:color="4472C4"/>
            </w:tcBorders>
            <w:gridSpan w:val="25"/>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Borders>
              <w:top w:val="single" w:sz="8" w:color="4472C4"/>
              <w:bottom w:val="single" w:sz="8" w:color="4472C4"/>
            </w:tcBorders>
            <w:gridSpan w:val="24"/>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Borders>
              <w:right w:val="single" w:sz="8" w:color="auto"/>
            </w:tcBorders>
            <w:gridSpan w:val="25"/>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Camping World</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tcBorders>
              <w:right w:val="single" w:sz="8" w:color="auto"/>
            </w:tcBorders>
            <w:gridSpan w:val="24"/>
          </w:tcPr>
          <w:p>
            <w:pPr>
              <w:jc w:val="center"/>
              <w:ind w:right="1020"/>
              <w:spacing w:after="0" w:line="161" w:lineRule="exact"/>
              <w:rPr>
                <w:sz w:val="20"/>
                <w:szCs w:val="20"/>
                <w:color w:val="auto"/>
              </w:rPr>
            </w:pPr>
            <w:r>
              <w:rPr>
                <w:rFonts w:ascii="Times New Roman" w:cs="Times New Roman" w:eastAsia="Times New Roman" w:hAnsi="Times New Roman"/>
                <w:sz w:val="17"/>
                <w:szCs w:val="17"/>
                <w:color w:val="4472C4"/>
              </w:rPr>
              <w:t>Hermantown, MN</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66,033</w:t>
            </w:r>
          </w:p>
        </w:tc>
        <w:tc>
          <w:tcPr>
            <w:tcW w:w="1420" w:type="dxa"/>
            <w:vAlign w:val="bottom"/>
            <w:tcBorders>
              <w:right w:val="single" w:sz="8" w:color="auto"/>
            </w:tcBorders>
          </w:tcPr>
          <w:p>
            <w:pPr>
              <w:spacing w:after="0"/>
              <w:rPr>
                <w:sz w:val="13"/>
                <w:szCs w:val="13"/>
                <w:color w:val="auto"/>
              </w:rPr>
            </w:pPr>
          </w:p>
        </w:tc>
      </w:tr>
      <w:tr>
        <w:trPr>
          <w:trHeight w:val="20"/>
        </w:trPr>
        <w:tc>
          <w:tcPr>
            <w:tcW w:w="1100" w:type="dxa"/>
            <w:vAlign w:val="bottom"/>
            <w:tcBorders>
              <w:left w:val="single" w:sz="8" w:color="auto"/>
            </w:tcBorders>
            <w:gridSpan w:val="4"/>
          </w:tcPr>
          <w:p>
            <w:pPr>
              <w:spacing w:after="0" w:line="20" w:lineRule="exact"/>
              <w:rPr>
                <w:sz w:val="1"/>
                <w:szCs w:val="1"/>
                <w:color w:val="auto"/>
              </w:rPr>
            </w:pPr>
          </w:p>
        </w:tc>
        <w:tc>
          <w:tcPr>
            <w:tcW w:w="1120" w:type="dxa"/>
            <w:vAlign w:val="bottom"/>
            <w:tcBorders>
              <w:top w:val="single" w:sz="8" w:color="4472C4"/>
              <w:bottom w:val="single" w:sz="8" w:color="4472C4"/>
            </w:tcBorders>
            <w:gridSpan w:val="22"/>
          </w:tcPr>
          <w:p>
            <w:pPr>
              <w:spacing w:after="0" w:line="20" w:lineRule="exact"/>
              <w:rPr>
                <w:sz w:val="1"/>
                <w:szCs w:val="1"/>
                <w:color w:val="auto"/>
              </w:rPr>
            </w:pPr>
          </w:p>
        </w:tc>
        <w:tc>
          <w:tcPr>
            <w:tcW w:w="1100" w:type="dxa"/>
            <w:vAlign w:val="bottom"/>
            <w:tcBorders>
              <w:right w:val="single" w:sz="8" w:color="auto"/>
            </w:tcBorders>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80" w:type="dxa"/>
            <w:vAlign w:val="bottom"/>
            <w:tcBorders>
              <w:top w:val="single" w:sz="8" w:color="4472C4"/>
              <w:bottom w:val="single" w:sz="8" w:color="4472C4"/>
            </w:tcBorders>
            <w:gridSpan w:val="22"/>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right w:val="single" w:sz="8" w:color="auto"/>
            </w:tcBorders>
            <w:gridSpan w:val="22"/>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Family Dollar</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right w:val="single" w:sz="8" w:color="auto"/>
            </w:tcBorders>
            <w:gridSpan w:val="17"/>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Stilwell, OK</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9,828</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160" w:type="dxa"/>
            <w:vAlign w:val="bottom"/>
            <w:tcBorders>
              <w:left w:val="single" w:sz="8" w:color="auto"/>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980" w:type="dxa"/>
            <w:vAlign w:val="bottom"/>
            <w:tcBorders>
              <w:top w:val="single" w:sz="8" w:color="4472C4"/>
              <w:bottom w:val="single" w:sz="8" w:color="4472C4"/>
            </w:tcBorders>
            <w:gridSpan w:val="16"/>
          </w:tcPr>
          <w:p>
            <w:pPr>
              <w:spacing w:after="0" w:line="20" w:lineRule="exact"/>
              <w:rPr>
                <w:sz w:val="1"/>
                <w:szCs w:val="1"/>
                <w:color w:val="auto"/>
              </w:rPr>
            </w:pPr>
          </w:p>
        </w:tc>
        <w:tc>
          <w:tcPr>
            <w:tcW w:w="1160" w:type="dxa"/>
            <w:vAlign w:val="bottom"/>
            <w:tcBorders>
              <w:right w:val="single" w:sz="8" w:color="auto"/>
            </w:tcBorders>
            <w:gridSpan w:val="5"/>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880" w:type="dxa"/>
            <w:vAlign w:val="bottom"/>
            <w:tcBorders>
              <w:top w:val="single" w:sz="8" w:color="4472C4"/>
              <w:bottom w:val="single" w:sz="8" w:color="4472C4"/>
            </w:tcBorders>
            <w:gridSpan w:val="8"/>
          </w:tcPr>
          <w:p>
            <w:pPr>
              <w:spacing w:after="0" w:line="20" w:lineRule="exact"/>
              <w:rPr>
                <w:sz w:val="1"/>
                <w:szCs w:val="1"/>
                <w:color w:val="auto"/>
              </w:rPr>
            </w:pPr>
          </w:p>
        </w:tc>
        <w:tc>
          <w:tcPr>
            <w:tcW w:w="1220" w:type="dxa"/>
            <w:vAlign w:val="bottom"/>
            <w:tcBorders>
              <w:right w:val="single" w:sz="8" w:color="auto"/>
            </w:tcBorders>
            <w:gridSpan w:val="9"/>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tcBorders>
              <w:right w:val="single" w:sz="8" w:color="auto"/>
            </w:tcBorders>
            <w:gridSpan w:val="27"/>
          </w:tcPr>
          <w:p>
            <w:pPr>
              <w:jc w:val="center"/>
              <w:ind w:right="940"/>
              <w:spacing w:after="0" w:line="161" w:lineRule="exact"/>
              <w:rPr>
                <w:sz w:val="20"/>
                <w:szCs w:val="20"/>
                <w:color w:val="auto"/>
              </w:rPr>
            </w:pPr>
            <w:r>
              <w:rPr>
                <w:rFonts w:ascii="Times New Roman" w:cs="Times New Roman" w:eastAsia="Times New Roman" w:hAnsi="Times New Roman"/>
                <w:sz w:val="17"/>
                <w:szCs w:val="17"/>
                <w:color w:val="4472C4"/>
              </w:rPr>
              <w:t>O’Reilly Auto Parts</w:t>
            </w:r>
          </w:p>
        </w:tc>
        <w:tc>
          <w:tcPr>
            <w:tcW w:w="960" w:type="dxa"/>
            <w:vAlign w:val="bottom"/>
          </w:tcPr>
          <w:p>
            <w:pPr>
              <w:spacing w:after="0"/>
              <w:rPr>
                <w:sz w:val="13"/>
                <w:szCs w:val="13"/>
                <w:color w:val="auto"/>
              </w:rPr>
            </w:pPr>
          </w:p>
        </w:tc>
        <w:tc>
          <w:tcPr>
            <w:tcW w:w="2340" w:type="dxa"/>
            <w:vAlign w:val="bottom"/>
            <w:tcBorders>
              <w:right w:val="single" w:sz="8" w:color="auto"/>
            </w:tcBorders>
            <w:gridSpan w:val="25"/>
          </w:tcPr>
          <w:p>
            <w:pPr>
              <w:jc w:val="center"/>
              <w:ind w:right="980"/>
              <w:spacing w:after="0" w:line="161" w:lineRule="exact"/>
              <w:rPr>
                <w:sz w:val="20"/>
                <w:szCs w:val="20"/>
                <w:color w:val="auto"/>
              </w:rPr>
            </w:pPr>
            <w:r>
              <w:rPr>
                <w:rFonts w:ascii="Times New Roman" w:cs="Times New Roman" w:eastAsia="Times New Roman" w:hAnsi="Times New Roman"/>
                <w:sz w:val="17"/>
                <w:szCs w:val="17"/>
                <w:color w:val="4472C4"/>
              </w:rPr>
              <w:t>Angels Camp, CA</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7,066</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980" w:type="dxa"/>
            <w:vAlign w:val="bottom"/>
            <w:tcBorders>
              <w:left w:val="single" w:sz="8" w:color="auto"/>
            </w:tcBorders>
            <w:gridSpan w:val="3"/>
          </w:tcPr>
          <w:p>
            <w:pPr>
              <w:spacing w:after="0" w:line="20" w:lineRule="exact"/>
              <w:rPr>
                <w:sz w:val="1"/>
                <w:szCs w:val="1"/>
                <w:color w:val="auto"/>
              </w:rPr>
            </w:pPr>
          </w:p>
        </w:tc>
        <w:tc>
          <w:tcPr>
            <w:tcW w:w="1380" w:type="dxa"/>
            <w:vAlign w:val="bottom"/>
            <w:tcBorders>
              <w:top w:val="single" w:sz="8" w:color="4472C4"/>
              <w:bottom w:val="single" w:sz="8" w:color="4472C4"/>
            </w:tcBorders>
            <w:gridSpan w:val="24"/>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80" w:type="dxa"/>
            <w:vAlign w:val="bottom"/>
            <w:tcBorders>
              <w:top w:val="single" w:sz="8" w:color="4472C4"/>
              <w:bottom w:val="single" w:sz="8" w:color="4472C4"/>
            </w:tcBorders>
            <w:gridSpan w:val="22"/>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right w:val="single" w:sz="8" w:color="auto"/>
            </w:tcBorders>
            <w:gridSpan w:val="16"/>
          </w:tcPr>
          <w:p>
            <w:pPr>
              <w:jc w:val="center"/>
              <w:ind w:right="1360"/>
              <w:spacing w:after="0" w:line="161" w:lineRule="exact"/>
              <w:rPr>
                <w:sz w:val="20"/>
                <w:szCs w:val="20"/>
                <w:color w:val="auto"/>
              </w:rPr>
            </w:pPr>
            <w:r>
              <w:rPr>
                <w:rFonts w:ascii="Times New Roman" w:cs="Times New Roman" w:eastAsia="Times New Roman" w:hAnsi="Times New Roman"/>
                <w:sz w:val="17"/>
                <w:szCs w:val="17"/>
                <w:color w:val="4472C4"/>
              </w:rPr>
              <w:t>Walmart</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right w:val="single" w:sz="8" w:color="auto"/>
            </w:tcBorders>
            <w:gridSpan w:val="21"/>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Hempstead, TX</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52,190</w:t>
            </w:r>
          </w:p>
        </w:tc>
        <w:tc>
          <w:tcPr>
            <w:tcW w:w="1420" w:type="dxa"/>
            <w:vAlign w:val="bottom"/>
            <w:tcBorders>
              <w:right w:val="single" w:sz="8" w:color="auto"/>
            </w:tcBorders>
          </w:tcPr>
          <w:p>
            <w:pPr>
              <w:spacing w:after="0"/>
              <w:rPr>
                <w:sz w:val="13"/>
                <w:szCs w:val="13"/>
                <w:color w:val="auto"/>
              </w:rPr>
            </w:pPr>
          </w:p>
        </w:tc>
      </w:tr>
      <w:tr>
        <w:trPr>
          <w:trHeight w:val="20"/>
        </w:trPr>
        <w:tc>
          <w:tcPr>
            <w:tcW w:w="1360" w:type="dxa"/>
            <w:vAlign w:val="bottom"/>
            <w:tcBorders>
              <w:left w:val="single" w:sz="8" w:color="auto"/>
            </w:tcBorders>
            <w:gridSpan w:val="13"/>
          </w:tcPr>
          <w:p>
            <w:pPr>
              <w:spacing w:after="0" w:line="20" w:lineRule="exact"/>
              <w:rPr>
                <w:sz w:val="1"/>
                <w:szCs w:val="1"/>
                <w:color w:val="auto"/>
              </w:rPr>
            </w:pPr>
          </w:p>
        </w:tc>
        <w:tc>
          <w:tcPr>
            <w:tcW w:w="600" w:type="dxa"/>
            <w:vAlign w:val="bottom"/>
            <w:tcBorders>
              <w:top w:val="single" w:sz="8" w:color="4472C4"/>
              <w:bottom w:val="single" w:sz="8" w:color="4472C4"/>
            </w:tcBorders>
            <w:gridSpan w:val="5"/>
          </w:tcPr>
          <w:p>
            <w:pPr>
              <w:spacing w:after="0" w:line="20" w:lineRule="exact"/>
              <w:rPr>
                <w:sz w:val="1"/>
                <w:szCs w:val="1"/>
                <w:color w:val="auto"/>
              </w:rPr>
            </w:pPr>
          </w:p>
        </w:tc>
        <w:tc>
          <w:tcPr>
            <w:tcW w:w="1360" w:type="dxa"/>
            <w:vAlign w:val="bottom"/>
            <w:tcBorders>
              <w:right w:val="single" w:sz="8" w:color="auto"/>
            </w:tcBorders>
            <w:gridSpan w:val="11"/>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100" w:type="dxa"/>
            <w:vAlign w:val="bottom"/>
            <w:tcBorders>
              <w:top w:val="single" w:sz="8" w:color="4472C4"/>
              <w:bottom w:val="single" w:sz="8" w:color="4472C4"/>
            </w:tcBorders>
            <w:gridSpan w:val="17"/>
          </w:tcPr>
          <w:p>
            <w:pPr>
              <w:spacing w:after="0" w:line="20" w:lineRule="exact"/>
              <w:rPr>
                <w:sz w:val="1"/>
                <w:szCs w:val="1"/>
                <w:color w:val="auto"/>
              </w:rPr>
            </w:pPr>
          </w:p>
        </w:tc>
        <w:tc>
          <w:tcPr>
            <w:tcW w:w="1100" w:type="dxa"/>
            <w:vAlign w:val="bottom"/>
            <w:tcBorders>
              <w:right w:val="single" w:sz="8" w:color="auto"/>
            </w:tcBorders>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tcBorders>
              <w:right w:val="single" w:sz="8" w:color="auto"/>
            </w:tcBorders>
            <w:gridSpan w:val="15"/>
          </w:tcPr>
          <w:p>
            <w:pPr>
              <w:jc w:val="center"/>
              <w:ind w:right="1380"/>
              <w:spacing w:after="0" w:line="161" w:lineRule="exact"/>
              <w:rPr>
                <w:sz w:val="20"/>
                <w:szCs w:val="20"/>
                <w:color w:val="auto"/>
              </w:rPr>
            </w:pPr>
            <w:r>
              <w:rPr>
                <w:rFonts w:ascii="Times New Roman" w:cs="Times New Roman" w:eastAsia="Times New Roman" w:hAnsi="Times New Roman"/>
                <w:sz w:val="17"/>
                <w:szCs w:val="17"/>
                <w:color w:val="4472C4"/>
                <w:w w:val="99"/>
              </w:rPr>
              <w:t>Valero</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right w:val="single" w:sz="8" w:color="auto"/>
            </w:tcBorders>
            <w:gridSpan w:val="17"/>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Jackson, MS</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1,920</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440" w:type="dxa"/>
            <w:vAlign w:val="bottom"/>
            <w:tcBorders>
              <w:left w:val="single" w:sz="8" w:color="auto"/>
            </w:tcBorders>
            <w:gridSpan w:val="15"/>
          </w:tcPr>
          <w:p>
            <w:pPr>
              <w:spacing w:after="0" w:line="20" w:lineRule="exact"/>
              <w:rPr>
                <w:sz w:val="1"/>
                <w:szCs w:val="1"/>
                <w:color w:val="auto"/>
              </w:rPr>
            </w:pPr>
          </w:p>
        </w:tc>
        <w:tc>
          <w:tcPr>
            <w:tcW w:w="460" w:type="dxa"/>
            <w:vAlign w:val="bottom"/>
            <w:tcBorders>
              <w:top w:val="single" w:sz="8" w:color="4472C4"/>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13"/>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880" w:type="dxa"/>
            <w:vAlign w:val="bottom"/>
            <w:tcBorders>
              <w:top w:val="single" w:sz="8" w:color="4472C4"/>
              <w:bottom w:val="single" w:sz="8" w:color="4472C4"/>
            </w:tcBorders>
            <w:gridSpan w:val="8"/>
          </w:tcPr>
          <w:p>
            <w:pPr>
              <w:spacing w:after="0" w:line="20" w:lineRule="exact"/>
              <w:rPr>
                <w:sz w:val="1"/>
                <w:szCs w:val="1"/>
                <w:color w:val="auto"/>
              </w:rPr>
            </w:pPr>
          </w:p>
        </w:tc>
        <w:tc>
          <w:tcPr>
            <w:tcW w:w="1220" w:type="dxa"/>
            <w:vAlign w:val="bottom"/>
            <w:tcBorders>
              <w:right w:val="single" w:sz="8" w:color="auto"/>
            </w:tcBorders>
            <w:gridSpan w:val="9"/>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tcBorders>
              <w:right w:val="single" w:sz="8" w:color="auto"/>
            </w:tcBorders>
            <w:gridSpan w:val="15"/>
          </w:tcPr>
          <w:p>
            <w:pPr>
              <w:jc w:val="center"/>
              <w:ind w:right="1380"/>
              <w:spacing w:after="0" w:line="161" w:lineRule="exact"/>
              <w:rPr>
                <w:sz w:val="20"/>
                <w:szCs w:val="20"/>
                <w:color w:val="auto"/>
              </w:rPr>
            </w:pPr>
            <w:r>
              <w:rPr>
                <w:rFonts w:ascii="Times New Roman" w:cs="Times New Roman" w:eastAsia="Times New Roman" w:hAnsi="Times New Roman"/>
                <w:sz w:val="17"/>
                <w:szCs w:val="17"/>
                <w:color w:val="4472C4"/>
                <w:w w:val="99"/>
              </w:rPr>
              <w:t>Valero</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right w:val="single" w:sz="8" w:color="auto"/>
            </w:tcBorders>
            <w:gridSpan w:val="16"/>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Leland, MS</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3,343</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440" w:type="dxa"/>
            <w:vAlign w:val="bottom"/>
            <w:tcBorders>
              <w:left w:val="single" w:sz="8" w:color="auto"/>
            </w:tcBorders>
            <w:gridSpan w:val="15"/>
          </w:tcPr>
          <w:p>
            <w:pPr>
              <w:spacing w:after="0" w:line="20" w:lineRule="exact"/>
              <w:rPr>
                <w:sz w:val="1"/>
                <w:szCs w:val="1"/>
                <w:color w:val="auto"/>
              </w:rPr>
            </w:pPr>
          </w:p>
        </w:tc>
        <w:tc>
          <w:tcPr>
            <w:tcW w:w="460" w:type="dxa"/>
            <w:vAlign w:val="bottom"/>
            <w:tcBorders>
              <w:top w:val="single" w:sz="8" w:color="4472C4"/>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13"/>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820" w:type="dxa"/>
            <w:vAlign w:val="bottom"/>
            <w:tcBorders>
              <w:top w:val="single" w:sz="8" w:color="4472C4"/>
              <w:bottom w:val="single" w:sz="8" w:color="4472C4"/>
            </w:tcBorders>
            <w:gridSpan w:val="5"/>
          </w:tcPr>
          <w:p>
            <w:pPr>
              <w:spacing w:after="0" w:line="20" w:lineRule="exact"/>
              <w:rPr>
                <w:sz w:val="1"/>
                <w:szCs w:val="1"/>
                <w:color w:val="auto"/>
              </w:rPr>
            </w:pPr>
          </w:p>
        </w:tc>
        <w:tc>
          <w:tcPr>
            <w:tcW w:w="1240" w:type="dxa"/>
            <w:vAlign w:val="bottom"/>
            <w:tcBorders>
              <w:right w:val="single" w:sz="8" w:color="auto"/>
            </w:tcBorders>
            <w:gridSpan w:val="1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21"/>
          </w:tcPr>
          <w:p>
            <w:pPr>
              <w:jc w:val="center"/>
              <w:ind w:right="1160"/>
              <w:spacing w:after="0" w:line="161" w:lineRule="exact"/>
              <w:rPr>
                <w:sz w:val="20"/>
                <w:szCs w:val="20"/>
                <w:color w:val="auto"/>
              </w:rPr>
            </w:pPr>
            <w:r>
              <w:rPr>
                <w:rFonts w:ascii="Times New Roman" w:cs="Times New Roman" w:eastAsia="Times New Roman" w:hAnsi="Times New Roman"/>
                <w:sz w:val="17"/>
                <w:szCs w:val="17"/>
                <w:color w:val="4472C4"/>
              </w:rPr>
              <w:t>Hobby Lobby</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19"/>
          </w:tcPr>
          <w:p>
            <w:pPr>
              <w:jc w:val="center"/>
              <w:ind w:right="1160"/>
              <w:spacing w:after="0" w:line="161" w:lineRule="exact"/>
              <w:rPr>
                <w:sz w:val="20"/>
                <w:szCs w:val="20"/>
                <w:color w:val="auto"/>
              </w:rPr>
            </w:pPr>
            <w:r>
              <w:rPr>
                <w:rFonts w:ascii="Times New Roman" w:cs="Times New Roman" w:eastAsia="Times New Roman" w:hAnsi="Times New Roman"/>
                <w:sz w:val="17"/>
                <w:szCs w:val="17"/>
                <w:color w:val="4472C4"/>
              </w:rPr>
              <w:t>Aberdeen, SD</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49,034</w:t>
            </w:r>
          </w:p>
        </w:tc>
        <w:tc>
          <w:tcPr>
            <w:tcW w:w="1420" w:type="dxa"/>
            <w:vAlign w:val="bottom"/>
            <w:tcBorders>
              <w:right w:val="single" w:sz="8" w:color="auto"/>
            </w:tcBorders>
          </w:tcPr>
          <w:p>
            <w:pPr>
              <w:spacing w:after="0"/>
              <w:rPr>
                <w:sz w:val="13"/>
                <w:szCs w:val="13"/>
                <w:color w:val="auto"/>
              </w:rPr>
            </w:pPr>
          </w:p>
        </w:tc>
      </w:tr>
      <w:tr>
        <w:trPr>
          <w:trHeight w:val="20"/>
        </w:trPr>
        <w:tc>
          <w:tcPr>
            <w:tcW w:w="1180" w:type="dxa"/>
            <w:vAlign w:val="bottom"/>
            <w:tcBorders>
              <w:left w:val="single" w:sz="8" w:color="auto"/>
            </w:tcBorders>
            <w:gridSpan w:val="8"/>
          </w:tcPr>
          <w:p>
            <w:pPr>
              <w:spacing w:after="0" w:line="20" w:lineRule="exact"/>
              <w:rPr>
                <w:sz w:val="1"/>
                <w:szCs w:val="1"/>
                <w:color w:val="auto"/>
              </w:rPr>
            </w:pPr>
          </w:p>
        </w:tc>
        <w:tc>
          <w:tcPr>
            <w:tcW w:w="980" w:type="dxa"/>
            <w:vAlign w:val="bottom"/>
            <w:tcBorders>
              <w:top w:val="single" w:sz="8" w:color="4472C4"/>
              <w:bottom w:val="single" w:sz="8" w:color="4472C4"/>
            </w:tcBorders>
            <w:gridSpan w:val="16"/>
          </w:tcPr>
          <w:p>
            <w:pPr>
              <w:spacing w:after="0" w:line="20" w:lineRule="exact"/>
              <w:rPr>
                <w:sz w:val="1"/>
                <w:szCs w:val="1"/>
                <w:color w:val="auto"/>
              </w:rPr>
            </w:pPr>
          </w:p>
        </w:tc>
        <w:tc>
          <w:tcPr>
            <w:tcW w:w="1160" w:type="dxa"/>
            <w:vAlign w:val="bottom"/>
            <w:tcBorders>
              <w:right w:val="single" w:sz="8" w:color="auto"/>
            </w:tcBorders>
            <w:gridSpan w:val="5"/>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980" w:type="dxa"/>
            <w:vAlign w:val="bottom"/>
            <w:tcBorders>
              <w:top w:val="single" w:sz="8" w:color="4472C4"/>
              <w:bottom w:val="single" w:sz="8" w:color="4472C4"/>
            </w:tcBorders>
            <w:gridSpan w:val="12"/>
          </w:tcPr>
          <w:p>
            <w:pPr>
              <w:spacing w:after="0" w:line="20" w:lineRule="exact"/>
              <w:rPr>
                <w:sz w:val="1"/>
                <w:szCs w:val="1"/>
                <w:color w:val="auto"/>
              </w:rPr>
            </w:pPr>
          </w:p>
        </w:tc>
        <w:tc>
          <w:tcPr>
            <w:tcW w:w="1160" w:type="dxa"/>
            <w:vAlign w:val="bottom"/>
            <w:tcBorders>
              <w:right w:val="single" w:sz="8" w:color="auto"/>
            </w:tcBorders>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tcBorders>
              <w:right w:val="single" w:sz="8" w:color="auto"/>
            </w:tcBorders>
            <w:gridSpan w:val="27"/>
          </w:tcPr>
          <w:p>
            <w:pPr>
              <w:jc w:val="center"/>
              <w:ind w:right="960"/>
              <w:spacing w:after="0" w:line="161" w:lineRule="exact"/>
              <w:rPr>
                <w:sz w:val="20"/>
                <w:szCs w:val="20"/>
                <w:color w:val="auto"/>
              </w:rPr>
            </w:pPr>
            <w:r>
              <w:rPr>
                <w:rFonts w:ascii="Times New Roman" w:cs="Times New Roman" w:eastAsia="Times New Roman" w:hAnsi="Times New Roman"/>
                <w:sz w:val="17"/>
                <w:szCs w:val="17"/>
                <w:color w:val="4472C4"/>
              </w:rPr>
              <w:t>Advance Auto Parts</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right w:val="single" w:sz="8" w:color="auto"/>
            </w:tcBorders>
            <w:gridSpan w:val="18"/>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St. Paul, MN</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7,201</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960" w:type="dxa"/>
            <w:vAlign w:val="bottom"/>
            <w:tcBorders>
              <w:left w:val="single" w:sz="8" w:color="auto"/>
            </w:tcBorders>
            <w:gridSpan w:val="2"/>
          </w:tcPr>
          <w:p>
            <w:pPr>
              <w:spacing w:after="0" w:line="20" w:lineRule="exact"/>
              <w:rPr>
                <w:sz w:val="1"/>
                <w:szCs w:val="1"/>
                <w:color w:val="auto"/>
              </w:rPr>
            </w:pPr>
          </w:p>
        </w:tc>
        <w:tc>
          <w:tcPr>
            <w:tcW w:w="1400" w:type="dxa"/>
            <w:vAlign w:val="bottom"/>
            <w:tcBorders>
              <w:top w:val="single" w:sz="8" w:color="4472C4"/>
              <w:bottom w:val="single" w:sz="8" w:color="4472C4"/>
            </w:tcBorders>
            <w:gridSpan w:val="25"/>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900" w:type="dxa"/>
            <w:vAlign w:val="bottom"/>
            <w:tcBorders>
              <w:top w:val="single" w:sz="8" w:color="4472C4"/>
              <w:bottom w:val="single" w:sz="8" w:color="4472C4"/>
            </w:tcBorders>
            <w:gridSpan w:val="9"/>
          </w:tcPr>
          <w:p>
            <w:pPr>
              <w:spacing w:after="0" w:line="20" w:lineRule="exact"/>
              <w:rPr>
                <w:sz w:val="1"/>
                <w:szCs w:val="1"/>
                <w:color w:val="auto"/>
              </w:rPr>
            </w:pPr>
          </w:p>
        </w:tc>
        <w:tc>
          <w:tcPr>
            <w:tcW w:w="1200" w:type="dxa"/>
            <w:vAlign w:val="bottom"/>
            <w:tcBorders>
              <w:right w:val="single" w:sz="8" w:color="auto"/>
            </w:tcBorders>
            <w:gridSpan w:val="8"/>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Borders>
              <w:right w:val="single" w:sz="8" w:color="auto"/>
            </w:tcBorders>
            <w:gridSpan w:val="17"/>
          </w:tcPr>
          <w:p>
            <w:pPr>
              <w:jc w:val="center"/>
              <w:ind w:right="1340"/>
              <w:spacing w:after="0" w:line="161" w:lineRule="exact"/>
              <w:rPr>
                <w:sz w:val="20"/>
                <w:szCs w:val="20"/>
                <w:color w:val="auto"/>
              </w:rPr>
            </w:pPr>
            <w:r>
              <w:rPr>
                <w:rFonts w:ascii="Times New Roman" w:cs="Times New Roman" w:eastAsia="Times New Roman" w:hAnsi="Times New Roman"/>
                <w:sz w:val="17"/>
                <w:szCs w:val="17"/>
                <w:color w:val="4472C4"/>
              </w:rPr>
              <w:t>At Home</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right w:val="single" w:sz="8" w:color="auto"/>
            </w:tcBorders>
            <w:gridSpan w:val="22"/>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Turnersville, NJ</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89,460</w:t>
            </w:r>
          </w:p>
        </w:tc>
        <w:tc>
          <w:tcPr>
            <w:tcW w:w="1420" w:type="dxa"/>
            <w:vAlign w:val="bottom"/>
            <w:tcBorders>
              <w:right w:val="single" w:sz="8" w:color="auto"/>
            </w:tcBorders>
          </w:tcPr>
          <w:p>
            <w:pPr>
              <w:spacing w:after="0"/>
              <w:rPr>
                <w:sz w:val="13"/>
                <w:szCs w:val="13"/>
                <w:color w:val="auto"/>
              </w:rPr>
            </w:pPr>
          </w:p>
        </w:tc>
      </w:tr>
      <w:tr>
        <w:trPr>
          <w:trHeight w:val="20"/>
        </w:trPr>
        <w:tc>
          <w:tcPr>
            <w:tcW w:w="1340" w:type="dxa"/>
            <w:vAlign w:val="bottom"/>
            <w:tcBorders>
              <w:left w:val="single" w:sz="8" w:color="auto"/>
            </w:tcBorders>
            <w:gridSpan w:val="12"/>
          </w:tcPr>
          <w:p>
            <w:pPr>
              <w:spacing w:after="0" w:line="20" w:lineRule="exact"/>
              <w:rPr>
                <w:sz w:val="1"/>
                <w:szCs w:val="1"/>
                <w:color w:val="auto"/>
              </w:rPr>
            </w:pPr>
          </w:p>
        </w:tc>
        <w:tc>
          <w:tcPr>
            <w:tcW w:w="64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320" w:type="dxa"/>
            <w:vAlign w:val="bottom"/>
            <w:tcBorders>
              <w:right w:val="single" w:sz="8" w:color="auto"/>
            </w:tcBorders>
            <w:gridSpan w:val="9"/>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120" w:type="dxa"/>
            <w:vAlign w:val="bottom"/>
            <w:tcBorders>
              <w:top w:val="single" w:sz="8" w:color="4472C4"/>
              <w:bottom w:val="single" w:sz="8" w:color="4472C4"/>
            </w:tcBorders>
            <w:gridSpan w:val="18"/>
          </w:tcPr>
          <w:p>
            <w:pPr>
              <w:spacing w:after="0" w:line="20" w:lineRule="exact"/>
              <w:rPr>
                <w:sz w:val="1"/>
                <w:szCs w:val="1"/>
                <w:color w:val="auto"/>
              </w:rPr>
            </w:pPr>
          </w:p>
        </w:tc>
        <w:tc>
          <w:tcPr>
            <w:tcW w:w="1100" w:type="dxa"/>
            <w:vAlign w:val="bottom"/>
            <w:tcBorders>
              <w:right w:val="single" w:sz="8" w:color="auto"/>
            </w:tcBorders>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right w:val="single" w:sz="8" w:color="auto"/>
            </w:tcBorders>
            <w:gridSpan w:val="23"/>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Boston Market</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right w:val="single" w:sz="8" w:color="auto"/>
            </w:tcBorders>
            <w:gridSpan w:val="22"/>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Turnersville, NJ</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2,627</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140" w:type="dxa"/>
            <w:vAlign w:val="bottom"/>
            <w:tcBorders>
              <w:left w:val="single" w:sz="8" w:color="auto"/>
            </w:tcBorders>
            <w:gridSpan w:val="6"/>
          </w:tcPr>
          <w:p>
            <w:pPr>
              <w:spacing w:after="0" w:line="20" w:lineRule="exact"/>
              <w:rPr>
                <w:sz w:val="1"/>
                <w:szCs w:val="1"/>
                <w:color w:val="auto"/>
              </w:rPr>
            </w:pPr>
          </w:p>
        </w:tc>
        <w:tc>
          <w:tcPr>
            <w:tcW w:w="1040" w:type="dxa"/>
            <w:vAlign w:val="bottom"/>
            <w:tcBorders>
              <w:top w:val="single" w:sz="8" w:color="4472C4"/>
              <w:bottom w:val="single" w:sz="8" w:color="4472C4"/>
            </w:tcBorders>
            <w:gridSpan w:val="19"/>
          </w:tcPr>
          <w:p>
            <w:pPr>
              <w:spacing w:after="0" w:line="20" w:lineRule="exact"/>
              <w:rPr>
                <w:sz w:val="1"/>
                <w:szCs w:val="1"/>
                <w:color w:val="auto"/>
              </w:rPr>
            </w:pPr>
          </w:p>
        </w:tc>
        <w:tc>
          <w:tcPr>
            <w:tcW w:w="1140" w:type="dxa"/>
            <w:vAlign w:val="bottom"/>
            <w:tcBorders>
              <w:right w:val="single" w:sz="8" w:color="auto"/>
            </w:tcBorders>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120" w:type="dxa"/>
            <w:vAlign w:val="bottom"/>
            <w:tcBorders>
              <w:top w:val="single" w:sz="8" w:color="4472C4"/>
              <w:bottom w:val="single" w:sz="8" w:color="4472C4"/>
            </w:tcBorders>
            <w:gridSpan w:val="18"/>
          </w:tcPr>
          <w:p>
            <w:pPr>
              <w:spacing w:after="0" w:line="20" w:lineRule="exact"/>
              <w:rPr>
                <w:sz w:val="1"/>
                <w:szCs w:val="1"/>
                <w:color w:val="auto"/>
              </w:rPr>
            </w:pPr>
          </w:p>
        </w:tc>
        <w:tc>
          <w:tcPr>
            <w:tcW w:w="1100" w:type="dxa"/>
            <w:vAlign w:val="bottom"/>
            <w:tcBorders>
              <w:right w:val="single" w:sz="8" w:color="auto"/>
            </w:tcBorders>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tcBorders>
              <w:right w:val="single" w:sz="8" w:color="auto"/>
            </w:tcBorders>
            <w:gridSpan w:val="15"/>
          </w:tcPr>
          <w:p>
            <w:pPr>
              <w:jc w:val="center"/>
              <w:ind w:right="1380"/>
              <w:spacing w:after="0" w:line="161" w:lineRule="exact"/>
              <w:rPr>
                <w:sz w:val="20"/>
                <w:szCs w:val="20"/>
                <w:color w:val="auto"/>
              </w:rPr>
            </w:pPr>
            <w:r>
              <w:rPr>
                <w:rFonts w:ascii="Times New Roman" w:cs="Times New Roman" w:eastAsia="Times New Roman" w:hAnsi="Times New Roman"/>
                <w:sz w:val="17"/>
                <w:szCs w:val="17"/>
                <w:color w:val="4472C4"/>
                <w:w w:val="98"/>
              </w:rPr>
              <w:t>Verizon</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right w:val="single" w:sz="8" w:color="auto"/>
            </w:tcBorders>
            <w:gridSpan w:val="22"/>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Turnersville, NJ</w:t>
            </w:r>
          </w:p>
        </w:tc>
        <w:tc>
          <w:tcPr>
            <w:tcW w:w="1880" w:type="dxa"/>
            <w:vAlign w:val="bottom"/>
            <w:gridSpan w:val="5"/>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6,027</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400" w:type="dxa"/>
            <w:vAlign w:val="bottom"/>
            <w:tcBorders>
              <w:left w:val="single" w:sz="8" w:color="auto"/>
            </w:tcBorders>
            <w:gridSpan w:val="14"/>
          </w:tcPr>
          <w:p>
            <w:pPr>
              <w:spacing w:after="0" w:line="20" w:lineRule="exact"/>
              <w:rPr>
                <w:sz w:val="1"/>
                <w:szCs w:val="1"/>
                <w:color w:val="auto"/>
              </w:rPr>
            </w:pPr>
          </w:p>
        </w:tc>
        <w:tc>
          <w:tcPr>
            <w:tcW w:w="540" w:type="dxa"/>
            <w:vAlign w:val="bottom"/>
            <w:tcBorders>
              <w:top w:val="single" w:sz="8" w:color="4472C4"/>
              <w:bottom w:val="single" w:sz="8" w:color="4472C4"/>
            </w:tcBorders>
            <w:gridSpan w:val="3"/>
          </w:tcPr>
          <w:p>
            <w:pPr>
              <w:spacing w:after="0" w:line="20" w:lineRule="exact"/>
              <w:rPr>
                <w:sz w:val="1"/>
                <w:szCs w:val="1"/>
                <w:color w:val="auto"/>
              </w:rPr>
            </w:pPr>
          </w:p>
        </w:tc>
        <w:tc>
          <w:tcPr>
            <w:tcW w:w="1380" w:type="dxa"/>
            <w:vAlign w:val="bottom"/>
            <w:tcBorders>
              <w:right w:val="single" w:sz="8" w:color="auto"/>
            </w:tcBorders>
            <w:gridSpan w:val="1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120" w:type="dxa"/>
            <w:vAlign w:val="bottom"/>
            <w:tcBorders>
              <w:top w:val="single" w:sz="8" w:color="4472C4"/>
              <w:bottom w:val="single" w:sz="8" w:color="4472C4"/>
            </w:tcBorders>
            <w:gridSpan w:val="18"/>
          </w:tcPr>
          <w:p>
            <w:pPr>
              <w:spacing w:after="0" w:line="20" w:lineRule="exact"/>
              <w:rPr>
                <w:sz w:val="1"/>
                <w:szCs w:val="1"/>
                <w:color w:val="auto"/>
              </w:rPr>
            </w:pPr>
          </w:p>
        </w:tc>
        <w:tc>
          <w:tcPr>
            <w:tcW w:w="1100" w:type="dxa"/>
            <w:vAlign w:val="bottom"/>
            <w:tcBorders>
              <w:right w:val="single" w:sz="8" w:color="auto"/>
            </w:tcBorders>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right w:val="single" w:sz="8" w:color="auto"/>
            </w:tcBorders>
            <w:gridSpan w:val="20"/>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Office Depot</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tcBorders>
              <w:right w:val="single" w:sz="8" w:color="auto"/>
            </w:tcBorders>
            <w:gridSpan w:val="24"/>
          </w:tcPr>
          <w:p>
            <w:pPr>
              <w:jc w:val="center"/>
              <w:ind w:right="1020"/>
              <w:spacing w:after="0" w:line="161" w:lineRule="exact"/>
              <w:rPr>
                <w:sz w:val="20"/>
                <w:szCs w:val="20"/>
                <w:color w:val="auto"/>
              </w:rPr>
            </w:pPr>
            <w:r>
              <w:rPr>
                <w:rFonts w:ascii="Times New Roman" w:cs="Times New Roman" w:eastAsia="Times New Roman" w:hAnsi="Times New Roman"/>
                <w:sz w:val="17"/>
                <w:szCs w:val="17"/>
                <w:color w:val="4472C4"/>
              </w:rPr>
              <w:t>Albuquerque, NM</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30,346</w:t>
            </w:r>
          </w:p>
        </w:tc>
        <w:tc>
          <w:tcPr>
            <w:tcW w:w="1420" w:type="dxa"/>
            <w:vAlign w:val="bottom"/>
            <w:tcBorders>
              <w:right w:val="single" w:sz="8" w:color="auto"/>
            </w:tcBorders>
          </w:tcPr>
          <w:p>
            <w:pPr>
              <w:spacing w:after="0"/>
              <w:rPr>
                <w:sz w:val="13"/>
                <w:szCs w:val="13"/>
                <w:color w:val="auto"/>
              </w:rPr>
            </w:pPr>
          </w:p>
        </w:tc>
      </w:tr>
      <w:tr>
        <w:trPr>
          <w:trHeight w:val="20"/>
        </w:trPr>
        <w:tc>
          <w:tcPr>
            <w:tcW w:w="1200" w:type="dxa"/>
            <w:vAlign w:val="bottom"/>
            <w:tcBorders>
              <w:left w:val="single" w:sz="8" w:color="auto"/>
            </w:tcBorders>
            <w:gridSpan w:val="9"/>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900" w:type="dxa"/>
            <w:vAlign w:val="bottom"/>
            <w:tcBorders>
              <w:top w:val="single" w:sz="8" w:color="4472C4"/>
              <w:bottom w:val="single" w:sz="8" w:color="4472C4"/>
            </w:tcBorders>
            <w:gridSpan w:val="13"/>
          </w:tcPr>
          <w:p>
            <w:pPr>
              <w:spacing w:after="0" w:line="20" w:lineRule="exact"/>
              <w:rPr>
                <w:sz w:val="1"/>
                <w:szCs w:val="1"/>
                <w:color w:val="auto"/>
              </w:rPr>
            </w:pPr>
          </w:p>
        </w:tc>
        <w:tc>
          <w:tcPr>
            <w:tcW w:w="1200" w:type="dxa"/>
            <w:vAlign w:val="bottom"/>
            <w:tcBorders>
              <w:right w:val="single" w:sz="8" w:color="auto"/>
            </w:tcBorders>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80" w:type="dxa"/>
            <w:vAlign w:val="bottom"/>
            <w:tcBorders>
              <w:top w:val="single" w:sz="8" w:color="4472C4"/>
              <w:bottom w:val="single" w:sz="8" w:color="4472C4"/>
            </w:tcBorders>
            <w:gridSpan w:val="22"/>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right w:val="single" w:sz="8" w:color="auto"/>
            </w:tcBorders>
            <w:gridSpan w:val="18"/>
          </w:tcPr>
          <w:p>
            <w:pPr>
              <w:jc w:val="center"/>
              <w:ind w:right="1260"/>
              <w:spacing w:after="0" w:line="161" w:lineRule="exact"/>
              <w:rPr>
                <w:sz w:val="20"/>
                <w:szCs w:val="20"/>
                <w:color w:val="auto"/>
              </w:rPr>
            </w:pPr>
            <w:r>
              <w:rPr>
                <w:rFonts w:ascii="Times New Roman" w:cs="Times New Roman" w:eastAsia="Times New Roman" w:hAnsi="Times New Roman"/>
                <w:sz w:val="17"/>
                <w:szCs w:val="17"/>
                <w:color w:val="4472C4"/>
              </w:rPr>
              <w:t>Dollar Tree</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tcBorders>
              <w:right w:val="single" w:sz="8" w:color="auto"/>
            </w:tcBorders>
            <w:gridSpan w:val="24"/>
          </w:tcPr>
          <w:p>
            <w:pPr>
              <w:jc w:val="center"/>
              <w:ind w:right="1020"/>
              <w:spacing w:after="0" w:line="161" w:lineRule="exact"/>
              <w:rPr>
                <w:sz w:val="20"/>
                <w:szCs w:val="20"/>
                <w:color w:val="auto"/>
              </w:rPr>
            </w:pPr>
            <w:r>
              <w:rPr>
                <w:rFonts w:ascii="Times New Roman" w:cs="Times New Roman" w:eastAsia="Times New Roman" w:hAnsi="Times New Roman"/>
                <w:sz w:val="17"/>
                <w:szCs w:val="17"/>
                <w:color w:val="4472C4"/>
              </w:rPr>
              <w:t>Albuquerque, NM</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10,023</w:t>
            </w:r>
          </w:p>
        </w:tc>
        <w:tc>
          <w:tcPr>
            <w:tcW w:w="1420" w:type="dxa"/>
            <w:vAlign w:val="bottom"/>
            <w:tcBorders>
              <w:right w:val="single" w:sz="8" w:color="auto"/>
            </w:tcBorders>
          </w:tcPr>
          <w:p>
            <w:pPr>
              <w:spacing w:after="0"/>
              <w:rPr>
                <w:sz w:val="13"/>
                <w:szCs w:val="13"/>
                <w:color w:val="auto"/>
              </w:rPr>
            </w:pPr>
          </w:p>
        </w:tc>
      </w:tr>
      <w:tr>
        <w:trPr>
          <w:trHeight w:val="20"/>
        </w:trPr>
        <w:tc>
          <w:tcPr>
            <w:tcW w:w="1260" w:type="dxa"/>
            <w:vAlign w:val="bottom"/>
            <w:tcBorders>
              <w:left w:val="single" w:sz="8" w:color="auto"/>
            </w:tcBorders>
            <w:gridSpan w:val="11"/>
          </w:tcPr>
          <w:p>
            <w:pPr>
              <w:spacing w:after="0" w:line="20" w:lineRule="exact"/>
              <w:rPr>
                <w:sz w:val="1"/>
                <w:szCs w:val="1"/>
                <w:color w:val="auto"/>
              </w:rPr>
            </w:pPr>
          </w:p>
        </w:tc>
        <w:tc>
          <w:tcPr>
            <w:tcW w:w="800" w:type="dxa"/>
            <w:vAlign w:val="bottom"/>
            <w:tcBorders>
              <w:top w:val="single" w:sz="8" w:color="4472C4"/>
              <w:bottom w:val="single" w:sz="8" w:color="4472C4"/>
            </w:tcBorders>
            <w:gridSpan w:val="10"/>
          </w:tcPr>
          <w:p>
            <w:pPr>
              <w:spacing w:after="0" w:line="20" w:lineRule="exact"/>
              <w:rPr>
                <w:sz w:val="1"/>
                <w:szCs w:val="1"/>
                <w:color w:val="auto"/>
              </w:rPr>
            </w:pPr>
          </w:p>
        </w:tc>
        <w:tc>
          <w:tcPr>
            <w:tcW w:w="1260" w:type="dxa"/>
            <w:vAlign w:val="bottom"/>
            <w:tcBorders>
              <w:right w:val="single" w:sz="8" w:color="auto"/>
            </w:tcBorders>
            <w:gridSpan w:val="8"/>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80" w:type="dxa"/>
            <w:vAlign w:val="bottom"/>
            <w:tcBorders>
              <w:top w:val="single" w:sz="8" w:color="4472C4"/>
              <w:bottom w:val="single" w:sz="8" w:color="4472C4"/>
            </w:tcBorders>
            <w:gridSpan w:val="22"/>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6"/>
          </w:tcPr>
          <w:p>
            <w:pPr>
              <w:spacing w:after="0" w:line="20" w:lineRule="exact"/>
              <w:rPr>
                <w:sz w:val="1"/>
                <w:szCs w:val="1"/>
                <w:color w:val="auto"/>
              </w:rPr>
            </w:pPr>
          </w:p>
        </w:tc>
        <w:tc>
          <w:tcPr>
            <w:tcW w:w="3320" w:type="dxa"/>
            <w:vAlign w:val="bottom"/>
            <w:tcBorders>
              <w:bottom w:val="single" w:sz="8" w:color="auto"/>
              <w:right w:val="single" w:sz="8" w:color="auto"/>
            </w:tcBorders>
            <w:gridSpan w:val="7"/>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72" w:right="979" w:bottom="1440" w:gutter="0" w:footer="0" w:header="0"/>
        </w:sectPr>
      </w:pPr>
    </w:p>
    <w:bookmarkStart w:id="216" w:name="page217"/>
    <w:bookmarkEnd w:id="216"/>
    <w:tbl>
      <w:tblPr>
        <w:tblLayout w:type="fixed"/>
        <w:tblInd w:w="10" w:type="dxa"/>
        <w:tblCellMar>
          <w:top w:w="0" w:type="dxa"/>
          <w:left w:w="0" w:type="dxa"/>
          <w:bottom w:w="0" w:type="dxa"/>
          <w:right w:w="0" w:type="dxa"/>
        </w:tblCellMar>
      </w:tblPr>
      <w:tr>
        <w:trPr>
          <w:trHeight w:val="196"/>
        </w:trPr>
        <w:tc>
          <w:tcPr>
            <w:tcW w:w="700" w:type="dxa"/>
            <w:vAlign w:val="bottom"/>
            <w:tcBorders>
              <w:top w:val="single" w:sz="8" w:color="auto"/>
              <w:lef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980" w:type="dxa"/>
            <w:vAlign w:val="bottom"/>
            <w:tcBorders>
              <w:top w:val="single" w:sz="8" w:color="auto"/>
              <w:right w:val="single" w:sz="8" w:color="auto"/>
            </w:tcBorders>
            <w:gridSpan w:val="18"/>
          </w:tcPr>
          <w:p>
            <w:pPr>
              <w:jc w:val="center"/>
              <w:ind w:right="1320"/>
              <w:spacing w:after="0"/>
              <w:rPr>
                <w:sz w:val="20"/>
                <w:szCs w:val="20"/>
                <w:color w:val="auto"/>
              </w:rPr>
            </w:pPr>
            <w:r>
              <w:rPr>
                <w:rFonts w:ascii="Times New Roman" w:cs="Times New Roman" w:eastAsia="Times New Roman" w:hAnsi="Times New Roman"/>
                <w:sz w:val="17"/>
                <w:szCs w:val="17"/>
                <w:color w:val="4472C4"/>
              </w:rPr>
              <w:t>7-Eleven</w:t>
            </w: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40" w:type="dxa"/>
            <w:vAlign w:val="bottom"/>
            <w:tcBorders>
              <w:top w:val="single" w:sz="8" w:color="auto"/>
              <w:right w:val="single" w:sz="8" w:color="auto"/>
            </w:tcBorders>
            <w:gridSpan w:val="16"/>
          </w:tcPr>
          <w:p>
            <w:pPr>
              <w:jc w:val="center"/>
              <w:ind w:right="1260"/>
              <w:spacing w:after="0"/>
              <w:rPr>
                <w:sz w:val="20"/>
                <w:szCs w:val="20"/>
                <w:color w:val="auto"/>
              </w:rPr>
            </w:pPr>
            <w:r>
              <w:rPr>
                <w:rFonts w:ascii="Times New Roman" w:cs="Times New Roman" w:eastAsia="Times New Roman" w:hAnsi="Times New Roman"/>
                <w:sz w:val="17"/>
                <w:szCs w:val="17"/>
                <w:color w:val="4472C4"/>
              </w:rPr>
              <w:t>Olathe, KS</w:t>
            </w:r>
          </w:p>
        </w:tc>
        <w:tc>
          <w:tcPr>
            <w:tcW w:w="1880" w:type="dxa"/>
            <w:vAlign w:val="bottom"/>
            <w:tcBorders>
              <w:top w:val="single" w:sz="8" w:color="auto"/>
            </w:tcBorders>
            <w:gridSpan w:val="7"/>
          </w:tcPr>
          <w:p>
            <w:pPr>
              <w:jc w:val="center"/>
              <w:ind w:left="1333"/>
              <w:spacing w:after="0"/>
              <w:rPr>
                <w:sz w:val="20"/>
                <w:szCs w:val="20"/>
                <w:color w:val="auto"/>
              </w:rPr>
            </w:pPr>
            <w:r>
              <w:rPr>
                <w:rFonts w:ascii="Times New Roman" w:cs="Times New Roman" w:eastAsia="Times New Roman" w:hAnsi="Times New Roman"/>
                <w:sz w:val="17"/>
                <w:szCs w:val="17"/>
                <w:color w:val="4472C4"/>
                <w:w w:val="99"/>
              </w:rPr>
              <w:t>4,165</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r>
      <w:tr>
        <w:trPr>
          <w:trHeight w:val="20"/>
        </w:trPr>
        <w:tc>
          <w:tcPr>
            <w:tcW w:w="1360" w:type="dxa"/>
            <w:vAlign w:val="bottom"/>
            <w:tcBorders>
              <w:left w:val="single" w:sz="8" w:color="auto"/>
            </w:tcBorders>
            <w:gridSpan w:val="12"/>
          </w:tcPr>
          <w:p>
            <w:pPr>
              <w:spacing w:after="0" w:line="20" w:lineRule="exact"/>
              <w:rPr>
                <w:sz w:val="1"/>
                <w:szCs w:val="1"/>
                <w:color w:val="auto"/>
              </w:rPr>
            </w:pPr>
          </w:p>
        </w:tc>
        <w:tc>
          <w:tcPr>
            <w:tcW w:w="620" w:type="dxa"/>
            <w:vAlign w:val="bottom"/>
            <w:tcBorders>
              <w:top w:val="single" w:sz="8" w:color="4472C4"/>
              <w:bottom w:val="single" w:sz="8" w:color="4472C4"/>
            </w:tcBorders>
            <w:gridSpan w:val="3"/>
          </w:tcPr>
          <w:p>
            <w:pPr>
              <w:spacing w:after="0" w:line="20" w:lineRule="exact"/>
              <w:rPr>
                <w:sz w:val="1"/>
                <w:szCs w:val="1"/>
                <w:color w:val="auto"/>
              </w:rPr>
            </w:pPr>
          </w:p>
        </w:tc>
        <w:tc>
          <w:tcPr>
            <w:tcW w:w="1340" w:type="dxa"/>
            <w:vAlign w:val="bottom"/>
            <w:tcBorders>
              <w:right w:val="single" w:sz="8" w:color="auto"/>
            </w:tcBorders>
            <w:gridSpan w:val="14"/>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780" w:type="dxa"/>
            <w:vAlign w:val="bottom"/>
            <w:tcBorders>
              <w:top w:val="single" w:sz="8" w:color="4472C4"/>
              <w:bottom w:val="single" w:sz="8" w:color="4472C4"/>
            </w:tcBorders>
            <w:gridSpan w:val="4"/>
          </w:tcPr>
          <w:p>
            <w:pPr>
              <w:spacing w:after="0" w:line="20" w:lineRule="exact"/>
              <w:rPr>
                <w:sz w:val="1"/>
                <w:szCs w:val="1"/>
                <w:color w:val="auto"/>
              </w:rPr>
            </w:pPr>
          </w:p>
        </w:tc>
        <w:tc>
          <w:tcPr>
            <w:tcW w:w="1260" w:type="dxa"/>
            <w:vAlign w:val="bottom"/>
            <w:tcBorders>
              <w:right w:val="single" w:sz="8" w:color="auto"/>
            </w:tcBorders>
            <w:gridSpan w:val="1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3"/>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20" w:type="dxa"/>
            <w:vAlign w:val="bottom"/>
            <w:tcBorders>
              <w:right w:val="single" w:sz="8" w:color="auto"/>
            </w:tcBorders>
            <w:gridSpan w:val="24"/>
          </w:tcPr>
          <w:p>
            <w:pPr>
              <w:jc w:val="center"/>
              <w:ind w:right="1000"/>
              <w:spacing w:after="0" w:line="161" w:lineRule="exact"/>
              <w:rPr>
                <w:sz w:val="20"/>
                <w:szCs w:val="20"/>
                <w:color w:val="auto"/>
              </w:rPr>
            </w:pPr>
            <w:r>
              <w:rPr>
                <w:rFonts w:ascii="Times New Roman" w:cs="Times New Roman" w:eastAsia="Times New Roman" w:hAnsi="Times New Roman"/>
                <w:sz w:val="17"/>
                <w:szCs w:val="17"/>
                <w:color w:val="4472C4"/>
              </w:rPr>
              <w:t>Academy Sports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19"/>
          </w:tcPr>
          <w:p>
            <w:pPr>
              <w:jc w:val="center"/>
              <w:ind w:right="1160"/>
              <w:spacing w:after="0" w:line="161" w:lineRule="exact"/>
              <w:rPr>
                <w:sz w:val="20"/>
                <w:szCs w:val="20"/>
                <w:color w:val="auto"/>
              </w:rPr>
            </w:pPr>
            <w:r>
              <w:rPr>
                <w:rFonts w:ascii="Times New Roman" w:cs="Times New Roman" w:eastAsia="Times New Roman" w:hAnsi="Times New Roman"/>
                <w:sz w:val="17"/>
                <w:szCs w:val="17"/>
                <w:color w:val="4472C4"/>
              </w:rPr>
              <w:t>Columbia, SC</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72,000</w:t>
            </w: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080" w:type="dxa"/>
            <w:vAlign w:val="bottom"/>
            <w:tcBorders>
              <w:left w:val="single" w:sz="8" w:color="auto"/>
            </w:tcBorders>
            <w:gridSpan w:val="6"/>
          </w:tcPr>
          <w:p>
            <w:pPr>
              <w:spacing w:after="0" w:line="20" w:lineRule="exact"/>
              <w:rPr>
                <w:sz w:val="1"/>
                <w:szCs w:val="1"/>
                <w:color w:val="auto"/>
              </w:rPr>
            </w:pPr>
          </w:p>
        </w:tc>
        <w:tc>
          <w:tcPr>
            <w:tcW w:w="1160" w:type="dxa"/>
            <w:vAlign w:val="bottom"/>
            <w:tcBorders>
              <w:top w:val="single" w:sz="8" w:color="4472C4"/>
              <w:bottom w:val="single" w:sz="8" w:color="4472C4"/>
            </w:tcBorders>
            <w:gridSpan w:val="15"/>
          </w:tcPr>
          <w:p>
            <w:pPr>
              <w:spacing w:after="0" w:line="20" w:lineRule="exact"/>
              <w:rPr>
                <w:sz w:val="1"/>
                <w:szCs w:val="1"/>
                <w:color w:val="auto"/>
              </w:rPr>
            </w:pPr>
          </w:p>
        </w:tc>
        <w:tc>
          <w:tcPr>
            <w:tcW w:w="1080" w:type="dxa"/>
            <w:vAlign w:val="bottom"/>
            <w:tcBorders>
              <w:right w:val="single" w:sz="8" w:color="auto"/>
            </w:tcBorders>
            <w:gridSpan w:val="8"/>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980" w:type="dxa"/>
            <w:vAlign w:val="bottom"/>
            <w:tcBorders>
              <w:top w:val="single" w:sz="8" w:color="4472C4"/>
              <w:bottom w:val="single" w:sz="8" w:color="4472C4"/>
            </w:tcBorders>
            <w:gridSpan w:val="11"/>
          </w:tcPr>
          <w:p>
            <w:pPr>
              <w:spacing w:after="0" w:line="20" w:lineRule="exact"/>
              <w:rPr>
                <w:sz w:val="1"/>
                <w:szCs w:val="1"/>
                <w:color w:val="auto"/>
              </w:rPr>
            </w:pPr>
          </w:p>
        </w:tc>
        <w:tc>
          <w:tcPr>
            <w:tcW w:w="1160" w:type="dxa"/>
            <w:vAlign w:val="bottom"/>
            <w:tcBorders>
              <w:right w:val="single" w:sz="8" w:color="auto"/>
            </w:tcBorders>
            <w:gridSpan w:val="8"/>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20" w:type="dxa"/>
            <w:vAlign w:val="bottom"/>
            <w:tcBorders>
              <w:right w:val="single" w:sz="8" w:color="auto"/>
            </w:tcBorders>
            <w:gridSpan w:val="24"/>
          </w:tcPr>
          <w:p>
            <w:pPr>
              <w:jc w:val="center"/>
              <w:ind w:right="1000"/>
              <w:spacing w:after="0" w:line="161" w:lineRule="exact"/>
              <w:rPr>
                <w:sz w:val="20"/>
                <w:szCs w:val="20"/>
                <w:color w:val="auto"/>
              </w:rPr>
            </w:pPr>
            <w:r>
              <w:rPr>
                <w:rFonts w:ascii="Times New Roman" w:cs="Times New Roman" w:eastAsia="Times New Roman" w:hAnsi="Times New Roman"/>
                <w:sz w:val="17"/>
                <w:szCs w:val="17"/>
                <w:color w:val="4472C4"/>
              </w:rPr>
              <w:t>Academy Sports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right w:val="single" w:sz="8" w:color="auto"/>
            </w:tcBorders>
            <w:gridSpan w:val="21"/>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Snellville, GA</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67,247</w:t>
            </w: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080" w:type="dxa"/>
            <w:vAlign w:val="bottom"/>
            <w:tcBorders>
              <w:left w:val="single" w:sz="8" w:color="auto"/>
            </w:tcBorders>
            <w:gridSpan w:val="6"/>
          </w:tcPr>
          <w:p>
            <w:pPr>
              <w:spacing w:after="0" w:line="20" w:lineRule="exact"/>
              <w:rPr>
                <w:sz w:val="1"/>
                <w:szCs w:val="1"/>
                <w:color w:val="auto"/>
              </w:rPr>
            </w:pPr>
          </w:p>
        </w:tc>
        <w:tc>
          <w:tcPr>
            <w:tcW w:w="1160" w:type="dxa"/>
            <w:vAlign w:val="bottom"/>
            <w:tcBorders>
              <w:top w:val="single" w:sz="8" w:color="4472C4"/>
              <w:bottom w:val="single" w:sz="8" w:color="4472C4"/>
            </w:tcBorders>
            <w:gridSpan w:val="15"/>
          </w:tcPr>
          <w:p>
            <w:pPr>
              <w:spacing w:after="0" w:line="20" w:lineRule="exact"/>
              <w:rPr>
                <w:sz w:val="1"/>
                <w:szCs w:val="1"/>
                <w:color w:val="auto"/>
              </w:rPr>
            </w:pPr>
          </w:p>
        </w:tc>
        <w:tc>
          <w:tcPr>
            <w:tcW w:w="1080" w:type="dxa"/>
            <w:vAlign w:val="bottom"/>
            <w:tcBorders>
              <w:right w:val="single" w:sz="8" w:color="auto"/>
            </w:tcBorders>
            <w:gridSpan w:val="8"/>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000" w:type="dxa"/>
            <w:vAlign w:val="bottom"/>
            <w:tcBorders>
              <w:top w:val="single" w:sz="8" w:color="4472C4"/>
              <w:bottom w:val="single" w:sz="8" w:color="4472C4"/>
            </w:tcBorders>
            <w:gridSpan w:val="12"/>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140" w:type="dxa"/>
            <w:vAlign w:val="bottom"/>
            <w:tcBorders>
              <w:right w:val="single" w:sz="8" w:color="auto"/>
            </w:tcBorders>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20" w:type="dxa"/>
            <w:vAlign w:val="bottom"/>
            <w:tcBorders>
              <w:right w:val="single" w:sz="8" w:color="auto"/>
            </w:tcBorders>
            <w:gridSpan w:val="24"/>
          </w:tcPr>
          <w:p>
            <w:pPr>
              <w:jc w:val="center"/>
              <w:ind w:right="1000"/>
              <w:spacing w:after="0" w:line="161" w:lineRule="exact"/>
              <w:rPr>
                <w:sz w:val="20"/>
                <w:szCs w:val="20"/>
                <w:color w:val="auto"/>
              </w:rPr>
            </w:pPr>
            <w:r>
              <w:rPr>
                <w:rFonts w:ascii="Times New Roman" w:cs="Times New Roman" w:eastAsia="Times New Roman" w:hAnsi="Times New Roman"/>
                <w:sz w:val="17"/>
                <w:szCs w:val="17"/>
                <w:color w:val="4472C4"/>
              </w:rPr>
              <w:t>Ashley HomeStore</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right w:val="single" w:sz="8" w:color="auto"/>
            </w:tcBorders>
            <w:gridSpan w:val="17"/>
          </w:tcPr>
          <w:p>
            <w:pPr>
              <w:jc w:val="center"/>
              <w:ind w:right="1240"/>
              <w:spacing w:after="0" w:line="161" w:lineRule="exact"/>
              <w:rPr>
                <w:sz w:val="20"/>
                <w:szCs w:val="20"/>
                <w:color w:val="auto"/>
              </w:rPr>
            </w:pPr>
            <w:r>
              <w:rPr>
                <w:rFonts w:ascii="Times New Roman" w:cs="Times New Roman" w:eastAsia="Times New Roman" w:hAnsi="Times New Roman"/>
                <w:sz w:val="17"/>
                <w:szCs w:val="17"/>
                <w:color w:val="4472C4"/>
              </w:rPr>
              <w:t>Dayton, OH</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33,310</w:t>
            </w: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000" w:type="dxa"/>
            <w:vAlign w:val="bottom"/>
            <w:tcBorders>
              <w:left w:val="single" w:sz="8" w:color="auto"/>
            </w:tcBorders>
            <w:gridSpan w:val="5"/>
          </w:tcPr>
          <w:p>
            <w:pPr>
              <w:spacing w:after="0" w:line="20" w:lineRule="exact"/>
              <w:rPr>
                <w:sz w:val="1"/>
                <w:szCs w:val="1"/>
                <w:color w:val="auto"/>
              </w:rPr>
            </w:pPr>
          </w:p>
        </w:tc>
        <w:tc>
          <w:tcPr>
            <w:tcW w:w="1320" w:type="dxa"/>
            <w:vAlign w:val="bottom"/>
            <w:tcBorders>
              <w:top w:val="single" w:sz="8" w:color="4472C4"/>
              <w:bottom w:val="single" w:sz="8" w:color="4472C4"/>
            </w:tcBorders>
            <w:gridSpan w:val="1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980" w:type="dxa"/>
            <w:vAlign w:val="bottom"/>
            <w:tcBorders>
              <w:right w:val="single" w:sz="8" w:color="auto"/>
            </w:tcBorders>
            <w:gridSpan w:val="6"/>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840" w:type="dxa"/>
            <w:vAlign w:val="bottom"/>
            <w:tcBorders>
              <w:top w:val="single" w:sz="8" w:color="4472C4"/>
              <w:bottom w:val="single" w:sz="8" w:color="4472C4"/>
            </w:tcBorders>
            <w:gridSpan w:val="6"/>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220" w:type="dxa"/>
            <w:vAlign w:val="bottom"/>
            <w:tcBorders>
              <w:right w:val="single" w:sz="8" w:color="auto"/>
            </w:tcBorders>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Borders>
              <w:right w:val="single" w:sz="8" w:color="auto"/>
            </w:tcBorders>
            <w:gridSpan w:val="19"/>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rPr>
              <w:t>AutoZone</w:t>
            </w:r>
          </w:p>
        </w:tc>
        <w:tc>
          <w:tcPr>
            <w:tcW w:w="940" w:type="dxa"/>
            <w:vAlign w:val="bottom"/>
          </w:tcPr>
          <w:p>
            <w:pPr>
              <w:spacing w:after="0"/>
              <w:rPr>
                <w:sz w:val="13"/>
                <w:szCs w:val="13"/>
                <w:color w:val="auto"/>
              </w:rPr>
            </w:pPr>
          </w:p>
        </w:tc>
        <w:tc>
          <w:tcPr>
            <w:tcW w:w="2360" w:type="dxa"/>
            <w:vAlign w:val="bottom"/>
            <w:tcBorders>
              <w:right w:val="single" w:sz="8" w:color="auto"/>
            </w:tcBorders>
            <w:gridSpan w:val="27"/>
          </w:tcPr>
          <w:p>
            <w:pPr>
              <w:jc w:val="center"/>
              <w:ind w:right="960"/>
              <w:spacing w:after="0" w:line="161" w:lineRule="exact"/>
              <w:rPr>
                <w:sz w:val="20"/>
                <w:szCs w:val="20"/>
                <w:color w:val="auto"/>
              </w:rPr>
            </w:pPr>
            <w:r>
              <w:rPr>
                <w:rFonts w:ascii="Times New Roman" w:cs="Times New Roman" w:eastAsia="Times New Roman" w:hAnsi="Times New Roman"/>
                <w:sz w:val="17"/>
                <w:szCs w:val="17"/>
                <w:color w:val="4472C4"/>
              </w:rPr>
              <w:t>Winston-Salem, NC</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8,008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320" w:type="dxa"/>
            <w:vAlign w:val="bottom"/>
            <w:tcBorders>
              <w:left w:val="single" w:sz="8" w:color="auto"/>
            </w:tcBorders>
            <w:gridSpan w:val="10"/>
          </w:tcPr>
          <w:p>
            <w:pPr>
              <w:spacing w:after="0" w:line="20" w:lineRule="exact"/>
              <w:rPr>
                <w:sz w:val="1"/>
                <w:szCs w:val="1"/>
                <w:color w:val="auto"/>
              </w:rPr>
            </w:pPr>
          </w:p>
        </w:tc>
        <w:tc>
          <w:tcPr>
            <w:tcW w:w="700" w:type="dxa"/>
            <w:vAlign w:val="bottom"/>
            <w:tcBorders>
              <w:top w:val="single" w:sz="8" w:color="4472C4"/>
              <w:bottom w:val="single" w:sz="8" w:color="4472C4"/>
            </w:tcBorders>
            <w:gridSpan w:val="7"/>
          </w:tcPr>
          <w:p>
            <w:pPr>
              <w:spacing w:after="0" w:line="20" w:lineRule="exact"/>
              <w:rPr>
                <w:sz w:val="1"/>
                <w:szCs w:val="1"/>
                <w:color w:val="auto"/>
              </w:rPr>
            </w:pPr>
          </w:p>
        </w:tc>
        <w:tc>
          <w:tcPr>
            <w:tcW w:w="1300" w:type="dxa"/>
            <w:vAlign w:val="bottom"/>
            <w:tcBorders>
              <w:right w:val="single" w:sz="8" w:color="auto"/>
            </w:tcBorders>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Borders>
              <w:top w:val="single" w:sz="8" w:color="4472C4"/>
              <w:bottom w:val="single" w:sz="8" w:color="4472C4"/>
            </w:tcBorders>
            <w:gridSpan w:val="25"/>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3"/>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right w:val="single" w:sz="8" w:color="auto"/>
            </w:tcBorders>
            <w:gridSpan w:val="18"/>
          </w:tcPr>
          <w:p>
            <w:pPr>
              <w:jc w:val="center"/>
              <w:ind w:right="1340"/>
              <w:spacing w:after="0" w:line="161" w:lineRule="exact"/>
              <w:rPr>
                <w:sz w:val="20"/>
                <w:szCs w:val="20"/>
                <w:color w:val="auto"/>
              </w:rPr>
            </w:pPr>
            <w:r>
              <w:rPr>
                <w:rFonts w:ascii="Times New Roman" w:cs="Times New Roman" w:eastAsia="Times New Roman" w:hAnsi="Times New Roman"/>
                <w:sz w:val="17"/>
                <w:szCs w:val="17"/>
                <w:color w:val="4472C4"/>
              </w:rPr>
              <w:t>Best Buy</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right w:val="single" w:sz="8" w:color="auto"/>
            </w:tcBorders>
            <w:gridSpan w:val="17"/>
          </w:tcPr>
          <w:p>
            <w:pPr>
              <w:jc w:val="center"/>
              <w:ind w:right="1240"/>
              <w:spacing w:after="0" w:line="161" w:lineRule="exact"/>
              <w:rPr>
                <w:sz w:val="20"/>
                <w:szCs w:val="20"/>
                <w:color w:val="auto"/>
              </w:rPr>
            </w:pPr>
            <w:r>
              <w:rPr>
                <w:rFonts w:ascii="Times New Roman" w:cs="Times New Roman" w:eastAsia="Times New Roman" w:hAnsi="Times New Roman"/>
                <w:sz w:val="17"/>
                <w:szCs w:val="17"/>
                <w:color w:val="4472C4"/>
              </w:rPr>
              <w:t>Dayton, OH</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45,535</w:t>
            </w: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340" w:type="dxa"/>
            <w:vAlign w:val="bottom"/>
            <w:tcBorders>
              <w:left w:val="single" w:sz="8" w:color="auto"/>
            </w:tcBorders>
            <w:gridSpan w:val="11"/>
          </w:tcPr>
          <w:p>
            <w:pPr>
              <w:spacing w:after="0" w:line="20" w:lineRule="exact"/>
              <w:rPr>
                <w:sz w:val="1"/>
                <w:szCs w:val="1"/>
                <w:color w:val="auto"/>
              </w:rPr>
            </w:pPr>
          </w:p>
        </w:tc>
        <w:tc>
          <w:tcPr>
            <w:tcW w:w="640" w:type="dxa"/>
            <w:vAlign w:val="bottom"/>
            <w:tcBorders>
              <w:top w:val="single" w:sz="8" w:color="4472C4"/>
              <w:bottom w:val="single" w:sz="8" w:color="4472C4"/>
            </w:tcBorders>
            <w:gridSpan w:val="4"/>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320" w:type="dxa"/>
            <w:vAlign w:val="bottom"/>
            <w:tcBorders>
              <w:right w:val="single" w:sz="8" w:color="auto"/>
            </w:tcBorders>
            <w:gridSpan w:val="13"/>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840" w:type="dxa"/>
            <w:vAlign w:val="bottom"/>
            <w:tcBorders>
              <w:top w:val="single" w:sz="8" w:color="4472C4"/>
              <w:bottom w:val="single" w:sz="8" w:color="4472C4"/>
            </w:tcBorders>
            <w:gridSpan w:val="6"/>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220" w:type="dxa"/>
            <w:vAlign w:val="bottom"/>
            <w:tcBorders>
              <w:right w:val="single" w:sz="8" w:color="auto"/>
            </w:tcBorders>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right w:val="single" w:sz="8" w:color="auto"/>
            </w:tcBorders>
            <w:gridSpan w:val="18"/>
          </w:tcPr>
          <w:p>
            <w:pPr>
              <w:jc w:val="center"/>
              <w:ind w:right="1340"/>
              <w:spacing w:after="0" w:line="161" w:lineRule="exact"/>
              <w:rPr>
                <w:sz w:val="20"/>
                <w:szCs w:val="20"/>
                <w:color w:val="auto"/>
              </w:rPr>
            </w:pPr>
            <w:r>
              <w:rPr>
                <w:rFonts w:ascii="Times New Roman" w:cs="Times New Roman" w:eastAsia="Times New Roman" w:hAnsi="Times New Roman"/>
                <w:sz w:val="17"/>
                <w:szCs w:val="17"/>
                <w:color w:val="4472C4"/>
              </w:rPr>
              <w:t>Best Buy</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19"/>
          </w:tcPr>
          <w:p>
            <w:pPr>
              <w:jc w:val="center"/>
              <w:ind w:right="1160"/>
              <w:spacing w:after="0" w:line="161" w:lineRule="exact"/>
              <w:rPr>
                <w:sz w:val="20"/>
                <w:szCs w:val="20"/>
                <w:color w:val="auto"/>
              </w:rPr>
            </w:pPr>
            <w:r>
              <w:rPr>
                <w:rFonts w:ascii="Times New Roman" w:cs="Times New Roman" w:eastAsia="Times New Roman" w:hAnsi="Times New Roman"/>
                <w:sz w:val="17"/>
                <w:szCs w:val="17"/>
                <w:color w:val="4472C4"/>
              </w:rPr>
              <w:t>Lafayette, LA</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8"/>
              </w:rPr>
              <w:t>45,611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340" w:type="dxa"/>
            <w:vAlign w:val="bottom"/>
            <w:tcBorders>
              <w:left w:val="single" w:sz="8" w:color="auto"/>
            </w:tcBorders>
            <w:gridSpan w:val="11"/>
          </w:tcPr>
          <w:p>
            <w:pPr>
              <w:spacing w:after="0" w:line="20" w:lineRule="exact"/>
              <w:rPr>
                <w:sz w:val="1"/>
                <w:szCs w:val="1"/>
                <w:color w:val="auto"/>
              </w:rPr>
            </w:pPr>
          </w:p>
        </w:tc>
        <w:tc>
          <w:tcPr>
            <w:tcW w:w="640" w:type="dxa"/>
            <w:vAlign w:val="bottom"/>
            <w:tcBorders>
              <w:top w:val="single" w:sz="8" w:color="4472C4"/>
              <w:bottom w:val="single" w:sz="8" w:color="4472C4"/>
            </w:tcBorders>
            <w:gridSpan w:val="4"/>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320" w:type="dxa"/>
            <w:vAlign w:val="bottom"/>
            <w:tcBorders>
              <w:right w:val="single" w:sz="8" w:color="auto"/>
            </w:tcBorders>
            <w:gridSpan w:val="13"/>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980" w:type="dxa"/>
            <w:vAlign w:val="bottom"/>
            <w:tcBorders>
              <w:top w:val="single" w:sz="8" w:color="4472C4"/>
              <w:bottom w:val="single" w:sz="8" w:color="4472C4"/>
            </w:tcBorders>
            <w:gridSpan w:val="11"/>
          </w:tcPr>
          <w:p>
            <w:pPr>
              <w:spacing w:after="0" w:line="20" w:lineRule="exact"/>
              <w:rPr>
                <w:sz w:val="1"/>
                <w:szCs w:val="1"/>
                <w:color w:val="auto"/>
              </w:rPr>
            </w:pPr>
          </w:p>
        </w:tc>
        <w:tc>
          <w:tcPr>
            <w:tcW w:w="1160" w:type="dxa"/>
            <w:vAlign w:val="bottom"/>
            <w:tcBorders>
              <w:right w:val="single" w:sz="8" w:color="auto"/>
            </w:tcBorders>
            <w:gridSpan w:val="8"/>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Borders>
              <w:right w:val="single" w:sz="8" w:color="auto"/>
            </w:tcBorders>
            <w:gridSpan w:val="25"/>
          </w:tcPr>
          <w:p>
            <w:pPr>
              <w:jc w:val="center"/>
              <w:ind w:right="960"/>
              <w:spacing w:after="0" w:line="161" w:lineRule="exact"/>
              <w:rPr>
                <w:sz w:val="20"/>
                <w:szCs w:val="20"/>
                <w:color w:val="auto"/>
              </w:rPr>
            </w:pPr>
            <w:r>
              <w:rPr>
                <w:rFonts w:ascii="Times New Roman" w:cs="Times New Roman" w:eastAsia="Times New Roman" w:hAnsi="Times New Roman"/>
                <w:sz w:val="17"/>
                <w:szCs w:val="17"/>
                <w:color w:val="4472C4"/>
              </w:rPr>
              <w:t>Buffalo Wild Wings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right w:val="single" w:sz="8" w:color="auto"/>
            </w:tcBorders>
            <w:gridSpan w:val="23"/>
          </w:tcPr>
          <w:p>
            <w:pPr>
              <w:jc w:val="center"/>
              <w:ind w:right="1080"/>
              <w:spacing w:after="0" w:line="161" w:lineRule="exact"/>
              <w:rPr>
                <w:sz w:val="20"/>
                <w:szCs w:val="20"/>
                <w:color w:val="auto"/>
              </w:rPr>
            </w:pPr>
            <w:r>
              <w:rPr>
                <w:rFonts w:ascii="Times New Roman" w:cs="Times New Roman" w:eastAsia="Times New Roman" w:hAnsi="Times New Roman"/>
                <w:sz w:val="17"/>
                <w:szCs w:val="17"/>
                <w:color w:val="4472C4"/>
              </w:rPr>
              <w:t>Hattiesburg, MS</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6,302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960" w:type="dxa"/>
            <w:vAlign w:val="bottom"/>
            <w:tcBorders>
              <w:left w:val="single" w:sz="8" w:color="auto"/>
            </w:tcBorders>
            <w:gridSpan w:val="4"/>
          </w:tcPr>
          <w:p>
            <w:pPr>
              <w:spacing w:after="0" w:line="20" w:lineRule="exact"/>
              <w:rPr>
                <w:sz w:val="1"/>
                <w:szCs w:val="1"/>
                <w:color w:val="auto"/>
              </w:rPr>
            </w:pPr>
          </w:p>
        </w:tc>
        <w:tc>
          <w:tcPr>
            <w:tcW w:w="1400" w:type="dxa"/>
            <w:vAlign w:val="bottom"/>
            <w:tcBorders>
              <w:top w:val="single" w:sz="8" w:color="4472C4"/>
              <w:bottom w:val="single" w:sz="8" w:color="4472C4"/>
            </w:tcBorders>
            <w:gridSpan w:val="20"/>
          </w:tcPr>
          <w:p>
            <w:pPr>
              <w:spacing w:after="0" w:line="20" w:lineRule="exact"/>
              <w:rPr>
                <w:sz w:val="1"/>
                <w:szCs w:val="1"/>
                <w:color w:val="auto"/>
              </w:rPr>
            </w:pPr>
          </w:p>
        </w:tc>
        <w:tc>
          <w:tcPr>
            <w:tcW w:w="960" w:type="dxa"/>
            <w:vAlign w:val="bottom"/>
            <w:tcBorders>
              <w:right w:val="single" w:sz="8" w:color="auto"/>
            </w:tcBorders>
            <w:gridSpan w:val="5"/>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140" w:type="dxa"/>
            <w:vAlign w:val="bottom"/>
            <w:tcBorders>
              <w:top w:val="single" w:sz="8" w:color="4472C4"/>
              <w:bottom w:val="single" w:sz="8" w:color="4472C4"/>
            </w:tcBorders>
            <w:gridSpan w:val="19"/>
          </w:tcPr>
          <w:p>
            <w:pPr>
              <w:spacing w:after="0" w:line="20" w:lineRule="exact"/>
              <w:rPr>
                <w:sz w:val="1"/>
                <w:szCs w:val="1"/>
                <w:color w:val="auto"/>
              </w:rPr>
            </w:pPr>
          </w:p>
        </w:tc>
        <w:tc>
          <w:tcPr>
            <w:tcW w:w="1080" w:type="dxa"/>
            <w:vAlign w:val="bottom"/>
            <w:tcBorders>
              <w:right w:val="single" w:sz="8" w:color="auto"/>
            </w:tcBorders>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3"/>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right w:val="single" w:sz="8" w:color="auto"/>
            </w:tcBorders>
            <w:gridSpan w:val="22"/>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Charles Schwab</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00" w:type="dxa"/>
            <w:vAlign w:val="bottom"/>
            <w:tcBorders>
              <w:right w:val="single" w:sz="8" w:color="auto"/>
            </w:tcBorders>
            <w:gridSpan w:val="18"/>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Webster, TX</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5,556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100" w:type="dxa"/>
            <w:vAlign w:val="bottom"/>
            <w:tcBorders>
              <w:left w:val="single" w:sz="8" w:color="auto"/>
            </w:tcBorders>
            <w:gridSpan w:val="7"/>
          </w:tcPr>
          <w:p>
            <w:pPr>
              <w:spacing w:after="0" w:line="20" w:lineRule="exact"/>
              <w:rPr>
                <w:sz w:val="1"/>
                <w:szCs w:val="1"/>
                <w:color w:val="auto"/>
              </w:rPr>
            </w:pPr>
          </w:p>
        </w:tc>
        <w:tc>
          <w:tcPr>
            <w:tcW w:w="1120" w:type="dxa"/>
            <w:vAlign w:val="bottom"/>
            <w:tcBorders>
              <w:top w:val="single" w:sz="8" w:color="4472C4"/>
              <w:bottom w:val="single" w:sz="8" w:color="4472C4"/>
            </w:tcBorders>
            <w:gridSpan w:val="13"/>
          </w:tcPr>
          <w:p>
            <w:pPr>
              <w:spacing w:after="0" w:line="20" w:lineRule="exact"/>
              <w:rPr>
                <w:sz w:val="1"/>
                <w:szCs w:val="1"/>
                <w:color w:val="auto"/>
              </w:rPr>
            </w:pPr>
          </w:p>
        </w:tc>
        <w:tc>
          <w:tcPr>
            <w:tcW w:w="1100" w:type="dxa"/>
            <w:vAlign w:val="bottom"/>
            <w:tcBorders>
              <w:right w:val="single" w:sz="8" w:color="auto"/>
            </w:tcBorders>
            <w:gridSpan w:val="9"/>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880" w:type="dxa"/>
            <w:vAlign w:val="bottom"/>
            <w:tcBorders>
              <w:top w:val="single" w:sz="8" w:color="4472C4"/>
              <w:bottom w:val="single" w:sz="8" w:color="4472C4"/>
            </w:tcBorders>
            <w:gridSpan w:val="8"/>
          </w:tcPr>
          <w:p>
            <w:pPr>
              <w:spacing w:after="0" w:line="20" w:lineRule="exact"/>
              <w:rPr>
                <w:sz w:val="1"/>
                <w:szCs w:val="1"/>
                <w:color w:val="auto"/>
              </w:rPr>
            </w:pPr>
          </w:p>
        </w:tc>
        <w:tc>
          <w:tcPr>
            <w:tcW w:w="1220" w:type="dxa"/>
            <w:vAlign w:val="bottom"/>
            <w:tcBorders>
              <w:right w:val="single" w:sz="8" w:color="auto"/>
            </w:tcBorders>
            <w:gridSpan w:val="1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3"/>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2620" w:type="dxa"/>
            <w:vAlign w:val="bottom"/>
            <w:tcBorders>
              <w:right w:val="single" w:sz="8" w:color="auto"/>
            </w:tcBorders>
            <w:gridSpan w:val="28"/>
          </w:tcPr>
          <w:p>
            <w:pPr>
              <w:jc w:val="center"/>
              <w:ind w:right="700"/>
              <w:spacing w:after="0" w:line="161" w:lineRule="exact"/>
              <w:rPr>
                <w:sz w:val="20"/>
                <w:szCs w:val="20"/>
                <w:color w:val="auto"/>
              </w:rPr>
            </w:pPr>
            <w:r>
              <w:rPr>
                <w:rFonts w:ascii="Times New Roman" w:cs="Times New Roman" w:eastAsia="Times New Roman" w:hAnsi="Times New Roman"/>
                <w:sz w:val="17"/>
                <w:szCs w:val="17"/>
                <w:color w:val="4472C4"/>
              </w:rPr>
              <w:t>Crazy Alan's Swamp Shack</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tcBorders>
              <w:right w:val="single" w:sz="8" w:color="auto"/>
            </w:tcBorders>
            <w:gridSpan w:val="25"/>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Friendswood, TX</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9,356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700" w:type="dxa"/>
            <w:vAlign w:val="bottom"/>
            <w:tcBorders>
              <w:left w:val="single" w:sz="8" w:color="auto"/>
            </w:tcBorders>
          </w:tcPr>
          <w:p>
            <w:pPr>
              <w:spacing w:after="0" w:line="20" w:lineRule="exact"/>
              <w:rPr>
                <w:sz w:val="1"/>
                <w:szCs w:val="1"/>
                <w:color w:val="auto"/>
              </w:rPr>
            </w:pPr>
          </w:p>
        </w:tc>
        <w:tc>
          <w:tcPr>
            <w:tcW w:w="1920" w:type="dxa"/>
            <w:vAlign w:val="bottom"/>
            <w:tcBorders>
              <w:top w:val="single" w:sz="8" w:color="4472C4"/>
              <w:bottom w:val="single" w:sz="8" w:color="4472C4"/>
            </w:tcBorders>
            <w:gridSpan w:val="26"/>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20" w:type="dxa"/>
            <w:vAlign w:val="bottom"/>
            <w:tcBorders>
              <w:top w:val="single" w:sz="8" w:color="4472C4"/>
              <w:bottom w:val="single" w:sz="8" w:color="4472C4"/>
            </w:tcBorders>
            <w:gridSpan w:val="22"/>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3"/>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Borders>
              <w:right w:val="single" w:sz="8" w:color="auto"/>
            </w:tcBorders>
            <w:gridSpan w:val="16"/>
          </w:tcPr>
          <w:p>
            <w:pPr>
              <w:jc w:val="center"/>
              <w:ind w:right="1480"/>
              <w:spacing w:after="0" w:line="161" w:lineRule="exact"/>
              <w:rPr>
                <w:sz w:val="20"/>
                <w:szCs w:val="20"/>
                <w:color w:val="auto"/>
              </w:rPr>
            </w:pPr>
            <w:r>
              <w:rPr>
                <w:rFonts w:ascii="Times New Roman" w:cs="Times New Roman" w:eastAsia="Times New Roman" w:hAnsi="Times New Roman"/>
                <w:sz w:val="17"/>
                <w:szCs w:val="17"/>
                <w:color w:val="4472C4"/>
              </w:rPr>
              <w:t>CVS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Borders>
              <w:right w:val="single" w:sz="8" w:color="auto"/>
            </w:tcBorders>
            <w:gridSpan w:val="26"/>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Baton Rouge, LA</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13,813</w:t>
            </w: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500" w:type="dxa"/>
            <w:vAlign w:val="bottom"/>
            <w:tcBorders>
              <w:left w:val="single" w:sz="8" w:color="auto"/>
            </w:tcBorders>
            <w:gridSpan w:val="13"/>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1480" w:type="dxa"/>
            <w:vAlign w:val="bottom"/>
            <w:tcBorders>
              <w:right w:val="single" w:sz="8" w:color="auto"/>
            </w:tcBorders>
            <w:gridSpan w:val="1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tcBorders>
              <w:top w:val="single" w:sz="8" w:color="4472C4"/>
              <w:bottom w:val="single" w:sz="8" w:color="4472C4"/>
            </w:tcBorders>
            <w:gridSpan w:val="23"/>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Borders>
              <w:right w:val="single" w:sz="8" w:color="auto"/>
            </w:tcBorders>
            <w:gridSpan w:val="26"/>
          </w:tcPr>
          <w:p>
            <w:pPr>
              <w:jc w:val="center"/>
              <w:ind w:right="840"/>
              <w:spacing w:after="0" w:line="161" w:lineRule="exact"/>
              <w:rPr>
                <w:sz w:val="20"/>
                <w:szCs w:val="20"/>
                <w:color w:val="auto"/>
              </w:rPr>
            </w:pPr>
            <w:r>
              <w:rPr>
                <w:rFonts w:ascii="Times New Roman" w:cs="Times New Roman" w:eastAsia="Times New Roman" w:hAnsi="Times New Roman"/>
                <w:sz w:val="17"/>
                <w:szCs w:val="17"/>
                <w:color w:val="4472C4"/>
              </w:rPr>
              <w:t>Darden Restaurants Inc</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tcBorders>
              <w:right w:val="single" w:sz="8" w:color="auto"/>
            </w:tcBorders>
            <w:gridSpan w:val="25"/>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Friendswood, TX</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8,388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840" w:type="dxa"/>
            <w:vAlign w:val="bottom"/>
            <w:tcBorders>
              <w:left w:val="single" w:sz="8" w:color="auto"/>
            </w:tcBorders>
            <w:gridSpan w:val="3"/>
          </w:tcPr>
          <w:p>
            <w:pPr>
              <w:spacing w:after="0" w:line="20" w:lineRule="exact"/>
              <w:rPr>
                <w:sz w:val="1"/>
                <w:szCs w:val="1"/>
                <w:color w:val="auto"/>
              </w:rPr>
            </w:pPr>
          </w:p>
        </w:tc>
        <w:tc>
          <w:tcPr>
            <w:tcW w:w="1640" w:type="dxa"/>
            <w:vAlign w:val="bottom"/>
            <w:tcBorders>
              <w:top w:val="single" w:sz="8" w:color="4472C4"/>
              <w:bottom w:val="single" w:sz="8" w:color="4472C4"/>
            </w:tcBorders>
            <w:gridSpan w:val="22"/>
          </w:tcPr>
          <w:p>
            <w:pPr>
              <w:spacing w:after="0" w:line="20" w:lineRule="exact"/>
              <w:rPr>
                <w:sz w:val="1"/>
                <w:szCs w:val="1"/>
                <w:color w:val="auto"/>
              </w:rPr>
            </w:pPr>
          </w:p>
        </w:tc>
        <w:tc>
          <w:tcPr>
            <w:tcW w:w="840" w:type="dxa"/>
            <w:vAlign w:val="bottom"/>
            <w:tcBorders>
              <w:right w:val="single" w:sz="8" w:color="auto"/>
            </w:tcBorders>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20" w:type="dxa"/>
            <w:vAlign w:val="bottom"/>
            <w:tcBorders>
              <w:top w:val="single" w:sz="8" w:color="4472C4"/>
              <w:bottom w:val="single" w:sz="8" w:color="4472C4"/>
            </w:tcBorders>
            <w:gridSpan w:val="22"/>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3"/>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Borders>
              <w:right w:val="single" w:sz="8" w:color="auto"/>
            </w:tcBorders>
            <w:gridSpan w:val="26"/>
          </w:tcPr>
          <w:p>
            <w:pPr>
              <w:jc w:val="center"/>
              <w:ind w:right="840"/>
              <w:spacing w:after="0" w:line="161" w:lineRule="exact"/>
              <w:rPr>
                <w:sz w:val="20"/>
                <w:szCs w:val="20"/>
                <w:color w:val="auto"/>
              </w:rPr>
            </w:pPr>
            <w:r>
              <w:rPr>
                <w:rFonts w:ascii="Times New Roman" w:cs="Times New Roman" w:eastAsia="Times New Roman" w:hAnsi="Times New Roman"/>
                <w:sz w:val="17"/>
                <w:szCs w:val="17"/>
                <w:color w:val="4472C4"/>
              </w:rPr>
              <w:t>Darden Restaurants Inc</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00" w:type="dxa"/>
            <w:vAlign w:val="bottom"/>
            <w:tcBorders>
              <w:right w:val="single" w:sz="8" w:color="auto"/>
            </w:tcBorders>
            <w:gridSpan w:val="18"/>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Webster, TX</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7,000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840" w:type="dxa"/>
            <w:vAlign w:val="bottom"/>
            <w:tcBorders>
              <w:left w:val="single" w:sz="8" w:color="auto"/>
            </w:tcBorders>
            <w:gridSpan w:val="3"/>
          </w:tcPr>
          <w:p>
            <w:pPr>
              <w:spacing w:after="0" w:line="20" w:lineRule="exact"/>
              <w:rPr>
                <w:sz w:val="1"/>
                <w:szCs w:val="1"/>
                <w:color w:val="auto"/>
              </w:rPr>
            </w:pPr>
          </w:p>
        </w:tc>
        <w:tc>
          <w:tcPr>
            <w:tcW w:w="1640" w:type="dxa"/>
            <w:vAlign w:val="bottom"/>
            <w:tcBorders>
              <w:top w:val="single" w:sz="8" w:color="4472C4"/>
              <w:bottom w:val="single" w:sz="8" w:color="4472C4"/>
            </w:tcBorders>
            <w:gridSpan w:val="22"/>
          </w:tcPr>
          <w:p>
            <w:pPr>
              <w:spacing w:after="0" w:line="20" w:lineRule="exact"/>
              <w:rPr>
                <w:sz w:val="1"/>
                <w:szCs w:val="1"/>
                <w:color w:val="auto"/>
              </w:rPr>
            </w:pPr>
          </w:p>
        </w:tc>
        <w:tc>
          <w:tcPr>
            <w:tcW w:w="840" w:type="dxa"/>
            <w:vAlign w:val="bottom"/>
            <w:tcBorders>
              <w:right w:val="single" w:sz="8" w:color="auto"/>
            </w:tcBorders>
            <w:gridSpan w:val="4"/>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880" w:type="dxa"/>
            <w:vAlign w:val="bottom"/>
            <w:tcBorders>
              <w:top w:val="single" w:sz="8" w:color="4472C4"/>
              <w:bottom w:val="single" w:sz="8" w:color="4472C4"/>
            </w:tcBorders>
            <w:gridSpan w:val="8"/>
          </w:tcPr>
          <w:p>
            <w:pPr>
              <w:spacing w:after="0" w:line="20" w:lineRule="exact"/>
              <w:rPr>
                <w:sz w:val="1"/>
                <w:szCs w:val="1"/>
                <w:color w:val="auto"/>
              </w:rPr>
            </w:pPr>
          </w:p>
        </w:tc>
        <w:tc>
          <w:tcPr>
            <w:tcW w:w="1220" w:type="dxa"/>
            <w:vAlign w:val="bottom"/>
            <w:tcBorders>
              <w:right w:val="single" w:sz="8" w:color="auto"/>
            </w:tcBorders>
            <w:gridSpan w:val="1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3"/>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Borders>
              <w:right w:val="single" w:sz="8" w:color="auto"/>
            </w:tcBorders>
            <w:gridSpan w:val="21"/>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auto"/>
              </w:rPr>
              <w:t>Dollar General</w:t>
            </w:r>
          </w:p>
        </w:tc>
        <w:tc>
          <w:tcPr>
            <w:tcW w:w="1660" w:type="dxa"/>
            <w:vAlign w:val="bottom"/>
            <w:gridSpan w:val="14"/>
          </w:tcPr>
          <w:p>
            <w:pPr>
              <w:ind w:left="620"/>
              <w:spacing w:after="0" w:line="161" w:lineRule="exact"/>
              <w:rPr>
                <w:sz w:val="20"/>
                <w:szCs w:val="20"/>
                <w:color w:val="auto"/>
              </w:rPr>
            </w:pPr>
            <w:r>
              <w:rPr>
                <w:rFonts w:ascii="Times New Roman" w:cs="Times New Roman" w:eastAsia="Times New Roman" w:hAnsi="Times New Roman"/>
                <w:sz w:val="17"/>
                <w:szCs w:val="17"/>
                <w:color w:val="FF0000"/>
                <w:strike w:val="1"/>
                <w:w w:val="99"/>
              </w:rPr>
              <w:t>Del Rio, Texas</w:t>
            </w:r>
          </w:p>
        </w:tc>
        <w:tc>
          <w:tcPr>
            <w:tcW w:w="1640" w:type="dxa"/>
            <w:vAlign w:val="bottom"/>
            <w:tcBorders>
              <w:right w:val="single" w:sz="8" w:color="auto"/>
            </w:tcBorders>
            <w:gridSpan w:val="14"/>
          </w:tcPr>
          <w:p>
            <w:pPr>
              <w:spacing w:after="0" w:line="161" w:lineRule="exact"/>
              <w:rPr>
                <w:sz w:val="20"/>
                <w:szCs w:val="20"/>
                <w:color w:val="auto"/>
              </w:rPr>
            </w:pPr>
            <w:r>
              <w:rPr>
                <w:rFonts w:ascii="Times New Roman" w:cs="Times New Roman" w:eastAsia="Times New Roman" w:hAnsi="Times New Roman"/>
                <w:sz w:val="17"/>
                <w:szCs w:val="17"/>
                <w:color w:val="4472C4"/>
              </w:rPr>
              <w:t>Dansville, NY</w:t>
            </w:r>
          </w:p>
        </w:tc>
        <w:tc>
          <w:tcPr>
            <w:tcW w:w="1460" w:type="dxa"/>
            <w:vAlign w:val="bottom"/>
            <w:gridSpan w:val="3"/>
          </w:tcPr>
          <w:p>
            <w:pPr>
              <w:jc w:val="right"/>
              <w:spacing w:after="0" w:line="161" w:lineRule="exact"/>
              <w:rPr>
                <w:sz w:val="20"/>
                <w:szCs w:val="20"/>
                <w:color w:val="auto"/>
              </w:rPr>
            </w:pPr>
            <w:r>
              <w:rPr>
                <w:rFonts w:ascii="Times New Roman" w:cs="Times New Roman" w:eastAsia="Times New Roman" w:hAnsi="Times New Roman"/>
                <w:sz w:val="17"/>
                <w:szCs w:val="17"/>
                <w:color w:val="auto"/>
              </w:rPr>
              <w:t>9,</w:t>
            </w:r>
          </w:p>
        </w:tc>
        <w:tc>
          <w:tcPr>
            <w:tcW w:w="26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color w:val="FF0000"/>
                <w:strike w:val="1"/>
                <w:w w:val="93"/>
              </w:rPr>
              <w:t>219</w:t>
            </w:r>
          </w:p>
        </w:tc>
        <w:tc>
          <w:tcPr>
            <w:tcW w:w="1600" w:type="dxa"/>
            <w:vAlign w:val="bottom"/>
            <w:tcBorders>
              <w:right w:val="single" w:sz="8" w:color="auto"/>
            </w:tcBorders>
            <w:gridSpan w:val="5"/>
          </w:tcPr>
          <w:p>
            <w:pPr>
              <w:jc w:val="right"/>
              <w:ind w:right="1340"/>
              <w:spacing w:after="0" w:line="161" w:lineRule="exact"/>
              <w:rPr>
                <w:sz w:val="20"/>
                <w:szCs w:val="20"/>
                <w:color w:val="auto"/>
              </w:rPr>
            </w:pPr>
            <w:r>
              <w:rPr>
                <w:rFonts w:ascii="Times New Roman" w:cs="Times New Roman" w:eastAsia="Times New Roman" w:hAnsi="Times New Roman"/>
                <w:sz w:val="17"/>
                <w:szCs w:val="17"/>
                <w:color w:val="4472C4"/>
                <w:w w:val="93"/>
              </w:rPr>
              <w:t>174</w:t>
            </w:r>
          </w:p>
        </w:tc>
      </w:tr>
      <w:tr>
        <w:trPr>
          <w:trHeight w:val="20"/>
        </w:trPr>
        <w:tc>
          <w:tcPr>
            <w:tcW w:w="3320" w:type="dxa"/>
            <w:vAlign w:val="bottom"/>
            <w:tcBorders>
              <w:left w:val="single" w:sz="8" w:color="auto"/>
              <w:right w:val="single" w:sz="8" w:color="auto"/>
            </w:tcBorders>
            <w:gridSpan w:val="29"/>
          </w:tcPr>
          <w:p>
            <w:pPr>
              <w:spacing w:after="0" w:line="20" w:lineRule="exact"/>
              <w:rPr>
                <w:sz w:val="1"/>
                <w:szCs w:val="1"/>
                <w:color w:val="auto"/>
              </w:rPr>
            </w:pPr>
          </w:p>
        </w:tc>
        <w:tc>
          <w:tcPr>
            <w:tcW w:w="1660" w:type="dxa"/>
            <w:vAlign w:val="bottom"/>
            <w:gridSpan w:val="14"/>
          </w:tcPr>
          <w:p>
            <w:pPr>
              <w:spacing w:after="0" w:line="20" w:lineRule="exact"/>
              <w:rPr>
                <w:sz w:val="1"/>
                <w:szCs w:val="1"/>
                <w:color w:val="auto"/>
              </w:rPr>
            </w:pPr>
          </w:p>
        </w:tc>
        <w:tc>
          <w:tcPr>
            <w:tcW w:w="1000" w:type="dxa"/>
            <w:vAlign w:val="bottom"/>
            <w:tcBorders>
              <w:top w:val="single" w:sz="8" w:color="4472C4"/>
              <w:bottom w:val="single" w:sz="8" w:color="4472C4"/>
            </w:tcBorders>
            <w:gridSpan w:val="13"/>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gridSpan w:val="4"/>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Borders>
              <w:right w:val="single" w:sz="8" w:color="auto"/>
            </w:tcBorders>
            <w:gridSpan w:val="21"/>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Dollar General</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right w:val="single" w:sz="8" w:color="auto"/>
            </w:tcBorders>
            <w:gridSpan w:val="24"/>
          </w:tcPr>
          <w:p>
            <w:pPr>
              <w:jc w:val="center"/>
              <w:ind w:right="1080"/>
              <w:spacing w:after="0" w:line="161" w:lineRule="exact"/>
              <w:rPr>
                <w:sz w:val="20"/>
                <w:szCs w:val="20"/>
                <w:color w:val="auto"/>
              </w:rPr>
            </w:pPr>
            <w:r>
              <w:rPr>
                <w:rFonts w:ascii="Times New Roman" w:cs="Times New Roman" w:eastAsia="Times New Roman" w:hAnsi="Times New Roman"/>
                <w:sz w:val="17"/>
                <w:szCs w:val="17"/>
                <w:color w:val="4472C4"/>
              </w:rPr>
              <w:t>Ellicottville, NY</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9,144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140" w:type="dxa"/>
            <w:vAlign w:val="bottom"/>
            <w:tcBorders>
              <w:left w:val="single" w:sz="8" w:color="auto"/>
            </w:tcBorders>
            <w:gridSpan w:val="8"/>
          </w:tcPr>
          <w:p>
            <w:pPr>
              <w:spacing w:after="0" w:line="20" w:lineRule="exact"/>
              <w:rPr>
                <w:sz w:val="1"/>
                <w:szCs w:val="1"/>
                <w:color w:val="auto"/>
              </w:rPr>
            </w:pPr>
          </w:p>
        </w:tc>
        <w:tc>
          <w:tcPr>
            <w:tcW w:w="1040" w:type="dxa"/>
            <w:vAlign w:val="bottom"/>
            <w:tcBorders>
              <w:top w:val="single" w:sz="8" w:color="4472C4"/>
              <w:bottom w:val="single" w:sz="8" w:color="4472C4"/>
            </w:tcBorders>
            <w:gridSpan w:val="11"/>
          </w:tcPr>
          <w:p>
            <w:pPr>
              <w:spacing w:after="0" w:line="20" w:lineRule="exact"/>
              <w:rPr>
                <w:sz w:val="1"/>
                <w:szCs w:val="1"/>
                <w:color w:val="auto"/>
              </w:rPr>
            </w:pPr>
          </w:p>
        </w:tc>
        <w:tc>
          <w:tcPr>
            <w:tcW w:w="1140" w:type="dxa"/>
            <w:vAlign w:val="bottom"/>
            <w:tcBorders>
              <w:right w:val="single" w:sz="8" w:color="auto"/>
            </w:tcBorders>
            <w:gridSpan w:val="1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160" w:type="dxa"/>
            <w:vAlign w:val="bottom"/>
            <w:tcBorders>
              <w:top w:val="single" w:sz="8" w:color="4472C4"/>
              <w:bottom w:val="single" w:sz="8" w:color="4472C4"/>
            </w:tcBorders>
            <w:gridSpan w:val="20"/>
          </w:tcPr>
          <w:p>
            <w:pPr>
              <w:spacing w:after="0" w:line="20" w:lineRule="exact"/>
              <w:rPr>
                <w:sz w:val="1"/>
                <w:szCs w:val="1"/>
                <w:color w:val="auto"/>
              </w:rPr>
            </w:pPr>
          </w:p>
        </w:tc>
        <w:tc>
          <w:tcPr>
            <w:tcW w:w="1080" w:type="dxa"/>
            <w:vAlign w:val="bottom"/>
            <w:tcBorders>
              <w:right w:val="single" w:sz="8" w:color="auto"/>
            </w:tcBorders>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3"/>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Borders>
              <w:right w:val="single" w:sz="8" w:color="auto"/>
            </w:tcBorders>
            <w:gridSpan w:val="21"/>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Dollar General</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Borders>
              <w:right w:val="single" w:sz="8" w:color="auto"/>
            </w:tcBorders>
            <w:gridSpan w:val="15"/>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rPr>
              <w:t>Perry, NY</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9,181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140" w:type="dxa"/>
            <w:vAlign w:val="bottom"/>
            <w:tcBorders>
              <w:left w:val="single" w:sz="8" w:color="auto"/>
            </w:tcBorders>
            <w:gridSpan w:val="8"/>
          </w:tcPr>
          <w:p>
            <w:pPr>
              <w:spacing w:after="0" w:line="20" w:lineRule="exact"/>
              <w:rPr>
                <w:sz w:val="1"/>
                <w:szCs w:val="1"/>
                <w:color w:val="auto"/>
              </w:rPr>
            </w:pPr>
          </w:p>
        </w:tc>
        <w:tc>
          <w:tcPr>
            <w:tcW w:w="1040" w:type="dxa"/>
            <w:vAlign w:val="bottom"/>
            <w:tcBorders>
              <w:top w:val="single" w:sz="8" w:color="4472C4"/>
              <w:bottom w:val="single" w:sz="8" w:color="4472C4"/>
            </w:tcBorders>
            <w:gridSpan w:val="11"/>
          </w:tcPr>
          <w:p>
            <w:pPr>
              <w:spacing w:after="0" w:line="20" w:lineRule="exact"/>
              <w:rPr>
                <w:sz w:val="1"/>
                <w:szCs w:val="1"/>
                <w:color w:val="auto"/>
              </w:rPr>
            </w:pPr>
          </w:p>
        </w:tc>
        <w:tc>
          <w:tcPr>
            <w:tcW w:w="1140" w:type="dxa"/>
            <w:vAlign w:val="bottom"/>
            <w:tcBorders>
              <w:right w:val="single" w:sz="8" w:color="auto"/>
            </w:tcBorders>
            <w:gridSpan w:val="10"/>
          </w:tcPr>
          <w:p>
            <w:pPr>
              <w:spacing w:after="0" w:line="20" w:lineRule="exact"/>
              <w:rPr>
                <w:sz w:val="1"/>
                <w:szCs w:val="1"/>
                <w:color w:val="auto"/>
              </w:rPr>
            </w:pPr>
          </w:p>
        </w:tc>
        <w:tc>
          <w:tcPr>
            <w:tcW w:w="1300" w:type="dxa"/>
            <w:vAlign w:val="bottom"/>
            <w:gridSpan w:val="13"/>
          </w:tcPr>
          <w:p>
            <w:pPr>
              <w:spacing w:after="0" w:line="20" w:lineRule="exact"/>
              <w:rPr>
                <w:sz w:val="1"/>
                <w:szCs w:val="1"/>
                <w:color w:val="auto"/>
              </w:rPr>
            </w:pPr>
          </w:p>
        </w:tc>
        <w:tc>
          <w:tcPr>
            <w:tcW w:w="700" w:type="dxa"/>
            <w:vAlign w:val="bottom"/>
            <w:tcBorders>
              <w:top w:val="single" w:sz="8" w:color="4472C4"/>
              <w:bottom w:val="single" w:sz="8" w:color="4472C4"/>
            </w:tcBorders>
            <w:gridSpan w:val="2"/>
          </w:tcPr>
          <w:p>
            <w:pPr>
              <w:spacing w:after="0" w:line="20" w:lineRule="exact"/>
              <w:rPr>
                <w:sz w:val="1"/>
                <w:szCs w:val="1"/>
                <w:color w:val="auto"/>
              </w:rPr>
            </w:pPr>
          </w:p>
        </w:tc>
        <w:tc>
          <w:tcPr>
            <w:tcW w:w="1300" w:type="dxa"/>
            <w:vAlign w:val="bottom"/>
            <w:tcBorders>
              <w:right w:val="single" w:sz="8" w:color="auto"/>
            </w:tcBorders>
            <w:gridSpan w:val="1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3"/>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Borders>
              <w:right w:val="single" w:sz="8" w:color="auto"/>
            </w:tcBorders>
            <w:gridSpan w:val="21"/>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Dollar General</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00" w:type="dxa"/>
            <w:vAlign w:val="bottom"/>
            <w:tcBorders>
              <w:right w:val="single" w:sz="8" w:color="auto"/>
            </w:tcBorders>
            <w:gridSpan w:val="18"/>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w w:val="99"/>
              </w:rPr>
              <w:t>Warsaw, NY</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14,495</w:t>
            </w: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140" w:type="dxa"/>
            <w:vAlign w:val="bottom"/>
            <w:tcBorders>
              <w:left w:val="single" w:sz="8" w:color="auto"/>
            </w:tcBorders>
            <w:gridSpan w:val="8"/>
          </w:tcPr>
          <w:p>
            <w:pPr>
              <w:spacing w:after="0" w:line="20" w:lineRule="exact"/>
              <w:rPr>
                <w:sz w:val="1"/>
                <w:szCs w:val="1"/>
                <w:color w:val="auto"/>
              </w:rPr>
            </w:pPr>
          </w:p>
        </w:tc>
        <w:tc>
          <w:tcPr>
            <w:tcW w:w="1040" w:type="dxa"/>
            <w:vAlign w:val="bottom"/>
            <w:tcBorders>
              <w:top w:val="single" w:sz="8" w:color="4472C4"/>
              <w:bottom w:val="single" w:sz="8" w:color="4472C4"/>
            </w:tcBorders>
            <w:gridSpan w:val="11"/>
          </w:tcPr>
          <w:p>
            <w:pPr>
              <w:spacing w:after="0" w:line="20" w:lineRule="exact"/>
              <w:rPr>
                <w:sz w:val="1"/>
                <w:szCs w:val="1"/>
                <w:color w:val="auto"/>
              </w:rPr>
            </w:pPr>
          </w:p>
        </w:tc>
        <w:tc>
          <w:tcPr>
            <w:tcW w:w="1140" w:type="dxa"/>
            <w:vAlign w:val="bottom"/>
            <w:tcBorders>
              <w:right w:val="single" w:sz="8" w:color="auto"/>
            </w:tcBorders>
            <w:gridSpan w:val="10"/>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880" w:type="dxa"/>
            <w:vAlign w:val="bottom"/>
            <w:tcBorders>
              <w:top w:val="single" w:sz="8" w:color="4472C4"/>
              <w:bottom w:val="single" w:sz="8" w:color="4472C4"/>
            </w:tcBorders>
            <w:gridSpan w:val="8"/>
          </w:tcPr>
          <w:p>
            <w:pPr>
              <w:spacing w:after="0" w:line="20" w:lineRule="exact"/>
              <w:rPr>
                <w:sz w:val="1"/>
                <w:szCs w:val="1"/>
                <w:color w:val="auto"/>
              </w:rPr>
            </w:pPr>
          </w:p>
        </w:tc>
        <w:tc>
          <w:tcPr>
            <w:tcW w:w="1220" w:type="dxa"/>
            <w:vAlign w:val="bottom"/>
            <w:tcBorders>
              <w:right w:val="single" w:sz="8" w:color="auto"/>
            </w:tcBorders>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Borders>
              <w:right w:val="single" w:sz="8" w:color="auto"/>
            </w:tcBorders>
            <w:gridSpan w:val="20"/>
          </w:tcPr>
          <w:p>
            <w:pPr>
              <w:jc w:val="center"/>
              <w:ind w:right="1260"/>
              <w:spacing w:after="0" w:line="161" w:lineRule="exact"/>
              <w:rPr>
                <w:sz w:val="20"/>
                <w:szCs w:val="20"/>
                <w:color w:val="auto"/>
              </w:rPr>
            </w:pPr>
            <w:r>
              <w:rPr>
                <w:rFonts w:ascii="Times New Roman" w:cs="Times New Roman" w:eastAsia="Times New Roman" w:hAnsi="Times New Roman"/>
                <w:sz w:val="17"/>
                <w:szCs w:val="17"/>
                <w:color w:val="4472C4"/>
              </w:rPr>
              <w:t>Dollar Tree</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00" w:type="dxa"/>
            <w:vAlign w:val="bottom"/>
            <w:tcBorders>
              <w:right w:val="single" w:sz="8" w:color="auto"/>
            </w:tcBorders>
            <w:gridSpan w:val="18"/>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Sulphur, OK</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1260" w:type="dxa"/>
            <w:vAlign w:val="bottom"/>
            <w:tcBorders>
              <w:left w:val="single" w:sz="8" w:color="auto"/>
            </w:tcBorders>
            <w:gridSpan w:val="9"/>
          </w:tcPr>
          <w:p>
            <w:pPr>
              <w:spacing w:after="0" w:line="20" w:lineRule="exact"/>
              <w:rPr>
                <w:sz w:val="1"/>
                <w:szCs w:val="1"/>
                <w:color w:val="auto"/>
              </w:rPr>
            </w:pPr>
          </w:p>
        </w:tc>
        <w:tc>
          <w:tcPr>
            <w:tcW w:w="800" w:type="dxa"/>
            <w:vAlign w:val="bottom"/>
            <w:tcBorders>
              <w:top w:val="single" w:sz="8" w:color="4472C4"/>
              <w:bottom w:val="single" w:sz="8" w:color="4472C4"/>
            </w:tcBorders>
            <w:gridSpan w:val="9"/>
          </w:tcPr>
          <w:p>
            <w:pPr>
              <w:spacing w:after="0" w:line="20" w:lineRule="exact"/>
              <w:rPr>
                <w:sz w:val="1"/>
                <w:szCs w:val="1"/>
                <w:color w:val="auto"/>
              </w:rPr>
            </w:pPr>
          </w:p>
        </w:tc>
        <w:tc>
          <w:tcPr>
            <w:tcW w:w="1260" w:type="dxa"/>
            <w:vAlign w:val="bottom"/>
            <w:tcBorders>
              <w:right w:val="single" w:sz="8" w:color="auto"/>
            </w:tcBorders>
            <w:gridSpan w:val="11"/>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880" w:type="dxa"/>
            <w:vAlign w:val="bottom"/>
            <w:tcBorders>
              <w:top w:val="single" w:sz="8" w:color="4472C4"/>
              <w:bottom w:val="single" w:sz="8" w:color="4472C4"/>
            </w:tcBorders>
            <w:gridSpan w:val="8"/>
          </w:tcPr>
          <w:p>
            <w:pPr>
              <w:spacing w:after="0" w:line="20" w:lineRule="exact"/>
              <w:rPr>
                <w:sz w:val="1"/>
                <w:szCs w:val="1"/>
                <w:color w:val="auto"/>
              </w:rPr>
            </w:pPr>
          </w:p>
        </w:tc>
        <w:tc>
          <w:tcPr>
            <w:tcW w:w="1220" w:type="dxa"/>
            <w:vAlign w:val="bottom"/>
            <w:tcBorders>
              <w:right w:val="single" w:sz="8" w:color="auto"/>
            </w:tcBorders>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2620" w:type="dxa"/>
            <w:vAlign w:val="bottom"/>
            <w:tcBorders>
              <w:right w:val="single" w:sz="8" w:color="auto"/>
            </w:tcBorders>
            <w:gridSpan w:val="28"/>
          </w:tcPr>
          <w:p>
            <w:pPr>
              <w:jc w:val="center"/>
              <w:ind w:right="680"/>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right w:val="single" w:sz="8" w:color="auto"/>
            </w:tcBorders>
            <w:gridSpan w:val="22"/>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Burlington, KS</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gridSpan w:val="2"/>
          </w:tcPr>
          <w:p>
            <w:pPr>
              <w:spacing w:after="0" w:line="20" w:lineRule="exact"/>
              <w:rPr>
                <w:sz w:val="1"/>
                <w:szCs w:val="1"/>
                <w:color w:val="auto"/>
              </w:rPr>
            </w:pPr>
          </w:p>
        </w:tc>
        <w:tc>
          <w:tcPr>
            <w:tcW w:w="1820" w:type="dxa"/>
            <w:vAlign w:val="bottom"/>
            <w:tcBorders>
              <w:top w:val="single" w:sz="8" w:color="4472C4"/>
              <w:bottom w:val="single" w:sz="8" w:color="4472C4"/>
            </w:tcBorders>
            <w:gridSpan w:val="24"/>
          </w:tcPr>
          <w:p>
            <w:pPr>
              <w:spacing w:after="0" w:line="20" w:lineRule="exact"/>
              <w:rPr>
                <w:sz w:val="1"/>
                <w:szCs w:val="1"/>
                <w:color w:val="auto"/>
              </w:rPr>
            </w:pPr>
          </w:p>
        </w:tc>
        <w:tc>
          <w:tcPr>
            <w:tcW w:w="740" w:type="dxa"/>
            <w:vAlign w:val="bottom"/>
            <w:tcBorders>
              <w:right w:val="single" w:sz="8" w:color="auto"/>
            </w:tcBorders>
            <w:gridSpan w:val="3"/>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060" w:type="dxa"/>
            <w:vAlign w:val="bottom"/>
            <w:tcBorders>
              <w:top w:val="single" w:sz="8" w:color="4472C4"/>
              <w:bottom w:val="single" w:sz="8" w:color="4472C4"/>
            </w:tcBorders>
            <w:gridSpan w:val="15"/>
          </w:tcPr>
          <w:p>
            <w:pPr>
              <w:spacing w:after="0" w:line="20" w:lineRule="exact"/>
              <w:rPr>
                <w:sz w:val="1"/>
                <w:szCs w:val="1"/>
                <w:color w:val="auto"/>
              </w:rPr>
            </w:pPr>
          </w:p>
        </w:tc>
        <w:tc>
          <w:tcPr>
            <w:tcW w:w="1120" w:type="dxa"/>
            <w:vAlign w:val="bottom"/>
            <w:tcBorders>
              <w:right w:val="single" w:sz="8" w:color="auto"/>
            </w:tcBorders>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2620" w:type="dxa"/>
            <w:vAlign w:val="bottom"/>
            <w:tcBorders>
              <w:right w:val="single" w:sz="8" w:color="auto"/>
            </w:tcBorders>
            <w:gridSpan w:val="28"/>
          </w:tcPr>
          <w:p>
            <w:pPr>
              <w:jc w:val="center"/>
              <w:ind w:right="680"/>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right w:val="single" w:sz="8" w:color="auto"/>
            </w:tcBorders>
            <w:gridSpan w:val="22"/>
          </w:tcPr>
          <w:p>
            <w:pPr>
              <w:jc w:val="center"/>
              <w:ind w:right="1120"/>
              <w:spacing w:after="0" w:line="161" w:lineRule="exact"/>
              <w:rPr>
                <w:sz w:val="20"/>
                <w:szCs w:val="20"/>
                <w:color w:val="auto"/>
              </w:rPr>
            </w:pPr>
            <w:r>
              <w:rPr>
                <w:rFonts w:ascii="Times New Roman" w:cs="Times New Roman" w:eastAsia="Times New Roman" w:hAnsi="Times New Roman"/>
                <w:sz w:val="17"/>
                <w:szCs w:val="17"/>
                <w:color w:val="4472C4"/>
              </w:rPr>
              <w:t>Caneyville, KY</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10,604</w:t>
            </w: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gridSpan w:val="2"/>
          </w:tcPr>
          <w:p>
            <w:pPr>
              <w:spacing w:after="0" w:line="20" w:lineRule="exact"/>
              <w:rPr>
                <w:sz w:val="1"/>
                <w:szCs w:val="1"/>
                <w:color w:val="auto"/>
              </w:rPr>
            </w:pPr>
          </w:p>
        </w:tc>
        <w:tc>
          <w:tcPr>
            <w:tcW w:w="1820" w:type="dxa"/>
            <w:vAlign w:val="bottom"/>
            <w:tcBorders>
              <w:top w:val="single" w:sz="8" w:color="4472C4"/>
              <w:bottom w:val="single" w:sz="8" w:color="4472C4"/>
            </w:tcBorders>
            <w:gridSpan w:val="24"/>
          </w:tcPr>
          <w:p>
            <w:pPr>
              <w:spacing w:after="0" w:line="20" w:lineRule="exact"/>
              <w:rPr>
                <w:sz w:val="1"/>
                <w:szCs w:val="1"/>
                <w:color w:val="auto"/>
              </w:rPr>
            </w:pPr>
          </w:p>
        </w:tc>
        <w:tc>
          <w:tcPr>
            <w:tcW w:w="740" w:type="dxa"/>
            <w:vAlign w:val="bottom"/>
            <w:tcBorders>
              <w:right w:val="single" w:sz="8" w:color="auto"/>
            </w:tcBorders>
            <w:gridSpan w:val="3"/>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080" w:type="dxa"/>
            <w:vAlign w:val="bottom"/>
            <w:tcBorders>
              <w:top w:val="single" w:sz="8" w:color="4472C4"/>
              <w:bottom w:val="single" w:sz="8" w:color="4472C4"/>
            </w:tcBorders>
            <w:gridSpan w:val="16"/>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100" w:type="dxa"/>
            <w:vAlign w:val="bottom"/>
            <w:tcBorders>
              <w:right w:val="single" w:sz="8" w:color="auto"/>
            </w:tcBorders>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2620" w:type="dxa"/>
            <w:vAlign w:val="bottom"/>
            <w:tcBorders>
              <w:right w:val="single" w:sz="8" w:color="auto"/>
            </w:tcBorders>
            <w:gridSpan w:val="28"/>
          </w:tcPr>
          <w:p>
            <w:pPr>
              <w:jc w:val="center"/>
              <w:ind w:right="680"/>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00" w:type="dxa"/>
            <w:vAlign w:val="bottom"/>
            <w:tcBorders>
              <w:right w:val="single" w:sz="8" w:color="auto"/>
            </w:tcBorders>
            <w:gridSpan w:val="18"/>
          </w:tcPr>
          <w:p>
            <w:pPr>
              <w:jc w:val="center"/>
              <w:ind w:right="1200"/>
              <w:spacing w:after="0" w:line="161" w:lineRule="exact"/>
              <w:rPr>
                <w:sz w:val="20"/>
                <w:szCs w:val="20"/>
                <w:color w:val="auto"/>
              </w:rPr>
            </w:pPr>
            <w:r>
              <w:rPr>
                <w:rFonts w:ascii="Times New Roman" w:cs="Times New Roman" w:eastAsia="Times New Roman" w:hAnsi="Times New Roman"/>
                <w:sz w:val="17"/>
                <w:szCs w:val="17"/>
                <w:color w:val="4472C4"/>
              </w:rPr>
              <w:t>Dearing, GA</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9,288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gridSpan w:val="2"/>
          </w:tcPr>
          <w:p>
            <w:pPr>
              <w:spacing w:after="0" w:line="20" w:lineRule="exact"/>
              <w:rPr>
                <w:sz w:val="1"/>
                <w:szCs w:val="1"/>
                <w:color w:val="auto"/>
              </w:rPr>
            </w:pPr>
          </w:p>
        </w:tc>
        <w:tc>
          <w:tcPr>
            <w:tcW w:w="1820" w:type="dxa"/>
            <w:vAlign w:val="bottom"/>
            <w:tcBorders>
              <w:top w:val="single" w:sz="8" w:color="4472C4"/>
              <w:bottom w:val="single" w:sz="8" w:color="4472C4"/>
            </w:tcBorders>
            <w:gridSpan w:val="24"/>
          </w:tcPr>
          <w:p>
            <w:pPr>
              <w:spacing w:after="0" w:line="20" w:lineRule="exact"/>
              <w:rPr>
                <w:sz w:val="1"/>
                <w:szCs w:val="1"/>
                <w:color w:val="auto"/>
              </w:rPr>
            </w:pPr>
          </w:p>
        </w:tc>
        <w:tc>
          <w:tcPr>
            <w:tcW w:w="740" w:type="dxa"/>
            <w:vAlign w:val="bottom"/>
            <w:tcBorders>
              <w:right w:val="single" w:sz="8" w:color="auto"/>
            </w:tcBorders>
            <w:gridSpan w:val="3"/>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900" w:type="dxa"/>
            <w:vAlign w:val="bottom"/>
            <w:tcBorders>
              <w:top w:val="single" w:sz="8" w:color="4472C4"/>
              <w:bottom w:val="single" w:sz="8" w:color="4472C4"/>
            </w:tcBorders>
            <w:gridSpan w:val="9"/>
          </w:tcPr>
          <w:p>
            <w:pPr>
              <w:spacing w:after="0" w:line="20" w:lineRule="exact"/>
              <w:rPr>
                <w:sz w:val="1"/>
                <w:szCs w:val="1"/>
                <w:color w:val="auto"/>
              </w:rPr>
            </w:pPr>
          </w:p>
        </w:tc>
        <w:tc>
          <w:tcPr>
            <w:tcW w:w="1200" w:type="dxa"/>
            <w:vAlign w:val="bottom"/>
            <w:tcBorders>
              <w:right w:val="single" w:sz="8" w:color="auto"/>
            </w:tcBorders>
            <w:gridSpan w:val="9"/>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3"/>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2620" w:type="dxa"/>
            <w:vAlign w:val="bottom"/>
            <w:tcBorders>
              <w:right w:val="single" w:sz="8" w:color="auto"/>
            </w:tcBorders>
            <w:gridSpan w:val="28"/>
          </w:tcPr>
          <w:p>
            <w:pPr>
              <w:jc w:val="center"/>
              <w:ind w:right="680"/>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right w:val="single" w:sz="8" w:color="auto"/>
            </w:tcBorders>
            <w:gridSpan w:val="23"/>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Gladewater, TX</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8"/>
              </w:rPr>
              <w:t>10,111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gridSpan w:val="2"/>
          </w:tcPr>
          <w:p>
            <w:pPr>
              <w:spacing w:after="0" w:line="20" w:lineRule="exact"/>
              <w:rPr>
                <w:sz w:val="1"/>
                <w:szCs w:val="1"/>
                <w:color w:val="auto"/>
              </w:rPr>
            </w:pPr>
          </w:p>
        </w:tc>
        <w:tc>
          <w:tcPr>
            <w:tcW w:w="1820" w:type="dxa"/>
            <w:vAlign w:val="bottom"/>
            <w:tcBorders>
              <w:top w:val="single" w:sz="8" w:color="4472C4"/>
              <w:bottom w:val="single" w:sz="8" w:color="4472C4"/>
            </w:tcBorders>
            <w:gridSpan w:val="24"/>
          </w:tcPr>
          <w:p>
            <w:pPr>
              <w:spacing w:after="0" w:line="20" w:lineRule="exact"/>
              <w:rPr>
                <w:sz w:val="1"/>
                <w:szCs w:val="1"/>
                <w:color w:val="auto"/>
              </w:rPr>
            </w:pPr>
          </w:p>
        </w:tc>
        <w:tc>
          <w:tcPr>
            <w:tcW w:w="740" w:type="dxa"/>
            <w:vAlign w:val="bottom"/>
            <w:tcBorders>
              <w:right w:val="single" w:sz="8" w:color="auto"/>
            </w:tcBorders>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120" w:type="dxa"/>
            <w:vAlign w:val="bottom"/>
            <w:tcBorders>
              <w:top w:val="single" w:sz="8" w:color="4472C4"/>
              <w:bottom w:val="single" w:sz="8" w:color="4472C4"/>
            </w:tcBorders>
            <w:gridSpan w:val="18"/>
          </w:tcPr>
          <w:p>
            <w:pPr>
              <w:spacing w:after="0" w:line="20" w:lineRule="exact"/>
              <w:rPr>
                <w:sz w:val="1"/>
                <w:szCs w:val="1"/>
                <w:color w:val="auto"/>
              </w:rPr>
            </w:pPr>
          </w:p>
        </w:tc>
        <w:tc>
          <w:tcPr>
            <w:tcW w:w="1100" w:type="dxa"/>
            <w:vAlign w:val="bottom"/>
            <w:tcBorders>
              <w:right w:val="single" w:sz="8" w:color="auto"/>
            </w:tcBorders>
            <w:gridSpan w:val="5"/>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144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r>
        <w:trPr>
          <w:trHeight w:val="161"/>
        </w:trPr>
        <w:tc>
          <w:tcPr>
            <w:tcW w:w="700" w:type="dxa"/>
            <w:vAlign w:val="bottom"/>
            <w:tcBorders>
              <w:left w:val="single" w:sz="8" w:color="auto"/>
            </w:tcBorders>
          </w:tcPr>
          <w:p>
            <w:pPr>
              <w:spacing w:after="0"/>
              <w:rPr>
                <w:sz w:val="13"/>
                <w:szCs w:val="13"/>
                <w:color w:val="auto"/>
              </w:rPr>
            </w:pPr>
          </w:p>
        </w:tc>
        <w:tc>
          <w:tcPr>
            <w:tcW w:w="2620" w:type="dxa"/>
            <w:vAlign w:val="bottom"/>
            <w:tcBorders>
              <w:right w:val="single" w:sz="8" w:color="auto"/>
            </w:tcBorders>
            <w:gridSpan w:val="28"/>
          </w:tcPr>
          <w:p>
            <w:pPr>
              <w:jc w:val="center"/>
              <w:ind w:right="680"/>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tcBorders>
              <w:right w:val="single" w:sz="8" w:color="auto"/>
            </w:tcBorders>
            <w:gridSpan w:val="25"/>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Lake Village, AR</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14,592</w:t>
            </w:r>
          </w:p>
        </w:tc>
        <w:tc>
          <w:tcPr>
            <w:tcW w:w="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gridSpan w:val="2"/>
          </w:tcPr>
          <w:p>
            <w:pPr>
              <w:spacing w:after="0" w:line="20" w:lineRule="exact"/>
              <w:rPr>
                <w:sz w:val="1"/>
                <w:szCs w:val="1"/>
                <w:color w:val="auto"/>
              </w:rPr>
            </w:pPr>
          </w:p>
        </w:tc>
        <w:tc>
          <w:tcPr>
            <w:tcW w:w="1820" w:type="dxa"/>
            <w:vAlign w:val="bottom"/>
            <w:tcBorders>
              <w:top w:val="single" w:sz="8" w:color="4472C4"/>
              <w:bottom w:val="single" w:sz="8" w:color="4472C4"/>
            </w:tcBorders>
            <w:gridSpan w:val="24"/>
          </w:tcPr>
          <w:p>
            <w:pPr>
              <w:spacing w:after="0" w:line="20" w:lineRule="exact"/>
              <w:rPr>
                <w:sz w:val="1"/>
                <w:szCs w:val="1"/>
                <w:color w:val="auto"/>
              </w:rPr>
            </w:pPr>
          </w:p>
        </w:tc>
        <w:tc>
          <w:tcPr>
            <w:tcW w:w="740" w:type="dxa"/>
            <w:vAlign w:val="bottom"/>
            <w:tcBorders>
              <w:right w:val="single" w:sz="8" w:color="auto"/>
            </w:tcBorders>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20" w:type="dxa"/>
            <w:vAlign w:val="bottom"/>
            <w:tcBorders>
              <w:top w:val="single" w:sz="8" w:color="4472C4"/>
              <w:bottom w:val="single" w:sz="8" w:color="4472C4"/>
            </w:tcBorders>
            <w:gridSpan w:val="22"/>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9"/>
          </w:tcPr>
          <w:p>
            <w:pPr>
              <w:spacing w:after="0" w:line="20" w:lineRule="exact"/>
              <w:rPr>
                <w:sz w:val="1"/>
                <w:szCs w:val="1"/>
                <w:color w:val="auto"/>
              </w:rPr>
            </w:pPr>
          </w:p>
        </w:tc>
        <w:tc>
          <w:tcPr>
            <w:tcW w:w="3300" w:type="dxa"/>
            <w:vAlign w:val="bottom"/>
            <w:tcBorders>
              <w:bottom w:val="single" w:sz="8" w:color="auto"/>
              <w:right w:val="single" w:sz="8" w:color="auto"/>
            </w:tcBorders>
            <w:gridSpan w:val="28"/>
          </w:tcPr>
          <w:p>
            <w:pPr>
              <w:spacing w:after="0" w:line="20" w:lineRule="exact"/>
              <w:rPr>
                <w:sz w:val="1"/>
                <w:szCs w:val="1"/>
                <w:color w:val="auto"/>
              </w:rPr>
            </w:pPr>
          </w:p>
        </w:tc>
        <w:tc>
          <w:tcPr>
            <w:tcW w:w="3320" w:type="dxa"/>
            <w:vAlign w:val="bottom"/>
            <w:tcBorders>
              <w:bottom w:val="single" w:sz="8" w:color="auto"/>
              <w:right w:val="single" w:sz="8" w:color="auto"/>
            </w:tcBorders>
            <w:gridSpan w:val="1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72" w:right="979" w:bottom="1440" w:gutter="0" w:footer="0" w:header="0"/>
        </w:sectPr>
      </w:pPr>
    </w:p>
    <w:bookmarkStart w:id="217" w:name="page218"/>
    <w:bookmarkEnd w:id="217"/>
    <w:tbl>
      <w:tblPr>
        <w:tblLayout w:type="fixed"/>
        <w:tblInd w:w="10" w:type="dxa"/>
        <w:tblCellMar>
          <w:top w:w="0" w:type="dxa"/>
          <w:left w:w="0" w:type="dxa"/>
          <w:bottom w:w="0" w:type="dxa"/>
          <w:right w:w="0" w:type="dxa"/>
        </w:tblCellMar>
      </w:tblPr>
      <w:tr>
        <w:trPr>
          <w:trHeight w:val="196"/>
        </w:trPr>
        <w:tc>
          <w:tcPr>
            <w:tcW w:w="3320" w:type="dxa"/>
            <w:vAlign w:val="bottom"/>
            <w:tcBorders>
              <w:top w:val="single" w:sz="8" w:color="auto"/>
              <w:left w:val="single" w:sz="8" w:color="auto"/>
              <w:right w:val="single" w:sz="8" w:color="auto"/>
            </w:tcBorders>
            <w:gridSpan w:val="15"/>
          </w:tcPr>
          <w:p>
            <w:pPr>
              <w:jc w:val="center"/>
              <w:spacing w:after="0"/>
              <w:rPr>
                <w:sz w:val="20"/>
                <w:szCs w:val="20"/>
                <w:color w:val="auto"/>
              </w:rPr>
            </w:pPr>
            <w:r>
              <w:rPr>
                <w:rFonts w:ascii="Times New Roman" w:cs="Times New Roman" w:eastAsia="Times New Roman" w:hAnsi="Times New Roman"/>
                <w:sz w:val="17"/>
                <w:szCs w:val="17"/>
                <w:color w:val="4472C4"/>
              </w:rPr>
              <w:t>Dollar Tree/Family Dollar</w:t>
            </w: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60" w:type="dxa"/>
            <w:vAlign w:val="bottom"/>
            <w:tcBorders>
              <w:top w:val="single" w:sz="8" w:color="auto"/>
              <w:right w:val="single" w:sz="8" w:color="auto"/>
            </w:tcBorders>
            <w:gridSpan w:val="15"/>
          </w:tcPr>
          <w:p>
            <w:pPr>
              <w:jc w:val="center"/>
              <w:ind w:right="1260"/>
              <w:spacing w:after="0"/>
              <w:rPr>
                <w:sz w:val="20"/>
                <w:szCs w:val="20"/>
                <w:color w:val="auto"/>
              </w:rPr>
            </w:pPr>
            <w:r>
              <w:rPr>
                <w:rFonts w:ascii="Times New Roman" w:cs="Times New Roman" w:eastAsia="Times New Roman" w:hAnsi="Times New Roman"/>
                <w:sz w:val="17"/>
                <w:szCs w:val="17"/>
                <w:color w:val="4472C4"/>
              </w:rPr>
              <w:t>Madill, OK</w:t>
            </w:r>
          </w:p>
        </w:tc>
        <w:tc>
          <w:tcPr>
            <w:tcW w:w="1880" w:type="dxa"/>
            <w:vAlign w:val="bottom"/>
            <w:tcBorders>
              <w:top w:val="single" w:sz="8" w:color="auto"/>
            </w:tcBorders>
            <w:gridSpan w:val="7"/>
          </w:tcPr>
          <w:p>
            <w:pPr>
              <w:jc w:val="center"/>
              <w:ind w:left="1333"/>
              <w:spacing w:after="0"/>
              <w:rPr>
                <w:sz w:val="20"/>
                <w:szCs w:val="20"/>
                <w:color w:val="auto"/>
              </w:rPr>
            </w:pPr>
            <w:r>
              <w:rPr>
                <w:rFonts w:ascii="Times New Roman" w:cs="Times New Roman" w:eastAsia="Times New Roman" w:hAnsi="Times New Roman"/>
                <w:sz w:val="17"/>
                <w:szCs w:val="17"/>
                <w:color w:val="4472C4"/>
                <w:w w:val="99"/>
              </w:rPr>
              <w:t>9,682</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3320" w:type="dxa"/>
            <w:vAlign w:val="bottom"/>
            <w:tcBorders>
              <w:left w:val="single" w:sz="8" w:color="auto"/>
              <w:right w:val="single" w:sz="8" w:color="auto"/>
            </w:tcBorders>
            <w:gridSpan w:val="15"/>
          </w:tcPr>
          <w:p>
            <w:pPr>
              <w:jc w:val="center"/>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right w:val="single" w:sz="8" w:color="auto"/>
            </w:tcBorders>
            <w:gridSpan w:val="21"/>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w w:val="98"/>
              </w:rPr>
              <w:t>McKenny, VA</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10,531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3320" w:type="dxa"/>
            <w:vAlign w:val="bottom"/>
            <w:tcBorders>
              <w:left w:val="single" w:sz="8" w:color="auto"/>
              <w:right w:val="single" w:sz="8" w:color="auto"/>
            </w:tcBorders>
            <w:gridSpan w:val="15"/>
          </w:tcPr>
          <w:p>
            <w:pPr>
              <w:jc w:val="center"/>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20" w:type="dxa"/>
            <w:vAlign w:val="bottom"/>
          </w:tcPr>
          <w:p>
            <w:pPr>
              <w:spacing w:after="0"/>
              <w:rPr>
                <w:sz w:val="13"/>
                <w:szCs w:val="13"/>
                <w:color w:val="auto"/>
              </w:rPr>
            </w:pPr>
          </w:p>
        </w:tc>
        <w:tc>
          <w:tcPr>
            <w:tcW w:w="2380" w:type="dxa"/>
            <w:vAlign w:val="bottom"/>
            <w:tcBorders>
              <w:right w:val="single" w:sz="8" w:color="auto"/>
            </w:tcBorders>
            <w:gridSpan w:val="27"/>
          </w:tcPr>
          <w:p>
            <w:pPr>
              <w:jc w:val="center"/>
              <w:ind w:right="940"/>
              <w:spacing w:after="0" w:line="161" w:lineRule="exact"/>
              <w:rPr>
                <w:sz w:val="20"/>
                <w:szCs w:val="20"/>
                <w:color w:val="auto"/>
              </w:rPr>
            </w:pPr>
            <w:r>
              <w:rPr>
                <w:rFonts w:ascii="Times New Roman" w:cs="Times New Roman" w:eastAsia="Times New Roman" w:hAnsi="Times New Roman"/>
                <w:sz w:val="17"/>
                <w:szCs w:val="17"/>
                <w:color w:val="4472C4"/>
              </w:rPr>
              <w:t>Murfreesboro, AR</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3320" w:type="dxa"/>
            <w:vAlign w:val="bottom"/>
            <w:tcBorders>
              <w:left w:val="single" w:sz="8" w:color="auto"/>
              <w:right w:val="single" w:sz="8" w:color="auto"/>
            </w:tcBorders>
            <w:gridSpan w:val="15"/>
          </w:tcPr>
          <w:p>
            <w:pPr>
              <w:jc w:val="center"/>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right w:val="single" w:sz="8" w:color="auto"/>
            </w:tcBorders>
            <w:gridSpan w:val="24"/>
          </w:tcPr>
          <w:p>
            <w:pPr>
              <w:jc w:val="center"/>
              <w:ind w:right="1080"/>
              <w:spacing w:after="0" w:line="161" w:lineRule="exact"/>
              <w:rPr>
                <w:sz w:val="20"/>
                <w:szCs w:val="20"/>
                <w:color w:val="auto"/>
              </w:rPr>
            </w:pPr>
            <w:r>
              <w:rPr>
                <w:rFonts w:ascii="Times New Roman" w:cs="Times New Roman" w:eastAsia="Times New Roman" w:hAnsi="Times New Roman"/>
                <w:sz w:val="17"/>
                <w:szCs w:val="17"/>
                <w:color w:val="4472C4"/>
              </w:rPr>
              <w:t>Phillipsburg, KS</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3320" w:type="dxa"/>
            <w:vAlign w:val="bottom"/>
            <w:tcBorders>
              <w:left w:val="single" w:sz="8" w:color="auto"/>
              <w:right w:val="single" w:sz="8" w:color="auto"/>
            </w:tcBorders>
            <w:gridSpan w:val="15"/>
          </w:tcPr>
          <w:p>
            <w:pPr>
              <w:jc w:val="center"/>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right w:val="single" w:sz="8" w:color="auto"/>
            </w:tcBorders>
            <w:gridSpan w:val="20"/>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Plainville, KS</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3320" w:type="dxa"/>
            <w:vAlign w:val="bottom"/>
            <w:tcBorders>
              <w:left w:val="single" w:sz="8" w:color="auto"/>
              <w:right w:val="single" w:sz="8" w:color="auto"/>
            </w:tcBorders>
            <w:gridSpan w:val="15"/>
          </w:tcPr>
          <w:p>
            <w:pPr>
              <w:jc w:val="center"/>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right w:val="single" w:sz="8" w:color="auto"/>
            </w:tcBorders>
            <w:gridSpan w:val="16"/>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Sabetha, KS</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3320" w:type="dxa"/>
            <w:vAlign w:val="bottom"/>
            <w:tcBorders>
              <w:left w:val="single" w:sz="8" w:color="auto"/>
              <w:right w:val="single" w:sz="8" w:color="auto"/>
            </w:tcBorders>
            <w:gridSpan w:val="15"/>
          </w:tcPr>
          <w:p>
            <w:pPr>
              <w:jc w:val="center"/>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right w:val="single" w:sz="8" w:color="auto"/>
            </w:tcBorders>
            <w:gridSpan w:val="18"/>
          </w:tcPr>
          <w:p>
            <w:pPr>
              <w:jc w:val="center"/>
              <w:ind w:right="1200"/>
              <w:spacing w:after="0" w:line="161" w:lineRule="exact"/>
              <w:rPr>
                <w:sz w:val="20"/>
                <w:szCs w:val="20"/>
                <w:color w:val="auto"/>
              </w:rPr>
            </w:pPr>
            <w:r>
              <w:rPr>
                <w:rFonts w:ascii="Times New Roman" w:cs="Times New Roman" w:eastAsia="Times New Roman" w:hAnsi="Times New Roman"/>
                <w:sz w:val="17"/>
                <w:szCs w:val="17"/>
                <w:color w:val="4472C4"/>
              </w:rPr>
              <w:t>Superior, NE</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3320" w:type="dxa"/>
            <w:vAlign w:val="bottom"/>
            <w:tcBorders>
              <w:left w:val="single" w:sz="8" w:color="auto"/>
              <w:right w:val="single" w:sz="8" w:color="auto"/>
            </w:tcBorders>
            <w:gridSpan w:val="15"/>
          </w:tcPr>
          <w:p>
            <w:pPr>
              <w:jc w:val="center"/>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right w:val="single" w:sz="8" w:color="auto"/>
            </w:tcBorders>
            <w:gridSpan w:val="16"/>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Tipton, MO</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3320" w:type="dxa"/>
            <w:vAlign w:val="bottom"/>
            <w:tcBorders>
              <w:left w:val="single" w:sz="8" w:color="auto"/>
              <w:right w:val="single" w:sz="8" w:color="auto"/>
            </w:tcBorders>
            <w:gridSpan w:val="15"/>
          </w:tcPr>
          <w:p>
            <w:pPr>
              <w:jc w:val="center"/>
              <w:spacing w:after="0" w:line="161" w:lineRule="exact"/>
              <w:rPr>
                <w:sz w:val="20"/>
                <w:szCs w:val="20"/>
                <w:color w:val="auto"/>
              </w:rPr>
            </w:pPr>
            <w:r>
              <w:rPr>
                <w:rFonts w:ascii="Times New Roman" w:cs="Times New Roman" w:eastAsia="Times New Roman" w:hAnsi="Times New Roman"/>
                <w:sz w:val="17"/>
                <w:szCs w:val="17"/>
                <w:color w:val="4472C4"/>
              </w:rPr>
              <w:t>Dollar Tree/Family Dollar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right w:val="single" w:sz="8" w:color="auto"/>
            </w:tcBorders>
            <w:gridSpan w:val="23"/>
          </w:tcPr>
          <w:p>
            <w:pPr>
              <w:jc w:val="center"/>
              <w:ind w:right="1080"/>
              <w:spacing w:after="0" w:line="161" w:lineRule="exact"/>
              <w:rPr>
                <w:sz w:val="20"/>
                <w:szCs w:val="20"/>
                <w:color w:val="auto"/>
              </w:rPr>
            </w:pPr>
            <w:r>
              <w:rPr>
                <w:rFonts w:ascii="Times New Roman" w:cs="Times New Roman" w:eastAsia="Times New Roman" w:hAnsi="Times New Roman"/>
                <w:sz w:val="17"/>
                <w:szCs w:val="17"/>
                <w:color w:val="4472C4"/>
                <w:w w:val="99"/>
              </w:rPr>
              <w:t>Van Buren, MO</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right w:val="single" w:sz="8" w:color="auto"/>
            </w:tcBorders>
            <w:gridSpan w:val="10"/>
          </w:tcPr>
          <w:p>
            <w:pPr>
              <w:jc w:val="center"/>
              <w:ind w:right="1240"/>
              <w:spacing w:after="0" w:line="161" w:lineRule="exact"/>
              <w:rPr>
                <w:sz w:val="20"/>
                <w:szCs w:val="20"/>
                <w:color w:val="auto"/>
              </w:rPr>
            </w:pPr>
            <w:r>
              <w:rPr>
                <w:rFonts w:ascii="Times New Roman" w:cs="Times New Roman" w:eastAsia="Times New Roman" w:hAnsi="Times New Roman"/>
                <w:sz w:val="17"/>
                <w:szCs w:val="17"/>
                <w:color w:val="4472C4"/>
              </w:rPr>
              <w:t>Ethan Allen</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Borders>
              <w:right w:val="single" w:sz="8" w:color="auto"/>
            </w:tcBorders>
            <w:gridSpan w:val="25"/>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Friendswood, TX</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12,208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right w:val="single" w:sz="8" w:color="auto"/>
            </w:tcBorders>
            <w:gridSpan w:val="12"/>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Family Dollar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right w:val="single" w:sz="8" w:color="auto"/>
            </w:tcBorders>
            <w:gridSpan w:val="24"/>
          </w:tcPr>
          <w:p>
            <w:pPr>
              <w:jc w:val="center"/>
              <w:ind w:right="1080"/>
              <w:spacing w:after="0" w:line="161" w:lineRule="exact"/>
              <w:rPr>
                <w:sz w:val="20"/>
                <w:szCs w:val="20"/>
                <w:color w:val="auto"/>
              </w:rPr>
            </w:pPr>
            <w:r>
              <w:rPr>
                <w:rFonts w:ascii="Times New Roman" w:cs="Times New Roman" w:eastAsia="Times New Roman" w:hAnsi="Times New Roman"/>
                <w:sz w:val="17"/>
                <w:szCs w:val="17"/>
                <w:color w:val="4472C4"/>
              </w:rPr>
              <w:t>Amsterdam, OH</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right w:val="single" w:sz="8" w:color="auto"/>
            </w:tcBorders>
            <w:gridSpan w:val="12"/>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Family Dollar</w:t>
            </w:r>
          </w:p>
        </w:tc>
        <w:tc>
          <w:tcPr>
            <w:tcW w:w="920" w:type="dxa"/>
            <w:vAlign w:val="bottom"/>
          </w:tcPr>
          <w:p>
            <w:pPr>
              <w:spacing w:after="0"/>
              <w:rPr>
                <w:sz w:val="13"/>
                <w:szCs w:val="13"/>
                <w:color w:val="auto"/>
              </w:rPr>
            </w:pPr>
          </w:p>
        </w:tc>
        <w:tc>
          <w:tcPr>
            <w:tcW w:w="2380" w:type="dxa"/>
            <w:vAlign w:val="bottom"/>
            <w:tcBorders>
              <w:right w:val="single" w:sz="8" w:color="auto"/>
            </w:tcBorders>
            <w:gridSpan w:val="27"/>
          </w:tcPr>
          <w:p>
            <w:pPr>
              <w:jc w:val="center"/>
              <w:ind w:right="920"/>
              <w:spacing w:after="0" w:line="161" w:lineRule="exact"/>
              <w:rPr>
                <w:sz w:val="20"/>
                <w:szCs w:val="20"/>
                <w:color w:val="auto"/>
              </w:rPr>
            </w:pPr>
            <w:r>
              <w:rPr>
                <w:rFonts w:ascii="Times New Roman" w:cs="Times New Roman" w:eastAsia="Times New Roman" w:hAnsi="Times New Roman"/>
                <w:sz w:val="17"/>
                <w:szCs w:val="17"/>
                <w:color w:val="4472C4"/>
              </w:rPr>
              <w:t>Medicine Lodge, KS</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right w:val="single" w:sz="8" w:color="auto"/>
            </w:tcBorders>
            <w:gridSpan w:val="12"/>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Family Dollar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right w:val="single" w:sz="8" w:color="auto"/>
            </w:tcBorders>
            <w:gridSpan w:val="24"/>
          </w:tcPr>
          <w:p>
            <w:pPr>
              <w:jc w:val="center"/>
              <w:ind w:right="1080"/>
              <w:spacing w:after="0" w:line="161" w:lineRule="exact"/>
              <w:rPr>
                <w:sz w:val="20"/>
                <w:szCs w:val="20"/>
                <w:color w:val="auto"/>
              </w:rPr>
            </w:pPr>
            <w:r>
              <w:rPr>
                <w:rFonts w:ascii="Times New Roman" w:cs="Times New Roman" w:eastAsia="Times New Roman" w:hAnsi="Times New Roman"/>
                <w:sz w:val="17"/>
                <w:szCs w:val="17"/>
                <w:color w:val="4472C4"/>
              </w:rPr>
              <w:t>Town Creek, AL</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10,500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180" w:type="dxa"/>
            <w:vAlign w:val="bottom"/>
            <w:tcBorders>
              <w:right w:val="single" w:sz="8" w:color="auto"/>
            </w:tcBorders>
            <w:gridSpan w:val="13"/>
          </w:tcPr>
          <w:p>
            <w:pPr>
              <w:jc w:val="center"/>
              <w:ind w:right="1120"/>
              <w:spacing w:after="0" w:line="161" w:lineRule="exact"/>
              <w:rPr>
                <w:sz w:val="20"/>
                <w:szCs w:val="20"/>
                <w:color w:val="auto"/>
              </w:rPr>
            </w:pPr>
            <w:r>
              <w:rPr>
                <w:rFonts w:ascii="Times New Roman" w:cs="Times New Roman" w:eastAsia="Times New Roman" w:hAnsi="Times New Roman"/>
                <w:sz w:val="17"/>
                <w:szCs w:val="17"/>
                <w:color w:val="4472C4"/>
              </w:rPr>
              <w:t>Festival Foods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right w:val="single" w:sz="8" w:color="auto"/>
            </w:tcBorders>
            <w:gridSpan w:val="16"/>
          </w:tcPr>
          <w:p>
            <w:pPr>
              <w:jc w:val="center"/>
              <w:ind w:right="1240"/>
              <w:spacing w:after="0" w:line="161" w:lineRule="exact"/>
              <w:rPr>
                <w:sz w:val="20"/>
                <w:szCs w:val="20"/>
                <w:color w:val="auto"/>
              </w:rPr>
            </w:pPr>
            <w:r>
              <w:rPr>
                <w:rFonts w:ascii="Times New Roman" w:cs="Times New Roman" w:eastAsia="Times New Roman" w:hAnsi="Times New Roman"/>
                <w:sz w:val="17"/>
                <w:szCs w:val="17"/>
                <w:color w:val="4472C4"/>
              </w:rPr>
              <w:t>Portage, WI</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54,720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180" w:type="dxa"/>
            <w:vAlign w:val="bottom"/>
            <w:tcBorders>
              <w:right w:val="single" w:sz="8" w:color="auto"/>
            </w:tcBorders>
            <w:gridSpan w:val="13"/>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Harbor Freight</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Borders>
              <w:right w:val="single" w:sz="8" w:color="auto"/>
            </w:tcBorders>
            <w:gridSpan w:val="25"/>
          </w:tcPr>
          <w:p>
            <w:pPr>
              <w:jc w:val="center"/>
              <w:ind w:right="1060"/>
              <w:spacing w:after="0" w:line="161" w:lineRule="exact"/>
              <w:rPr>
                <w:sz w:val="20"/>
                <w:szCs w:val="20"/>
                <w:color w:val="auto"/>
              </w:rPr>
            </w:pPr>
            <w:r>
              <w:rPr>
                <w:rFonts w:ascii="Times New Roman" w:cs="Times New Roman" w:eastAsia="Times New Roman" w:hAnsi="Times New Roman"/>
                <w:sz w:val="17"/>
                <w:szCs w:val="17"/>
                <w:color w:val="4472C4"/>
              </w:rPr>
              <w:t>Washington, MO</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23,466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tcBorders>
              <w:right w:val="single" w:sz="8" w:color="auto"/>
            </w:tcBorders>
            <w:gridSpan w:val="9"/>
          </w:tcPr>
          <w:p>
            <w:pPr>
              <w:jc w:val="center"/>
              <w:ind w:right="1280"/>
              <w:spacing w:after="0" w:line="161" w:lineRule="exact"/>
              <w:rPr>
                <w:sz w:val="20"/>
                <w:szCs w:val="20"/>
                <w:color w:val="auto"/>
              </w:rPr>
            </w:pPr>
            <w:r>
              <w:rPr>
                <w:rFonts w:ascii="Times New Roman" w:cs="Times New Roman" w:eastAsia="Times New Roman" w:hAnsi="Times New Roman"/>
                <w:sz w:val="17"/>
                <w:szCs w:val="17"/>
                <w:color w:val="4472C4"/>
              </w:rPr>
              <w:t>LA Fitness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right w:val="single" w:sz="8" w:color="auto"/>
            </w:tcBorders>
            <w:gridSpan w:val="18"/>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Houston, TX</w:t>
            </w:r>
          </w:p>
        </w:tc>
        <w:tc>
          <w:tcPr>
            <w:tcW w:w="1900" w:type="dxa"/>
            <w:vAlign w:val="bottom"/>
            <w:gridSpan w:val="8"/>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45,208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11"/>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Little Caesars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right w:val="single" w:sz="8" w:color="auto"/>
            </w:tcBorders>
            <w:gridSpan w:val="21"/>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Columbus, NE</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6,944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11"/>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Little Caesars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Borders>
              <w:right w:val="single" w:sz="8" w:color="auto"/>
            </w:tcBorders>
            <w:gridSpan w:val="14"/>
          </w:tcPr>
          <w:p>
            <w:pPr>
              <w:jc w:val="center"/>
              <w:ind w:right="1320"/>
              <w:spacing w:after="0" w:line="161" w:lineRule="exact"/>
              <w:rPr>
                <w:sz w:val="20"/>
                <w:szCs w:val="20"/>
                <w:color w:val="auto"/>
              </w:rPr>
            </w:pPr>
            <w:r>
              <w:rPr>
                <w:rFonts w:ascii="Times New Roman" w:cs="Times New Roman" w:eastAsia="Times New Roman" w:hAnsi="Times New Roman"/>
                <w:sz w:val="17"/>
                <w:szCs w:val="17"/>
                <w:color w:val="4472C4"/>
              </w:rPr>
              <w:t>Eden, NC</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1,790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11"/>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Little Caesars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right w:val="single" w:sz="8" w:color="auto"/>
            </w:tcBorders>
            <w:gridSpan w:val="23"/>
          </w:tcPr>
          <w:p>
            <w:pPr>
              <w:jc w:val="center"/>
              <w:ind w:right="1080"/>
              <w:spacing w:after="0" w:line="161" w:lineRule="exact"/>
              <w:rPr>
                <w:sz w:val="20"/>
                <w:szCs w:val="20"/>
                <w:color w:val="auto"/>
              </w:rPr>
            </w:pPr>
            <w:r>
              <w:rPr>
                <w:rFonts w:ascii="Times New Roman" w:cs="Times New Roman" w:eastAsia="Times New Roman" w:hAnsi="Times New Roman"/>
                <w:sz w:val="17"/>
                <w:szCs w:val="17"/>
                <w:color w:val="4472C4"/>
              </w:rPr>
              <w:t>Greensboro, NC</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1,678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11"/>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Little Caesars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right w:val="single" w:sz="8" w:color="auto"/>
            </w:tcBorders>
            <w:gridSpan w:val="17"/>
          </w:tcPr>
          <w:p>
            <w:pPr>
              <w:jc w:val="center"/>
              <w:ind w:right="1200"/>
              <w:spacing w:after="0" w:line="161" w:lineRule="exact"/>
              <w:rPr>
                <w:sz w:val="20"/>
                <w:szCs w:val="20"/>
                <w:color w:val="auto"/>
              </w:rPr>
            </w:pPr>
            <w:r>
              <w:rPr>
                <w:rFonts w:ascii="Times New Roman" w:cs="Times New Roman" w:eastAsia="Times New Roman" w:hAnsi="Times New Roman"/>
                <w:sz w:val="17"/>
                <w:szCs w:val="17"/>
                <w:color w:val="4472C4"/>
              </w:rPr>
              <w:t>Kearney, NE</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2,253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11"/>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Little Caesars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right w:val="single" w:sz="8" w:color="auto"/>
            </w:tcBorders>
            <w:gridSpan w:val="24"/>
          </w:tcPr>
          <w:p>
            <w:pPr>
              <w:jc w:val="center"/>
              <w:ind w:right="1080"/>
              <w:spacing w:after="0" w:line="161" w:lineRule="exact"/>
              <w:rPr>
                <w:sz w:val="20"/>
                <w:szCs w:val="20"/>
                <w:color w:val="auto"/>
              </w:rPr>
            </w:pPr>
            <w:r>
              <w:rPr>
                <w:rFonts w:ascii="Times New Roman" w:cs="Times New Roman" w:eastAsia="Times New Roman" w:hAnsi="Times New Roman"/>
                <w:sz w:val="17"/>
                <w:szCs w:val="17"/>
                <w:color w:val="4472C4"/>
              </w:rPr>
              <w:t>North Platte, NE</w:t>
            </w:r>
          </w:p>
        </w:tc>
        <w:tc>
          <w:tcPr>
            <w:tcW w:w="1880" w:type="dxa"/>
            <w:vAlign w:val="bottom"/>
            <w:gridSpan w:val="7"/>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1,529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Borders>
              <w:right w:val="single" w:sz="8" w:color="auto"/>
            </w:tcBorders>
            <w:gridSpan w:val="8"/>
          </w:tcPr>
          <w:p>
            <w:pPr>
              <w:jc w:val="center"/>
              <w:ind w:right="1400"/>
              <w:spacing w:after="0" w:line="161" w:lineRule="exact"/>
              <w:rPr>
                <w:sz w:val="20"/>
                <w:szCs w:val="20"/>
                <w:color w:val="auto"/>
              </w:rPr>
            </w:pPr>
            <w:r>
              <w:rPr>
                <w:rFonts w:ascii="Times New Roman" w:cs="Times New Roman" w:eastAsia="Times New Roman" w:hAnsi="Times New Roman"/>
                <w:sz w:val="17"/>
                <w:szCs w:val="17"/>
                <w:color w:val="4472C4"/>
              </w:rPr>
              <w:t>Lowe’s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right w:val="single" w:sz="8" w:color="auto"/>
            </w:tcBorders>
            <w:gridSpan w:val="15"/>
          </w:tcPr>
          <w:p>
            <w:pPr>
              <w:jc w:val="center"/>
              <w:ind w:right="1240"/>
              <w:spacing w:after="0" w:line="161" w:lineRule="exact"/>
              <w:rPr>
                <w:sz w:val="20"/>
                <w:szCs w:val="20"/>
                <w:color w:val="auto"/>
              </w:rPr>
            </w:pPr>
            <w:r>
              <w:rPr>
                <w:rFonts w:ascii="Times New Roman" w:cs="Times New Roman" w:eastAsia="Times New Roman" w:hAnsi="Times New Roman"/>
                <w:sz w:val="17"/>
                <w:szCs w:val="17"/>
                <w:color w:val="4472C4"/>
              </w:rPr>
              <w:t>Logan, WV</w:t>
            </w:r>
          </w:p>
        </w:tc>
        <w:tc>
          <w:tcPr>
            <w:tcW w:w="1920" w:type="dxa"/>
            <w:vAlign w:val="bottom"/>
            <w:gridSpan w:val="9"/>
          </w:tcPr>
          <w:p>
            <w:pPr>
              <w:jc w:val="center"/>
              <w:ind w:left="1293"/>
              <w:spacing w:after="0" w:line="161" w:lineRule="exact"/>
              <w:rPr>
                <w:sz w:val="20"/>
                <w:szCs w:val="20"/>
                <w:color w:val="auto"/>
              </w:rPr>
            </w:pPr>
            <w:r>
              <w:rPr>
                <w:rFonts w:ascii="Times New Roman" w:cs="Times New Roman" w:eastAsia="Times New Roman" w:hAnsi="Times New Roman"/>
                <w:sz w:val="17"/>
                <w:szCs w:val="17"/>
                <w:color w:val="4472C4"/>
                <w:w w:val="97"/>
              </w:rPr>
              <w:t>114,731</w:t>
            </w:r>
          </w:p>
        </w:tc>
        <w:tc>
          <w:tcPr>
            <w:tcW w:w="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Borders>
              <w:right w:val="single" w:sz="8" w:color="auto"/>
            </w:tcBorders>
            <w:gridSpan w:val="8"/>
          </w:tcPr>
          <w:p>
            <w:pPr>
              <w:jc w:val="center"/>
              <w:ind w:right="1400"/>
              <w:spacing w:after="0" w:line="161" w:lineRule="exact"/>
              <w:rPr>
                <w:sz w:val="20"/>
                <w:szCs w:val="20"/>
                <w:color w:val="auto"/>
              </w:rPr>
            </w:pPr>
            <w:r>
              <w:rPr>
                <w:rFonts w:ascii="Times New Roman" w:cs="Times New Roman" w:eastAsia="Times New Roman" w:hAnsi="Times New Roman"/>
                <w:sz w:val="17"/>
                <w:szCs w:val="17"/>
                <w:color w:val="4472C4"/>
              </w:rPr>
              <w:t>Lowe’s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right w:val="single" w:sz="8" w:color="auto"/>
            </w:tcBorders>
            <w:gridSpan w:val="17"/>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Webster, TX</w:t>
            </w:r>
          </w:p>
        </w:tc>
        <w:tc>
          <w:tcPr>
            <w:tcW w:w="3320" w:type="dxa"/>
            <w:vAlign w:val="bottom"/>
            <w:tcBorders>
              <w:right w:val="single" w:sz="8" w:color="auto"/>
            </w:tcBorders>
            <w:gridSpan w:val="11"/>
          </w:tcPr>
          <w:p>
            <w:pPr>
              <w:jc w:val="center"/>
              <w:ind w:right="20"/>
              <w:spacing w:after="0" w:line="161" w:lineRule="exact"/>
              <w:rPr>
                <w:sz w:val="20"/>
                <w:szCs w:val="20"/>
                <w:color w:val="auto"/>
              </w:rPr>
            </w:pPr>
            <w:r>
              <w:rPr>
                <w:rFonts w:ascii="Times New Roman" w:cs="Times New Roman" w:eastAsia="Times New Roman" w:hAnsi="Times New Roman"/>
                <w:sz w:val="17"/>
                <w:szCs w:val="17"/>
                <w:color w:val="4472C4"/>
              </w:rPr>
              <w:t>163,300</w:t>
            </w: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r>
      <w:tr>
        <w:trPr>
          <w:trHeight w:val="20"/>
        </w:trPr>
        <w:tc>
          <w:tcPr>
            <w:tcW w:w="7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72" w:right="979" w:bottom="1440" w:gutter="0" w:footer="0" w:header="0"/>
        </w:sectPr>
      </w:pPr>
    </w:p>
    <w:bookmarkStart w:id="218" w:name="page219"/>
    <w:bookmarkEnd w:id="218"/>
    <w:tbl>
      <w:tblPr>
        <w:tblLayout w:type="fixed"/>
        <w:tblInd w:w="10" w:type="dxa"/>
        <w:tblCellMar>
          <w:top w:w="0" w:type="dxa"/>
          <w:left w:w="0" w:type="dxa"/>
          <w:bottom w:w="0" w:type="dxa"/>
          <w:right w:w="0" w:type="dxa"/>
        </w:tblCellMar>
      </w:tblPr>
      <w:tr>
        <w:trPr>
          <w:trHeight w:val="196"/>
        </w:trPr>
        <w:tc>
          <w:tcPr>
            <w:tcW w:w="760" w:type="dxa"/>
            <w:vAlign w:val="bottom"/>
            <w:tcBorders>
              <w:top w:val="single" w:sz="8" w:color="auto"/>
              <w:lef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160" w:type="dxa"/>
            <w:vAlign w:val="bottom"/>
            <w:tcBorders>
              <w:top w:val="single" w:sz="8" w:color="auto"/>
              <w:right w:val="single" w:sz="8" w:color="auto"/>
            </w:tcBorders>
            <w:gridSpan w:val="20"/>
          </w:tcPr>
          <w:p>
            <w:pPr>
              <w:jc w:val="center"/>
              <w:ind w:right="1140"/>
              <w:spacing w:after="0"/>
              <w:rPr>
                <w:sz w:val="20"/>
                <w:szCs w:val="20"/>
                <w:color w:val="auto"/>
              </w:rPr>
            </w:pPr>
            <w:r>
              <w:rPr>
                <w:rFonts w:ascii="Times New Roman" w:cs="Times New Roman" w:eastAsia="Times New Roman" w:hAnsi="Times New Roman"/>
                <w:sz w:val="17"/>
                <w:szCs w:val="17"/>
                <w:color w:val="4472C4"/>
              </w:rPr>
              <w:t>Mattress Firm</w:t>
            </w: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120" w:type="dxa"/>
            <w:vAlign w:val="bottom"/>
            <w:tcBorders>
              <w:top w:val="single" w:sz="8" w:color="auto"/>
              <w:right w:val="single" w:sz="8" w:color="auto"/>
            </w:tcBorders>
            <w:gridSpan w:val="20"/>
          </w:tcPr>
          <w:p>
            <w:pPr>
              <w:jc w:val="center"/>
              <w:ind w:right="1200"/>
              <w:spacing w:after="0"/>
              <w:rPr>
                <w:sz w:val="20"/>
                <w:szCs w:val="20"/>
                <w:color w:val="auto"/>
              </w:rPr>
            </w:pPr>
            <w:r>
              <w:rPr>
                <w:rFonts w:ascii="Times New Roman" w:cs="Times New Roman" w:eastAsia="Times New Roman" w:hAnsi="Times New Roman"/>
                <w:sz w:val="17"/>
                <w:szCs w:val="17"/>
                <w:color w:val="4472C4"/>
              </w:rPr>
              <w:t>Gadsden, AL</w:t>
            </w:r>
          </w:p>
        </w:tc>
        <w:tc>
          <w:tcPr>
            <w:tcW w:w="1880" w:type="dxa"/>
            <w:vAlign w:val="bottom"/>
            <w:tcBorders>
              <w:top w:val="single" w:sz="8" w:color="auto"/>
            </w:tcBorders>
            <w:gridSpan w:val="9"/>
          </w:tcPr>
          <w:p>
            <w:pPr>
              <w:jc w:val="center"/>
              <w:ind w:left="1333"/>
              <w:spacing w:after="0"/>
              <w:rPr>
                <w:sz w:val="20"/>
                <w:szCs w:val="20"/>
                <w:color w:val="auto"/>
              </w:rPr>
            </w:pPr>
            <w:r>
              <w:rPr>
                <w:rFonts w:ascii="Times New Roman" w:cs="Times New Roman" w:eastAsia="Times New Roman" w:hAnsi="Times New Roman"/>
                <w:sz w:val="17"/>
                <w:szCs w:val="17"/>
                <w:color w:val="4472C4"/>
                <w:w w:val="99"/>
              </w:rPr>
              <w:t>7,242</w:t>
            </w:r>
          </w:p>
        </w:tc>
        <w:tc>
          <w:tcPr>
            <w:tcW w:w="20" w:type="dxa"/>
            <w:vAlign w:val="bottom"/>
            <w:tcBorders>
              <w:top w:val="single" w:sz="8" w:color="auto"/>
            </w:tcBorders>
          </w:tcPr>
          <w:p>
            <w:pPr>
              <w:spacing w:after="0"/>
              <w:rPr>
                <w:sz w:val="17"/>
                <w:szCs w:val="17"/>
                <w:color w:val="auto"/>
              </w:rPr>
            </w:pPr>
          </w:p>
        </w:tc>
        <w:tc>
          <w:tcPr>
            <w:tcW w:w="1420" w:type="dxa"/>
            <w:vAlign w:val="bottom"/>
            <w:tcBorders>
              <w:top w:val="single" w:sz="8" w:color="auto"/>
              <w:right w:val="single" w:sz="8" w:color="auto"/>
            </w:tcBorders>
          </w:tcPr>
          <w:p>
            <w:pPr>
              <w:spacing w:after="0"/>
              <w:rPr>
                <w:sz w:val="17"/>
                <w:szCs w:val="17"/>
                <w:color w:val="auto"/>
              </w:rPr>
            </w:pPr>
          </w:p>
        </w:tc>
      </w:tr>
      <w:tr>
        <w:trPr>
          <w:trHeight w:val="20"/>
        </w:trPr>
        <w:tc>
          <w:tcPr>
            <w:tcW w:w="1160" w:type="dxa"/>
            <w:vAlign w:val="bottom"/>
            <w:tcBorders>
              <w:left w:val="single" w:sz="8" w:color="auto"/>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980" w:type="dxa"/>
            <w:vAlign w:val="bottom"/>
            <w:tcBorders>
              <w:top w:val="single" w:sz="8" w:color="4472C4"/>
              <w:bottom w:val="single" w:sz="8" w:color="4472C4"/>
            </w:tcBorders>
            <w:gridSpan w:val="12"/>
          </w:tcPr>
          <w:p>
            <w:pPr>
              <w:spacing w:after="0" w:line="20" w:lineRule="exact"/>
              <w:rPr>
                <w:sz w:val="1"/>
                <w:szCs w:val="1"/>
                <w:color w:val="auto"/>
              </w:rPr>
            </w:pPr>
          </w:p>
        </w:tc>
        <w:tc>
          <w:tcPr>
            <w:tcW w:w="1160" w:type="dxa"/>
            <w:vAlign w:val="bottom"/>
            <w:tcBorders>
              <w:right w:val="single" w:sz="8" w:color="auto"/>
            </w:tcBorders>
            <w:gridSpan w:val="7"/>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920" w:type="dxa"/>
            <w:vAlign w:val="bottom"/>
            <w:tcBorders>
              <w:top w:val="single" w:sz="8" w:color="4472C4"/>
              <w:bottom w:val="single" w:sz="8" w:color="4472C4"/>
            </w:tcBorders>
            <w:gridSpan w:val="10"/>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180" w:type="dxa"/>
            <w:vAlign w:val="bottom"/>
            <w:tcBorders>
              <w:right w:val="single" w:sz="8" w:color="auto"/>
            </w:tcBorders>
            <w:gridSpan w:val="9"/>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5"/>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right w:val="single" w:sz="8" w:color="auto"/>
            </w:tcBorders>
            <w:gridSpan w:val="20"/>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Mattress Firm</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21"/>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Lake City, FL</w:t>
            </w:r>
          </w:p>
        </w:tc>
        <w:tc>
          <w:tcPr>
            <w:tcW w:w="1880" w:type="dxa"/>
            <w:vAlign w:val="bottom"/>
            <w:gridSpan w:val="9"/>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4,500</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160" w:type="dxa"/>
            <w:vAlign w:val="bottom"/>
            <w:tcBorders>
              <w:left w:val="single" w:sz="8" w:color="auto"/>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980" w:type="dxa"/>
            <w:vAlign w:val="bottom"/>
            <w:tcBorders>
              <w:top w:val="single" w:sz="8" w:color="4472C4"/>
              <w:bottom w:val="single" w:sz="8" w:color="4472C4"/>
            </w:tcBorders>
            <w:gridSpan w:val="12"/>
          </w:tcPr>
          <w:p>
            <w:pPr>
              <w:spacing w:after="0" w:line="20" w:lineRule="exact"/>
              <w:rPr>
                <w:sz w:val="1"/>
                <w:szCs w:val="1"/>
                <w:color w:val="auto"/>
              </w:rPr>
            </w:pPr>
          </w:p>
        </w:tc>
        <w:tc>
          <w:tcPr>
            <w:tcW w:w="1160" w:type="dxa"/>
            <w:vAlign w:val="bottom"/>
            <w:tcBorders>
              <w:right w:val="single" w:sz="8" w:color="auto"/>
            </w:tcBorders>
            <w:gridSpan w:val="7"/>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960" w:type="dxa"/>
            <w:vAlign w:val="bottom"/>
            <w:tcBorders>
              <w:top w:val="single" w:sz="8" w:color="4472C4"/>
              <w:bottom w:val="single" w:sz="8" w:color="4472C4"/>
            </w:tcBorders>
            <w:gridSpan w:val="12"/>
          </w:tcPr>
          <w:p>
            <w:pPr>
              <w:spacing w:after="0" w:line="20" w:lineRule="exact"/>
              <w:rPr>
                <w:sz w:val="1"/>
                <w:szCs w:val="1"/>
                <w:color w:val="auto"/>
              </w:rPr>
            </w:pPr>
          </w:p>
        </w:tc>
        <w:tc>
          <w:tcPr>
            <w:tcW w:w="1180" w:type="dxa"/>
            <w:vAlign w:val="bottom"/>
            <w:tcBorders>
              <w:right w:val="single" w:sz="8" w:color="auto"/>
            </w:tcBorders>
            <w:gridSpan w:val="9"/>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5"/>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right w:val="single" w:sz="8" w:color="auto"/>
            </w:tcBorders>
            <w:gridSpan w:val="20"/>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Mattress Firm</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right w:val="single" w:sz="8" w:color="auto"/>
            </w:tcBorders>
            <w:gridSpan w:val="22"/>
          </w:tcPr>
          <w:p>
            <w:pPr>
              <w:jc w:val="center"/>
              <w:ind w:right="1160"/>
              <w:spacing w:after="0" w:line="161" w:lineRule="exact"/>
              <w:rPr>
                <w:sz w:val="20"/>
                <w:szCs w:val="20"/>
                <w:color w:val="auto"/>
              </w:rPr>
            </w:pPr>
            <w:r>
              <w:rPr>
                <w:rFonts w:ascii="Times New Roman" w:cs="Times New Roman" w:eastAsia="Times New Roman" w:hAnsi="Times New Roman"/>
                <w:sz w:val="17"/>
                <w:szCs w:val="17"/>
                <w:color w:val="4472C4"/>
              </w:rPr>
              <w:t>Richmond, IN</w:t>
            </w:r>
          </w:p>
        </w:tc>
        <w:tc>
          <w:tcPr>
            <w:tcW w:w="1880" w:type="dxa"/>
            <w:vAlign w:val="bottom"/>
            <w:gridSpan w:val="9"/>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5,108</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160" w:type="dxa"/>
            <w:vAlign w:val="bottom"/>
            <w:tcBorders>
              <w:left w:val="single" w:sz="8" w:color="auto"/>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980" w:type="dxa"/>
            <w:vAlign w:val="bottom"/>
            <w:tcBorders>
              <w:top w:val="single" w:sz="8" w:color="4472C4"/>
              <w:bottom w:val="single" w:sz="8" w:color="4472C4"/>
            </w:tcBorders>
            <w:gridSpan w:val="12"/>
          </w:tcPr>
          <w:p>
            <w:pPr>
              <w:spacing w:after="0" w:line="20" w:lineRule="exact"/>
              <w:rPr>
                <w:sz w:val="1"/>
                <w:szCs w:val="1"/>
                <w:color w:val="auto"/>
              </w:rPr>
            </w:pPr>
          </w:p>
        </w:tc>
        <w:tc>
          <w:tcPr>
            <w:tcW w:w="1160" w:type="dxa"/>
            <w:vAlign w:val="bottom"/>
            <w:tcBorders>
              <w:right w:val="single" w:sz="8" w:color="auto"/>
            </w:tcBorders>
            <w:gridSpan w:val="7"/>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000" w:type="dxa"/>
            <w:vAlign w:val="bottom"/>
            <w:tcBorders>
              <w:top w:val="single" w:sz="8" w:color="4472C4"/>
              <w:bottom w:val="single" w:sz="8" w:color="4472C4"/>
            </w:tcBorders>
            <w:gridSpan w:val="14"/>
          </w:tcPr>
          <w:p>
            <w:pPr>
              <w:spacing w:after="0" w:line="20" w:lineRule="exact"/>
              <w:rPr>
                <w:sz w:val="1"/>
                <w:szCs w:val="1"/>
                <w:color w:val="auto"/>
              </w:rPr>
            </w:pPr>
          </w:p>
        </w:tc>
        <w:tc>
          <w:tcPr>
            <w:tcW w:w="1160" w:type="dxa"/>
            <w:vAlign w:val="bottom"/>
            <w:tcBorders>
              <w:right w:val="single" w:sz="8" w:color="auto"/>
            </w:tcBorders>
            <w:gridSpan w:val="8"/>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5"/>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560" w:type="dxa"/>
            <w:vAlign w:val="bottom"/>
            <w:tcBorders>
              <w:right w:val="single" w:sz="8" w:color="auto"/>
            </w:tcBorders>
            <w:gridSpan w:val="26"/>
          </w:tcPr>
          <w:p>
            <w:pPr>
              <w:jc w:val="center"/>
              <w:ind w:right="760"/>
              <w:spacing w:after="0" w:line="161" w:lineRule="exact"/>
              <w:rPr>
                <w:sz w:val="20"/>
                <w:szCs w:val="20"/>
                <w:color w:val="auto"/>
              </w:rPr>
            </w:pPr>
            <w:r>
              <w:rPr>
                <w:rFonts w:ascii="Times New Roman" w:cs="Times New Roman" w:eastAsia="Times New Roman" w:hAnsi="Times New Roman"/>
                <w:sz w:val="17"/>
                <w:szCs w:val="17"/>
                <w:color w:val="4472C4"/>
              </w:rPr>
              <w:t>Office Depot/Office Max</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right w:val="single" w:sz="8" w:color="auto"/>
            </w:tcBorders>
            <w:gridSpan w:val="20"/>
          </w:tcPr>
          <w:p>
            <w:pPr>
              <w:jc w:val="center"/>
              <w:ind w:right="1200"/>
              <w:spacing w:after="0" w:line="161" w:lineRule="exact"/>
              <w:rPr>
                <w:sz w:val="20"/>
                <w:szCs w:val="20"/>
                <w:color w:val="auto"/>
              </w:rPr>
            </w:pPr>
            <w:r>
              <w:rPr>
                <w:rFonts w:ascii="Times New Roman" w:cs="Times New Roman" w:eastAsia="Times New Roman" w:hAnsi="Times New Roman"/>
                <w:sz w:val="17"/>
                <w:szCs w:val="17"/>
                <w:color w:val="4472C4"/>
              </w:rPr>
              <w:t>Gadsden, AL</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23,638</w:t>
            </w:r>
          </w:p>
        </w:tc>
        <w:tc>
          <w:tcPr>
            <w:tcW w:w="1420" w:type="dxa"/>
            <w:vAlign w:val="bottom"/>
            <w:tcBorders>
              <w:right w:val="single" w:sz="8" w:color="auto"/>
            </w:tcBorders>
          </w:tcPr>
          <w:p>
            <w:pPr>
              <w:spacing w:after="0"/>
              <w:rPr>
                <w:sz w:val="13"/>
                <w:szCs w:val="13"/>
                <w:color w:val="auto"/>
              </w:rPr>
            </w:pPr>
          </w:p>
        </w:tc>
      </w:tr>
      <w:tr>
        <w:trPr>
          <w:trHeight w:val="20"/>
        </w:trPr>
        <w:tc>
          <w:tcPr>
            <w:tcW w:w="780" w:type="dxa"/>
            <w:vAlign w:val="bottom"/>
            <w:tcBorders>
              <w:left w:val="single" w:sz="8" w:color="auto"/>
            </w:tcBorders>
            <w:gridSpan w:val="2"/>
          </w:tcPr>
          <w:p>
            <w:pPr>
              <w:spacing w:after="0" w:line="20" w:lineRule="exact"/>
              <w:rPr>
                <w:sz w:val="1"/>
                <w:szCs w:val="1"/>
                <w:color w:val="auto"/>
              </w:rPr>
            </w:pPr>
          </w:p>
        </w:tc>
        <w:tc>
          <w:tcPr>
            <w:tcW w:w="1760" w:type="dxa"/>
            <w:vAlign w:val="bottom"/>
            <w:tcBorders>
              <w:top w:val="single" w:sz="8" w:color="4472C4"/>
              <w:bottom w:val="single" w:sz="8" w:color="4472C4"/>
            </w:tcBorders>
            <w:gridSpan w:val="23"/>
          </w:tcPr>
          <w:p>
            <w:pPr>
              <w:spacing w:after="0" w:line="20" w:lineRule="exact"/>
              <w:rPr>
                <w:sz w:val="1"/>
                <w:szCs w:val="1"/>
                <w:color w:val="auto"/>
              </w:rPr>
            </w:pPr>
          </w:p>
        </w:tc>
        <w:tc>
          <w:tcPr>
            <w:tcW w:w="780" w:type="dxa"/>
            <w:vAlign w:val="bottom"/>
            <w:tcBorders>
              <w:right w:val="single" w:sz="8" w:color="auto"/>
            </w:tcBorders>
            <w:gridSpan w:val="2"/>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920" w:type="dxa"/>
            <w:vAlign w:val="bottom"/>
            <w:tcBorders>
              <w:top w:val="single" w:sz="8" w:color="4472C4"/>
              <w:bottom w:val="single" w:sz="8" w:color="4472C4"/>
            </w:tcBorders>
            <w:gridSpan w:val="10"/>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180" w:type="dxa"/>
            <w:vAlign w:val="bottom"/>
            <w:tcBorders>
              <w:right w:val="single" w:sz="8" w:color="auto"/>
            </w:tcBorders>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Borders>
              <w:right w:val="single" w:sz="8" w:color="auto"/>
            </w:tcBorders>
            <w:gridSpan w:val="23"/>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Old Time Pottery</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Borders>
              <w:right w:val="single" w:sz="8" w:color="auto"/>
            </w:tcBorders>
            <w:gridSpan w:val="26"/>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West Chicago, IL</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78,721</w:t>
            </w:r>
          </w:p>
        </w:tc>
        <w:tc>
          <w:tcPr>
            <w:tcW w:w="1420" w:type="dxa"/>
            <w:vAlign w:val="bottom"/>
            <w:tcBorders>
              <w:right w:val="single" w:sz="8" w:color="auto"/>
            </w:tcBorders>
          </w:tcPr>
          <w:p>
            <w:pPr>
              <w:spacing w:after="0"/>
              <w:rPr>
                <w:sz w:val="13"/>
                <w:szCs w:val="13"/>
                <w:color w:val="auto"/>
              </w:rPr>
            </w:pPr>
          </w:p>
        </w:tc>
      </w:tr>
      <w:tr>
        <w:trPr>
          <w:trHeight w:val="20"/>
        </w:trPr>
        <w:tc>
          <w:tcPr>
            <w:tcW w:w="1060" w:type="dxa"/>
            <w:vAlign w:val="bottom"/>
            <w:tcBorders>
              <w:left w:val="single" w:sz="8" w:color="auto"/>
            </w:tcBorders>
            <w:gridSpan w:val="4"/>
          </w:tcPr>
          <w:p>
            <w:pPr>
              <w:spacing w:after="0" w:line="20" w:lineRule="exact"/>
              <w:rPr>
                <w:sz w:val="1"/>
                <w:szCs w:val="1"/>
                <w:color w:val="auto"/>
              </w:rPr>
            </w:pPr>
          </w:p>
        </w:tc>
        <w:tc>
          <w:tcPr>
            <w:tcW w:w="1220" w:type="dxa"/>
            <w:vAlign w:val="bottom"/>
            <w:tcBorders>
              <w:top w:val="single" w:sz="8" w:color="4472C4"/>
              <w:bottom w:val="single" w:sz="8" w:color="4472C4"/>
            </w:tcBorders>
            <w:gridSpan w:val="19"/>
          </w:tcPr>
          <w:p>
            <w:pPr>
              <w:spacing w:after="0" w:line="20" w:lineRule="exact"/>
              <w:rPr>
                <w:sz w:val="1"/>
                <w:szCs w:val="1"/>
                <w:color w:val="auto"/>
              </w:rPr>
            </w:pPr>
          </w:p>
        </w:tc>
        <w:tc>
          <w:tcPr>
            <w:tcW w:w="1040" w:type="dxa"/>
            <w:vAlign w:val="bottom"/>
            <w:tcBorders>
              <w:right w:val="single" w:sz="8" w:color="auto"/>
            </w:tcBorders>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20" w:type="dxa"/>
            <w:vAlign w:val="bottom"/>
            <w:tcBorders>
              <w:top w:val="single" w:sz="8" w:color="4472C4"/>
              <w:bottom w:val="single" w:sz="8" w:color="4472C4"/>
            </w:tcBorders>
            <w:gridSpan w:val="23"/>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560" w:type="dxa"/>
            <w:vAlign w:val="bottom"/>
            <w:tcBorders>
              <w:right w:val="single" w:sz="8" w:color="auto"/>
            </w:tcBorders>
            <w:gridSpan w:val="26"/>
          </w:tcPr>
          <w:p>
            <w:pPr>
              <w:jc w:val="center"/>
              <w:ind w:right="760"/>
              <w:spacing w:after="0" w:line="161" w:lineRule="exact"/>
              <w:rPr>
                <w:sz w:val="20"/>
                <w:szCs w:val="20"/>
                <w:color w:val="auto"/>
              </w:rPr>
            </w:pPr>
            <w:r>
              <w:rPr>
                <w:rFonts w:ascii="Times New Roman" w:cs="Times New Roman" w:eastAsia="Times New Roman" w:hAnsi="Times New Roman"/>
                <w:sz w:val="17"/>
                <w:szCs w:val="17"/>
                <w:color w:val="4472C4"/>
              </w:rPr>
              <w:t>Orscheln Farm and Home</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tcBorders>
              <w:right w:val="single" w:sz="8" w:color="auto"/>
            </w:tcBorders>
            <w:gridSpan w:val="24"/>
          </w:tcPr>
          <w:p>
            <w:pPr>
              <w:jc w:val="center"/>
              <w:ind w:right="1120"/>
              <w:spacing w:after="0" w:line="161" w:lineRule="exact"/>
              <w:rPr>
                <w:sz w:val="20"/>
                <w:szCs w:val="20"/>
                <w:color w:val="auto"/>
              </w:rPr>
            </w:pPr>
            <w:r>
              <w:rPr>
                <w:rFonts w:ascii="Times New Roman" w:cs="Times New Roman" w:eastAsia="Times New Roman" w:hAnsi="Times New Roman"/>
                <w:sz w:val="17"/>
                <w:szCs w:val="17"/>
                <w:color w:val="4472C4"/>
              </w:rPr>
              <w:t>California, MO</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23,042</w:t>
            </w:r>
          </w:p>
        </w:tc>
        <w:tc>
          <w:tcPr>
            <w:tcW w:w="142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1800" w:type="dxa"/>
            <w:vAlign w:val="bottom"/>
            <w:tcBorders>
              <w:top w:val="single" w:sz="8" w:color="4472C4"/>
              <w:bottom w:val="single" w:sz="8" w:color="4472C4"/>
            </w:tcBorders>
            <w:gridSpan w:val="25"/>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80" w:type="dxa"/>
            <w:vAlign w:val="bottom"/>
            <w:tcBorders>
              <w:top w:val="single" w:sz="8" w:color="4472C4"/>
              <w:bottom w:val="single" w:sz="8" w:color="4472C4"/>
            </w:tcBorders>
            <w:gridSpan w:val="18"/>
          </w:tcPr>
          <w:p>
            <w:pPr>
              <w:spacing w:after="0" w:line="20" w:lineRule="exact"/>
              <w:rPr>
                <w:sz w:val="1"/>
                <w:szCs w:val="1"/>
                <w:color w:val="auto"/>
              </w:rPr>
            </w:pPr>
          </w:p>
        </w:tc>
        <w:tc>
          <w:tcPr>
            <w:tcW w:w="1120" w:type="dxa"/>
            <w:vAlign w:val="bottom"/>
            <w:tcBorders>
              <w:right w:val="single" w:sz="8" w:color="auto"/>
            </w:tcBorders>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560" w:type="dxa"/>
            <w:vAlign w:val="bottom"/>
            <w:tcBorders>
              <w:right w:val="single" w:sz="8" w:color="auto"/>
            </w:tcBorders>
            <w:gridSpan w:val="26"/>
          </w:tcPr>
          <w:p>
            <w:pPr>
              <w:jc w:val="center"/>
              <w:ind w:right="760"/>
              <w:spacing w:after="0" w:line="161" w:lineRule="exact"/>
              <w:rPr>
                <w:sz w:val="20"/>
                <w:szCs w:val="20"/>
                <w:color w:val="auto"/>
              </w:rPr>
            </w:pPr>
            <w:r>
              <w:rPr>
                <w:rFonts w:ascii="Times New Roman" w:cs="Times New Roman" w:eastAsia="Times New Roman" w:hAnsi="Times New Roman"/>
                <w:sz w:val="17"/>
                <w:szCs w:val="17"/>
                <w:color w:val="4472C4"/>
              </w:rPr>
              <w:t>Orscheln Farm and Home</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right w:val="single" w:sz="8" w:color="auto"/>
            </w:tcBorders>
            <w:gridSpan w:val="25"/>
          </w:tcPr>
          <w:p>
            <w:pPr>
              <w:jc w:val="center"/>
              <w:ind w:right="1080"/>
              <w:spacing w:after="0" w:line="161" w:lineRule="exact"/>
              <w:rPr>
                <w:sz w:val="20"/>
                <w:szCs w:val="20"/>
                <w:color w:val="auto"/>
              </w:rPr>
            </w:pPr>
            <w:r>
              <w:rPr>
                <w:rFonts w:ascii="Times New Roman" w:cs="Times New Roman" w:eastAsia="Times New Roman" w:hAnsi="Times New Roman"/>
                <w:sz w:val="17"/>
                <w:szCs w:val="17"/>
                <w:color w:val="4472C4"/>
              </w:rPr>
              <w:t>Owensville, MO</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38,452</w:t>
            </w:r>
          </w:p>
        </w:tc>
        <w:tc>
          <w:tcPr>
            <w:tcW w:w="1420" w:type="dxa"/>
            <w:vAlign w:val="bottom"/>
            <w:tcBorders>
              <w:right w:val="single" w:sz="8" w:color="auto"/>
            </w:tcBorders>
          </w:tcPr>
          <w:p>
            <w:pPr>
              <w:spacing w:after="0"/>
              <w:rPr>
                <w:sz w:val="13"/>
                <w:szCs w:val="13"/>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1800" w:type="dxa"/>
            <w:vAlign w:val="bottom"/>
            <w:tcBorders>
              <w:top w:val="single" w:sz="8" w:color="4472C4"/>
              <w:bottom w:val="single" w:sz="8" w:color="4472C4"/>
            </w:tcBorders>
            <w:gridSpan w:val="25"/>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160" w:type="dxa"/>
            <w:vAlign w:val="bottom"/>
            <w:tcBorders>
              <w:top w:val="single" w:sz="8" w:color="4472C4"/>
              <w:bottom w:val="single" w:sz="8" w:color="4472C4"/>
            </w:tcBorders>
            <w:gridSpan w:val="21"/>
          </w:tcPr>
          <w:p>
            <w:pPr>
              <w:spacing w:after="0" w:line="20" w:lineRule="exact"/>
              <w:rPr>
                <w:sz w:val="1"/>
                <w:szCs w:val="1"/>
                <w:color w:val="auto"/>
              </w:rPr>
            </w:pPr>
          </w:p>
        </w:tc>
        <w:tc>
          <w:tcPr>
            <w:tcW w:w="1080" w:type="dxa"/>
            <w:vAlign w:val="bottom"/>
            <w:tcBorders>
              <w:right w:val="single" w:sz="8" w:color="auto"/>
            </w:tcBorders>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right w:val="single" w:sz="8" w:color="auto"/>
            </w:tcBorders>
            <w:gridSpan w:val="15"/>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rPr>
              <w:t>Party City</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tcBorders>
              <w:right w:val="single" w:sz="8" w:color="auto"/>
            </w:tcBorders>
            <w:gridSpan w:val="24"/>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Oceanside, NY</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15,500</w:t>
            </w:r>
          </w:p>
        </w:tc>
        <w:tc>
          <w:tcPr>
            <w:tcW w:w="1420" w:type="dxa"/>
            <w:vAlign w:val="bottom"/>
            <w:tcBorders>
              <w:right w:val="single" w:sz="8" w:color="auto"/>
            </w:tcBorders>
          </w:tcPr>
          <w:p>
            <w:pPr>
              <w:spacing w:after="0"/>
              <w:rPr>
                <w:sz w:val="13"/>
                <w:szCs w:val="13"/>
                <w:color w:val="auto"/>
              </w:rPr>
            </w:pPr>
          </w:p>
        </w:tc>
      </w:tr>
      <w:tr>
        <w:trPr>
          <w:trHeight w:val="20"/>
        </w:trPr>
        <w:tc>
          <w:tcPr>
            <w:tcW w:w="1320" w:type="dxa"/>
            <w:vAlign w:val="bottom"/>
            <w:tcBorders>
              <w:left w:val="single" w:sz="8" w:color="auto"/>
            </w:tcBorders>
            <w:gridSpan w:val="12"/>
          </w:tcPr>
          <w:p>
            <w:pPr>
              <w:spacing w:after="0" w:line="20" w:lineRule="exact"/>
              <w:rPr>
                <w:sz w:val="1"/>
                <w:szCs w:val="1"/>
                <w:color w:val="auto"/>
              </w:rPr>
            </w:pPr>
          </w:p>
        </w:tc>
        <w:tc>
          <w:tcPr>
            <w:tcW w:w="700" w:type="dxa"/>
            <w:vAlign w:val="bottom"/>
            <w:tcBorders>
              <w:top w:val="single" w:sz="8" w:color="4472C4"/>
              <w:bottom w:val="single" w:sz="8" w:color="4472C4"/>
            </w:tcBorders>
            <w:gridSpan w:val="3"/>
          </w:tcPr>
          <w:p>
            <w:pPr>
              <w:spacing w:after="0" w:line="20" w:lineRule="exact"/>
              <w:rPr>
                <w:sz w:val="1"/>
                <w:szCs w:val="1"/>
                <w:color w:val="auto"/>
              </w:rPr>
            </w:pPr>
          </w:p>
        </w:tc>
        <w:tc>
          <w:tcPr>
            <w:tcW w:w="1300" w:type="dxa"/>
            <w:vAlign w:val="bottom"/>
            <w:tcBorders>
              <w:right w:val="single" w:sz="8" w:color="auto"/>
            </w:tcBorders>
            <w:gridSpan w:val="1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060" w:type="dxa"/>
            <w:vAlign w:val="bottom"/>
            <w:tcBorders>
              <w:top w:val="single" w:sz="8" w:color="4472C4"/>
              <w:bottom w:val="single" w:sz="8" w:color="4472C4"/>
            </w:tcBorders>
            <w:gridSpan w:val="17"/>
          </w:tcPr>
          <w:p>
            <w:pPr>
              <w:spacing w:after="0" w:line="20" w:lineRule="exact"/>
              <w:rPr>
                <w:sz w:val="1"/>
                <w:szCs w:val="1"/>
                <w:color w:val="auto"/>
              </w:rPr>
            </w:pPr>
          </w:p>
        </w:tc>
        <w:tc>
          <w:tcPr>
            <w:tcW w:w="1120" w:type="dxa"/>
            <w:vAlign w:val="bottom"/>
            <w:tcBorders>
              <w:right w:val="single" w:sz="8" w:color="auto"/>
            </w:tcBorders>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right w:val="single" w:sz="8" w:color="auto"/>
            </w:tcBorders>
            <w:gridSpan w:val="20"/>
          </w:tcPr>
          <w:p>
            <w:pPr>
              <w:jc w:val="center"/>
              <w:ind w:right="1160"/>
              <w:spacing w:after="0" w:line="161" w:lineRule="exact"/>
              <w:rPr>
                <w:sz w:val="20"/>
                <w:szCs w:val="20"/>
                <w:color w:val="auto"/>
              </w:rPr>
            </w:pPr>
            <w:r>
              <w:rPr>
                <w:rFonts w:ascii="Times New Roman" w:cs="Times New Roman" w:eastAsia="Times New Roman" w:hAnsi="Times New Roman"/>
                <w:sz w:val="17"/>
                <w:szCs w:val="17"/>
                <w:color w:val="4472C4"/>
              </w:rPr>
              <w:t>Rib Crib BBQ</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right w:val="single" w:sz="8" w:color="auto"/>
            </w:tcBorders>
            <w:gridSpan w:val="20"/>
          </w:tcPr>
          <w:p>
            <w:pPr>
              <w:jc w:val="center"/>
              <w:ind w:right="1180"/>
              <w:spacing w:after="0" w:line="161" w:lineRule="exact"/>
              <w:rPr>
                <w:sz w:val="20"/>
                <w:szCs w:val="20"/>
                <w:color w:val="auto"/>
              </w:rPr>
            </w:pPr>
            <w:r>
              <w:rPr>
                <w:rFonts w:ascii="Times New Roman" w:cs="Times New Roman" w:eastAsia="Times New Roman" w:hAnsi="Times New Roman"/>
                <w:sz w:val="17"/>
                <w:szCs w:val="17"/>
                <w:color w:val="4472C4"/>
              </w:rPr>
              <w:t>Durant, OK</w:t>
            </w:r>
          </w:p>
        </w:tc>
        <w:tc>
          <w:tcPr>
            <w:tcW w:w="1700" w:type="dxa"/>
            <w:vAlign w:val="bottom"/>
            <w:gridSpan w:val="6"/>
          </w:tcPr>
          <w:p>
            <w:pPr>
              <w:jc w:val="center"/>
              <w:ind w:left="1513"/>
              <w:spacing w:after="0" w:line="161" w:lineRule="exact"/>
              <w:rPr>
                <w:sz w:val="20"/>
                <w:szCs w:val="20"/>
                <w:color w:val="auto"/>
              </w:rPr>
            </w:pPr>
            <w:r>
              <w:rPr>
                <w:rFonts w:ascii="Times New Roman" w:cs="Times New Roman" w:eastAsia="Times New Roman" w:hAnsi="Times New Roman"/>
                <w:sz w:val="17"/>
                <w:szCs w:val="17"/>
                <w:color w:val="4472C4"/>
              </w:rPr>
              <w:t>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160" w:type="dxa"/>
            <w:vAlign w:val="bottom"/>
            <w:tcBorders>
              <w:left w:val="single" w:sz="8" w:color="auto"/>
            </w:tcBorders>
            <w:gridSpan w:val="7"/>
          </w:tcPr>
          <w:p>
            <w:pPr>
              <w:spacing w:after="0" w:line="20" w:lineRule="exact"/>
              <w:rPr>
                <w:sz w:val="1"/>
                <w:szCs w:val="1"/>
                <w:color w:val="auto"/>
              </w:rPr>
            </w:pPr>
          </w:p>
        </w:tc>
        <w:tc>
          <w:tcPr>
            <w:tcW w:w="1000" w:type="dxa"/>
            <w:vAlign w:val="bottom"/>
            <w:tcBorders>
              <w:top w:val="single" w:sz="8" w:color="4472C4"/>
              <w:bottom w:val="single" w:sz="8" w:color="4472C4"/>
            </w:tcBorders>
            <w:gridSpan w:val="1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140" w:type="dxa"/>
            <w:vAlign w:val="bottom"/>
            <w:tcBorders>
              <w:right w:val="single" w:sz="8" w:color="auto"/>
            </w:tcBorders>
            <w:gridSpan w:val="6"/>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820" w:type="dxa"/>
            <w:vAlign w:val="bottom"/>
            <w:tcBorders>
              <w:top w:val="single" w:sz="8" w:color="4472C4"/>
              <w:bottom w:val="single" w:sz="8" w:color="4472C4"/>
            </w:tcBorders>
            <w:gridSpan w:val="8"/>
          </w:tcPr>
          <w:p>
            <w:pPr>
              <w:spacing w:after="0" w:line="20" w:lineRule="exact"/>
              <w:rPr>
                <w:sz w:val="1"/>
                <w:szCs w:val="1"/>
                <w:color w:val="auto"/>
              </w:rPr>
            </w:pPr>
          </w:p>
        </w:tc>
        <w:tc>
          <w:tcPr>
            <w:tcW w:w="1240" w:type="dxa"/>
            <w:vAlign w:val="bottom"/>
            <w:tcBorders>
              <w:right w:val="single" w:sz="8" w:color="auto"/>
            </w:tcBorders>
            <w:gridSpan w:val="11"/>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1620" w:type="dxa"/>
            <w:vAlign w:val="bottom"/>
            <w:tcBorders>
              <w:right w:val="single" w:sz="8" w:color="auto"/>
            </w:tcBorders>
            <w:gridSpan w:val="5"/>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right w:val="single" w:sz="8" w:color="auto"/>
            </w:tcBorders>
            <w:gridSpan w:val="18"/>
          </w:tcPr>
          <w:p>
            <w:pPr>
              <w:jc w:val="center"/>
              <w:ind w:right="1200"/>
              <w:spacing w:after="0" w:line="161" w:lineRule="exact"/>
              <w:rPr>
                <w:sz w:val="20"/>
                <w:szCs w:val="20"/>
                <w:color w:val="auto"/>
              </w:rPr>
            </w:pPr>
            <w:r>
              <w:rPr>
                <w:rFonts w:ascii="Times New Roman" w:cs="Times New Roman" w:eastAsia="Times New Roman" w:hAnsi="Times New Roman"/>
                <w:sz w:val="17"/>
                <w:szCs w:val="17"/>
                <w:color w:val="4472C4"/>
              </w:rPr>
              <w:t>Rooms to Go</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Borders>
              <w:right w:val="single" w:sz="8" w:color="auto"/>
            </w:tcBorders>
            <w:gridSpan w:val="26"/>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Friendswood, TX</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51,868</w:t>
            </w:r>
          </w:p>
        </w:tc>
        <w:tc>
          <w:tcPr>
            <w:tcW w:w="1420" w:type="dxa"/>
            <w:vAlign w:val="bottom"/>
            <w:tcBorders>
              <w:right w:val="single" w:sz="8" w:color="auto"/>
            </w:tcBorders>
          </w:tcPr>
          <w:p>
            <w:pPr>
              <w:spacing w:after="0"/>
              <w:rPr>
                <w:sz w:val="13"/>
                <w:szCs w:val="13"/>
                <w:color w:val="auto"/>
              </w:rPr>
            </w:pPr>
          </w:p>
        </w:tc>
      </w:tr>
      <w:tr>
        <w:trPr>
          <w:trHeight w:val="20"/>
        </w:trPr>
        <w:tc>
          <w:tcPr>
            <w:tcW w:w="1200" w:type="dxa"/>
            <w:vAlign w:val="bottom"/>
            <w:tcBorders>
              <w:left w:val="single" w:sz="8" w:color="auto"/>
            </w:tcBorders>
            <w:gridSpan w:val="9"/>
          </w:tcPr>
          <w:p>
            <w:pPr>
              <w:spacing w:after="0" w:line="20" w:lineRule="exact"/>
              <w:rPr>
                <w:sz w:val="1"/>
                <w:szCs w:val="1"/>
                <w:color w:val="auto"/>
              </w:rPr>
            </w:pPr>
          </w:p>
        </w:tc>
        <w:tc>
          <w:tcPr>
            <w:tcW w:w="920" w:type="dxa"/>
            <w:vAlign w:val="bottom"/>
            <w:tcBorders>
              <w:top w:val="single" w:sz="8" w:color="4472C4"/>
              <w:bottom w:val="single" w:sz="8" w:color="4472C4"/>
            </w:tcBorders>
            <w:gridSpan w:val="9"/>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180" w:type="dxa"/>
            <w:vAlign w:val="bottom"/>
            <w:tcBorders>
              <w:right w:val="single" w:sz="8" w:color="auto"/>
            </w:tcBorders>
            <w:gridSpan w:val="8"/>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20" w:type="dxa"/>
            <w:vAlign w:val="bottom"/>
            <w:tcBorders>
              <w:top w:val="single" w:sz="8" w:color="4472C4"/>
              <w:bottom w:val="single" w:sz="8" w:color="4472C4"/>
            </w:tcBorders>
            <w:gridSpan w:val="23"/>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tcBorders>
              <w:right w:val="single" w:sz="8" w:color="auto"/>
            </w:tcBorders>
            <w:gridSpan w:val="24"/>
          </w:tcPr>
          <w:p>
            <w:pPr>
              <w:jc w:val="center"/>
              <w:ind w:right="860"/>
              <w:spacing w:after="0" w:line="161" w:lineRule="exact"/>
              <w:rPr>
                <w:sz w:val="20"/>
                <w:szCs w:val="20"/>
                <w:color w:val="auto"/>
              </w:rPr>
            </w:pPr>
            <w:r>
              <w:rPr>
                <w:rFonts w:ascii="Times New Roman" w:cs="Times New Roman" w:eastAsia="Times New Roman" w:hAnsi="Times New Roman"/>
                <w:sz w:val="17"/>
                <w:szCs w:val="17"/>
                <w:color w:val="4472C4"/>
              </w:rPr>
              <w:t>Sportman’s Warehouse</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tcBorders>
              <w:right w:val="single" w:sz="8" w:color="auto"/>
            </w:tcBorders>
            <w:gridSpan w:val="27"/>
          </w:tcPr>
          <w:p>
            <w:pPr>
              <w:jc w:val="center"/>
              <w:ind w:right="1020"/>
              <w:spacing w:after="0" w:line="161" w:lineRule="exact"/>
              <w:rPr>
                <w:sz w:val="20"/>
                <w:szCs w:val="20"/>
                <w:color w:val="auto"/>
              </w:rPr>
            </w:pPr>
            <w:r>
              <w:rPr>
                <w:rFonts w:ascii="Times New Roman" w:cs="Times New Roman" w:eastAsia="Times New Roman" w:hAnsi="Times New Roman"/>
                <w:sz w:val="17"/>
                <w:szCs w:val="17"/>
                <w:color w:val="4472C4"/>
              </w:rPr>
              <w:t>Morgantown, WV</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30,547</w:t>
            </w:r>
          </w:p>
        </w:tc>
        <w:tc>
          <w:tcPr>
            <w:tcW w:w="1420" w:type="dxa"/>
            <w:vAlign w:val="bottom"/>
            <w:tcBorders>
              <w:right w:val="single" w:sz="8" w:color="auto"/>
            </w:tcBorders>
          </w:tcPr>
          <w:p>
            <w:pPr>
              <w:spacing w:after="0"/>
              <w:rPr>
                <w:sz w:val="13"/>
                <w:szCs w:val="13"/>
                <w:color w:val="auto"/>
              </w:rPr>
            </w:pPr>
          </w:p>
        </w:tc>
      </w:tr>
      <w:tr>
        <w:trPr>
          <w:trHeight w:val="20"/>
        </w:trPr>
        <w:tc>
          <w:tcPr>
            <w:tcW w:w="860" w:type="dxa"/>
            <w:vAlign w:val="bottom"/>
            <w:tcBorders>
              <w:left w:val="single" w:sz="8" w:color="auto"/>
            </w:tcBorders>
            <w:gridSpan w:val="3"/>
          </w:tcPr>
          <w:p>
            <w:pPr>
              <w:spacing w:after="0" w:line="20" w:lineRule="exact"/>
              <w:rPr>
                <w:sz w:val="1"/>
                <w:szCs w:val="1"/>
                <w:color w:val="auto"/>
              </w:rPr>
            </w:pPr>
          </w:p>
        </w:tc>
        <w:tc>
          <w:tcPr>
            <w:tcW w:w="1600" w:type="dxa"/>
            <w:vAlign w:val="bottom"/>
            <w:tcBorders>
              <w:top w:val="single" w:sz="8" w:color="4472C4"/>
              <w:bottom w:val="single" w:sz="8" w:color="4472C4"/>
            </w:tcBorders>
            <w:gridSpan w:val="21"/>
          </w:tcPr>
          <w:p>
            <w:pPr>
              <w:spacing w:after="0" w:line="20" w:lineRule="exact"/>
              <w:rPr>
                <w:sz w:val="1"/>
                <w:szCs w:val="1"/>
                <w:color w:val="auto"/>
              </w:rPr>
            </w:pPr>
          </w:p>
        </w:tc>
        <w:tc>
          <w:tcPr>
            <w:tcW w:w="860" w:type="dxa"/>
            <w:vAlign w:val="bottom"/>
            <w:tcBorders>
              <w:right w:val="single" w:sz="8" w:color="auto"/>
            </w:tcBorders>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80" w:type="dxa"/>
            <w:vAlign w:val="bottom"/>
            <w:tcBorders>
              <w:top w:val="single" w:sz="8" w:color="4472C4"/>
              <w:bottom w:val="single" w:sz="8" w:color="4472C4"/>
            </w:tcBorders>
            <w:gridSpan w:val="25"/>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Borders>
              <w:right w:val="single" w:sz="8" w:color="auto"/>
            </w:tcBorders>
            <w:gridSpan w:val="23"/>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The Burger Joint</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Borders>
              <w:right w:val="single" w:sz="8" w:color="auto"/>
            </w:tcBorders>
            <w:gridSpan w:val="26"/>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Friendswood, TX</w:t>
            </w:r>
          </w:p>
        </w:tc>
        <w:tc>
          <w:tcPr>
            <w:tcW w:w="1880" w:type="dxa"/>
            <w:vAlign w:val="bottom"/>
            <w:gridSpan w:val="9"/>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4,054</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080" w:type="dxa"/>
            <w:vAlign w:val="bottom"/>
            <w:tcBorders>
              <w:left w:val="single" w:sz="8" w:color="auto"/>
            </w:tcBorders>
            <w:gridSpan w:val="5"/>
          </w:tcPr>
          <w:p>
            <w:pPr>
              <w:spacing w:after="0" w:line="20" w:lineRule="exact"/>
              <w:rPr>
                <w:sz w:val="1"/>
                <w:szCs w:val="1"/>
                <w:color w:val="auto"/>
              </w:rPr>
            </w:pPr>
          </w:p>
        </w:tc>
        <w:tc>
          <w:tcPr>
            <w:tcW w:w="1180" w:type="dxa"/>
            <w:vAlign w:val="bottom"/>
            <w:tcBorders>
              <w:top w:val="single" w:sz="8" w:color="4472C4"/>
              <w:bottom w:val="single" w:sz="8" w:color="4472C4"/>
            </w:tcBorders>
            <w:gridSpan w:val="17"/>
          </w:tcPr>
          <w:p>
            <w:pPr>
              <w:spacing w:after="0" w:line="20" w:lineRule="exact"/>
              <w:rPr>
                <w:sz w:val="1"/>
                <w:szCs w:val="1"/>
                <w:color w:val="auto"/>
              </w:rPr>
            </w:pPr>
          </w:p>
        </w:tc>
        <w:tc>
          <w:tcPr>
            <w:tcW w:w="1060" w:type="dxa"/>
            <w:vAlign w:val="bottom"/>
            <w:tcBorders>
              <w:right w:val="single" w:sz="8" w:color="auto"/>
            </w:tcBorders>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20" w:type="dxa"/>
            <w:vAlign w:val="bottom"/>
            <w:tcBorders>
              <w:top w:val="single" w:sz="8" w:color="4472C4"/>
              <w:bottom w:val="single" w:sz="8" w:color="4472C4"/>
            </w:tcBorders>
            <w:gridSpan w:val="23"/>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5"/>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Borders>
              <w:right w:val="single" w:sz="8" w:color="auto"/>
            </w:tcBorders>
            <w:gridSpan w:val="21"/>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Tractor Supply</w:t>
            </w:r>
          </w:p>
        </w:tc>
        <w:tc>
          <w:tcPr>
            <w:tcW w:w="840" w:type="dxa"/>
            <w:vAlign w:val="bottom"/>
          </w:tcPr>
          <w:p>
            <w:pPr>
              <w:spacing w:after="0"/>
              <w:rPr>
                <w:sz w:val="13"/>
                <w:szCs w:val="13"/>
                <w:color w:val="auto"/>
              </w:rPr>
            </w:pPr>
          </w:p>
        </w:tc>
        <w:tc>
          <w:tcPr>
            <w:tcW w:w="2460" w:type="dxa"/>
            <w:vAlign w:val="bottom"/>
            <w:tcBorders>
              <w:right w:val="single" w:sz="8" w:color="auto"/>
            </w:tcBorders>
            <w:gridSpan w:val="28"/>
          </w:tcPr>
          <w:p>
            <w:pPr>
              <w:jc w:val="center"/>
              <w:ind w:right="860"/>
              <w:spacing w:after="0" w:line="161" w:lineRule="exact"/>
              <w:rPr>
                <w:sz w:val="20"/>
                <w:szCs w:val="20"/>
                <w:color w:val="auto"/>
              </w:rPr>
            </w:pPr>
            <w:r>
              <w:rPr>
                <w:rFonts w:ascii="Times New Roman" w:cs="Times New Roman" w:eastAsia="Times New Roman" w:hAnsi="Times New Roman"/>
                <w:sz w:val="17"/>
                <w:szCs w:val="17"/>
                <w:color w:val="4472C4"/>
              </w:rPr>
              <w:t>Washington Court, OH</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39,984</w:t>
            </w:r>
          </w:p>
        </w:tc>
        <w:tc>
          <w:tcPr>
            <w:tcW w:w="1420" w:type="dxa"/>
            <w:vAlign w:val="bottom"/>
            <w:tcBorders>
              <w:right w:val="single" w:sz="8" w:color="auto"/>
            </w:tcBorders>
          </w:tcPr>
          <w:p>
            <w:pPr>
              <w:spacing w:after="0"/>
              <w:rPr>
                <w:sz w:val="13"/>
                <w:szCs w:val="13"/>
                <w:color w:val="auto"/>
              </w:rPr>
            </w:pPr>
          </w:p>
        </w:tc>
      </w:tr>
      <w:tr>
        <w:trPr>
          <w:trHeight w:val="20"/>
        </w:trPr>
        <w:tc>
          <w:tcPr>
            <w:tcW w:w="1140" w:type="dxa"/>
            <w:vAlign w:val="bottom"/>
            <w:tcBorders>
              <w:left w:val="single" w:sz="8" w:color="auto"/>
            </w:tcBorders>
            <w:gridSpan w:val="6"/>
          </w:tcPr>
          <w:p>
            <w:pPr>
              <w:spacing w:after="0" w:line="20" w:lineRule="exact"/>
              <w:rPr>
                <w:sz w:val="1"/>
                <w:szCs w:val="1"/>
                <w:color w:val="auto"/>
              </w:rPr>
            </w:pPr>
          </w:p>
        </w:tc>
        <w:tc>
          <w:tcPr>
            <w:tcW w:w="1040" w:type="dxa"/>
            <w:vAlign w:val="bottom"/>
            <w:tcBorders>
              <w:top w:val="single" w:sz="8" w:color="4472C4"/>
              <w:bottom w:val="single" w:sz="8" w:color="4472C4"/>
            </w:tcBorders>
            <w:gridSpan w:val="15"/>
          </w:tcPr>
          <w:p>
            <w:pPr>
              <w:spacing w:after="0" w:line="20" w:lineRule="exact"/>
              <w:rPr>
                <w:sz w:val="1"/>
                <w:szCs w:val="1"/>
                <w:color w:val="auto"/>
              </w:rPr>
            </w:pPr>
          </w:p>
        </w:tc>
        <w:tc>
          <w:tcPr>
            <w:tcW w:w="1140" w:type="dxa"/>
            <w:vAlign w:val="bottom"/>
            <w:tcBorders>
              <w:right w:val="single" w:sz="8" w:color="auto"/>
            </w:tcBorders>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Borders>
              <w:top w:val="single" w:sz="8" w:color="4472C4"/>
              <w:bottom w:val="single" w:sz="8" w:color="4472C4"/>
            </w:tcBorders>
            <w:gridSpan w:val="27"/>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right w:val="single" w:sz="8" w:color="auto"/>
            </w:tcBorders>
            <w:gridSpan w:val="15"/>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9"/>
              </w:rPr>
              <w:t>Valero</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right w:val="single" w:sz="8" w:color="auto"/>
            </w:tcBorders>
            <w:gridSpan w:val="17"/>
          </w:tcPr>
          <w:p>
            <w:pPr>
              <w:jc w:val="center"/>
              <w:ind w:right="1280"/>
              <w:spacing w:after="0" w:line="161" w:lineRule="exact"/>
              <w:rPr>
                <w:sz w:val="20"/>
                <w:szCs w:val="20"/>
                <w:color w:val="auto"/>
              </w:rPr>
            </w:pPr>
            <w:r>
              <w:rPr>
                <w:rFonts w:ascii="Times New Roman" w:cs="Times New Roman" w:eastAsia="Times New Roman" w:hAnsi="Times New Roman"/>
                <w:sz w:val="17"/>
                <w:szCs w:val="17"/>
                <w:color w:val="4472C4"/>
              </w:rPr>
              <w:t>Cadiz, OH</w:t>
            </w:r>
          </w:p>
        </w:tc>
        <w:tc>
          <w:tcPr>
            <w:tcW w:w="1880" w:type="dxa"/>
            <w:vAlign w:val="bottom"/>
            <w:gridSpan w:val="9"/>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1,292</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440" w:type="dxa"/>
            <w:vAlign w:val="bottom"/>
            <w:tcBorders>
              <w:left w:val="single" w:sz="8" w:color="auto"/>
            </w:tcBorders>
            <w:gridSpan w:val="13"/>
          </w:tcPr>
          <w:p>
            <w:pPr>
              <w:spacing w:after="0" w:line="20" w:lineRule="exact"/>
              <w:rPr>
                <w:sz w:val="1"/>
                <w:szCs w:val="1"/>
                <w:color w:val="auto"/>
              </w:rPr>
            </w:pPr>
          </w:p>
        </w:tc>
        <w:tc>
          <w:tcPr>
            <w:tcW w:w="460" w:type="dxa"/>
            <w:vAlign w:val="bottom"/>
            <w:tcBorders>
              <w:top w:val="single" w:sz="8" w:color="4472C4"/>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13"/>
          </w:tcPr>
          <w:p>
            <w:pPr>
              <w:spacing w:after="0" w:line="20" w:lineRule="exact"/>
              <w:rPr>
                <w:sz w:val="1"/>
                <w:szCs w:val="1"/>
                <w:color w:val="auto"/>
              </w:rPr>
            </w:pPr>
          </w:p>
        </w:tc>
        <w:tc>
          <w:tcPr>
            <w:tcW w:w="1280" w:type="dxa"/>
            <w:vAlign w:val="bottom"/>
            <w:gridSpan w:val="12"/>
          </w:tcPr>
          <w:p>
            <w:pPr>
              <w:spacing w:after="0" w:line="20" w:lineRule="exact"/>
              <w:rPr>
                <w:sz w:val="1"/>
                <w:szCs w:val="1"/>
                <w:color w:val="auto"/>
              </w:rPr>
            </w:pPr>
          </w:p>
        </w:tc>
        <w:tc>
          <w:tcPr>
            <w:tcW w:w="740" w:type="dxa"/>
            <w:vAlign w:val="bottom"/>
            <w:tcBorders>
              <w:top w:val="single" w:sz="8" w:color="4472C4"/>
              <w:bottom w:val="single" w:sz="8" w:color="4472C4"/>
            </w:tcBorders>
            <w:gridSpan w:val="4"/>
          </w:tcPr>
          <w:p>
            <w:pPr>
              <w:spacing w:after="0" w:line="20" w:lineRule="exact"/>
              <w:rPr>
                <w:sz w:val="1"/>
                <w:szCs w:val="1"/>
                <w:color w:val="auto"/>
              </w:rPr>
            </w:pPr>
          </w:p>
        </w:tc>
        <w:tc>
          <w:tcPr>
            <w:tcW w:w="1280" w:type="dxa"/>
            <w:vAlign w:val="bottom"/>
            <w:tcBorders>
              <w:right w:val="single" w:sz="8" w:color="auto"/>
            </w:tcBorders>
            <w:gridSpan w:val="1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5"/>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right w:val="single" w:sz="8" w:color="auto"/>
            </w:tcBorders>
            <w:gridSpan w:val="15"/>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9"/>
              </w:rPr>
              <w:t>Valero</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right w:val="single" w:sz="8" w:color="auto"/>
            </w:tcBorders>
            <w:gridSpan w:val="23"/>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Cleveland, OH</w:t>
            </w:r>
          </w:p>
        </w:tc>
        <w:tc>
          <w:tcPr>
            <w:tcW w:w="1880" w:type="dxa"/>
            <w:vAlign w:val="bottom"/>
            <w:gridSpan w:val="9"/>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2,554</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440" w:type="dxa"/>
            <w:vAlign w:val="bottom"/>
            <w:tcBorders>
              <w:left w:val="single" w:sz="8" w:color="auto"/>
            </w:tcBorders>
            <w:gridSpan w:val="13"/>
          </w:tcPr>
          <w:p>
            <w:pPr>
              <w:spacing w:after="0" w:line="20" w:lineRule="exact"/>
              <w:rPr>
                <w:sz w:val="1"/>
                <w:szCs w:val="1"/>
                <w:color w:val="auto"/>
              </w:rPr>
            </w:pPr>
          </w:p>
        </w:tc>
        <w:tc>
          <w:tcPr>
            <w:tcW w:w="460" w:type="dxa"/>
            <w:vAlign w:val="bottom"/>
            <w:tcBorders>
              <w:top w:val="single" w:sz="8" w:color="4472C4"/>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13"/>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040" w:type="dxa"/>
            <w:vAlign w:val="bottom"/>
            <w:tcBorders>
              <w:top w:val="single" w:sz="8" w:color="4472C4"/>
              <w:bottom w:val="single" w:sz="8" w:color="4472C4"/>
            </w:tcBorders>
            <w:gridSpan w:val="16"/>
          </w:tcPr>
          <w:p>
            <w:pPr>
              <w:spacing w:after="0" w:line="20" w:lineRule="exact"/>
              <w:rPr>
                <w:sz w:val="1"/>
                <w:szCs w:val="1"/>
                <w:color w:val="auto"/>
              </w:rPr>
            </w:pPr>
          </w:p>
        </w:tc>
        <w:tc>
          <w:tcPr>
            <w:tcW w:w="1140" w:type="dxa"/>
            <w:vAlign w:val="bottom"/>
            <w:tcBorders>
              <w:right w:val="single" w:sz="8" w:color="auto"/>
            </w:tcBorders>
            <w:gridSpan w:val="7"/>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5"/>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right w:val="single" w:sz="8" w:color="auto"/>
            </w:tcBorders>
            <w:gridSpan w:val="15"/>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9"/>
              </w:rPr>
              <w:t>Valero</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60" w:type="dxa"/>
            <w:vAlign w:val="bottom"/>
            <w:tcBorders>
              <w:right w:val="single" w:sz="8" w:color="auto"/>
            </w:tcBorders>
            <w:gridSpan w:val="19"/>
          </w:tcPr>
          <w:p>
            <w:pPr>
              <w:jc w:val="center"/>
              <w:ind w:right="1260"/>
              <w:spacing w:after="0" w:line="161" w:lineRule="exact"/>
              <w:rPr>
                <w:sz w:val="20"/>
                <w:szCs w:val="20"/>
                <w:color w:val="auto"/>
              </w:rPr>
            </w:pPr>
            <w:r>
              <w:rPr>
                <w:rFonts w:ascii="Times New Roman" w:cs="Times New Roman" w:eastAsia="Times New Roman" w:hAnsi="Times New Roman"/>
                <w:sz w:val="17"/>
                <w:szCs w:val="17"/>
                <w:color w:val="4472C4"/>
              </w:rPr>
              <w:t>Lorain, OH</w:t>
            </w:r>
          </w:p>
        </w:tc>
        <w:tc>
          <w:tcPr>
            <w:tcW w:w="1840" w:type="dxa"/>
            <w:vAlign w:val="bottom"/>
            <w:gridSpan w:val="8"/>
          </w:tcPr>
          <w:p>
            <w:pPr>
              <w:jc w:val="center"/>
              <w:ind w:left="1373"/>
              <w:spacing w:after="0" w:line="161" w:lineRule="exact"/>
              <w:rPr>
                <w:sz w:val="20"/>
                <w:szCs w:val="20"/>
                <w:color w:val="auto"/>
              </w:rPr>
            </w:pPr>
            <w:r>
              <w:rPr>
                <w:rFonts w:ascii="Times New Roman" w:cs="Times New Roman" w:eastAsia="Times New Roman" w:hAnsi="Times New Roman"/>
                <w:sz w:val="17"/>
                <w:szCs w:val="17"/>
                <w:color w:val="4472C4"/>
              </w:rPr>
              <w:t>900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440" w:type="dxa"/>
            <w:vAlign w:val="bottom"/>
            <w:tcBorders>
              <w:left w:val="single" w:sz="8" w:color="auto"/>
            </w:tcBorders>
            <w:gridSpan w:val="13"/>
          </w:tcPr>
          <w:p>
            <w:pPr>
              <w:spacing w:after="0" w:line="20" w:lineRule="exact"/>
              <w:rPr>
                <w:sz w:val="1"/>
                <w:szCs w:val="1"/>
                <w:color w:val="auto"/>
              </w:rPr>
            </w:pPr>
          </w:p>
        </w:tc>
        <w:tc>
          <w:tcPr>
            <w:tcW w:w="460" w:type="dxa"/>
            <w:vAlign w:val="bottom"/>
            <w:tcBorders>
              <w:top w:val="single" w:sz="8" w:color="4472C4"/>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13"/>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800" w:type="dxa"/>
            <w:vAlign w:val="bottom"/>
            <w:tcBorders>
              <w:top w:val="single" w:sz="8" w:color="4472C4"/>
              <w:bottom w:val="single" w:sz="8" w:color="4472C4"/>
            </w:tcBorders>
            <w:gridSpan w:val="7"/>
          </w:tcPr>
          <w:p>
            <w:pPr>
              <w:spacing w:after="0" w:line="20" w:lineRule="exact"/>
              <w:rPr>
                <w:sz w:val="1"/>
                <w:szCs w:val="1"/>
                <w:color w:val="auto"/>
              </w:rPr>
            </w:pPr>
          </w:p>
        </w:tc>
        <w:tc>
          <w:tcPr>
            <w:tcW w:w="1260" w:type="dxa"/>
            <w:vAlign w:val="bottom"/>
            <w:tcBorders>
              <w:right w:val="single" w:sz="8" w:color="auto"/>
            </w:tcBorders>
            <w:gridSpan w:val="1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60" w:type="dxa"/>
            <w:vAlign w:val="bottom"/>
            <w:tcBorders>
              <w:top w:val="single" w:sz="8" w:color="4472C4"/>
              <w:bottom w:val="single" w:sz="8" w:color="4472C4"/>
            </w:tcBorders>
            <w:gridSpan w:val="3"/>
          </w:tcPr>
          <w:p>
            <w:pPr>
              <w:spacing w:after="0" w:line="20" w:lineRule="exact"/>
              <w:rPr>
                <w:sz w:val="1"/>
                <w:szCs w:val="1"/>
                <w:color w:val="auto"/>
              </w:rPr>
            </w:pPr>
          </w:p>
        </w:tc>
        <w:tc>
          <w:tcPr>
            <w:tcW w:w="1540" w:type="dxa"/>
            <w:vAlign w:val="bottom"/>
            <w:tcBorders>
              <w:right w:val="single" w:sz="8" w:color="auto"/>
            </w:tcBorders>
            <w:gridSpan w:val="4"/>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right w:val="single" w:sz="8" w:color="auto"/>
            </w:tcBorders>
            <w:gridSpan w:val="15"/>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9"/>
              </w:rPr>
              <w:t>Valero</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right w:val="single" w:sz="8" w:color="auto"/>
            </w:tcBorders>
            <w:gridSpan w:val="23"/>
          </w:tcPr>
          <w:p>
            <w:pPr>
              <w:jc w:val="center"/>
              <w:ind w:right="1120"/>
              <w:spacing w:after="0" w:line="161" w:lineRule="exact"/>
              <w:rPr>
                <w:sz w:val="20"/>
                <w:szCs w:val="20"/>
                <w:color w:val="auto"/>
              </w:rPr>
            </w:pPr>
            <w:r>
              <w:rPr>
                <w:rFonts w:ascii="Times New Roman" w:cs="Times New Roman" w:eastAsia="Times New Roman" w:hAnsi="Times New Roman"/>
                <w:sz w:val="17"/>
                <w:szCs w:val="17"/>
                <w:color w:val="4472C4"/>
              </w:rPr>
              <w:t>Massillon, OH</w:t>
            </w:r>
          </w:p>
        </w:tc>
        <w:tc>
          <w:tcPr>
            <w:tcW w:w="1880" w:type="dxa"/>
            <w:vAlign w:val="bottom"/>
            <w:gridSpan w:val="9"/>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1,363</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440" w:type="dxa"/>
            <w:vAlign w:val="bottom"/>
            <w:tcBorders>
              <w:left w:val="single" w:sz="8" w:color="auto"/>
            </w:tcBorders>
            <w:gridSpan w:val="13"/>
          </w:tcPr>
          <w:p>
            <w:pPr>
              <w:spacing w:after="0" w:line="20" w:lineRule="exact"/>
              <w:rPr>
                <w:sz w:val="1"/>
                <w:szCs w:val="1"/>
                <w:color w:val="auto"/>
              </w:rPr>
            </w:pPr>
          </w:p>
        </w:tc>
        <w:tc>
          <w:tcPr>
            <w:tcW w:w="460" w:type="dxa"/>
            <w:vAlign w:val="bottom"/>
            <w:tcBorders>
              <w:top w:val="single" w:sz="8" w:color="4472C4"/>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13"/>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020" w:type="dxa"/>
            <w:vAlign w:val="bottom"/>
            <w:tcBorders>
              <w:top w:val="single" w:sz="8" w:color="4472C4"/>
              <w:bottom w:val="single" w:sz="8" w:color="4472C4"/>
            </w:tcBorders>
            <w:gridSpan w:val="15"/>
          </w:tcPr>
          <w:p>
            <w:pPr>
              <w:spacing w:after="0" w:line="20" w:lineRule="exact"/>
              <w:rPr>
                <w:sz w:val="1"/>
                <w:szCs w:val="1"/>
                <w:color w:val="auto"/>
              </w:rPr>
            </w:pPr>
          </w:p>
        </w:tc>
        <w:tc>
          <w:tcPr>
            <w:tcW w:w="1140" w:type="dxa"/>
            <w:vAlign w:val="bottom"/>
            <w:tcBorders>
              <w:right w:val="single" w:sz="8" w:color="auto"/>
            </w:tcBorders>
            <w:gridSpan w:val="7"/>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5"/>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right w:val="single" w:sz="8" w:color="auto"/>
            </w:tcBorders>
            <w:gridSpan w:val="15"/>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9"/>
              </w:rPr>
              <w:t>Valero</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Borders>
              <w:right w:val="single" w:sz="8" w:color="auto"/>
            </w:tcBorders>
            <w:gridSpan w:val="18"/>
          </w:tcPr>
          <w:p>
            <w:pPr>
              <w:jc w:val="center"/>
              <w:ind w:right="1260"/>
              <w:spacing w:after="0" w:line="161" w:lineRule="exact"/>
              <w:rPr>
                <w:sz w:val="20"/>
                <w:szCs w:val="20"/>
                <w:color w:val="auto"/>
              </w:rPr>
            </w:pPr>
            <w:r>
              <w:rPr>
                <w:rFonts w:ascii="Times New Roman" w:cs="Times New Roman" w:eastAsia="Times New Roman" w:hAnsi="Times New Roman"/>
                <w:sz w:val="17"/>
                <w:szCs w:val="17"/>
                <w:color w:val="4472C4"/>
              </w:rPr>
              <w:t>Parma, OH</w:t>
            </w:r>
          </w:p>
        </w:tc>
        <w:tc>
          <w:tcPr>
            <w:tcW w:w="1880" w:type="dxa"/>
            <w:vAlign w:val="bottom"/>
            <w:gridSpan w:val="9"/>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1,884</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440" w:type="dxa"/>
            <w:vAlign w:val="bottom"/>
            <w:tcBorders>
              <w:left w:val="single" w:sz="8" w:color="auto"/>
            </w:tcBorders>
            <w:gridSpan w:val="13"/>
          </w:tcPr>
          <w:p>
            <w:pPr>
              <w:spacing w:after="0" w:line="20" w:lineRule="exact"/>
              <w:rPr>
                <w:sz w:val="1"/>
                <w:szCs w:val="1"/>
                <w:color w:val="auto"/>
              </w:rPr>
            </w:pPr>
          </w:p>
        </w:tc>
        <w:tc>
          <w:tcPr>
            <w:tcW w:w="460" w:type="dxa"/>
            <w:vAlign w:val="bottom"/>
            <w:tcBorders>
              <w:top w:val="single" w:sz="8" w:color="4472C4"/>
              <w:bottom w:val="single" w:sz="8" w:color="4472C4"/>
            </w:tcBorders>
          </w:tcPr>
          <w:p>
            <w:pPr>
              <w:spacing w:after="0" w:line="20" w:lineRule="exact"/>
              <w:rPr>
                <w:sz w:val="1"/>
                <w:szCs w:val="1"/>
                <w:color w:val="auto"/>
              </w:rPr>
            </w:pPr>
          </w:p>
        </w:tc>
        <w:tc>
          <w:tcPr>
            <w:tcW w:w="1420" w:type="dxa"/>
            <w:vAlign w:val="bottom"/>
            <w:tcBorders>
              <w:right w:val="single" w:sz="8" w:color="auto"/>
            </w:tcBorders>
            <w:gridSpan w:val="13"/>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780" w:type="dxa"/>
            <w:vAlign w:val="bottom"/>
            <w:tcBorders>
              <w:top w:val="single" w:sz="8" w:color="4472C4"/>
              <w:bottom w:val="single" w:sz="8" w:color="4472C4"/>
            </w:tcBorders>
            <w:gridSpan w:val="6"/>
          </w:tcPr>
          <w:p>
            <w:pPr>
              <w:spacing w:after="0" w:line="20" w:lineRule="exact"/>
              <w:rPr>
                <w:sz w:val="1"/>
                <w:szCs w:val="1"/>
                <w:color w:val="auto"/>
              </w:rPr>
            </w:pPr>
          </w:p>
        </w:tc>
        <w:tc>
          <w:tcPr>
            <w:tcW w:w="1260" w:type="dxa"/>
            <w:vAlign w:val="bottom"/>
            <w:tcBorders>
              <w:right w:val="single" w:sz="8" w:color="auto"/>
            </w:tcBorders>
            <w:gridSpan w:val="1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5"/>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right w:val="single" w:sz="8" w:color="auto"/>
            </w:tcBorders>
            <w:gridSpan w:val="17"/>
          </w:tcPr>
          <w:p>
            <w:pPr>
              <w:jc w:val="center"/>
              <w:ind w:right="1220"/>
              <w:spacing w:after="0" w:line="161" w:lineRule="exact"/>
              <w:rPr>
                <w:sz w:val="20"/>
                <w:szCs w:val="20"/>
                <w:color w:val="auto"/>
              </w:rPr>
            </w:pPr>
            <w:r>
              <w:rPr>
                <w:rFonts w:ascii="Times New Roman" w:cs="Times New Roman" w:eastAsia="Times New Roman" w:hAnsi="Times New Roman"/>
                <w:sz w:val="17"/>
                <w:szCs w:val="17"/>
                <w:color w:val="4472C4"/>
              </w:rPr>
              <w:t>Visionworks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Borders>
              <w:right w:val="single" w:sz="8" w:color="auto"/>
            </w:tcBorders>
            <w:gridSpan w:val="26"/>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Friendswood, TX</w:t>
            </w:r>
          </w:p>
        </w:tc>
        <w:tc>
          <w:tcPr>
            <w:tcW w:w="1880" w:type="dxa"/>
            <w:vAlign w:val="bottom"/>
            <w:gridSpan w:val="9"/>
          </w:tcPr>
          <w:p>
            <w:pPr>
              <w:jc w:val="center"/>
              <w:ind w:left="1333"/>
              <w:spacing w:after="0" w:line="161" w:lineRule="exact"/>
              <w:rPr>
                <w:sz w:val="20"/>
                <w:szCs w:val="20"/>
                <w:color w:val="auto"/>
              </w:rPr>
            </w:pPr>
            <w:r>
              <w:rPr>
                <w:rFonts w:ascii="Times New Roman" w:cs="Times New Roman" w:eastAsia="Times New Roman" w:hAnsi="Times New Roman"/>
                <w:sz w:val="17"/>
                <w:szCs w:val="17"/>
                <w:color w:val="4472C4"/>
                <w:w w:val="99"/>
              </w:rPr>
              <w:t>3,949</w:t>
            </w: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1220" w:type="dxa"/>
            <w:vAlign w:val="bottom"/>
            <w:tcBorders>
              <w:left w:val="single" w:sz="8" w:color="auto"/>
            </w:tcBorders>
            <w:gridSpan w:val="10"/>
          </w:tcPr>
          <w:p>
            <w:pPr>
              <w:spacing w:after="0" w:line="20" w:lineRule="exact"/>
              <w:rPr>
                <w:sz w:val="1"/>
                <w:szCs w:val="1"/>
                <w:color w:val="auto"/>
              </w:rPr>
            </w:pPr>
          </w:p>
        </w:tc>
        <w:tc>
          <w:tcPr>
            <w:tcW w:w="880" w:type="dxa"/>
            <w:vAlign w:val="bottom"/>
            <w:tcBorders>
              <w:top w:val="single" w:sz="8" w:color="4472C4"/>
              <w:bottom w:val="single" w:sz="8" w:color="4472C4"/>
            </w:tcBorders>
            <w:gridSpan w:val="7"/>
          </w:tcPr>
          <w:p>
            <w:pPr>
              <w:spacing w:after="0" w:line="20" w:lineRule="exact"/>
              <w:rPr>
                <w:sz w:val="1"/>
                <w:szCs w:val="1"/>
                <w:color w:val="auto"/>
              </w:rPr>
            </w:pPr>
          </w:p>
        </w:tc>
        <w:tc>
          <w:tcPr>
            <w:tcW w:w="1220" w:type="dxa"/>
            <w:vAlign w:val="bottom"/>
            <w:tcBorders>
              <w:right w:val="single" w:sz="8" w:color="auto"/>
            </w:tcBorders>
            <w:gridSpan w:val="1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20" w:type="dxa"/>
            <w:vAlign w:val="bottom"/>
            <w:tcBorders>
              <w:top w:val="single" w:sz="8" w:color="4472C4"/>
              <w:bottom w:val="single" w:sz="8" w:color="4472C4"/>
            </w:tcBorders>
            <w:gridSpan w:val="23"/>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0" w:type="dxa"/>
            <w:vAlign w:val="bottom"/>
            <w:tcBorders>
              <w:top w:val="single" w:sz="8" w:color="4472C4"/>
              <w:bottom w:val="single" w:sz="8" w:color="4472C4"/>
            </w:tcBorders>
            <w:gridSpan w:val="5"/>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Borders>
              <w:right w:val="single" w:sz="8" w:color="auto"/>
            </w:tcBorders>
            <w:gridSpan w:val="16"/>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8"/>
              </w:rPr>
              <w:t>Walgreens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tcBorders>
              <w:right w:val="single" w:sz="8" w:color="auto"/>
            </w:tcBorders>
            <w:gridSpan w:val="24"/>
          </w:tcPr>
          <w:p>
            <w:pPr>
              <w:jc w:val="center"/>
              <w:ind w:right="1120"/>
              <w:spacing w:after="0" w:line="161" w:lineRule="exact"/>
              <w:rPr>
                <w:sz w:val="20"/>
                <w:szCs w:val="20"/>
                <w:color w:val="auto"/>
              </w:rPr>
            </w:pPr>
            <w:r>
              <w:rPr>
                <w:rFonts w:ascii="Times New Roman" w:cs="Times New Roman" w:eastAsia="Times New Roman" w:hAnsi="Times New Roman"/>
                <w:sz w:val="17"/>
                <w:szCs w:val="17"/>
                <w:color w:val="4472C4"/>
              </w:rPr>
              <w:t>Blackwood, NJ</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14,820</w:t>
            </w:r>
          </w:p>
        </w:tc>
        <w:tc>
          <w:tcPr>
            <w:tcW w:w="1420" w:type="dxa"/>
            <w:vAlign w:val="bottom"/>
            <w:tcBorders>
              <w:right w:val="single" w:sz="8" w:color="auto"/>
            </w:tcBorders>
          </w:tcPr>
          <w:p>
            <w:pPr>
              <w:spacing w:after="0"/>
              <w:rPr>
                <w:sz w:val="13"/>
                <w:szCs w:val="13"/>
                <w:color w:val="auto"/>
              </w:rPr>
            </w:pPr>
          </w:p>
        </w:tc>
      </w:tr>
      <w:tr>
        <w:trPr>
          <w:trHeight w:val="20"/>
        </w:trPr>
        <w:tc>
          <w:tcPr>
            <w:tcW w:w="1300" w:type="dxa"/>
            <w:vAlign w:val="bottom"/>
            <w:tcBorders>
              <w:left w:val="single" w:sz="8" w:color="auto"/>
            </w:tcBorders>
            <w:gridSpan w:val="11"/>
          </w:tcPr>
          <w:p>
            <w:pPr>
              <w:spacing w:after="0" w:line="20" w:lineRule="exact"/>
              <w:rPr>
                <w:sz w:val="1"/>
                <w:szCs w:val="1"/>
                <w:color w:val="auto"/>
              </w:rPr>
            </w:pPr>
          </w:p>
        </w:tc>
        <w:tc>
          <w:tcPr>
            <w:tcW w:w="720" w:type="dxa"/>
            <w:vAlign w:val="bottom"/>
            <w:tcBorders>
              <w:top w:val="single" w:sz="8" w:color="4472C4"/>
              <w:bottom w:val="single" w:sz="8" w:color="4472C4"/>
            </w:tcBorders>
            <w:gridSpan w:val="4"/>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280" w:type="dxa"/>
            <w:vAlign w:val="bottom"/>
            <w:tcBorders>
              <w:right w:val="single" w:sz="8" w:color="auto"/>
            </w:tcBorders>
            <w:gridSpan w:val="11"/>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80" w:type="dxa"/>
            <w:vAlign w:val="bottom"/>
            <w:tcBorders>
              <w:top w:val="single" w:sz="8" w:color="4472C4"/>
              <w:bottom w:val="single" w:sz="8" w:color="4472C4"/>
            </w:tcBorders>
            <w:gridSpan w:val="18"/>
          </w:tcPr>
          <w:p>
            <w:pPr>
              <w:spacing w:after="0" w:line="20" w:lineRule="exact"/>
              <w:rPr>
                <w:sz w:val="1"/>
                <w:szCs w:val="1"/>
                <w:color w:val="auto"/>
              </w:rPr>
            </w:pPr>
          </w:p>
        </w:tc>
        <w:tc>
          <w:tcPr>
            <w:tcW w:w="1120" w:type="dxa"/>
            <w:vAlign w:val="bottom"/>
            <w:tcBorders>
              <w:right w:val="single" w:sz="8" w:color="auto"/>
            </w:tcBorders>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Borders>
              <w:right w:val="single" w:sz="8" w:color="auto"/>
            </w:tcBorders>
            <w:gridSpan w:val="16"/>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8"/>
              </w:rPr>
              <w:t>Walgreens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right w:val="single" w:sz="8" w:color="auto"/>
            </w:tcBorders>
            <w:gridSpan w:val="15"/>
          </w:tcPr>
          <w:p>
            <w:pPr>
              <w:jc w:val="center"/>
              <w:ind w:right="1320"/>
              <w:spacing w:after="0" w:line="161" w:lineRule="exact"/>
              <w:rPr>
                <w:sz w:val="20"/>
                <w:szCs w:val="20"/>
                <w:color w:val="auto"/>
              </w:rPr>
            </w:pPr>
            <w:r>
              <w:rPr>
                <w:rFonts w:ascii="Times New Roman" w:cs="Times New Roman" w:eastAsia="Times New Roman" w:hAnsi="Times New Roman"/>
                <w:sz w:val="17"/>
                <w:szCs w:val="17"/>
                <w:color w:val="4472C4"/>
              </w:rPr>
              <w:t>Brick, NJ</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14,550</w:t>
            </w:r>
          </w:p>
        </w:tc>
        <w:tc>
          <w:tcPr>
            <w:tcW w:w="1420" w:type="dxa"/>
            <w:vAlign w:val="bottom"/>
            <w:tcBorders>
              <w:right w:val="single" w:sz="8" w:color="auto"/>
            </w:tcBorders>
          </w:tcPr>
          <w:p>
            <w:pPr>
              <w:spacing w:after="0"/>
              <w:rPr>
                <w:sz w:val="13"/>
                <w:szCs w:val="13"/>
                <w:color w:val="auto"/>
              </w:rPr>
            </w:pPr>
          </w:p>
        </w:tc>
      </w:tr>
      <w:tr>
        <w:trPr>
          <w:trHeight w:val="20"/>
        </w:trPr>
        <w:tc>
          <w:tcPr>
            <w:tcW w:w="1300" w:type="dxa"/>
            <w:vAlign w:val="bottom"/>
            <w:tcBorders>
              <w:left w:val="single" w:sz="8" w:color="auto"/>
            </w:tcBorders>
            <w:gridSpan w:val="11"/>
          </w:tcPr>
          <w:p>
            <w:pPr>
              <w:spacing w:after="0" w:line="20" w:lineRule="exact"/>
              <w:rPr>
                <w:sz w:val="1"/>
                <w:szCs w:val="1"/>
                <w:color w:val="auto"/>
              </w:rPr>
            </w:pPr>
          </w:p>
        </w:tc>
        <w:tc>
          <w:tcPr>
            <w:tcW w:w="720" w:type="dxa"/>
            <w:vAlign w:val="bottom"/>
            <w:tcBorders>
              <w:top w:val="single" w:sz="8" w:color="4472C4"/>
              <w:bottom w:val="single" w:sz="8" w:color="4472C4"/>
            </w:tcBorders>
            <w:gridSpan w:val="4"/>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280" w:type="dxa"/>
            <w:vAlign w:val="bottom"/>
            <w:tcBorders>
              <w:right w:val="single" w:sz="8" w:color="auto"/>
            </w:tcBorders>
            <w:gridSpan w:val="11"/>
          </w:tcPr>
          <w:p>
            <w:pPr>
              <w:spacing w:after="0" w:line="20" w:lineRule="exact"/>
              <w:rPr>
                <w:sz w:val="1"/>
                <w:szCs w:val="1"/>
                <w:color w:val="auto"/>
              </w:rPr>
            </w:pPr>
          </w:p>
        </w:tc>
        <w:tc>
          <w:tcPr>
            <w:tcW w:w="1300" w:type="dxa"/>
            <w:vAlign w:val="bottom"/>
            <w:gridSpan w:val="13"/>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60" w:type="dxa"/>
            <w:vAlign w:val="bottom"/>
            <w:tcBorders>
              <w:top w:val="single" w:sz="8" w:color="4472C4"/>
              <w:bottom w:val="single" w:sz="8" w:color="4472C4"/>
            </w:tcBorders>
          </w:tcPr>
          <w:p>
            <w:pPr>
              <w:spacing w:after="0" w:line="20" w:lineRule="exact"/>
              <w:rPr>
                <w:sz w:val="1"/>
                <w:szCs w:val="1"/>
                <w:color w:val="auto"/>
              </w:rPr>
            </w:pPr>
          </w:p>
        </w:tc>
        <w:tc>
          <w:tcPr>
            <w:tcW w:w="1320" w:type="dxa"/>
            <w:vAlign w:val="bottom"/>
            <w:tcBorders>
              <w:right w:val="single" w:sz="8" w:color="auto"/>
            </w:tcBorders>
            <w:gridSpan w:val="1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Borders>
              <w:right w:val="single" w:sz="8" w:color="auto"/>
            </w:tcBorders>
            <w:gridSpan w:val="16"/>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8"/>
              </w:rPr>
              <w:t>Walgreens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60" w:type="dxa"/>
            <w:vAlign w:val="bottom"/>
            <w:tcBorders>
              <w:right w:val="single" w:sz="8" w:color="auto"/>
            </w:tcBorders>
            <w:gridSpan w:val="19"/>
          </w:tcPr>
          <w:p>
            <w:pPr>
              <w:jc w:val="center"/>
              <w:ind w:right="1260"/>
              <w:spacing w:after="0" w:line="161" w:lineRule="exact"/>
              <w:rPr>
                <w:sz w:val="20"/>
                <w:szCs w:val="20"/>
                <w:color w:val="auto"/>
              </w:rPr>
            </w:pPr>
            <w:r>
              <w:rPr>
                <w:rFonts w:ascii="Times New Roman" w:cs="Times New Roman" w:eastAsia="Times New Roman" w:hAnsi="Times New Roman"/>
                <w:sz w:val="17"/>
                <w:szCs w:val="17"/>
                <w:color w:val="4472C4"/>
              </w:rPr>
              <w:t>Decatur, IL</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14,820</w:t>
            </w:r>
          </w:p>
        </w:tc>
        <w:tc>
          <w:tcPr>
            <w:tcW w:w="1420" w:type="dxa"/>
            <w:vAlign w:val="bottom"/>
            <w:tcBorders>
              <w:right w:val="single" w:sz="8" w:color="auto"/>
            </w:tcBorders>
          </w:tcPr>
          <w:p>
            <w:pPr>
              <w:spacing w:after="0"/>
              <w:rPr>
                <w:sz w:val="13"/>
                <w:szCs w:val="13"/>
                <w:color w:val="auto"/>
              </w:rPr>
            </w:pPr>
          </w:p>
        </w:tc>
      </w:tr>
      <w:tr>
        <w:trPr>
          <w:trHeight w:val="20"/>
        </w:trPr>
        <w:tc>
          <w:tcPr>
            <w:tcW w:w="1300" w:type="dxa"/>
            <w:vAlign w:val="bottom"/>
            <w:tcBorders>
              <w:left w:val="single" w:sz="8" w:color="auto"/>
            </w:tcBorders>
            <w:gridSpan w:val="11"/>
          </w:tcPr>
          <w:p>
            <w:pPr>
              <w:spacing w:after="0" w:line="20" w:lineRule="exact"/>
              <w:rPr>
                <w:sz w:val="1"/>
                <w:szCs w:val="1"/>
                <w:color w:val="auto"/>
              </w:rPr>
            </w:pPr>
          </w:p>
        </w:tc>
        <w:tc>
          <w:tcPr>
            <w:tcW w:w="720" w:type="dxa"/>
            <w:vAlign w:val="bottom"/>
            <w:tcBorders>
              <w:top w:val="single" w:sz="8" w:color="4472C4"/>
              <w:bottom w:val="single" w:sz="8" w:color="4472C4"/>
            </w:tcBorders>
            <w:gridSpan w:val="4"/>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280" w:type="dxa"/>
            <w:vAlign w:val="bottom"/>
            <w:tcBorders>
              <w:right w:val="single" w:sz="8" w:color="auto"/>
            </w:tcBorders>
            <w:gridSpan w:val="11"/>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800" w:type="dxa"/>
            <w:vAlign w:val="bottom"/>
            <w:tcBorders>
              <w:top w:val="single" w:sz="8" w:color="4472C4"/>
              <w:bottom w:val="single" w:sz="8" w:color="4472C4"/>
            </w:tcBorders>
            <w:gridSpan w:val="7"/>
          </w:tcPr>
          <w:p>
            <w:pPr>
              <w:spacing w:after="0" w:line="20" w:lineRule="exact"/>
              <w:rPr>
                <w:sz w:val="1"/>
                <w:szCs w:val="1"/>
                <w:color w:val="auto"/>
              </w:rPr>
            </w:pPr>
          </w:p>
        </w:tc>
        <w:tc>
          <w:tcPr>
            <w:tcW w:w="1260" w:type="dxa"/>
            <w:vAlign w:val="bottom"/>
            <w:tcBorders>
              <w:right w:val="single" w:sz="8" w:color="auto"/>
            </w:tcBorders>
            <w:gridSpan w:val="1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r>
        <w:trPr>
          <w:trHeight w:val="161"/>
        </w:trPr>
        <w:tc>
          <w:tcPr>
            <w:tcW w:w="76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Borders>
              <w:right w:val="single" w:sz="8" w:color="auto"/>
            </w:tcBorders>
            <w:gridSpan w:val="16"/>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8"/>
              </w:rPr>
              <w:t>Walgreens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tcBorders>
              <w:right w:val="single" w:sz="8" w:color="auto"/>
            </w:tcBorders>
            <w:gridSpan w:val="24"/>
          </w:tcPr>
          <w:p>
            <w:pPr>
              <w:jc w:val="center"/>
              <w:ind w:right="1100"/>
              <w:spacing w:after="0" w:line="161" w:lineRule="exact"/>
              <w:rPr>
                <w:sz w:val="20"/>
                <w:szCs w:val="20"/>
                <w:color w:val="auto"/>
              </w:rPr>
            </w:pPr>
            <w:r>
              <w:rPr>
                <w:rFonts w:ascii="Times New Roman" w:cs="Times New Roman" w:eastAsia="Times New Roman" w:hAnsi="Times New Roman"/>
                <w:sz w:val="17"/>
                <w:szCs w:val="17"/>
                <w:color w:val="4472C4"/>
              </w:rPr>
              <w:t>Edgewater, MD</w:t>
            </w:r>
          </w:p>
        </w:tc>
        <w:tc>
          <w:tcPr>
            <w:tcW w:w="1900" w:type="dxa"/>
            <w:vAlign w:val="bottom"/>
            <w:gridSpan w:val="10"/>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14,820</w:t>
            </w:r>
          </w:p>
        </w:tc>
        <w:tc>
          <w:tcPr>
            <w:tcW w:w="1420" w:type="dxa"/>
            <w:vAlign w:val="bottom"/>
            <w:tcBorders>
              <w:right w:val="single" w:sz="8" w:color="auto"/>
            </w:tcBorders>
          </w:tcPr>
          <w:p>
            <w:pPr>
              <w:spacing w:after="0"/>
              <w:rPr>
                <w:sz w:val="13"/>
                <w:szCs w:val="13"/>
                <w:color w:val="auto"/>
              </w:rPr>
            </w:pPr>
          </w:p>
        </w:tc>
      </w:tr>
      <w:tr>
        <w:trPr>
          <w:trHeight w:val="20"/>
        </w:trPr>
        <w:tc>
          <w:tcPr>
            <w:tcW w:w="1300" w:type="dxa"/>
            <w:vAlign w:val="bottom"/>
            <w:tcBorders>
              <w:left w:val="single" w:sz="8" w:color="auto"/>
            </w:tcBorders>
            <w:gridSpan w:val="11"/>
          </w:tcPr>
          <w:p>
            <w:pPr>
              <w:spacing w:after="0" w:line="20" w:lineRule="exact"/>
              <w:rPr>
                <w:sz w:val="1"/>
                <w:szCs w:val="1"/>
                <w:color w:val="auto"/>
              </w:rPr>
            </w:pPr>
          </w:p>
        </w:tc>
        <w:tc>
          <w:tcPr>
            <w:tcW w:w="720" w:type="dxa"/>
            <w:vAlign w:val="bottom"/>
            <w:tcBorders>
              <w:top w:val="single" w:sz="8" w:color="4472C4"/>
              <w:bottom w:val="single" w:sz="8" w:color="4472C4"/>
            </w:tcBorders>
            <w:gridSpan w:val="4"/>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280" w:type="dxa"/>
            <w:vAlign w:val="bottom"/>
            <w:tcBorders>
              <w:right w:val="single" w:sz="8" w:color="auto"/>
            </w:tcBorders>
            <w:gridSpan w:val="11"/>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100" w:type="dxa"/>
            <w:vAlign w:val="bottom"/>
            <w:tcBorders>
              <w:top w:val="single" w:sz="8" w:color="4472C4"/>
              <w:bottom w:val="single" w:sz="8" w:color="4472C4"/>
            </w:tcBorders>
            <w:gridSpan w:val="19"/>
          </w:tcPr>
          <w:p>
            <w:pPr>
              <w:spacing w:after="0" w:line="20" w:lineRule="exact"/>
              <w:rPr>
                <w:sz w:val="1"/>
                <w:szCs w:val="1"/>
                <w:color w:val="auto"/>
              </w:rPr>
            </w:pPr>
          </w:p>
        </w:tc>
        <w:tc>
          <w:tcPr>
            <w:tcW w:w="1100" w:type="dxa"/>
            <w:vAlign w:val="bottom"/>
            <w:tcBorders>
              <w:right w:val="single" w:sz="8" w:color="auto"/>
            </w:tcBorders>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60" w:type="dxa"/>
            <w:vAlign w:val="bottom"/>
            <w:tcBorders>
              <w:top w:val="single" w:sz="8" w:color="4472C4"/>
              <w:bottom w:val="single" w:sz="8" w:color="4472C4"/>
            </w:tcBorders>
            <w:gridSpan w:val="7"/>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3320" w:type="dxa"/>
            <w:vAlign w:val="bottom"/>
            <w:tcBorders>
              <w:left w:val="single" w:sz="8" w:color="auto"/>
              <w:bottom w:val="single" w:sz="8" w:color="auto"/>
              <w:right w:val="single" w:sz="8" w:color="auto"/>
            </w:tcBorders>
            <w:gridSpan w:val="27"/>
          </w:tcPr>
          <w:p>
            <w:pPr>
              <w:spacing w:after="0" w:line="20" w:lineRule="exact"/>
              <w:rPr>
                <w:sz w:val="1"/>
                <w:szCs w:val="1"/>
                <w:color w:val="auto"/>
              </w:rPr>
            </w:pPr>
          </w:p>
        </w:tc>
        <w:tc>
          <w:tcPr>
            <w:tcW w:w="3300" w:type="dxa"/>
            <w:vAlign w:val="bottom"/>
            <w:tcBorders>
              <w:bottom w:val="single" w:sz="8" w:color="auto"/>
              <w:right w:val="single" w:sz="8" w:color="auto"/>
            </w:tcBorders>
            <w:gridSpan w:val="29"/>
          </w:tcPr>
          <w:p>
            <w:pPr>
              <w:spacing w:after="0" w:line="20" w:lineRule="exact"/>
              <w:rPr>
                <w:sz w:val="1"/>
                <w:szCs w:val="1"/>
                <w:color w:val="auto"/>
              </w:rPr>
            </w:pPr>
          </w:p>
        </w:tc>
        <w:tc>
          <w:tcPr>
            <w:tcW w:w="3320" w:type="dxa"/>
            <w:vAlign w:val="bottom"/>
            <w:tcBorders>
              <w:bottom w:val="single" w:sz="8" w:color="auto"/>
              <w:right w:val="single" w:sz="8" w:color="auto"/>
            </w:tcBorders>
            <w:gridSpan w:val="11"/>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72" w:right="979" w:bottom="1440" w:gutter="0" w:footer="0" w:header="0"/>
        </w:sectPr>
      </w:pPr>
    </w:p>
    <w:bookmarkStart w:id="219" w:name="page220"/>
    <w:bookmarkEnd w:id="219"/>
    <w:tbl>
      <w:tblPr>
        <w:tblLayout w:type="fixed"/>
        <w:tblInd w:w="10" w:type="dxa"/>
        <w:tblCellMar>
          <w:top w:w="0" w:type="dxa"/>
          <w:left w:w="0" w:type="dxa"/>
          <w:bottom w:w="0" w:type="dxa"/>
          <w:right w:w="0" w:type="dxa"/>
        </w:tblCellMar>
      </w:tblPr>
      <w:tr>
        <w:trPr>
          <w:trHeight w:val="196"/>
        </w:trPr>
        <w:tc>
          <w:tcPr>
            <w:tcW w:w="680" w:type="dxa"/>
            <w:vAlign w:val="bottom"/>
            <w:tcBorders>
              <w:top w:val="single" w:sz="8" w:color="auto"/>
              <w:lef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20" w:type="dxa"/>
            <w:vAlign w:val="bottom"/>
            <w:tcBorders>
              <w:top w:val="single" w:sz="8" w:color="auto"/>
              <w:right w:val="single" w:sz="8" w:color="auto"/>
            </w:tcBorders>
            <w:gridSpan w:val="4"/>
          </w:tcPr>
          <w:p>
            <w:pPr>
              <w:jc w:val="center"/>
              <w:ind w:right="1300"/>
              <w:spacing w:after="0"/>
              <w:rPr>
                <w:sz w:val="20"/>
                <w:szCs w:val="20"/>
                <w:color w:val="auto"/>
              </w:rPr>
            </w:pPr>
            <w:r>
              <w:rPr>
                <w:rFonts w:ascii="Times New Roman" w:cs="Times New Roman" w:eastAsia="Times New Roman" w:hAnsi="Times New Roman"/>
                <w:sz w:val="17"/>
                <w:szCs w:val="17"/>
                <w:color w:val="4472C4"/>
                <w:w w:val="98"/>
              </w:rPr>
              <w:t>Walgreens</w:t>
            </w:r>
          </w:p>
        </w:tc>
        <w:tc>
          <w:tcPr>
            <w:tcW w:w="780" w:type="dxa"/>
            <w:vAlign w:val="bottom"/>
            <w:tcBorders>
              <w:top w:val="single" w:sz="8" w:color="auto"/>
            </w:tcBorders>
          </w:tcPr>
          <w:p>
            <w:pPr>
              <w:spacing w:after="0"/>
              <w:rPr>
                <w:sz w:val="17"/>
                <w:szCs w:val="17"/>
                <w:color w:val="auto"/>
              </w:rPr>
            </w:pPr>
          </w:p>
        </w:tc>
        <w:tc>
          <w:tcPr>
            <w:tcW w:w="2520" w:type="dxa"/>
            <w:vAlign w:val="bottom"/>
            <w:tcBorders>
              <w:top w:val="single" w:sz="8" w:color="auto"/>
              <w:right w:val="single" w:sz="8" w:color="auto"/>
            </w:tcBorders>
            <w:gridSpan w:val="11"/>
          </w:tcPr>
          <w:p>
            <w:pPr>
              <w:jc w:val="center"/>
              <w:ind w:right="800"/>
              <w:spacing w:after="0"/>
              <w:rPr>
                <w:sz w:val="20"/>
                <w:szCs w:val="20"/>
                <w:color w:val="auto"/>
              </w:rPr>
            </w:pPr>
            <w:r>
              <w:rPr>
                <w:rFonts w:ascii="Times New Roman" w:cs="Times New Roman" w:eastAsia="Times New Roman" w:hAnsi="Times New Roman"/>
                <w:sz w:val="17"/>
                <w:szCs w:val="17"/>
                <w:color w:val="4472C4"/>
              </w:rPr>
              <w:t>Feasterville-Trevose, PA</w:t>
            </w:r>
          </w:p>
        </w:tc>
        <w:tc>
          <w:tcPr>
            <w:tcW w:w="1900" w:type="dxa"/>
            <w:vAlign w:val="bottom"/>
            <w:tcBorders>
              <w:top w:val="single" w:sz="8" w:color="auto"/>
            </w:tcBorders>
            <w:gridSpan w:val="6"/>
          </w:tcPr>
          <w:p>
            <w:pPr>
              <w:jc w:val="center"/>
              <w:ind w:left="1313"/>
              <w:spacing w:after="0"/>
              <w:rPr>
                <w:sz w:val="20"/>
                <w:szCs w:val="20"/>
                <w:color w:val="auto"/>
              </w:rPr>
            </w:pPr>
            <w:r>
              <w:rPr>
                <w:rFonts w:ascii="Times New Roman" w:cs="Times New Roman" w:eastAsia="Times New Roman" w:hAnsi="Times New Roman"/>
                <w:sz w:val="17"/>
                <w:szCs w:val="17"/>
                <w:color w:val="4472C4"/>
                <w:w w:val="98"/>
              </w:rPr>
              <w:t>14,820</w:t>
            </w:r>
          </w:p>
        </w:tc>
        <w:tc>
          <w:tcPr>
            <w:tcW w:w="1420" w:type="dxa"/>
            <w:vAlign w:val="bottom"/>
            <w:tcBorders>
              <w:top w:val="single" w:sz="8" w:color="auto"/>
              <w:right w:val="single" w:sz="8" w:color="auto"/>
            </w:tcBorders>
          </w:tcPr>
          <w:p>
            <w:pPr>
              <w:spacing w:after="0"/>
              <w:rPr>
                <w:sz w:val="17"/>
                <w:szCs w:val="17"/>
                <w:color w:val="auto"/>
              </w:rPr>
            </w:pP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86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Borders>
              <w:top w:val="single" w:sz="8" w:color="4472C4"/>
              <w:bottom w:val="single" w:sz="8" w:color="4472C4"/>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68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6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20" w:type="dxa"/>
            <w:vAlign w:val="bottom"/>
            <w:tcBorders>
              <w:right w:val="single" w:sz="8" w:color="auto"/>
            </w:tcBorders>
            <w:gridSpan w:val="4"/>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8"/>
              </w:rPr>
              <w:t>Walgreens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Borders>
              <w:right w:val="single" w:sz="8" w:color="auto"/>
            </w:tcBorders>
            <w:gridSpan w:val="9"/>
          </w:tcPr>
          <w:p>
            <w:pPr>
              <w:jc w:val="center"/>
              <w:ind w:right="1040"/>
              <w:spacing w:after="0" w:line="161" w:lineRule="exact"/>
              <w:rPr>
                <w:sz w:val="20"/>
                <w:szCs w:val="20"/>
                <w:color w:val="auto"/>
              </w:rPr>
            </w:pPr>
            <w:r>
              <w:rPr>
                <w:rFonts w:ascii="Times New Roman" w:cs="Times New Roman" w:eastAsia="Times New Roman" w:hAnsi="Times New Roman"/>
                <w:sz w:val="17"/>
                <w:szCs w:val="17"/>
                <w:color w:val="4472C4"/>
              </w:rPr>
              <w:t>Glen Burnie, MD</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14,490</w:t>
            </w:r>
          </w:p>
        </w:tc>
        <w:tc>
          <w:tcPr>
            <w:tcW w:w="1420" w:type="dxa"/>
            <w:vAlign w:val="bottom"/>
            <w:tcBorders>
              <w:right w:val="single" w:sz="8" w:color="auto"/>
            </w:tcBorders>
          </w:tcPr>
          <w:p>
            <w:pPr>
              <w:spacing w:after="0"/>
              <w:rPr>
                <w:sz w:val="13"/>
                <w:szCs w:val="13"/>
                <w:color w:val="auto"/>
              </w:rPr>
            </w:pP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86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68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6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20" w:type="dxa"/>
            <w:vAlign w:val="bottom"/>
            <w:tcBorders>
              <w:right w:val="single" w:sz="8" w:color="auto"/>
            </w:tcBorders>
            <w:gridSpan w:val="4"/>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8"/>
              </w:rPr>
              <w:t>Walgreens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Borders>
              <w:right w:val="single" w:sz="8" w:color="auto"/>
            </w:tcBorders>
            <w:gridSpan w:val="8"/>
          </w:tcPr>
          <w:p>
            <w:pPr>
              <w:jc w:val="center"/>
              <w:ind w:right="1160"/>
              <w:spacing w:after="0" w:line="161" w:lineRule="exact"/>
              <w:rPr>
                <w:sz w:val="20"/>
                <w:szCs w:val="20"/>
                <w:color w:val="auto"/>
              </w:rPr>
            </w:pPr>
            <w:r>
              <w:rPr>
                <w:rFonts w:ascii="Times New Roman" w:cs="Times New Roman" w:eastAsia="Times New Roman" w:hAnsi="Times New Roman"/>
                <w:sz w:val="17"/>
                <w:szCs w:val="17"/>
                <w:color w:val="4472C4"/>
                <w:w w:val="99"/>
              </w:rPr>
              <w:t>Taylorville, IL</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14,550</w:t>
            </w:r>
          </w:p>
        </w:tc>
        <w:tc>
          <w:tcPr>
            <w:tcW w:w="1420" w:type="dxa"/>
            <w:vAlign w:val="bottom"/>
            <w:tcBorders>
              <w:right w:val="single" w:sz="8" w:color="auto"/>
            </w:tcBorders>
          </w:tcPr>
          <w:p>
            <w:pPr>
              <w:spacing w:after="0"/>
              <w:rPr>
                <w:sz w:val="13"/>
                <w:szCs w:val="13"/>
                <w:color w:val="auto"/>
              </w:rPr>
            </w:pP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86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68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6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20" w:type="dxa"/>
            <w:vAlign w:val="bottom"/>
            <w:tcBorders>
              <w:right w:val="single" w:sz="8" w:color="auto"/>
            </w:tcBorders>
            <w:gridSpan w:val="4"/>
          </w:tcPr>
          <w:p>
            <w:pPr>
              <w:jc w:val="center"/>
              <w:ind w:right="1300"/>
              <w:spacing w:after="0" w:line="161" w:lineRule="exact"/>
              <w:rPr>
                <w:sz w:val="20"/>
                <w:szCs w:val="20"/>
                <w:color w:val="auto"/>
              </w:rPr>
            </w:pPr>
            <w:r>
              <w:rPr>
                <w:rFonts w:ascii="Times New Roman" w:cs="Times New Roman" w:eastAsia="Times New Roman" w:hAnsi="Times New Roman"/>
                <w:sz w:val="17"/>
                <w:szCs w:val="17"/>
                <w:color w:val="4472C4"/>
                <w:w w:val="98"/>
              </w:rPr>
              <w:t>Walgreens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Borders>
              <w:right w:val="single" w:sz="8" w:color="auto"/>
            </w:tcBorders>
            <w:gridSpan w:val="10"/>
          </w:tcPr>
          <w:p>
            <w:pPr>
              <w:jc w:val="center"/>
              <w:ind w:right="1000"/>
              <w:spacing w:after="0" w:line="161" w:lineRule="exact"/>
              <w:rPr>
                <w:sz w:val="20"/>
                <w:szCs w:val="20"/>
                <w:color w:val="auto"/>
              </w:rPr>
            </w:pPr>
            <w:r>
              <w:rPr>
                <w:rFonts w:ascii="Times New Roman" w:cs="Times New Roman" w:eastAsia="Times New Roman" w:hAnsi="Times New Roman"/>
                <w:sz w:val="17"/>
                <w:szCs w:val="17"/>
                <w:color w:val="4472C4"/>
              </w:rPr>
              <w:t>West Hartford, CT</w:t>
            </w:r>
          </w:p>
        </w:tc>
        <w:tc>
          <w:tcPr>
            <w:tcW w:w="1900" w:type="dxa"/>
            <w:vAlign w:val="bottom"/>
            <w:gridSpan w:val="6"/>
          </w:tcPr>
          <w:p>
            <w:pPr>
              <w:jc w:val="center"/>
              <w:ind w:left="1313"/>
              <w:spacing w:after="0" w:line="161" w:lineRule="exact"/>
              <w:rPr>
                <w:sz w:val="20"/>
                <w:szCs w:val="20"/>
                <w:color w:val="auto"/>
              </w:rPr>
            </w:pPr>
            <w:r>
              <w:rPr>
                <w:rFonts w:ascii="Times New Roman" w:cs="Times New Roman" w:eastAsia="Times New Roman" w:hAnsi="Times New Roman"/>
                <w:sz w:val="17"/>
                <w:szCs w:val="17"/>
                <w:color w:val="4472C4"/>
                <w:w w:val="98"/>
              </w:rPr>
              <w:t>12,805</w:t>
            </w:r>
          </w:p>
        </w:tc>
        <w:tc>
          <w:tcPr>
            <w:tcW w:w="1420" w:type="dxa"/>
            <w:vAlign w:val="bottom"/>
            <w:tcBorders>
              <w:right w:val="single" w:sz="8" w:color="auto"/>
            </w:tcBorders>
          </w:tcPr>
          <w:p>
            <w:pPr>
              <w:spacing w:after="0"/>
              <w:rPr>
                <w:sz w:val="13"/>
                <w:szCs w:val="13"/>
                <w:color w:val="auto"/>
              </w:rPr>
            </w:pP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86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1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68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61"/>
        </w:trPr>
        <w:tc>
          <w:tcPr>
            <w:tcW w:w="68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right w:val="single" w:sz="8" w:color="auto"/>
            </w:tcBorders>
            <w:gridSpan w:val="5"/>
          </w:tcPr>
          <w:p>
            <w:pPr>
              <w:jc w:val="center"/>
              <w:ind w:right="680"/>
              <w:spacing w:after="0" w:line="161" w:lineRule="exact"/>
              <w:rPr>
                <w:sz w:val="20"/>
                <w:szCs w:val="20"/>
                <w:color w:val="auto"/>
              </w:rPr>
            </w:pPr>
            <w:r>
              <w:rPr>
                <w:rFonts w:ascii="Times New Roman" w:cs="Times New Roman" w:eastAsia="Times New Roman" w:hAnsi="Times New Roman"/>
                <w:sz w:val="17"/>
                <w:szCs w:val="17"/>
                <w:color w:val="4472C4"/>
              </w:rPr>
              <w:t>SAFE Federal Credit Union</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Borders>
              <w:right w:val="single" w:sz="8" w:color="auto"/>
            </w:tcBorders>
            <w:gridSpan w:val="8"/>
          </w:tcPr>
          <w:p>
            <w:pPr>
              <w:jc w:val="center"/>
              <w:ind w:right="1140"/>
              <w:spacing w:after="0" w:line="161" w:lineRule="exact"/>
              <w:rPr>
                <w:sz w:val="20"/>
                <w:szCs w:val="20"/>
                <w:color w:val="auto"/>
              </w:rPr>
            </w:pPr>
            <w:r>
              <w:rPr>
                <w:rFonts w:ascii="Times New Roman" w:cs="Times New Roman" w:eastAsia="Times New Roman" w:hAnsi="Times New Roman"/>
                <w:sz w:val="17"/>
                <w:szCs w:val="17"/>
                <w:color w:val="4472C4"/>
              </w:rPr>
              <w:t>Florence SC</w:t>
            </w:r>
          </w:p>
        </w:tc>
        <w:tc>
          <w:tcPr>
            <w:tcW w:w="1700" w:type="dxa"/>
            <w:vAlign w:val="bottom"/>
            <w:gridSpan w:val="4"/>
          </w:tcPr>
          <w:p>
            <w:pPr>
              <w:jc w:val="center"/>
              <w:ind w:left="1513"/>
              <w:spacing w:after="0" w:line="161" w:lineRule="exact"/>
              <w:rPr>
                <w:sz w:val="20"/>
                <w:szCs w:val="20"/>
                <w:color w:val="auto"/>
              </w:rPr>
            </w:pPr>
            <w:r>
              <w:rPr>
                <w:rFonts w:ascii="Times New Roman" w:cs="Times New Roman" w:eastAsia="Times New Roman" w:hAnsi="Times New Roman"/>
                <w:sz w:val="17"/>
                <w:szCs w:val="17"/>
                <w:color w:val="4472C4"/>
              </w:rPr>
              <w:t>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7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0"/>
        </w:trPr>
        <w:tc>
          <w:tcPr>
            <w:tcW w:w="68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72" w:right="979" w:bottom="1440" w:gutter="0" w:footer="0" w:header="0"/>
        </w:sectPr>
      </w:pPr>
    </w:p>
    <w:bookmarkStart w:id="220" w:name="page221"/>
    <w:bookmarkEnd w:id="22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SCHEDULE 6.2</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SUBSIDIARIES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80" w:type="dxa"/>
            <w:vAlign w:val="bottom"/>
            <w:tcBorders>
              <w:top w:val="single" w:sz="8" w:color="auto"/>
              <w:left w:val="single" w:sz="8" w:color="auto"/>
            </w:tcBorders>
          </w:tcPr>
          <w:p>
            <w:pPr>
              <w:spacing w:after="0"/>
              <w:rPr>
                <w:sz w:val="15"/>
                <w:szCs w:val="15"/>
                <w:color w:val="auto"/>
              </w:rPr>
            </w:pPr>
          </w:p>
        </w:tc>
        <w:tc>
          <w:tcPr>
            <w:tcW w:w="350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60" w:type="dxa"/>
            <w:vAlign w:val="bottom"/>
            <w:tcBorders>
              <w:top w:val="single" w:sz="8" w:color="auto"/>
            </w:tcBorders>
          </w:tcPr>
          <w:p>
            <w:pPr>
              <w:spacing w:after="0"/>
              <w:rPr>
                <w:sz w:val="15"/>
                <w:szCs w:val="15"/>
                <w:color w:val="auto"/>
              </w:rPr>
            </w:pPr>
          </w:p>
        </w:tc>
        <w:tc>
          <w:tcPr>
            <w:tcW w:w="2080" w:type="dxa"/>
            <w:vAlign w:val="bottom"/>
            <w:tcBorders>
              <w:top w:val="single" w:sz="8" w:color="auto"/>
              <w:right w:val="single" w:sz="8" w:color="auto"/>
            </w:tcBorders>
          </w:tcPr>
          <w:p>
            <w:pPr>
              <w:ind w:left="740"/>
              <w:spacing w:after="0" w:line="183" w:lineRule="exact"/>
              <w:rPr>
                <w:sz w:val="20"/>
                <w:szCs w:val="20"/>
                <w:color w:val="auto"/>
              </w:rPr>
            </w:pPr>
            <w:r>
              <w:rPr>
                <w:rFonts w:ascii="Times New Roman" w:cs="Times New Roman" w:eastAsia="Times New Roman" w:hAnsi="Times New Roman"/>
                <w:sz w:val="17"/>
                <w:szCs w:val="17"/>
                <w:b w:val="1"/>
                <w:bCs w:val="1"/>
                <w:color w:val="auto"/>
              </w:rPr>
              <w:t>Date of</w:t>
            </w:r>
          </w:p>
        </w:tc>
        <w:tc>
          <w:tcPr>
            <w:tcW w:w="60" w:type="dxa"/>
            <w:vAlign w:val="bottom"/>
            <w:tcBorders>
              <w:top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7"/>
                <w:szCs w:val="17"/>
                <w:b w:val="1"/>
                <w:bCs w:val="1"/>
                <w:color w:val="auto"/>
              </w:rPr>
              <w:t>State of</w:t>
            </w:r>
          </w:p>
        </w:tc>
        <w:tc>
          <w:tcPr>
            <w:tcW w:w="760" w:type="dxa"/>
            <w:vAlign w:val="bottom"/>
            <w:tcBorders>
              <w:top w:val="single" w:sz="8" w:color="auto"/>
            </w:tcBorders>
          </w:tcPr>
          <w:p>
            <w:pPr>
              <w:spacing w:after="0"/>
              <w:rPr>
                <w:sz w:val="15"/>
                <w:szCs w:val="15"/>
                <w:color w:val="auto"/>
              </w:rPr>
            </w:pPr>
          </w:p>
        </w:tc>
        <w:tc>
          <w:tcPr>
            <w:tcW w:w="2500" w:type="dxa"/>
            <w:vAlign w:val="bottom"/>
            <w:tcBorders>
              <w:top w:val="single" w:sz="8" w:color="auto"/>
              <w:right w:val="single" w:sz="8" w:color="auto"/>
            </w:tcBorders>
            <w:gridSpan w:val="5"/>
          </w:tcPr>
          <w:p>
            <w:pPr>
              <w:jc w:val="right"/>
              <w:ind w:right="1000"/>
              <w:spacing w:after="0" w:line="183" w:lineRule="exact"/>
              <w:rPr>
                <w:sz w:val="20"/>
                <w:szCs w:val="20"/>
                <w:color w:val="auto"/>
              </w:rPr>
            </w:pPr>
            <w:r>
              <w:rPr>
                <w:rFonts w:ascii="Times New Roman" w:cs="Times New Roman" w:eastAsia="Times New Roman" w:hAnsi="Times New Roman"/>
                <w:sz w:val="17"/>
                <w:szCs w:val="17"/>
                <w:b w:val="1"/>
                <w:bCs w:val="1"/>
                <w:color w:val="auto"/>
              </w:rPr>
              <w:t>Member</w:t>
            </w:r>
            <w:r>
              <w:rPr>
                <w:rFonts w:ascii="Times New Roman" w:cs="Times New Roman" w:eastAsia="Times New Roman" w:hAnsi="Times New Roman"/>
                <w:sz w:val="17"/>
                <w:szCs w:val="17"/>
                <w:b w:val="1"/>
                <w:bCs w:val="1"/>
                <w:color w:val="4472C4"/>
              </w:rPr>
              <w:t>/General</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vMerge w:val="restart"/>
          </w:tcPr>
          <w:p>
            <w:pPr>
              <w:spacing w:after="0" w:line="20" w:lineRule="exact"/>
              <w:rPr>
                <w:sz w:val="1"/>
                <w:szCs w:val="1"/>
                <w:color w:val="auto"/>
              </w:rPr>
            </w:pPr>
          </w:p>
        </w:tc>
        <w:tc>
          <w:tcPr>
            <w:tcW w:w="3500" w:type="dxa"/>
            <w:vAlign w:val="bottom"/>
            <w:tcBorders>
              <w:top w:val="single" w:sz="8" w:color="auto"/>
              <w:bottom w:val="single" w:sz="8" w:color="auto"/>
              <w:right w:val="single" w:sz="8" w:color="auto"/>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640" w:type="dxa"/>
            <w:vAlign w:val="bottom"/>
            <w:tcBorders>
              <w:top w:val="single" w:sz="8" w:color="4472C4"/>
              <w:bottom w:val="single" w:sz="8" w:color="4472C4"/>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80" w:type="dxa"/>
            <w:vAlign w:val="bottom"/>
            <w:tcBorders>
              <w:left w:val="single" w:sz="8" w:color="auto"/>
            </w:tcBorders>
            <w:vMerge w:val="continue"/>
          </w:tcPr>
          <w:p>
            <w:pPr>
              <w:spacing w:after="0"/>
              <w:rPr>
                <w:sz w:val="7"/>
                <w:szCs w:val="7"/>
                <w:color w:val="auto"/>
              </w:rPr>
            </w:pPr>
          </w:p>
        </w:tc>
        <w:tc>
          <w:tcPr>
            <w:tcW w:w="35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2080" w:type="dxa"/>
            <w:vAlign w:val="bottom"/>
            <w:tcBorders>
              <w:right w:val="single" w:sz="8" w:color="auto"/>
            </w:tcBorders>
            <w:vMerge w:val="restart"/>
          </w:tcPr>
          <w:p>
            <w:pPr>
              <w:ind w:left="600"/>
              <w:spacing w:after="0" w:line="149" w:lineRule="exact"/>
              <w:rPr>
                <w:sz w:val="20"/>
                <w:szCs w:val="20"/>
                <w:color w:val="auto"/>
              </w:rPr>
            </w:pPr>
            <w:r>
              <w:rPr>
                <w:rFonts w:ascii="Times New Roman" w:cs="Times New Roman" w:eastAsia="Times New Roman" w:hAnsi="Times New Roman"/>
                <w:sz w:val="17"/>
                <w:szCs w:val="17"/>
                <w:b w:val="1"/>
                <w:bCs w:val="1"/>
                <w:color w:val="auto"/>
              </w:rPr>
              <w:t>Formation</w:t>
            </w:r>
          </w:p>
        </w:tc>
        <w:tc>
          <w:tcPr>
            <w:tcW w:w="60" w:type="dxa"/>
            <w:vAlign w:val="bottom"/>
          </w:tcPr>
          <w:p>
            <w:pPr>
              <w:spacing w:after="0"/>
              <w:rPr>
                <w:sz w:val="7"/>
                <w:szCs w:val="7"/>
                <w:color w:val="auto"/>
              </w:rPr>
            </w:pPr>
          </w:p>
        </w:tc>
        <w:tc>
          <w:tcPr>
            <w:tcW w:w="900" w:type="dxa"/>
            <w:vAlign w:val="bottom"/>
            <w:tcBorders>
              <w:right w:val="single" w:sz="8" w:color="auto"/>
            </w:tcBorders>
            <w:vMerge w:val="restart"/>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Formation</w:t>
            </w:r>
          </w:p>
        </w:tc>
        <w:tc>
          <w:tcPr>
            <w:tcW w:w="760" w:type="dxa"/>
            <w:vAlign w:val="bottom"/>
          </w:tcPr>
          <w:p>
            <w:pPr>
              <w:spacing w:after="0"/>
              <w:rPr>
                <w:sz w:val="7"/>
                <w:szCs w:val="7"/>
                <w:color w:val="auto"/>
              </w:rPr>
            </w:pPr>
          </w:p>
        </w:tc>
        <w:tc>
          <w:tcPr>
            <w:tcW w:w="2500" w:type="dxa"/>
            <w:vAlign w:val="bottom"/>
            <w:tcBorders>
              <w:right w:val="single" w:sz="8" w:color="auto"/>
            </w:tcBorders>
            <w:gridSpan w:val="5"/>
            <w:vMerge w:val="restart"/>
          </w:tcPr>
          <w:p>
            <w:pPr>
              <w:spacing w:after="0" w:line="149" w:lineRule="exact"/>
              <w:rPr>
                <w:sz w:val="20"/>
                <w:szCs w:val="20"/>
                <w:color w:val="auto"/>
              </w:rPr>
            </w:pPr>
            <w:r>
              <w:rPr>
                <w:rFonts w:ascii="Times New Roman" w:cs="Times New Roman" w:eastAsia="Times New Roman" w:hAnsi="Times New Roman"/>
                <w:sz w:val="17"/>
                <w:szCs w:val="17"/>
                <w:b w:val="1"/>
                <w:bCs w:val="1"/>
                <w:color w:val="4472C4"/>
              </w:rPr>
              <w:t>Partner (as applicable)</w:t>
            </w:r>
          </w:p>
        </w:tc>
        <w:tc>
          <w:tcPr>
            <w:tcW w:w="0" w:type="dxa"/>
            <w:vAlign w:val="bottom"/>
          </w:tcPr>
          <w:p>
            <w:pPr>
              <w:spacing w:after="0"/>
              <w:rPr>
                <w:sz w:val="1"/>
                <w:szCs w:val="1"/>
                <w:color w:val="auto"/>
              </w:rPr>
            </w:pPr>
          </w:p>
        </w:tc>
      </w:tr>
      <w:tr>
        <w:trPr>
          <w:trHeight w:val="65"/>
        </w:trPr>
        <w:tc>
          <w:tcPr>
            <w:tcW w:w="80" w:type="dxa"/>
            <w:vAlign w:val="bottom"/>
            <w:tcBorders>
              <w:left w:val="single" w:sz="8" w:color="auto"/>
            </w:tcBorders>
          </w:tcPr>
          <w:p>
            <w:pPr>
              <w:spacing w:after="0"/>
              <w:rPr>
                <w:sz w:val="5"/>
                <w:szCs w:val="5"/>
                <w:color w:val="auto"/>
              </w:rPr>
            </w:pPr>
          </w:p>
        </w:tc>
        <w:tc>
          <w:tcPr>
            <w:tcW w:w="35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760" w:type="dxa"/>
            <w:vAlign w:val="bottom"/>
          </w:tcPr>
          <w:p>
            <w:pPr>
              <w:spacing w:after="0"/>
              <w:rPr>
                <w:sz w:val="5"/>
                <w:szCs w:val="5"/>
                <w:color w:val="auto"/>
              </w:rPr>
            </w:pPr>
          </w:p>
        </w:tc>
        <w:tc>
          <w:tcPr>
            <w:tcW w:w="250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4472C4"/>
              <w:bottom w:val="single" w:sz="8" w:color="auto"/>
            </w:tcBorders>
          </w:tcPr>
          <w:p>
            <w:pPr>
              <w:spacing w:after="0" w:line="20" w:lineRule="exact"/>
              <w:rPr>
                <w:sz w:val="1"/>
                <w:szCs w:val="1"/>
                <w:color w:val="auto"/>
              </w:rPr>
            </w:pPr>
          </w:p>
        </w:tc>
        <w:tc>
          <w:tcPr>
            <w:tcW w:w="20" w:type="dxa"/>
            <w:vAlign w:val="bottom"/>
            <w:tcBorders>
              <w:top w:val="single" w:sz="8" w:color="4472C4"/>
              <w:bottom w:val="single" w:sz="8" w:color="auto"/>
            </w:tcBorders>
          </w:tcPr>
          <w:p>
            <w:pPr>
              <w:spacing w:after="0" w:line="20" w:lineRule="exact"/>
              <w:rPr>
                <w:sz w:val="1"/>
                <w:szCs w:val="1"/>
                <w:color w:val="auto"/>
              </w:rPr>
            </w:pPr>
          </w:p>
        </w:tc>
        <w:tc>
          <w:tcPr>
            <w:tcW w:w="640" w:type="dxa"/>
            <w:vAlign w:val="bottom"/>
            <w:tcBorders>
              <w:top w:val="single" w:sz="8" w:color="4472C4"/>
              <w:bottom w:val="single" w:sz="8" w:color="auto"/>
            </w:tcBorders>
          </w:tcPr>
          <w:p>
            <w:pPr>
              <w:spacing w:after="0" w:line="20" w:lineRule="exact"/>
              <w:rPr>
                <w:sz w:val="1"/>
                <w:szCs w:val="1"/>
                <w:color w:val="auto"/>
              </w:rPr>
            </w:pPr>
          </w:p>
        </w:tc>
        <w:tc>
          <w:tcPr>
            <w:tcW w:w="200" w:type="dxa"/>
            <w:vAlign w:val="bottom"/>
            <w:tcBorders>
              <w:top w:val="single" w:sz="8" w:color="4472C4"/>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PINE19 ALPHARETTA GA LLC</w:t>
            </w:r>
          </w:p>
        </w:tc>
        <w:tc>
          <w:tcPr>
            <w:tcW w:w="2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October 1, 2019</w:t>
            </w: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BLUEBIRD METROWEST ORLANDO LLC</w:t>
            </w:r>
          </w:p>
        </w:tc>
        <w:tc>
          <w:tcPr>
            <w:tcW w:w="60" w:type="dxa"/>
            <w:vAlign w:val="bottom"/>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January 14, 2013</w:t>
            </w: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Delaware</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Alpine Income Property OP, LP</w:t>
            </w:r>
          </w:p>
        </w:tc>
        <w:tc>
          <w:tcPr>
            <w:tcW w:w="100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INDIGO HENRY LLC</w:t>
            </w:r>
          </w:p>
        </w:tc>
        <w:tc>
          <w:tcPr>
            <w:tcW w:w="2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May 26, 2006</w:t>
            </w: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Florida</w:t>
            </w:r>
          </w:p>
        </w:tc>
        <w:tc>
          <w:tcPr>
            <w:tcW w:w="3260" w:type="dxa"/>
            <w:vAlign w:val="bottom"/>
            <w:tcBorders>
              <w:right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LHC15 GLENDALE AZ LLC</w:t>
            </w:r>
          </w:p>
        </w:tc>
        <w:tc>
          <w:tcPr>
            <w:tcW w:w="60" w:type="dxa"/>
            <w:vAlign w:val="bottom"/>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April 28, 2015</w:t>
            </w: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Delaware</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Alpine Income Property OP, LP</w:t>
            </w:r>
          </w:p>
        </w:tc>
        <w:tc>
          <w:tcPr>
            <w:tcW w:w="100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CTO16 HUNTERSVILLE LLC</w:t>
            </w:r>
          </w:p>
        </w:tc>
        <w:tc>
          <w:tcPr>
            <w:tcW w:w="60" w:type="dxa"/>
            <w:vAlign w:val="bottom"/>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August 17, 2016</w:t>
            </w: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Delaware</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Alpine Income Property OP, LP</w:t>
            </w:r>
          </w:p>
        </w:tc>
        <w:tc>
          <w:tcPr>
            <w:tcW w:w="100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CTO16 RALEIGH LLC</w:t>
            </w:r>
          </w:p>
        </w:tc>
        <w:tc>
          <w:tcPr>
            <w:tcW w:w="60" w:type="dxa"/>
            <w:vAlign w:val="bottom"/>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September 9, 2016</w:t>
            </w: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Delaware</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Alpine Income Property OP, LP</w:t>
            </w:r>
          </w:p>
        </w:tc>
        <w:tc>
          <w:tcPr>
            <w:tcW w:w="100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CTO17 SAUGUS MA LLC</w:t>
            </w:r>
          </w:p>
        </w:tc>
        <w:tc>
          <w:tcPr>
            <w:tcW w:w="60" w:type="dxa"/>
            <w:vAlign w:val="bottom"/>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February 17, 2017</w:t>
            </w: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Delaware</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Alpine Income Property OP, LP</w:t>
            </w:r>
          </w:p>
        </w:tc>
        <w:tc>
          <w:tcPr>
            <w:tcW w:w="100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CTO17 BRANDON FL LLC</w:t>
            </w:r>
          </w:p>
        </w:tc>
        <w:tc>
          <w:tcPr>
            <w:tcW w:w="2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March 27, 2017</w:t>
            </w: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PINE19 JACKSONVILLE FL LLC</w:t>
            </w:r>
          </w:p>
        </w:tc>
        <w:tc>
          <w:tcPr>
            <w:tcW w:w="60" w:type="dxa"/>
            <w:vAlign w:val="bottom"/>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October 1, 2019</w:t>
            </w: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Delaware</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Alpine Income Property OP, LP</w:t>
            </w:r>
          </w:p>
        </w:tc>
        <w:tc>
          <w:tcPr>
            <w:tcW w:w="100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CTO19 WINSTON SALEM NC LLC</w:t>
            </w:r>
          </w:p>
        </w:tc>
        <w:tc>
          <w:tcPr>
            <w:tcW w:w="60" w:type="dxa"/>
            <w:vAlign w:val="bottom"/>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March 13, 2019</w:t>
            </w: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Delaware</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Alpine Income Property OP, LP</w:t>
            </w:r>
          </w:p>
        </w:tc>
        <w:tc>
          <w:tcPr>
            <w:tcW w:w="100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CTO19 BIRMINGHAM LLC</w:t>
            </w:r>
          </w:p>
        </w:tc>
        <w:tc>
          <w:tcPr>
            <w:tcW w:w="2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May 8, 2019</w:t>
            </w: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CTLC18 LYNN MA LLC</w:t>
            </w:r>
          </w:p>
        </w:tc>
        <w:tc>
          <w:tcPr>
            <w:tcW w:w="2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May 28, 2019</w:t>
            </w: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CTO19 ALBANY GA LLC</w:t>
            </w:r>
          </w:p>
        </w:tc>
        <w:tc>
          <w:tcPr>
            <w:tcW w:w="2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June 6, 2019</w:t>
            </w: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CTO19 TROY WI LLC</w:t>
            </w:r>
          </w:p>
        </w:tc>
        <w:tc>
          <w:tcPr>
            <w:tcW w:w="2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August 20, 2019</w:t>
            </w: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PINE20 HURST TX LLC</w:t>
            </w:r>
          </w:p>
        </w:tc>
        <w:tc>
          <w:tcPr>
            <w:tcW w:w="2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December 16, 2019</w:t>
            </w: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PINE19 GEORGETOWN TX LLC</w:t>
            </w:r>
          </w:p>
        </w:tc>
        <w:tc>
          <w:tcPr>
            <w:tcW w:w="60" w:type="dxa"/>
            <w:vAlign w:val="bottom"/>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October 4, 2019</w:t>
            </w: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Delaware</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Alpine Income Property OP, LP</w:t>
            </w:r>
          </w:p>
        </w:tc>
        <w:tc>
          <w:tcPr>
            <w:tcW w:w="100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PINE19 SLAUGHTER AUSTIN TX LLC</w:t>
            </w:r>
          </w:p>
        </w:tc>
        <w:tc>
          <w:tcPr>
            <w:tcW w:w="60" w:type="dxa"/>
            <w:vAlign w:val="bottom"/>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October 4, 2019</w:t>
            </w: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FF0000"/>
                <w:strike w:val="1"/>
              </w:rPr>
              <w:t>Delaware</w:t>
            </w: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Alpine Income Property OP, LP</w:t>
            </w:r>
          </w:p>
        </w:tc>
        <w:tc>
          <w:tcPr>
            <w:tcW w:w="100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PINE20 HIGHLAND KY LLC</w:t>
            </w:r>
          </w:p>
        </w:tc>
        <w:tc>
          <w:tcPr>
            <w:tcW w:w="2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January 16, 2020</w:t>
            </w: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PINE20 TYN LLC</w:t>
            </w:r>
          </w:p>
        </w:tc>
        <w:tc>
          <w:tcPr>
            <w:tcW w:w="2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January 16, 2020</w:t>
            </w: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58" w:right="979" w:bottom="1440" w:gutter="0" w:footer="0" w:header="0"/>
        </w:sectPr>
      </w:pPr>
    </w:p>
    <w:bookmarkStart w:id="221" w:name="page222"/>
    <w:bookmarkEnd w:id="221"/>
    <w:tbl>
      <w:tblPr>
        <w:tblLayout w:type="fixed"/>
        <w:tblInd w:w="10" w:type="dxa"/>
        <w:tblCellMar>
          <w:top w:w="0" w:type="dxa"/>
          <w:left w:w="0" w:type="dxa"/>
          <w:bottom w:w="0" w:type="dxa"/>
          <w:right w:w="0" w:type="dxa"/>
        </w:tblCellMar>
      </w:tblPr>
      <w:tr>
        <w:trPr>
          <w:trHeight w:val="240"/>
        </w:trPr>
        <w:tc>
          <w:tcPr>
            <w:tcW w:w="35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TULSA LLC</w:t>
            </w:r>
          </w:p>
        </w:tc>
        <w:tc>
          <w:tcPr>
            <w:tcW w:w="21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February 6, 2020</w:t>
            </w:r>
          </w:p>
        </w:tc>
        <w:tc>
          <w:tcPr>
            <w:tcW w:w="1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BLANDING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February 6,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ARDEN NC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May 28,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HOWELL MI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May 28,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BARKER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August 18,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CHAZY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August 18,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HAMMOND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August 18,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HARRISVILLE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August 18,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HEUVELTON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August 18,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NEWTONSVILLE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August 18,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SALEM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August 18,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WINTHROP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August 19,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SEVERN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August 18,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WILLIS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July 30,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SOMERVILLE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July 30,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BINGHAM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September 3,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LIMESTONE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September 3,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MILFORD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September 3,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ODESSA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July 30,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KERMIT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July 30,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FF0000"/>
                <w:strike w:val="1"/>
              </w:rPr>
              <w:t>PINE20 GLENDALE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FF0000"/>
                <w:strike w:val="1"/>
              </w:rPr>
              <w:t>November 16,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FF0000"/>
                <w:strike w:val="1"/>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FF0000"/>
                <w:strike w:val="1"/>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PINE20 TACOMA LLC</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November 16, 2020</w:t>
            </w: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Delaware</w:t>
            </w:r>
          </w:p>
        </w:tc>
        <w:tc>
          <w:tcPr>
            <w:tcW w:w="3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Alpine Income Property OP, LP</w:t>
            </w:r>
          </w:p>
        </w:tc>
      </w:tr>
      <w:tr>
        <w:trPr>
          <w:trHeight w:val="21"/>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72" w:right="979" w:bottom="1440" w:gutter="0" w:footer="0" w:header="0"/>
        </w:sectPr>
      </w:pPr>
    </w:p>
    <w:bookmarkStart w:id="222" w:name="page223"/>
    <w:bookmarkEnd w:id="222"/>
    <w:tbl>
      <w:tblPr>
        <w:tblLayout w:type="fixed"/>
        <w:tblInd w:w="10" w:type="dxa"/>
        <w:tblCellMar>
          <w:top w:w="0" w:type="dxa"/>
          <w:left w:w="0" w:type="dxa"/>
          <w:bottom w:w="0" w:type="dxa"/>
          <w:right w:w="0" w:type="dxa"/>
        </w:tblCellMar>
      </w:tblPr>
      <w:tr>
        <w:trPr>
          <w:trHeight w:val="240"/>
        </w:trPr>
        <w:tc>
          <w:tcPr>
            <w:tcW w:w="80" w:type="dxa"/>
            <w:vAlign w:val="bottom"/>
            <w:tcBorders>
              <w:top w:val="single" w:sz="8" w:color="auto"/>
              <w:left w:val="single" w:sz="8" w:color="auto"/>
            </w:tcBorders>
          </w:tcPr>
          <w:p>
            <w:pPr>
              <w:spacing w:after="0"/>
              <w:rPr>
                <w:sz w:val="20"/>
                <w:szCs w:val="20"/>
                <w:color w:val="auto"/>
              </w:rPr>
            </w:pPr>
          </w:p>
        </w:tc>
        <w:tc>
          <w:tcPr>
            <w:tcW w:w="3440" w:type="dxa"/>
            <w:vAlign w:val="bottom"/>
            <w:tcBorders>
              <w:top w:val="single" w:sz="8" w:color="auto"/>
              <w:right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rPr>
              <w:t>PINE20 DEL RIO LLC</w:t>
            </w:r>
          </w:p>
        </w:tc>
        <w:tc>
          <w:tcPr>
            <w:tcW w:w="40" w:type="dxa"/>
            <w:vAlign w:val="bottom"/>
            <w:tcBorders>
              <w:top w:val="single" w:sz="8" w:color="auto"/>
            </w:tcBorders>
          </w:tcPr>
          <w:p>
            <w:pPr>
              <w:spacing w:after="0"/>
              <w:rPr>
                <w:sz w:val="20"/>
                <w:szCs w:val="20"/>
                <w:color w:val="auto"/>
              </w:rPr>
            </w:pPr>
          </w:p>
        </w:tc>
        <w:tc>
          <w:tcPr>
            <w:tcW w:w="2120" w:type="dxa"/>
            <w:vAlign w:val="bottom"/>
            <w:tcBorders>
              <w:top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7"/>
                <w:szCs w:val="17"/>
                <w:color w:val="auto"/>
              </w:rPr>
              <w:t>July 30, 2020</w:t>
            </w:r>
          </w:p>
        </w:tc>
        <w:tc>
          <w:tcPr>
            <w:tcW w:w="6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Delaware</w:t>
            </w:r>
          </w:p>
        </w:tc>
        <w:tc>
          <w:tcPr>
            <w:tcW w:w="40" w:type="dxa"/>
            <w:vAlign w:val="bottom"/>
            <w:tcBorders>
              <w:top w:val="single" w:sz="8" w:color="auto"/>
            </w:tcBorders>
          </w:tcPr>
          <w:p>
            <w:pPr>
              <w:spacing w:after="0"/>
              <w:rPr>
                <w:sz w:val="20"/>
                <w:szCs w:val="20"/>
                <w:color w:val="auto"/>
              </w:rPr>
            </w:pPr>
          </w:p>
        </w:tc>
        <w:tc>
          <w:tcPr>
            <w:tcW w:w="322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44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rPr>
              <w:t>PINE20 SEGUIN LLC</w:t>
            </w:r>
          </w:p>
        </w:tc>
        <w:tc>
          <w:tcPr>
            <w:tcW w:w="40" w:type="dxa"/>
            <w:vAlign w:val="bottom"/>
          </w:tcPr>
          <w:p>
            <w:pPr>
              <w:spacing w:after="0"/>
              <w:rPr>
                <w:sz w:val="19"/>
                <w:szCs w:val="19"/>
                <w:color w:val="auto"/>
              </w:rPr>
            </w:pPr>
          </w:p>
        </w:tc>
        <w:tc>
          <w:tcPr>
            <w:tcW w:w="212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7"/>
                <w:szCs w:val="17"/>
                <w:color w:val="auto"/>
              </w:rPr>
              <w:t>July 30, 2020</w:t>
            </w:r>
          </w:p>
        </w:tc>
        <w:tc>
          <w:tcPr>
            <w:tcW w:w="60" w:type="dxa"/>
            <w:vAlign w:val="bottom"/>
          </w:tcPr>
          <w:p>
            <w:pPr>
              <w:spacing w:after="0"/>
              <w:rPr>
                <w:sz w:val="19"/>
                <w:szCs w:val="19"/>
                <w:color w:val="auto"/>
              </w:rPr>
            </w:pPr>
          </w:p>
        </w:tc>
        <w:tc>
          <w:tcPr>
            <w:tcW w:w="9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Delaware</w:t>
            </w:r>
          </w:p>
        </w:tc>
        <w:tc>
          <w:tcPr>
            <w:tcW w:w="40" w:type="dxa"/>
            <w:vAlign w:val="bottom"/>
          </w:tcPr>
          <w:p>
            <w:pPr>
              <w:spacing w:after="0"/>
              <w:rPr>
                <w:sz w:val="19"/>
                <w:szCs w:val="19"/>
                <w:color w:val="auto"/>
              </w:rPr>
            </w:pPr>
          </w:p>
        </w:tc>
        <w:tc>
          <w:tcPr>
            <w:tcW w:w="32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auto"/>
            </w:tcBorders>
          </w:tcPr>
          <w:p>
            <w:pPr>
              <w:spacing w:after="0"/>
              <w:rPr>
                <w:sz w:val="19"/>
                <w:szCs w:val="19"/>
                <w:color w:val="auto"/>
              </w:rPr>
            </w:pPr>
          </w:p>
        </w:tc>
        <w:tc>
          <w:tcPr>
            <w:tcW w:w="344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rPr>
              <w:t>PINE20 CUT &amp; SHOOT LLC</w:t>
            </w:r>
          </w:p>
        </w:tc>
        <w:tc>
          <w:tcPr>
            <w:tcW w:w="40" w:type="dxa"/>
            <w:vAlign w:val="bottom"/>
          </w:tcPr>
          <w:p>
            <w:pPr>
              <w:spacing w:after="0"/>
              <w:rPr>
                <w:sz w:val="19"/>
                <w:szCs w:val="19"/>
                <w:color w:val="auto"/>
              </w:rPr>
            </w:pPr>
          </w:p>
        </w:tc>
        <w:tc>
          <w:tcPr>
            <w:tcW w:w="212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7"/>
                <w:szCs w:val="17"/>
                <w:color w:val="auto"/>
              </w:rPr>
              <w:t>July 30, 2020</w:t>
            </w:r>
          </w:p>
        </w:tc>
        <w:tc>
          <w:tcPr>
            <w:tcW w:w="60" w:type="dxa"/>
            <w:vAlign w:val="bottom"/>
          </w:tcPr>
          <w:p>
            <w:pPr>
              <w:spacing w:after="0"/>
              <w:rPr>
                <w:sz w:val="19"/>
                <w:szCs w:val="19"/>
                <w:color w:val="auto"/>
              </w:rPr>
            </w:pPr>
          </w:p>
        </w:tc>
        <w:tc>
          <w:tcPr>
            <w:tcW w:w="9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Delaware</w:t>
            </w:r>
          </w:p>
        </w:tc>
        <w:tc>
          <w:tcPr>
            <w:tcW w:w="40" w:type="dxa"/>
            <w:vAlign w:val="bottom"/>
          </w:tcPr>
          <w:p>
            <w:pPr>
              <w:spacing w:after="0"/>
              <w:rPr>
                <w:sz w:val="19"/>
                <w:szCs w:val="19"/>
                <w:color w:val="auto"/>
              </w:rPr>
            </w:pPr>
          </w:p>
        </w:tc>
        <w:tc>
          <w:tcPr>
            <w:tcW w:w="32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0" w:type="dxa"/>
            <w:vAlign w:val="bottom"/>
            <w:tcBorders>
              <w:left w:val="single" w:sz="8" w:color="auto"/>
            </w:tcBorders>
          </w:tcPr>
          <w:p>
            <w:pPr>
              <w:spacing w:after="0"/>
              <w:rPr>
                <w:sz w:val="15"/>
                <w:szCs w:val="15"/>
                <w:color w:val="auto"/>
              </w:rPr>
            </w:pPr>
          </w:p>
        </w:tc>
        <w:tc>
          <w:tcPr>
            <w:tcW w:w="3440" w:type="dxa"/>
            <w:vAlign w:val="bottom"/>
            <w:tcBorders>
              <w:right w:val="single" w:sz="8" w:color="auto"/>
            </w:tcBorders>
            <w:gridSpan w:val="19"/>
          </w:tcPr>
          <w:p>
            <w:pPr>
              <w:spacing w:after="0" w:line="176" w:lineRule="exact"/>
              <w:rPr>
                <w:sz w:val="20"/>
                <w:szCs w:val="20"/>
                <w:color w:val="auto"/>
              </w:rPr>
            </w:pPr>
            <w:r>
              <w:rPr>
                <w:rFonts w:ascii="Times New Roman" w:cs="Times New Roman" w:eastAsia="Times New Roman" w:hAnsi="Times New Roman"/>
                <w:sz w:val="17"/>
                <w:szCs w:val="17"/>
                <w:color w:val="auto"/>
              </w:rPr>
              <w:t>ALPINE INCOME PROPERTY OP, LP</w:t>
            </w:r>
          </w:p>
        </w:tc>
        <w:tc>
          <w:tcPr>
            <w:tcW w:w="40" w:type="dxa"/>
            <w:vAlign w:val="bottom"/>
          </w:tcPr>
          <w:p>
            <w:pPr>
              <w:spacing w:after="0"/>
              <w:rPr>
                <w:sz w:val="15"/>
                <w:szCs w:val="15"/>
                <w:color w:val="auto"/>
              </w:rPr>
            </w:pPr>
          </w:p>
        </w:tc>
        <w:tc>
          <w:tcPr>
            <w:tcW w:w="2120" w:type="dxa"/>
            <w:vAlign w:val="bottom"/>
            <w:tcBorders>
              <w:right w:val="single" w:sz="8" w:color="auto"/>
            </w:tcBorders>
            <w:gridSpan w:val="18"/>
          </w:tcPr>
          <w:p>
            <w:pPr>
              <w:spacing w:after="0" w:line="176" w:lineRule="exact"/>
              <w:rPr>
                <w:sz w:val="20"/>
                <w:szCs w:val="20"/>
                <w:color w:val="auto"/>
              </w:rPr>
            </w:pPr>
            <w:r>
              <w:rPr>
                <w:rFonts w:ascii="Times New Roman" w:cs="Times New Roman" w:eastAsia="Times New Roman" w:hAnsi="Times New Roman"/>
                <w:sz w:val="17"/>
                <w:szCs w:val="17"/>
                <w:color w:val="auto"/>
              </w:rPr>
              <w:t>August 20, 2019</w:t>
            </w:r>
          </w:p>
        </w:tc>
        <w:tc>
          <w:tcPr>
            <w:tcW w:w="60" w:type="dxa"/>
            <w:vAlign w:val="bottom"/>
          </w:tcPr>
          <w:p>
            <w:pPr>
              <w:spacing w:after="0"/>
              <w:rPr>
                <w:sz w:val="15"/>
                <w:szCs w:val="15"/>
                <w:color w:val="auto"/>
              </w:rPr>
            </w:pPr>
          </w:p>
        </w:tc>
        <w:tc>
          <w:tcPr>
            <w:tcW w:w="940" w:type="dxa"/>
            <w:vAlign w:val="bottom"/>
            <w:tcBorders>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7"/>
                <w:szCs w:val="17"/>
                <w:color w:val="auto"/>
              </w:rPr>
              <w:t>Delaware</w:t>
            </w:r>
          </w:p>
        </w:tc>
        <w:tc>
          <w:tcPr>
            <w:tcW w:w="40" w:type="dxa"/>
            <w:vAlign w:val="bottom"/>
          </w:tcPr>
          <w:p>
            <w:pPr>
              <w:spacing w:after="0"/>
              <w:rPr>
                <w:sz w:val="15"/>
                <w:szCs w:val="15"/>
                <w:color w:val="auto"/>
              </w:rPr>
            </w:pPr>
          </w:p>
        </w:tc>
        <w:tc>
          <w:tcPr>
            <w:tcW w:w="17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Alpine Income Property</w:t>
            </w:r>
          </w:p>
        </w:tc>
        <w:tc>
          <w:tcPr>
            <w:tcW w:w="5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FF0000"/>
                <w:strike w:val="1"/>
                <w:w w:val="95"/>
              </w:rPr>
              <w:t>OP, LP</w:t>
            </w:r>
          </w:p>
        </w:tc>
        <w:tc>
          <w:tcPr>
            <w:tcW w:w="1000" w:type="dxa"/>
            <w:vAlign w:val="bottom"/>
            <w:tcBorders>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7"/>
                <w:szCs w:val="17"/>
                <w:color w:val="4472C4"/>
              </w:rPr>
              <w:t>GP, LLC</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Borders>
              <w:top w:val="single" w:sz="8" w:color="4472C4"/>
              <w:bottom w:val="single" w:sz="8" w:color="4472C4"/>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CTO16 RENO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November 1, 2016</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PINE21 ACQUISITIONS IV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June 17,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1900" w:type="dxa"/>
            <w:vAlign w:val="bottom"/>
            <w:gridSpan w:val="9"/>
          </w:tcPr>
          <w:p>
            <w:pPr>
              <w:spacing w:after="0" w:line="161" w:lineRule="exact"/>
              <w:rPr>
                <w:sz w:val="20"/>
                <w:szCs w:val="20"/>
                <w:color w:val="auto"/>
              </w:rPr>
            </w:pPr>
            <w:r>
              <w:rPr>
                <w:rFonts w:ascii="Times New Roman" w:cs="Times New Roman" w:eastAsia="Times New Roman" w:hAnsi="Times New Roman"/>
                <w:sz w:val="17"/>
                <w:szCs w:val="17"/>
                <w:color w:val="FF0000"/>
                <w:strike w:val="1"/>
              </w:rPr>
              <w:t>CTO17 HILLSBORO OR</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spacing w:after="0" w:line="161" w:lineRule="exact"/>
              <w:rPr>
                <w:sz w:val="20"/>
                <w:szCs w:val="20"/>
                <w:color w:val="auto"/>
              </w:rPr>
            </w:pPr>
            <w:r>
              <w:rPr>
                <w:rFonts w:ascii="Times New Roman" w:cs="Times New Roman" w:eastAsia="Times New Roman" w:hAnsi="Times New Roman"/>
                <w:sz w:val="17"/>
                <w:szCs w:val="17"/>
                <w:color w:val="FF0000"/>
                <w:strike w:val="1"/>
                <w:w w:val="98"/>
              </w:rPr>
              <w:t>September</w:t>
            </w:r>
          </w:p>
        </w:tc>
        <w:tc>
          <w:tcPr>
            <w:tcW w:w="1380" w:type="dxa"/>
            <w:vAlign w:val="bottom"/>
            <w:tcBorders>
              <w:right w:val="single" w:sz="8" w:color="auto"/>
            </w:tcBorders>
            <w:gridSpan w:val="14"/>
          </w:tcPr>
          <w:p>
            <w:pPr>
              <w:jc w:val="center"/>
              <w:ind w:right="760"/>
              <w:spacing w:after="0" w:line="161" w:lineRule="exact"/>
              <w:rPr>
                <w:sz w:val="20"/>
                <w:szCs w:val="20"/>
                <w:color w:val="auto"/>
              </w:rPr>
            </w:pPr>
            <w:r>
              <w:rPr>
                <w:rFonts w:ascii="Times New Roman" w:cs="Times New Roman" w:eastAsia="Times New Roman" w:hAnsi="Times New Roman"/>
                <w:sz w:val="17"/>
                <w:szCs w:val="17"/>
                <w:color w:val="4472C4"/>
              </w:rPr>
              <w:t xml:space="preserve">March </w:t>
            </w:r>
            <w:r>
              <w:rPr>
                <w:rFonts w:ascii="Times New Roman" w:cs="Times New Roman" w:eastAsia="Times New Roman" w:hAnsi="Times New Roman"/>
                <w:sz w:val="17"/>
                <w:szCs w:val="17"/>
                <w:color w:val="000000"/>
              </w:rPr>
              <w:t>9,</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auto"/>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3440" w:type="dxa"/>
            <w:vAlign w:val="bottom"/>
            <w:tcBorders>
              <w:right w:val="single" w:sz="8" w:color="auto"/>
            </w:tcBorders>
            <w:gridSpan w:val="19"/>
            <w:vMerge w:val="restart"/>
          </w:tcPr>
          <w:p>
            <w:pPr>
              <w:spacing w:after="0" w:line="189" w:lineRule="exact"/>
              <w:rPr>
                <w:sz w:val="20"/>
                <w:szCs w:val="20"/>
                <w:color w:val="auto"/>
              </w:rPr>
            </w:pPr>
            <w:r>
              <w:rPr>
                <w:rFonts w:ascii="Times New Roman" w:cs="Times New Roman" w:eastAsia="Times New Roman" w:hAnsi="Times New Roman"/>
                <w:sz w:val="17"/>
                <w:szCs w:val="17"/>
                <w:color w:val="4472C4"/>
              </w:rPr>
              <w:t xml:space="preserve">9603 WESarTHEIMER ROAD, </w:t>
            </w:r>
            <w:r>
              <w:rPr>
                <w:rFonts w:ascii="Times New Roman" w:cs="Times New Roman" w:eastAsia="Times New Roman" w:hAnsi="Times New Roman"/>
                <w:sz w:val="17"/>
                <w:szCs w:val="17"/>
                <w:color w:val="000000"/>
              </w:rPr>
              <w:t>LLC</w:t>
            </w: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FF0000"/>
                <w:strike w:val="1"/>
                <w:w w:val="93"/>
              </w:rPr>
              <w:t>2019</w:t>
            </w:r>
          </w:p>
        </w:tc>
        <w:tc>
          <w:tcPr>
            <w:tcW w:w="360" w:type="dxa"/>
            <w:vAlign w:val="bottom"/>
            <w:gridSpan w:val="2"/>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4472C4"/>
                <w:w w:val="99"/>
              </w:rPr>
              <w:t>2022</w:t>
            </w:r>
          </w:p>
        </w:tc>
        <w:tc>
          <w:tcPr>
            <w:tcW w:w="40" w:type="dxa"/>
            <w:vAlign w:val="bottom"/>
            <w:vMerge w:val="restart"/>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 w:type="dxa"/>
            <w:vAlign w:val="bottom"/>
            <w:tcBorders>
              <w:left w:val="single" w:sz="8" w:color="auto"/>
            </w:tcBorders>
          </w:tcPr>
          <w:p>
            <w:pPr>
              <w:spacing w:after="0"/>
              <w:rPr>
                <w:sz w:val="12"/>
                <w:szCs w:val="12"/>
                <w:color w:val="auto"/>
              </w:rPr>
            </w:pPr>
          </w:p>
        </w:tc>
        <w:tc>
          <w:tcPr>
            <w:tcW w:w="3440" w:type="dxa"/>
            <w:vAlign w:val="bottom"/>
            <w:tcBorders>
              <w:right w:val="single" w:sz="8" w:color="auto"/>
            </w:tcBorders>
            <w:gridSpan w:val="19"/>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 MEX OH 2,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November 5,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Ohio</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 MEX OH,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October 6,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Ohio</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PINE21 ACQUISITIONS II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April 15,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PINE21 ACQUISITIONS III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June 2,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PINE21 ACQUISITIONS V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June 23,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PINE21 ACQUISITIONS VI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July 23,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PINE21 ACQUISITIONS VII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July 26,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PINE21 ACQUISITIONS VIII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August 9,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PINE21 ACQUISITIONS X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August 18,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 w:type="dxa"/>
            <w:vAlign w:val="bottom"/>
            <w:tcBorders>
              <w:left w:val="single" w:sz="8" w:color="auto"/>
            </w:tcBorders>
          </w:tcPr>
          <w:p>
            <w:pPr>
              <w:spacing w:after="0"/>
              <w:rPr>
                <w:sz w:val="15"/>
                <w:szCs w:val="15"/>
                <w:color w:val="auto"/>
              </w:rPr>
            </w:pPr>
          </w:p>
        </w:tc>
        <w:tc>
          <w:tcPr>
            <w:tcW w:w="14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FF0000"/>
                <w:strike w:val="1"/>
              </w:rPr>
              <w:t>CTO16 RENO</w:t>
            </w: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120" w:type="dxa"/>
            <w:vAlign w:val="bottom"/>
            <w:tcBorders>
              <w:right w:val="single" w:sz="8" w:color="auto"/>
            </w:tcBorders>
            <w:gridSpan w:val="7"/>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auto"/>
              </w:rPr>
              <w:t>November</w:t>
            </w:r>
          </w:p>
        </w:tc>
        <w:tc>
          <w:tcPr>
            <w:tcW w:w="520" w:type="dxa"/>
            <w:vAlign w:val="bottom"/>
            <w:gridSpan w:val="11"/>
          </w:tcPr>
          <w:p>
            <w:pPr>
              <w:jc w:val="right"/>
              <w:spacing w:after="0" w:line="181" w:lineRule="exact"/>
              <w:rPr>
                <w:sz w:val="20"/>
                <w:szCs w:val="20"/>
                <w:color w:val="auto"/>
              </w:rPr>
            </w:pPr>
            <w:r>
              <w:rPr>
                <w:rFonts w:ascii="Times New Roman" w:cs="Times New Roman" w:eastAsia="Times New Roman" w:hAnsi="Times New Roman"/>
                <w:sz w:val="17"/>
                <w:szCs w:val="17"/>
                <w:color w:val="FF0000"/>
                <w:strike w:val="1"/>
                <w:w w:val="97"/>
              </w:rPr>
              <w:t>1, 2016</w:t>
            </w:r>
          </w:p>
        </w:tc>
        <w:tc>
          <w:tcPr>
            <w:tcW w:w="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Borders>
              <w:right w:val="single" w:sz="8" w:color="auto"/>
            </w:tcBorders>
            <w:gridSpan w:val="3"/>
          </w:tcPr>
          <w:p>
            <w:pPr>
              <w:spacing w:after="0" w:line="181" w:lineRule="exact"/>
              <w:rPr>
                <w:sz w:val="20"/>
                <w:szCs w:val="20"/>
                <w:color w:val="auto"/>
              </w:rPr>
            </w:pPr>
            <w:r>
              <w:rPr>
                <w:rFonts w:ascii="Times New Roman" w:cs="Times New Roman" w:eastAsia="Times New Roman" w:hAnsi="Times New Roman"/>
                <w:sz w:val="17"/>
                <w:szCs w:val="17"/>
                <w:color w:val="auto"/>
              </w:rPr>
              <w:t>Delaware</w:t>
            </w:r>
          </w:p>
        </w:tc>
        <w:tc>
          <w:tcPr>
            <w:tcW w:w="40" w:type="dxa"/>
            <w:vAlign w:val="bottom"/>
          </w:tcPr>
          <w:p>
            <w:pPr>
              <w:spacing w:after="0"/>
              <w:rPr>
                <w:sz w:val="15"/>
                <w:szCs w:val="15"/>
                <w:color w:val="auto"/>
              </w:rPr>
            </w:pPr>
          </w:p>
        </w:tc>
        <w:tc>
          <w:tcPr>
            <w:tcW w:w="3220" w:type="dxa"/>
            <w:vAlign w:val="bottom"/>
            <w:tcBorders>
              <w:right w:val="single" w:sz="8" w:color="auto"/>
            </w:tcBorders>
            <w:gridSpan w:val="5"/>
          </w:tcPr>
          <w:p>
            <w:pPr>
              <w:spacing w:after="0" w:line="181" w:lineRule="exact"/>
              <w:rPr>
                <w:sz w:val="20"/>
                <w:szCs w:val="20"/>
                <w:color w:val="auto"/>
              </w:rPr>
            </w:pPr>
            <w:r>
              <w:rPr>
                <w:rFonts w:ascii="Times New Roman" w:cs="Times New Roman" w:eastAsia="Times New Roman" w:hAnsi="Times New Roman"/>
                <w:sz w:val="17"/>
                <w:szCs w:val="17"/>
                <w:color w:val="auto"/>
              </w:rPr>
              <w:t>Alpine Income Property OP, LP</w:t>
            </w:r>
          </w:p>
        </w:tc>
        <w:tc>
          <w:tcPr>
            <w:tcW w:w="0" w:type="dxa"/>
            <w:vAlign w:val="bottom"/>
          </w:tcPr>
          <w:p>
            <w:pPr>
              <w:spacing w:after="0"/>
              <w:rPr>
                <w:sz w:val="1"/>
                <w:szCs w:val="1"/>
                <w:color w:val="auto"/>
              </w:rPr>
            </w:pPr>
          </w:p>
        </w:tc>
      </w:tr>
      <w:tr>
        <w:trPr>
          <w:trHeight w:val="188"/>
        </w:trPr>
        <w:tc>
          <w:tcPr>
            <w:tcW w:w="80" w:type="dxa"/>
            <w:vAlign w:val="bottom"/>
            <w:tcBorders>
              <w:left w:val="single" w:sz="8" w:color="auto"/>
            </w:tcBorders>
          </w:tcPr>
          <w:p>
            <w:pPr>
              <w:spacing w:after="0"/>
              <w:rPr>
                <w:sz w:val="16"/>
                <w:szCs w:val="16"/>
                <w:color w:val="auto"/>
              </w:rPr>
            </w:pPr>
          </w:p>
        </w:tc>
        <w:tc>
          <w:tcPr>
            <w:tcW w:w="3440" w:type="dxa"/>
            <w:vAlign w:val="bottom"/>
            <w:tcBorders>
              <w:right w:val="single" w:sz="8" w:color="auto"/>
            </w:tcBorders>
            <w:gridSpan w:val="19"/>
          </w:tcPr>
          <w:p>
            <w:pPr>
              <w:spacing w:after="0" w:line="188" w:lineRule="exact"/>
              <w:rPr>
                <w:sz w:val="20"/>
                <w:szCs w:val="20"/>
                <w:color w:val="auto"/>
              </w:rPr>
            </w:pPr>
            <w:r>
              <w:rPr>
                <w:rFonts w:ascii="Times New Roman" w:cs="Times New Roman" w:eastAsia="Times New Roman" w:hAnsi="Times New Roman"/>
                <w:sz w:val="17"/>
                <w:szCs w:val="17"/>
                <w:color w:val="4472C4"/>
              </w:rPr>
              <w:t xml:space="preserve">PINE21 HOUSTON EAST </w:t>
            </w:r>
            <w:r>
              <w:rPr>
                <w:rFonts w:ascii="Times New Roman" w:cs="Times New Roman" w:eastAsia="Times New Roman" w:hAnsi="Times New Roman"/>
                <w:sz w:val="17"/>
                <w:szCs w:val="17"/>
                <w:color w:val="000000"/>
              </w:rPr>
              <w:t>LLC</w:t>
            </w:r>
          </w:p>
        </w:tc>
        <w:tc>
          <w:tcPr>
            <w:tcW w:w="64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7"/>
                <w:szCs w:val="17"/>
                <w:color w:val="4472C4"/>
                <w:w w:val="97"/>
              </w:rPr>
              <w:t>29, 2021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PINE21 HOUSTON WEST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November 29,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PINE21 SPORTS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November 29, 2021</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PINE22 CAESAR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April 12, 2022</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PINE22 MAPLE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March 9, 2022</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Borders>
              <w:left w:val="single" w:sz="8" w:color="auto"/>
            </w:tcBorders>
          </w:tcPr>
          <w:p>
            <w:pPr>
              <w:spacing w:after="0"/>
              <w:rPr>
                <w:sz w:val="13"/>
                <w:szCs w:val="13"/>
                <w:color w:val="auto"/>
              </w:rPr>
            </w:pPr>
          </w:p>
        </w:tc>
        <w:tc>
          <w:tcPr>
            <w:tcW w:w="3440" w:type="dxa"/>
            <w:vAlign w:val="bottom"/>
            <w:tcBorders>
              <w:right w:val="single" w:sz="8" w:color="auto"/>
            </w:tcBorders>
            <w:gridSpan w:val="19"/>
          </w:tcPr>
          <w:p>
            <w:pPr>
              <w:spacing w:after="0" w:line="161" w:lineRule="exact"/>
              <w:rPr>
                <w:sz w:val="20"/>
                <w:szCs w:val="20"/>
                <w:color w:val="auto"/>
              </w:rPr>
            </w:pPr>
            <w:r>
              <w:rPr>
                <w:rFonts w:ascii="Times New Roman" w:cs="Times New Roman" w:eastAsia="Times New Roman" w:hAnsi="Times New Roman"/>
                <w:sz w:val="17"/>
                <w:szCs w:val="17"/>
                <w:color w:val="4472C4"/>
              </w:rPr>
              <w:t>PINE22 WASH MO LLC</w:t>
            </w:r>
          </w:p>
        </w:tc>
        <w:tc>
          <w:tcPr>
            <w:tcW w:w="40" w:type="dxa"/>
            <w:vAlign w:val="bottom"/>
          </w:tcPr>
          <w:p>
            <w:pPr>
              <w:spacing w:after="0"/>
              <w:rPr>
                <w:sz w:val="13"/>
                <w:szCs w:val="13"/>
                <w:color w:val="auto"/>
              </w:rPr>
            </w:pPr>
          </w:p>
        </w:tc>
        <w:tc>
          <w:tcPr>
            <w:tcW w:w="2120" w:type="dxa"/>
            <w:vAlign w:val="bottom"/>
            <w:tcBorders>
              <w:right w:val="single" w:sz="8" w:color="auto"/>
            </w:tcBorders>
            <w:gridSpan w:val="18"/>
          </w:tcPr>
          <w:p>
            <w:pPr>
              <w:spacing w:after="0" w:line="161" w:lineRule="exact"/>
              <w:rPr>
                <w:sz w:val="20"/>
                <w:szCs w:val="20"/>
                <w:color w:val="auto"/>
              </w:rPr>
            </w:pPr>
            <w:r>
              <w:rPr>
                <w:rFonts w:ascii="Times New Roman" w:cs="Times New Roman" w:eastAsia="Times New Roman" w:hAnsi="Times New Roman"/>
                <w:sz w:val="17"/>
                <w:szCs w:val="17"/>
                <w:color w:val="4472C4"/>
              </w:rPr>
              <w:t>April 7, 2022</w:t>
            </w:r>
          </w:p>
        </w:tc>
        <w:tc>
          <w:tcPr>
            <w:tcW w:w="60" w:type="dxa"/>
            <w:vAlign w:val="bottom"/>
          </w:tcPr>
          <w:p>
            <w:pPr>
              <w:spacing w:after="0"/>
              <w:rPr>
                <w:sz w:val="13"/>
                <w:szCs w:val="13"/>
                <w:color w:val="auto"/>
              </w:rPr>
            </w:pPr>
          </w:p>
        </w:tc>
        <w:tc>
          <w:tcPr>
            <w:tcW w:w="940" w:type="dxa"/>
            <w:vAlign w:val="bottom"/>
            <w:tcBorders>
              <w:right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4472C4"/>
              </w:rPr>
              <w:t>Delaware</w:t>
            </w:r>
          </w:p>
        </w:tc>
        <w:tc>
          <w:tcPr>
            <w:tcW w:w="40" w:type="dxa"/>
            <w:vAlign w:val="bottom"/>
          </w:tcPr>
          <w:p>
            <w:pPr>
              <w:spacing w:after="0"/>
              <w:rPr>
                <w:sz w:val="13"/>
                <w:szCs w:val="13"/>
                <w:color w:val="auto"/>
              </w:rPr>
            </w:pPr>
          </w:p>
        </w:tc>
        <w:tc>
          <w:tcPr>
            <w:tcW w:w="3220" w:type="dxa"/>
            <w:vAlign w:val="bottom"/>
            <w:tcBorders>
              <w:right w:val="single" w:sz="8" w:color="auto"/>
            </w:tcBorders>
            <w:gridSpan w:val="5"/>
          </w:tcPr>
          <w:p>
            <w:pPr>
              <w:spacing w:after="0" w:line="161" w:lineRule="exact"/>
              <w:rPr>
                <w:sz w:val="20"/>
                <w:szCs w:val="20"/>
                <w:color w:val="auto"/>
              </w:rPr>
            </w:pPr>
            <w:r>
              <w:rPr>
                <w:rFonts w:ascii="Times New Roman" w:cs="Times New Roman" w:eastAsia="Times New Roman" w:hAnsi="Times New Roman"/>
                <w:sz w:val="17"/>
                <w:szCs w:val="17"/>
                <w:color w:val="4472C4"/>
              </w:rPr>
              <w:t>Alpine Income Property OP, LP</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00" w:type="dxa"/>
            <w:vAlign w:val="bottom"/>
            <w:tcBorders>
              <w:top w:val="single" w:sz="8" w:color="4472C4"/>
              <w:bottom w:val="single" w:sz="8" w:color="4472C4"/>
            </w:tcBorders>
          </w:tcPr>
          <w:p>
            <w:pPr>
              <w:spacing w:after="0" w:line="20" w:lineRule="exact"/>
              <w:rPr>
                <w:sz w:val="1"/>
                <w:szCs w:val="1"/>
                <w:color w:val="auto"/>
              </w:rPr>
            </w:pPr>
          </w:p>
        </w:tc>
        <w:tc>
          <w:tcPr>
            <w:tcW w:w="12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6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8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26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100" w:type="dxa"/>
            <w:vAlign w:val="bottom"/>
            <w:tcBorders>
              <w:top w:val="single" w:sz="8" w:color="4472C4"/>
              <w:bottom w:val="single" w:sz="8" w:color="4472C4"/>
            </w:tcBorders>
          </w:tcPr>
          <w:p>
            <w:pPr>
              <w:spacing w:after="0" w:line="20" w:lineRule="exact"/>
              <w:rPr>
                <w:sz w:val="1"/>
                <w:szCs w:val="1"/>
                <w:color w:val="auto"/>
              </w:rPr>
            </w:pPr>
          </w:p>
        </w:tc>
        <w:tc>
          <w:tcPr>
            <w:tcW w:w="4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bottom w:val="single" w:sz="8" w:color="4472C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472C4"/>
              <w:bottom w:val="single" w:sz="8" w:color="4472C4"/>
            </w:tcBorders>
          </w:tcPr>
          <w:p>
            <w:pPr>
              <w:spacing w:after="0" w:line="20" w:lineRule="exact"/>
              <w:rPr>
                <w:sz w:val="1"/>
                <w:szCs w:val="1"/>
                <w:color w:val="auto"/>
              </w:rPr>
            </w:pPr>
          </w:p>
        </w:tc>
        <w:tc>
          <w:tcPr>
            <w:tcW w:w="320" w:type="dxa"/>
            <w:vAlign w:val="bottom"/>
            <w:tcBorders>
              <w:top w:val="single" w:sz="8" w:color="4472C4"/>
              <w:bottom w:val="single" w:sz="8" w:color="4472C4"/>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4472C4"/>
              <w:bottom w:val="single" w:sz="8" w:color="4472C4"/>
            </w:tcBorders>
          </w:tcPr>
          <w:p>
            <w:pPr>
              <w:spacing w:after="0" w:line="20" w:lineRule="exact"/>
              <w:rPr>
                <w:sz w:val="1"/>
                <w:szCs w:val="1"/>
                <w:color w:val="auto"/>
              </w:rPr>
            </w:pPr>
          </w:p>
        </w:tc>
        <w:tc>
          <w:tcPr>
            <w:tcW w:w="500" w:type="dxa"/>
            <w:vAlign w:val="bottom"/>
            <w:tcBorders>
              <w:top w:val="single" w:sz="8" w:color="4472C4"/>
              <w:bottom w:val="single" w:sz="8" w:color="4472C4"/>
            </w:tcBorders>
          </w:tcPr>
          <w:p>
            <w:pPr>
              <w:spacing w:after="0" w:line="20" w:lineRule="exact"/>
              <w:rPr>
                <w:sz w:val="1"/>
                <w:szCs w:val="1"/>
                <w:color w:val="auto"/>
              </w:rPr>
            </w:pPr>
          </w:p>
        </w:tc>
        <w:tc>
          <w:tcPr>
            <w:tcW w:w="20" w:type="dxa"/>
            <w:vAlign w:val="bottom"/>
            <w:tcBorders>
              <w:top w:val="single" w:sz="8" w:color="4472C4"/>
              <w:bottom w:val="single" w:sz="8" w:color="4472C4"/>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[Schedule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940"/>
          </w:cols>
          <w:pgMar w:left="980" w:top="1072" w:right="979" w:bottom="1440" w:gutter="0" w:footer="0" w:header="0"/>
        </w:sectPr>
      </w:pPr>
    </w:p>
    <w:bookmarkStart w:id="223" w:name="page224"/>
    <w:bookmarkEnd w:id="223"/>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SCHEDULE 6.6</w:t>
      </w:r>
    </w:p>
    <w:p>
      <w:pPr>
        <w:spacing w:after="0" w:line="22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7"/>
          <w:szCs w:val="17"/>
          <w:b w:val="1"/>
          <w:bCs w:val="1"/>
          <w:color w:val="auto"/>
        </w:rPr>
        <w:t>MATERIAL ADVERSE CHANGE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[Schedule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1058" w:right="1440" w:bottom="1440" w:gutter="0" w:footer="0" w:header="0"/>
        </w:sectPr>
      </w:pPr>
    </w:p>
    <w:bookmarkStart w:id="224" w:name="page225"/>
    <w:bookmarkEnd w:id="224"/>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SCHEDULE 6.11</w:t>
      </w:r>
    </w:p>
    <w:p>
      <w:pPr>
        <w:spacing w:after="0" w:line="2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[Schedule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1058" w:right="1440" w:bottom="1440" w:gutter="0" w:footer="0" w:header="0"/>
        </w:sectPr>
      </w:pPr>
    </w:p>
    <w:bookmarkStart w:id="225" w:name="page226"/>
    <w:bookmarkEnd w:id="225"/>
    <w:p>
      <w:pPr>
        <w:jc w:val="right"/>
        <w:ind w:right="3859"/>
        <w:spacing w:after="0"/>
        <w:rPr>
          <w:sz w:val="20"/>
          <w:szCs w:val="20"/>
          <w:color w:val="auto"/>
        </w:rPr>
      </w:pPr>
      <w:r>
        <w:rPr>
          <w:rFonts w:ascii="Times New Roman" w:cs="Times New Roman" w:eastAsia="Times New Roman" w:hAnsi="Times New Roman"/>
          <w:sz w:val="17"/>
          <w:szCs w:val="17"/>
          <w:b w:val="1"/>
          <w:bCs w:val="1"/>
          <w:color w:val="auto"/>
        </w:rPr>
        <w:t>SCHEDULE 6.12</w:t>
      </w:r>
    </w:p>
    <w:p>
      <w:pPr>
        <w:spacing w:after="0" w:line="22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TAX RETURNS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[Schedule 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1058" w:right="1440" w:bottom="1440" w:gutter="0" w:footer="0" w:header="0"/>
        </w:sectPr>
      </w:pPr>
    </w:p>
    <w:bookmarkStart w:id="226" w:name="page227"/>
    <w:bookmarkEnd w:id="226"/>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SCHEDULE 6.17</w:t>
      </w:r>
    </w:p>
    <w:p>
      <w:pPr>
        <w:spacing w:after="0" w:line="222"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17"/>
          <w:szCs w:val="17"/>
          <w:b w:val="1"/>
          <w:bCs w:val="1"/>
          <w:color w:val="auto"/>
        </w:rPr>
        <w:t>ENVIRONMENTAL ISSUES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[Schedule 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1058" w:right="1440" w:bottom="1440" w:gutter="0" w:footer="0" w:header="0"/>
        </w:sectPr>
      </w:pPr>
    </w:p>
    <w:bookmarkStart w:id="227" w:name="page228"/>
    <w:bookmarkEnd w:id="227"/>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SCHEDULE 6.23</w:t>
      </w:r>
    </w:p>
    <w:p>
      <w:pPr>
        <w:spacing w:after="0" w:line="22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7"/>
          <w:szCs w:val="17"/>
          <w:b w:val="1"/>
          <w:bCs w:val="1"/>
          <w:color w:val="auto"/>
        </w:rPr>
        <w:t>MAINTENANCE AND CONDITION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[Schedule 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1058" w:right="1440" w:bottom="1440" w:gutter="0" w:footer="0" w:header="0"/>
        </w:sectPr>
      </w:pPr>
    </w:p>
    <w:bookmarkStart w:id="228" w:name="page229"/>
    <w:bookmarkEnd w:id="228"/>
    <w:p>
      <w:pPr>
        <w:jc w:val="center"/>
        <w:ind w:right="-460"/>
        <w:spacing w:after="0"/>
        <w:rPr>
          <w:sz w:val="20"/>
          <w:szCs w:val="20"/>
          <w:color w:val="auto"/>
        </w:rPr>
      </w:pPr>
      <w:r>
        <w:rPr>
          <w:rFonts w:ascii="Times New Roman" w:cs="Times New Roman" w:eastAsia="Times New Roman" w:hAnsi="Times New Roman"/>
          <w:sz w:val="17"/>
          <w:szCs w:val="17"/>
          <w:color w:val="auto"/>
        </w:rPr>
        <w:t>Schedule 8.7</w:t>
      </w:r>
    </w:p>
    <w:p>
      <w:pPr>
        <w:spacing w:after="0" w:line="200" w:lineRule="exact"/>
        <w:rPr>
          <w:sz w:val="20"/>
          <w:szCs w:val="20"/>
          <w:color w:val="auto"/>
        </w:rPr>
      </w:pPr>
    </w:p>
    <w:p>
      <w:pPr>
        <w:spacing w:after="0" w:line="228"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17"/>
          <w:szCs w:val="17"/>
          <w:b w:val="1"/>
          <w:bCs w:val="1"/>
          <w:color w:val="auto"/>
        </w:rPr>
        <w:t>EXISTING LIENS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[Schedule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292215" cy="247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6292215" cy="24765"/>
                    </a:xfrm>
                    <a:prstGeom prst="rect">
                      <a:avLst/>
                    </a:prstGeom>
                    <a:noFill/>
                  </pic:spPr>
                </pic:pic>
              </a:graphicData>
            </a:graphic>
          </wp:anchor>
        </w:drawing>
      </w:r>
    </w:p>
    <w:p>
      <w:pPr>
        <w:sectPr>
          <w:pgSz w:w="11900" w:h="16838" w:orient="portrait"/>
          <w:cols w:equalWidth="0" w:num="1">
            <w:col w:w="9479"/>
          </w:cols>
          <w:pgMar w:left="980" w:top="1060" w:right="1440" w:bottom="1440" w:gutter="0" w:footer="0" w:header="0"/>
        </w:sectPr>
      </w:pPr>
    </w:p>
    <w:bookmarkStart w:id="229" w:name="page230"/>
    <w:bookmarkEnd w:id="229"/>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 John P. Albright, certify that:</w:t>
      </w:r>
    </w:p>
    <w:p>
      <w:pPr>
        <w:spacing w:after="0" w:line="183" w:lineRule="exact"/>
        <w:rPr>
          <w:sz w:val="20"/>
          <w:szCs w:val="20"/>
          <w:color w:val="auto"/>
        </w:rPr>
      </w:pPr>
    </w:p>
    <w:p>
      <w:pPr>
        <w:ind w:left="680" w:hanging="633"/>
        <w:spacing w:after="0"/>
        <w:tabs>
          <w:tab w:leader="none" w:pos="68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Alpine Income Property Trust, Inc.;</w:t>
      </w:r>
    </w:p>
    <w:p>
      <w:pPr>
        <w:spacing w:after="0" w:line="182" w:lineRule="exact"/>
        <w:rPr>
          <w:rFonts w:ascii="Times New Roman" w:cs="Times New Roman" w:eastAsia="Times New Roman" w:hAnsi="Times New Roman"/>
          <w:sz w:val="17"/>
          <w:szCs w:val="17"/>
          <w:color w:val="auto"/>
        </w:rPr>
      </w:pPr>
    </w:p>
    <w:p>
      <w:pPr>
        <w:jc w:val="both"/>
        <w:ind w:left="680" w:right="99" w:hanging="633"/>
        <w:spacing w:after="0" w:line="275" w:lineRule="auto"/>
        <w:tabs>
          <w:tab w:leader="none" w:pos="68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7"/>
          <w:szCs w:val="17"/>
          <w:color w:val="auto"/>
        </w:rPr>
      </w:pPr>
    </w:p>
    <w:p>
      <w:pPr>
        <w:ind w:left="680" w:right="79" w:hanging="633"/>
        <w:spacing w:after="0" w:line="275" w:lineRule="auto"/>
        <w:tabs>
          <w:tab w:leader="none" w:pos="68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7"/>
          <w:szCs w:val="17"/>
          <w:color w:val="auto"/>
        </w:rPr>
      </w:pPr>
    </w:p>
    <w:p>
      <w:pPr>
        <w:jc w:val="both"/>
        <w:ind w:left="680" w:right="219" w:hanging="633"/>
        <w:spacing w:after="0" w:line="275" w:lineRule="auto"/>
        <w:tabs>
          <w:tab w:leader="none" w:pos="68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7"/>
          <w:szCs w:val="17"/>
          <w:color w:val="auto"/>
        </w:rPr>
      </w:pPr>
    </w:p>
    <w:p>
      <w:pPr>
        <w:ind w:left="1620" w:right="79" w:hanging="634"/>
        <w:spacing w:after="0" w:line="268" w:lineRule="auto"/>
        <w:tabs>
          <w:tab w:leader="none" w:pos="162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Times New Roman" w:cs="Times New Roman" w:eastAsia="Times New Roman" w:hAnsi="Times New Roman"/>
          <w:sz w:val="17"/>
          <w:szCs w:val="17"/>
          <w:color w:val="auto"/>
        </w:rPr>
      </w:pPr>
    </w:p>
    <w:p>
      <w:pPr>
        <w:ind w:left="1620" w:right="179" w:hanging="634"/>
        <w:spacing w:after="0" w:line="268" w:lineRule="auto"/>
        <w:tabs>
          <w:tab w:leader="none" w:pos="162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7"/>
          <w:szCs w:val="17"/>
          <w:color w:val="auto"/>
        </w:rPr>
      </w:pPr>
    </w:p>
    <w:p>
      <w:pPr>
        <w:ind w:left="1620" w:right="159" w:hanging="634"/>
        <w:spacing w:after="0" w:line="275" w:lineRule="auto"/>
        <w:tabs>
          <w:tab w:leader="none" w:pos="162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7"/>
          <w:szCs w:val="17"/>
          <w:color w:val="auto"/>
        </w:rPr>
      </w:pPr>
    </w:p>
    <w:p>
      <w:pPr>
        <w:ind w:left="1620" w:right="99" w:hanging="634"/>
        <w:spacing w:after="0" w:line="268" w:lineRule="auto"/>
        <w:tabs>
          <w:tab w:leader="none" w:pos="162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7"/>
          <w:szCs w:val="17"/>
          <w:color w:val="auto"/>
        </w:rPr>
      </w:pPr>
    </w:p>
    <w:p>
      <w:pPr>
        <w:jc w:val="both"/>
        <w:ind w:left="680" w:right="299" w:hanging="633"/>
        <w:spacing w:after="0" w:line="275" w:lineRule="auto"/>
        <w:tabs>
          <w:tab w:leader="none" w:pos="68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7"/>
          <w:szCs w:val="17"/>
          <w:color w:val="auto"/>
        </w:rPr>
      </w:pPr>
    </w:p>
    <w:p>
      <w:pPr>
        <w:ind w:left="1620" w:right="299" w:hanging="634"/>
        <w:spacing w:after="0" w:line="275" w:lineRule="auto"/>
        <w:tabs>
          <w:tab w:leader="none" w:pos="162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7"/>
          <w:szCs w:val="17"/>
          <w:color w:val="auto"/>
        </w:rPr>
      </w:pPr>
    </w:p>
    <w:p>
      <w:pPr>
        <w:ind w:left="1620" w:right="79" w:hanging="634"/>
        <w:spacing w:after="0" w:line="294" w:lineRule="auto"/>
        <w:tabs>
          <w:tab w:leader="none" w:pos="162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 October 20, 2022</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/s/ John P. Albright</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-123190</wp:posOffset>
            </wp:positionV>
            <wp:extent cx="27158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2715895" cy="8255"/>
                    </a:xfrm>
                    <a:prstGeom prst="rect">
                      <a:avLst/>
                    </a:prstGeom>
                    <a:noFill/>
                  </pic:spPr>
                </pic:pic>
              </a:graphicData>
            </a:graphic>
          </wp:anchor>
        </w:drawing>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471805</wp:posOffset>
            </wp:positionV>
            <wp:extent cx="5662930" cy="247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30" w:name="page231"/>
    <w:bookmarkEnd w:id="230"/>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 Matthew M. Partridge, certify that:</w:t>
      </w:r>
    </w:p>
    <w:p>
      <w:pPr>
        <w:spacing w:after="0" w:line="183" w:lineRule="exact"/>
        <w:rPr>
          <w:sz w:val="20"/>
          <w:szCs w:val="20"/>
          <w:color w:val="auto"/>
        </w:rPr>
      </w:pPr>
    </w:p>
    <w:p>
      <w:pPr>
        <w:ind w:left="680" w:hanging="633"/>
        <w:spacing w:after="0"/>
        <w:tabs>
          <w:tab w:leader="none" w:pos="68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Alpine Income Property Trust, Inc.;</w:t>
      </w:r>
    </w:p>
    <w:p>
      <w:pPr>
        <w:spacing w:after="0" w:line="182" w:lineRule="exact"/>
        <w:rPr>
          <w:rFonts w:ascii="Times New Roman" w:cs="Times New Roman" w:eastAsia="Times New Roman" w:hAnsi="Times New Roman"/>
          <w:sz w:val="17"/>
          <w:szCs w:val="17"/>
          <w:color w:val="auto"/>
        </w:rPr>
      </w:pPr>
    </w:p>
    <w:p>
      <w:pPr>
        <w:jc w:val="both"/>
        <w:ind w:left="680" w:right="99" w:hanging="633"/>
        <w:spacing w:after="0" w:line="275" w:lineRule="auto"/>
        <w:tabs>
          <w:tab w:leader="none" w:pos="68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7"/>
          <w:szCs w:val="17"/>
          <w:color w:val="auto"/>
        </w:rPr>
      </w:pPr>
    </w:p>
    <w:p>
      <w:pPr>
        <w:ind w:left="680" w:right="79" w:hanging="633"/>
        <w:spacing w:after="0" w:line="275" w:lineRule="auto"/>
        <w:tabs>
          <w:tab w:leader="none" w:pos="68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7"/>
          <w:szCs w:val="17"/>
          <w:color w:val="auto"/>
        </w:rPr>
      </w:pPr>
    </w:p>
    <w:p>
      <w:pPr>
        <w:jc w:val="both"/>
        <w:ind w:left="680" w:right="219" w:hanging="633"/>
        <w:spacing w:after="0" w:line="275" w:lineRule="auto"/>
        <w:tabs>
          <w:tab w:leader="none" w:pos="68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7"/>
          <w:szCs w:val="17"/>
          <w:color w:val="auto"/>
        </w:rPr>
      </w:pPr>
    </w:p>
    <w:p>
      <w:pPr>
        <w:ind w:left="1620" w:right="79" w:hanging="634"/>
        <w:spacing w:after="0" w:line="268" w:lineRule="auto"/>
        <w:tabs>
          <w:tab w:leader="none" w:pos="1620"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Times New Roman" w:cs="Times New Roman" w:eastAsia="Times New Roman" w:hAnsi="Times New Roman"/>
          <w:sz w:val="17"/>
          <w:szCs w:val="17"/>
          <w:color w:val="auto"/>
        </w:rPr>
      </w:pPr>
    </w:p>
    <w:p>
      <w:pPr>
        <w:ind w:left="1620" w:right="179" w:hanging="634"/>
        <w:spacing w:after="0" w:line="268" w:lineRule="auto"/>
        <w:tabs>
          <w:tab w:leader="none" w:pos="1620"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7"/>
          <w:szCs w:val="17"/>
          <w:color w:val="auto"/>
        </w:rPr>
      </w:pPr>
    </w:p>
    <w:p>
      <w:pPr>
        <w:ind w:left="1620" w:right="159" w:hanging="634"/>
        <w:spacing w:after="0" w:line="275" w:lineRule="auto"/>
        <w:tabs>
          <w:tab w:leader="none" w:pos="1620"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7"/>
          <w:szCs w:val="17"/>
          <w:color w:val="auto"/>
        </w:rPr>
      </w:pPr>
    </w:p>
    <w:p>
      <w:pPr>
        <w:ind w:left="1620" w:right="99" w:hanging="634"/>
        <w:spacing w:after="0" w:line="268" w:lineRule="auto"/>
        <w:tabs>
          <w:tab w:leader="none" w:pos="1620"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7"/>
          <w:szCs w:val="17"/>
          <w:color w:val="auto"/>
        </w:rPr>
      </w:pPr>
    </w:p>
    <w:p>
      <w:pPr>
        <w:jc w:val="both"/>
        <w:ind w:left="680" w:right="299" w:hanging="633"/>
        <w:spacing w:after="0" w:line="275" w:lineRule="auto"/>
        <w:tabs>
          <w:tab w:leader="none" w:pos="68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7"/>
          <w:szCs w:val="17"/>
          <w:color w:val="auto"/>
        </w:rPr>
      </w:pPr>
    </w:p>
    <w:p>
      <w:pPr>
        <w:ind w:left="1620" w:right="299" w:hanging="634"/>
        <w:spacing w:after="0" w:line="275" w:lineRule="auto"/>
        <w:tabs>
          <w:tab w:leader="none" w:pos="1620"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7"/>
          <w:szCs w:val="17"/>
          <w:color w:val="auto"/>
        </w:rPr>
      </w:pPr>
    </w:p>
    <w:p>
      <w:pPr>
        <w:ind w:left="1620" w:right="79" w:hanging="634"/>
        <w:spacing w:after="0" w:line="294" w:lineRule="auto"/>
        <w:tabs>
          <w:tab w:leader="none" w:pos="1620"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 October 20, 2022</w:t>
      </w:r>
    </w:p>
    <w:p>
      <w:pPr>
        <w:spacing w:after="0" w:line="196" w:lineRule="exact"/>
        <w:rPr>
          <w:sz w:val="20"/>
          <w:szCs w:val="20"/>
          <w:color w:val="auto"/>
        </w:rPr>
      </w:pPr>
    </w:p>
    <w:p>
      <w:pPr>
        <w:ind w:left="40"/>
        <w:spacing w:after="0"/>
        <w:tabs>
          <w:tab w:leader="none" w:pos="460" w:val="left"/>
        </w:tabs>
        <w:rPr>
          <w:sz w:val="20"/>
          <w:szCs w:val="20"/>
          <w:color w:val="auto"/>
        </w:rPr>
      </w:pPr>
      <w:r>
        <w:rPr>
          <w:rFonts w:ascii="Times New Roman" w:cs="Times New Roman" w:eastAsia="Times New Roman" w:hAnsi="Times New Roman"/>
          <w:sz w:val="17"/>
          <w:szCs w:val="17"/>
          <w:color w:val="auto"/>
        </w:rPr>
        <w:t>By:</w:t>
        <w:tab/>
        <w:t>/s/ Matthew M. Partridge</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Matthew M. Partridge,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-123190</wp:posOffset>
            </wp:positionV>
            <wp:extent cx="26993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471805</wp:posOffset>
            </wp:positionV>
            <wp:extent cx="5662930" cy="247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31" w:name="page232"/>
    <w:bookmarkEnd w:id="231"/>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ind w:left="40" w:right="179"/>
        <w:spacing w:after="0" w:line="268" w:lineRule="auto"/>
        <w:rPr>
          <w:sz w:val="20"/>
          <w:szCs w:val="20"/>
          <w:color w:val="auto"/>
        </w:rPr>
      </w:pPr>
      <w:r>
        <w:rPr>
          <w:rFonts w:ascii="Times New Roman" w:cs="Times New Roman" w:eastAsia="Times New Roman" w:hAnsi="Times New Roman"/>
          <w:sz w:val="17"/>
          <w:szCs w:val="17"/>
          <w:color w:val="auto"/>
        </w:rPr>
        <w:t>In connection with the Quarterly Report of Alpine Income Property Trust, Inc. (the “Company”) on Form 10-Q for the period ended September 30, 2022,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70" w:lineRule="exact"/>
        <w:rPr>
          <w:sz w:val="20"/>
          <w:szCs w:val="20"/>
          <w:color w:val="auto"/>
        </w:rPr>
      </w:pPr>
    </w:p>
    <w:p>
      <w:pPr>
        <w:ind w:left="1300" w:right="179" w:hanging="627"/>
        <w:spacing w:after="0" w:line="294" w:lineRule="auto"/>
        <w:tabs>
          <w:tab w:leader="none" w:pos="130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46" w:lineRule="exact"/>
        <w:rPr>
          <w:rFonts w:ascii="Times New Roman" w:cs="Times New Roman" w:eastAsia="Times New Roman" w:hAnsi="Times New Roman"/>
          <w:sz w:val="17"/>
          <w:szCs w:val="17"/>
          <w:color w:val="auto"/>
        </w:rPr>
      </w:pPr>
    </w:p>
    <w:p>
      <w:pPr>
        <w:ind w:left="1300" w:right="279" w:hanging="627"/>
        <w:spacing w:after="0" w:line="294" w:lineRule="auto"/>
        <w:tabs>
          <w:tab w:leader="none" w:pos="130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 October 20, 2022</w:t>
      </w:r>
    </w:p>
    <w:p>
      <w:pPr>
        <w:spacing w:after="0" w:line="235"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John P. Albright</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-123190</wp:posOffset>
            </wp:positionV>
            <wp:extent cx="269113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471805</wp:posOffset>
            </wp:positionV>
            <wp:extent cx="5662930" cy="247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32" w:name="page233"/>
    <w:bookmarkEnd w:id="232"/>
    <w:p>
      <w:pPr>
        <w:ind w:left="806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7"/>
          <w:szCs w:val="17"/>
          <w:color w:val="auto"/>
        </w:rPr>
        <w:t>In connection with the Quarterly Report of Alpine Income Property Trust, Inc. (the “Company”) on Form 10-Q for the period ended September 30, 2022,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70" w:lineRule="exact"/>
        <w:rPr>
          <w:sz w:val="20"/>
          <w:szCs w:val="20"/>
          <w:color w:val="auto"/>
        </w:rPr>
      </w:pPr>
    </w:p>
    <w:p>
      <w:pPr>
        <w:ind w:left="1300" w:right="179" w:hanging="627"/>
        <w:spacing w:after="0" w:line="294" w:lineRule="auto"/>
        <w:tabs>
          <w:tab w:leader="none" w:pos="1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46" w:lineRule="exact"/>
        <w:rPr>
          <w:rFonts w:ascii="Times New Roman" w:cs="Times New Roman" w:eastAsia="Times New Roman" w:hAnsi="Times New Roman"/>
          <w:sz w:val="17"/>
          <w:szCs w:val="17"/>
          <w:color w:val="auto"/>
        </w:rPr>
      </w:pPr>
    </w:p>
    <w:p>
      <w:pPr>
        <w:ind w:left="1300" w:right="279" w:hanging="627"/>
        <w:spacing w:after="0" w:line="294" w:lineRule="auto"/>
        <w:tabs>
          <w:tab w:leader="none" w:pos="1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 October 20, 2022</w:t>
      </w:r>
    </w:p>
    <w:p>
      <w:pPr>
        <w:spacing w:after="0" w:line="235" w:lineRule="exact"/>
        <w:rPr>
          <w:sz w:val="20"/>
          <w:szCs w:val="20"/>
          <w:color w:val="auto"/>
        </w:rPr>
      </w:pPr>
    </w:p>
    <w:p>
      <w:pPr>
        <w:ind w:left="40"/>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Matthew M. Partridge</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Matthew M. Partridge,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-123190</wp:posOffset>
            </wp:positionV>
            <wp:extent cx="26911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471805</wp:posOffset>
            </wp:positionV>
            <wp:extent cx="5662930" cy="247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5662930" cy="24765"/>
                    </a:xfrm>
                    <a:prstGeom prst="rect">
                      <a:avLst/>
                    </a:prstGeom>
                    <a:noFill/>
                  </pic:spPr>
                </pic:pic>
              </a:graphicData>
            </a:graphic>
          </wp:anchor>
        </w:drawing>
      </w:r>
    </w:p>
    <w:sectPr>
      <w:pgSz w:w="11900" w:h="16838" w:orient="portrait"/>
      <w:cols w:equalWidth="0" w:num="1">
        <w:col w:w="9019"/>
      </w:cols>
      <w:pgMar w:left="144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1)"/>
      <w:numFmt w:val="decimal"/>
      <w:start w:val="1"/>
    </w:lvl>
  </w:abstractNum>
  <w:abstractNum w:abstractNumId="5">
    <w:nsid w:val="5F3534A4"/>
    <w:multiLevelType w:val="hybridMultilevel"/>
    <w:lvl w:ilvl="0">
      <w:lvlJc w:val="left"/>
      <w:lvlText w:val="(%1)"/>
      <w:numFmt w:val="decimal"/>
      <w:start w:val="1"/>
    </w:lvl>
  </w:abstractNum>
  <w:abstractNum w:abstractNumId="6">
    <w:nsid w:val="73A1821B"/>
    <w:multiLevelType w:val="hybridMultilevel"/>
    <w:lvl w:ilvl="0">
      <w:lvlJc w:val="left"/>
      <w:lvlText w:val="(%1)"/>
      <w:numFmt w:val="decimal"/>
      <w:start w:val="1"/>
    </w:lvl>
  </w:abstractNum>
  <w:abstractNum w:abstractNumId="7">
    <w:nsid w:val="7DE67713"/>
    <w:multiLevelType w:val="hybridMultilevel"/>
    <w:lvl w:ilvl="0">
      <w:lvlJc w:val="left"/>
      <w:lvlText w:val="(%1)"/>
      <w:numFmt w:val="decimal"/>
      <w:start w:val="1"/>
    </w:lvl>
  </w:abstractNum>
  <w:abstractNum w:abstractNumId="8">
    <w:nsid w:val="555C55B5"/>
    <w:multiLevelType w:val="hybridMultilevel"/>
    <w:lvl w:ilvl="0">
      <w:lvlJc w:val="left"/>
      <w:lvlText w:val="●"/>
      <w:numFmt w:val="bullet"/>
      <w:start w:val="1"/>
    </w:lvl>
  </w:abstractNum>
  <w:abstractNum w:abstractNumId="9">
    <w:nsid w:val="3FA62ACA"/>
    <w:multiLevelType w:val="hybridMultilevel"/>
    <w:lvl w:ilvl="0">
      <w:lvlJc w:val="left"/>
      <w:lvlText w:val="(%1)"/>
      <w:numFmt w:val="decimal"/>
      <w:start w:val="1"/>
    </w:lvl>
  </w:abstractNum>
  <w:abstractNum w:abstractNumId="10">
    <w:nsid w:val="14FCE74E"/>
    <w:multiLevelType w:val="hybridMultilevel"/>
    <w:lvl w:ilvl="0">
      <w:lvlJc w:val="left"/>
      <w:lvlText w:val="(%1)"/>
      <w:numFmt w:val="decimal"/>
      <w:start w:val="1"/>
    </w:lvl>
  </w:abstractNum>
  <w:abstractNum w:abstractNumId="11">
    <w:nsid w:val="6A3DD3E8"/>
    <w:multiLevelType w:val="hybridMultilevel"/>
    <w:lvl w:ilvl="0">
      <w:lvlJc w:val="left"/>
      <w:lvlText w:val="(%1)"/>
      <w:numFmt w:val="lowerLetter"/>
      <w:start w:val="1"/>
    </w:lvl>
  </w:abstractNum>
  <w:abstractNum w:abstractNumId="12">
    <w:nsid w:val="71C91298"/>
    <w:multiLevelType w:val="hybridMultilevel"/>
    <w:lvl w:ilvl="0">
      <w:lvlJc w:val="left"/>
      <w:lvlText w:val="(%1)"/>
      <w:numFmt w:val="lowerRoman"/>
      <w:start w:val="1"/>
    </w:lvl>
  </w:abstractNum>
  <w:abstractNum w:abstractNumId="13">
    <w:nsid w:val="9DAF632"/>
    <w:multiLevelType w:val="hybridMultilevel"/>
    <w:lvl w:ilvl="0">
      <w:lvlJc w:val="left"/>
      <w:lvlText w:val="(%1)"/>
      <w:numFmt w:val="decimal"/>
      <w:start w:val="1"/>
    </w:lvl>
  </w:abstractNum>
  <w:abstractNum w:abstractNumId="14">
    <w:nsid w:val="53299938"/>
    <w:multiLevelType w:val="hybridMultilevel"/>
    <w:lvl w:ilvl="0">
      <w:lvlJc w:val="left"/>
      <w:lvlText w:val="%1."/>
      <w:numFmt w:val="decimal"/>
      <w:start w:val="1"/>
    </w:lvl>
    <w:lvl w:ilvl="1">
      <w:lvlJc w:val="left"/>
      <w:lvlText w:val="(%2)"/>
      <w:numFmt w:val="lowerLetter"/>
      <w:start w:val="1"/>
    </w:lvl>
  </w:abstractNum>
  <w:abstractNum w:abstractNumId="15">
    <w:nsid w:val="1FBFE8E0"/>
    <w:multiLevelType w:val="hybridMultilevel"/>
    <w:lvl w:ilvl="0">
      <w:lvlJc w:val="left"/>
      <w:lvlText w:val="%1."/>
      <w:numFmt w:val="decimal"/>
      <w:start w:val="3"/>
    </w:lvl>
    <w:lvl w:ilvl="1">
      <w:lvlJc w:val="left"/>
      <w:lvlText w:val="(%2)"/>
      <w:numFmt w:val="lowerLetter"/>
      <w:start w:val="1"/>
    </w:lvl>
  </w:abstractNum>
  <w:abstractNum w:abstractNumId="16">
    <w:nsid w:val="5092CA79"/>
    <w:multiLevelType w:val="hybridMultilevel"/>
    <w:lvl w:ilvl="0">
      <w:lvlJc w:val="left"/>
      <w:lvlText w:val="(%1)"/>
      <w:numFmt w:val="lowerLetter"/>
      <w:start w:val="1"/>
    </w:lvl>
    <w:lvl w:ilvl="1">
      <w:lvlJc w:val="left"/>
      <w:lvlText w:val="-"/>
      <w:numFmt w:val="bullet"/>
      <w:start w:val="1"/>
    </w:lvl>
  </w:abstractNum>
  <w:abstractNum w:abstractNumId="17">
    <w:nsid w:val="1D545C4D"/>
    <w:multiLevelType w:val="hybridMultilevel"/>
    <w:lvl w:ilvl="0">
      <w:lvlJc w:val="left"/>
      <w:lvlText w:val="(%1)"/>
      <w:numFmt w:val="lowerLetter"/>
      <w:start w:val="2"/>
    </w:lvl>
  </w:abstractNum>
  <w:abstractNum w:abstractNumId="18">
    <w:nsid w:val="59ADEA3D"/>
    <w:multiLevelType w:val="hybridMultilevel"/>
    <w:lvl w:ilvl="0">
      <w:lvlJc w:val="left"/>
      <w:lvlText w:val="(%1)"/>
      <w:numFmt w:val="lowerLetter"/>
      <w:start w:val="1"/>
    </w:lvl>
  </w:abstractNum>
  <w:abstractNum w:abstractNumId="19">
    <w:nsid w:val="288F1A34"/>
    <w:multiLevelType w:val="hybridMultilevel"/>
    <w:lvl w:ilvl="0">
      <w:lvlJc w:val="left"/>
      <w:lvlText w:val="(%1)"/>
      <w:numFmt w:val="lowerLetter"/>
      <w:start w:val="2"/>
    </w:lvl>
    <w:lvl w:ilvl="1">
      <w:lvlJc w:val="left"/>
      <w:lvlText w:val="-"/>
      <w:numFmt w:val="bullet"/>
      <w:start w:val="1"/>
    </w:lvl>
  </w:abstractNum>
  <w:abstractNum w:abstractNumId="20">
    <w:nsid w:val="2A155DBC"/>
    <w:multiLevelType w:val="hybridMultilevel"/>
    <w:lvl w:ilvl="0">
      <w:lvlJc w:val="left"/>
      <w:lvlText w:val="(%1)"/>
      <w:numFmt w:val="lowerLetter"/>
      <w:start w:val="3"/>
    </w:lvl>
  </w:abstractNum>
  <w:abstractNum w:abstractNumId="21">
    <w:nsid w:val="1D9F6E5F"/>
    <w:multiLevelType w:val="hybridMultilevel"/>
    <w:lvl w:ilvl="0">
      <w:lvlJc w:val="left"/>
      <w:lvlText w:val="(%1)"/>
      <w:numFmt w:val="lowerLetter"/>
      <w:start w:val="1"/>
    </w:lvl>
    <w:lvl w:ilvl="1">
      <w:lvlJc w:val="left"/>
      <w:lvlText w:val="-"/>
      <w:numFmt w:val="bullet"/>
      <w:start w:val="1"/>
    </w:lvl>
  </w:abstractNum>
  <w:abstractNum w:abstractNumId="22">
    <w:nsid w:val="97E1B4E"/>
    <w:multiLevelType w:val="hybridMultilevel"/>
    <w:lvl w:ilvl="0">
      <w:lvlJc w:val="left"/>
      <w:lvlText w:val="(%1)"/>
      <w:numFmt w:val="lowerLetter"/>
      <w:start w:val="2"/>
    </w:lvl>
    <w:lvl w:ilvl="1">
      <w:lvlJc w:val="left"/>
      <w:lvlText w:val="-"/>
      <w:numFmt w:val="bullet"/>
      <w:start w:val="1"/>
    </w:lvl>
  </w:abstractNum>
  <w:abstractNum w:abstractNumId="23">
    <w:nsid w:val="51088277"/>
    <w:multiLevelType w:val="hybridMultilevel"/>
    <w:lvl w:ilvl="0">
      <w:lvlJc w:val="left"/>
      <w:lvlText w:val="(%1)"/>
      <w:numFmt w:val="lowerLetter"/>
      <w:start w:val="1"/>
    </w:lvl>
  </w:abstractNum>
  <w:abstractNum w:abstractNumId="24">
    <w:nsid w:val="1CA0C5FA"/>
    <w:multiLevelType w:val="hybridMultilevel"/>
    <w:lvl w:ilvl="0">
      <w:lvlJc w:val="left"/>
      <w:lvlText w:val="(%1)"/>
      <w:numFmt w:val="lowerLetter"/>
      <w:start w:val="1"/>
    </w:lvl>
    <w:lvl w:ilvl="1">
      <w:lvlJc w:val="left"/>
      <w:lvlText w:val="-"/>
      <w:numFmt w:val="bullet"/>
      <w:start w:val="1"/>
    </w:lvl>
  </w:abstractNum>
  <w:abstractNum w:abstractNumId="25">
    <w:nsid w:val="53584BCB"/>
    <w:multiLevelType w:val="hybridMultilevel"/>
    <w:lvl w:ilvl="0">
      <w:lvlJc w:val="left"/>
      <w:lvlText w:val="%1"/>
      <w:numFmt w:val="lowerLetter"/>
      <w:start w:val="1"/>
    </w:lvl>
    <w:lvl w:ilvl="1">
      <w:lvlJc w:val="left"/>
      <w:lvlText w:val="(%2)"/>
      <w:numFmt w:val="lowerRoman"/>
      <w:start w:val="1"/>
    </w:lvl>
  </w:abstractNum>
  <w:abstractNum w:abstractNumId="26">
    <w:nsid w:val="415E286C"/>
    <w:multiLevelType w:val="hybridMultilevel"/>
    <w:lvl w:ilvl="0">
      <w:lvlJc w:val="left"/>
      <w:lvlText w:val="(%1)"/>
      <w:numFmt w:val="lowerLetter"/>
      <w:start w:val="3"/>
    </w:lvl>
    <w:lvl w:ilvl="1">
      <w:lvlJc w:val="left"/>
      <w:lvlText w:val="%2"/>
      <w:numFmt w:val="lowerRoman"/>
      <w:start w:val="1"/>
    </w:lvl>
  </w:abstractNum>
  <w:abstractNum w:abstractNumId="27">
    <w:nsid w:val="7C58FD05"/>
    <w:multiLevelType w:val="hybridMultilevel"/>
    <w:lvl w:ilvl="0">
      <w:lvlJc w:val="left"/>
      <w:lvlText w:val="(%1)"/>
      <w:numFmt w:val="lowerLetter"/>
      <w:start w:val="1"/>
    </w:lvl>
  </w:abstractNum>
  <w:abstractNum w:abstractNumId="28">
    <w:nsid w:val="23D86AAC"/>
    <w:multiLevelType w:val="hybridMultilevel"/>
    <w:lvl w:ilvl="0">
      <w:lvlJc w:val="left"/>
      <w:lvlText w:val="(%1)"/>
      <w:numFmt w:val="lowerLetter"/>
      <w:start w:val="2"/>
    </w:lvl>
  </w:abstractNum>
  <w:abstractNum w:abstractNumId="29">
    <w:nsid w:val="45E6D486"/>
    <w:multiLevelType w:val="hybridMultilevel"/>
    <w:lvl w:ilvl="0">
      <w:lvlJc w:val="left"/>
      <w:lvlText w:val="(%1)"/>
      <w:numFmt w:val="lowerLetter"/>
      <w:start w:val="1"/>
    </w:lvl>
    <w:lvl w:ilvl="1">
      <w:lvlJc w:val="left"/>
      <w:lvlText w:val="-"/>
      <w:numFmt w:val="bullet"/>
      <w:start w:val="1"/>
    </w:lvl>
  </w:abstractNum>
  <w:abstractNum w:abstractNumId="30">
    <w:nsid w:val="5C10FE21"/>
    <w:multiLevelType w:val="hybridMultilevel"/>
    <w:lvl w:ilvl="0">
      <w:lvlJc w:val="left"/>
      <w:lvlText w:val="(%1)"/>
      <w:numFmt w:val="lowerLetter"/>
      <w:start w:val="2"/>
    </w:lvl>
  </w:abstractNum>
  <w:abstractNum w:abstractNumId="31">
    <w:nsid w:val="E7FFA2B"/>
    <w:multiLevelType w:val="hybridMultilevel"/>
    <w:lvl w:ilvl="0">
      <w:lvlJc w:val="left"/>
      <w:lvlText w:val="(%1)"/>
      <w:numFmt w:val="lowerLetter"/>
      <w:start w:val="1"/>
    </w:lvl>
  </w:abstractNum>
  <w:abstractNum w:abstractNumId="32">
    <w:nsid w:val="3C5991AA"/>
    <w:multiLevelType w:val="hybridMultilevel"/>
    <w:lvl w:ilvl="0">
      <w:lvlJc w:val="left"/>
      <w:lvlText w:val="(%1)"/>
      <w:numFmt w:val="lowerLetter"/>
      <w:start w:val="2"/>
    </w:lvl>
    <w:lvl w:ilvl="1">
      <w:lvlJc w:val="left"/>
      <w:lvlText w:val="-"/>
      <w:numFmt w:val="bullet"/>
      <w:start w:val="1"/>
    </w:lvl>
  </w:abstractNum>
  <w:abstractNum w:abstractNumId="33">
    <w:nsid w:val="4BD8591A"/>
    <w:multiLevelType w:val="hybridMultilevel"/>
    <w:lvl w:ilvl="0">
      <w:lvlJc w:val="left"/>
      <w:lvlText w:val="(%1)"/>
      <w:numFmt w:val="lowerLetter"/>
      <w:start w:val="1"/>
    </w:lvl>
    <w:lvl w:ilvl="1">
      <w:lvlJc w:val="left"/>
      <w:lvlText w:val="-"/>
      <w:numFmt w:val="bullet"/>
      <w:start w:val="1"/>
    </w:lvl>
  </w:abstractNum>
  <w:abstractNum w:abstractNumId="34">
    <w:nsid w:val="78DF6A55"/>
    <w:multiLevelType w:val="hybridMultilevel"/>
    <w:lvl w:ilvl="0">
      <w:lvlJc w:val="left"/>
      <w:lvlText w:val="(%1)"/>
      <w:numFmt w:val="decimal"/>
      <w:start w:val="2"/>
    </w:lvl>
  </w:abstractNum>
  <w:abstractNum w:abstractNumId="35">
    <w:nsid w:val="39B7AAA2"/>
    <w:multiLevelType w:val="hybridMultilevel"/>
    <w:lvl w:ilvl="0">
      <w:lvlJc w:val="left"/>
      <w:lvlText w:val="(%1)"/>
      <w:numFmt w:val="lowerLetter"/>
      <w:start w:val="1"/>
    </w:lvl>
    <w:lvl w:ilvl="1">
      <w:lvlJc w:val="left"/>
      <w:lvlText w:val="-"/>
      <w:numFmt w:val="bullet"/>
      <w:start w:val="1"/>
    </w:lvl>
  </w:abstractNum>
  <w:abstractNum w:abstractNumId="36">
    <w:nsid w:val="2B0D8DBE"/>
    <w:multiLevelType w:val="hybridMultilevel"/>
    <w:lvl w:ilvl="0">
      <w:lvlJc w:val="left"/>
      <w:lvlText w:val="(%1)"/>
      <w:numFmt w:val="lowerLetter"/>
      <w:start w:val="2"/>
    </w:lvl>
  </w:abstractNum>
  <w:abstractNum w:abstractNumId="37">
    <w:nsid w:val="6C80EC70"/>
    <w:multiLevelType w:val="hybridMultilevel"/>
    <w:lvl w:ilvl="0">
      <w:lvlJc w:val="left"/>
      <w:lvlText w:val="(%1)"/>
      <w:numFmt w:val="lowerRoman"/>
      <w:start w:val="1"/>
    </w:lvl>
  </w:abstractNum>
  <w:abstractNum w:abstractNumId="38">
    <w:nsid w:val="379E21B5"/>
    <w:multiLevelType w:val="hybridMultilevel"/>
    <w:lvl w:ilvl="0">
      <w:lvlJc w:val="left"/>
      <w:lvlText w:val="(%1)"/>
      <w:numFmt w:val="lowerLetter"/>
      <w:start w:val="1"/>
    </w:lvl>
    <w:lvl w:ilvl="1">
      <w:lvlJc w:val="left"/>
      <w:lvlText w:val="-"/>
      <w:numFmt w:val="bullet"/>
      <w:start w:val="1"/>
    </w:lvl>
  </w:abstractNum>
  <w:abstractNum w:abstractNumId="39">
    <w:nsid w:val="69E373"/>
    <w:multiLevelType w:val="hybridMultilevel"/>
    <w:lvl w:ilvl="0">
      <w:lvlJc w:val="left"/>
      <w:lvlText w:val="(%1)"/>
      <w:numFmt w:val="lowerLetter"/>
      <w:start w:val="1"/>
    </w:lvl>
  </w:abstractNum>
  <w:abstractNum w:abstractNumId="40">
    <w:nsid w:val="2C27173B"/>
    <w:multiLevelType w:val="hybridMultilevel"/>
    <w:lvl w:ilvl="0">
      <w:lvlJc w:val="left"/>
      <w:lvlText w:val="(%1)"/>
      <w:numFmt w:val="lowerLetter"/>
      <w:start w:val="1"/>
    </w:lvl>
  </w:abstractNum>
  <w:abstractNum w:abstractNumId="41">
    <w:nsid w:val="4C9B0904"/>
    <w:multiLevelType w:val="hybridMultilevel"/>
    <w:lvl w:ilvl="0">
      <w:lvlJc w:val="left"/>
      <w:lvlText w:val="(%1)"/>
      <w:numFmt w:val="lowerRoman"/>
      <w:start w:val="4"/>
    </w:lvl>
    <w:lvl w:ilvl="1">
      <w:lvlJc w:val="left"/>
      <w:lvlText w:val="-"/>
      <w:numFmt w:val="bullet"/>
      <w:start w:val="1"/>
    </w:lvl>
  </w:abstractNum>
  <w:abstractNum w:abstractNumId="42">
    <w:nsid w:val="6AA7B75C"/>
    <w:multiLevelType w:val="hybridMultilevel"/>
    <w:lvl w:ilvl="0">
      <w:lvlJc w:val="left"/>
      <w:lvlText w:val="(%1)"/>
      <w:numFmt w:val="lowerLetter"/>
      <w:start w:val="1"/>
    </w:lvl>
    <w:lvl w:ilvl="1">
      <w:lvlJc w:val="left"/>
      <w:lvlText w:val="-"/>
      <w:numFmt w:val="bullet"/>
      <w:start w:val="1"/>
    </w:lvl>
  </w:abstractNum>
  <w:abstractNum w:abstractNumId="43">
    <w:nsid w:val="1DF029D3"/>
    <w:multiLevelType w:val="hybridMultilevel"/>
    <w:lvl w:ilvl="0">
      <w:lvlJc w:val="left"/>
      <w:lvlText w:val="(%1)"/>
      <w:numFmt w:val="lowerLetter"/>
      <w:start w:val="4"/>
    </w:lvl>
  </w:abstractNum>
  <w:abstractNum w:abstractNumId="44">
    <w:nsid w:val="5675FF36"/>
    <w:multiLevelType w:val="hybridMultilevel"/>
    <w:lvl w:ilvl="0">
      <w:lvlJc w:val="left"/>
      <w:lvlText w:val="(%1)"/>
      <w:numFmt w:val="lowerRoman"/>
      <w:start w:val="2"/>
    </w:lvl>
  </w:abstractNum>
  <w:abstractNum w:abstractNumId="45">
    <w:nsid w:val="3DD15094"/>
    <w:multiLevelType w:val="hybridMultilevel"/>
    <w:lvl w:ilvl="0">
      <w:lvlJc w:val="left"/>
      <w:lvlText w:val="(%1)"/>
      <w:numFmt w:val="lowerRoman"/>
      <w:start w:val="1"/>
    </w:lvl>
  </w:abstractNum>
  <w:abstractNum w:abstractNumId="46">
    <w:nsid w:val="3DB012B3"/>
    <w:multiLevelType w:val="hybridMultilevel"/>
    <w:lvl w:ilvl="0">
      <w:lvlJc w:val="left"/>
      <w:lvlText w:val="(%1)"/>
      <w:numFmt w:val="lowerRoman"/>
      <w:start w:val="1"/>
    </w:lvl>
  </w:abstractNum>
  <w:abstractNum w:abstractNumId="47">
    <w:nsid w:val="2708C9AF"/>
    <w:multiLevelType w:val="hybridMultilevel"/>
    <w:lvl w:ilvl="0">
      <w:lvlJc w:val="left"/>
      <w:lvlText w:val="(%1)"/>
      <w:numFmt w:val="lowerRoman"/>
      <w:start w:val="1"/>
    </w:lvl>
  </w:abstractNum>
  <w:abstractNum w:abstractNumId="48">
    <w:nsid w:val="5B25ACE2"/>
    <w:multiLevelType w:val="hybridMultilevel"/>
    <w:lvl w:ilvl="0">
      <w:lvlJc w:val="left"/>
      <w:lvlText w:val="(%1)"/>
      <w:numFmt w:val="lowerLetter"/>
      <w:start w:val="12"/>
    </w:lvl>
    <w:lvl w:ilvl="1">
      <w:lvlJc w:val="left"/>
      <w:lvlText w:val="-"/>
      <w:numFmt w:val="bullet"/>
      <w:start w:val="1"/>
    </w:lvl>
  </w:abstractNum>
  <w:abstractNum w:abstractNumId="49">
    <w:nsid w:val="175DFCF0"/>
    <w:multiLevelType w:val="hybridMultilevel"/>
    <w:lvl w:ilvl="0">
      <w:lvlJc w:val="left"/>
      <w:lvlText w:val="(%1)"/>
      <w:numFmt w:val="decimal"/>
      <w:start w:val="12"/>
    </w:lvl>
  </w:abstractNum>
  <w:abstractNum w:abstractNumId="50">
    <w:nsid w:val="4F97E3E4"/>
    <w:multiLevelType w:val="hybridMultilevel"/>
    <w:lvl w:ilvl="0">
      <w:lvlJc w:val="left"/>
      <w:lvlText w:val="(%1)"/>
      <w:numFmt w:val="lowerLetter"/>
      <w:start w:val="1"/>
    </w:lvl>
  </w:abstractNum>
  <w:abstractNum w:abstractNumId="51">
    <w:nsid w:val="53B0A9E"/>
    <w:multiLevelType w:val="hybridMultilevel"/>
    <w:lvl w:ilvl="0">
      <w:lvlJc w:val="left"/>
      <w:lvlText w:val="(%1)"/>
      <w:numFmt w:val="lowerLetter"/>
      <w:start w:val="6"/>
    </w:lvl>
  </w:abstractNum>
  <w:abstractNum w:abstractNumId="52">
    <w:nsid w:val="34FD6B4F"/>
    <w:multiLevelType w:val="hybridMultilevel"/>
    <w:lvl w:ilvl="0">
      <w:lvlJc w:val="left"/>
      <w:lvlText w:val="(%1)"/>
      <w:numFmt w:val="lowerLetter"/>
      <w:start w:val="1"/>
    </w:lvl>
    <w:lvl w:ilvl="1">
      <w:lvlJc w:val="left"/>
      <w:lvlText w:val="-"/>
      <w:numFmt w:val="bullet"/>
      <w:start w:val="1"/>
    </w:lvl>
  </w:abstractNum>
  <w:abstractNum w:abstractNumId="53">
    <w:nsid w:val="5915FF32"/>
    <w:multiLevelType w:val="hybridMultilevel"/>
    <w:lvl w:ilvl="0">
      <w:lvlJc w:val="left"/>
      <w:lvlText w:val="(%1)"/>
      <w:numFmt w:val="lowerLetter"/>
      <w:start w:val="1"/>
    </w:lvl>
    <w:lvl w:ilvl="1">
      <w:lvlJc w:val="left"/>
      <w:lvlText w:val="-"/>
      <w:numFmt w:val="bullet"/>
      <w:start w:val="1"/>
    </w:lvl>
  </w:abstractNum>
  <w:abstractNum w:abstractNumId="54">
    <w:nsid w:val="56438D15"/>
    <w:multiLevelType w:val="hybridMultilevel"/>
    <w:lvl w:ilvl="0">
      <w:lvlJc w:val="left"/>
      <w:lvlText w:val="%1"/>
      <w:numFmt w:val="lowerLetter"/>
      <w:start w:val="1"/>
    </w:lvl>
    <w:lvl w:ilvl="1">
      <w:lvlJc w:val="left"/>
      <w:lvlText w:val="(%2)"/>
      <w:numFmt w:val="lowerLetter"/>
      <w:start w:val="3"/>
    </w:lvl>
  </w:abstractNum>
  <w:abstractNum w:abstractNumId="55">
    <w:nsid w:val="519E3149"/>
    <w:multiLevelType w:val="hybridMultilevel"/>
    <w:lvl w:ilvl="0">
      <w:lvlJc w:val="left"/>
      <w:lvlText w:val="(%1)"/>
      <w:numFmt w:val="lowerLetter"/>
      <w:start w:val="3"/>
    </w:lvl>
    <w:lvl w:ilvl="1">
      <w:lvlJc w:val="left"/>
      <w:lvlText w:val="%2"/>
      <w:numFmt w:val="lowerLetter"/>
      <w:start w:val="1"/>
    </w:lvl>
  </w:abstractNum>
  <w:abstractNum w:abstractNumId="56">
    <w:nsid w:val="2C6E4AFD"/>
    <w:multiLevelType w:val="hybridMultilevel"/>
    <w:lvl w:ilvl="0">
      <w:lvlJc w:val="left"/>
      <w:lvlText w:val="(%1)"/>
      <w:numFmt w:val="lowerLetter"/>
      <w:start w:val="1"/>
    </w:lvl>
    <w:lvl w:ilvl="1">
      <w:lvlJc w:val="left"/>
      <w:lvlText w:val="-"/>
      <w:numFmt w:val="bullet"/>
      <w:start w:val="1"/>
    </w:lvl>
  </w:abstractNum>
  <w:abstractNum w:abstractNumId="57">
    <w:nsid w:val="17A1B582"/>
    <w:multiLevelType w:val="hybridMultilevel"/>
    <w:lvl w:ilvl="0">
      <w:lvlJc w:val="left"/>
      <w:lvlText w:val="(%1)"/>
      <w:numFmt w:val="lowerLetter"/>
      <w:start w:val="2"/>
    </w:lvl>
    <w:lvl w:ilvl="1">
      <w:lvlJc w:val="left"/>
      <w:lvlText w:val="-"/>
      <w:numFmt w:val="bullet"/>
      <w:start w:val="1"/>
    </w:lvl>
  </w:abstractNum>
  <w:abstractNum w:abstractNumId="58">
    <w:nsid w:val="4DF72E4E"/>
    <w:multiLevelType w:val="hybridMultilevel"/>
    <w:lvl w:ilvl="0">
      <w:lvlJc w:val="left"/>
      <w:lvlText w:val="(%1)"/>
      <w:numFmt w:val="lowerLetter"/>
      <w:start w:val="1"/>
    </w:lvl>
    <w:lvl w:ilvl="1">
      <w:lvlJc w:val="left"/>
      <w:lvlText w:val="-"/>
      <w:numFmt w:val="bullet"/>
      <w:start w:val="1"/>
    </w:lvl>
  </w:abstractNum>
  <w:abstractNum w:abstractNumId="59">
    <w:nsid w:val="5046B5A9"/>
    <w:multiLevelType w:val="hybridMultilevel"/>
    <w:lvl w:ilvl="0">
      <w:lvlJc w:val="left"/>
      <w:lvlText w:val="(%1)"/>
      <w:numFmt w:val="lowerLetter"/>
      <w:start w:val="3"/>
    </w:lvl>
  </w:abstractNum>
  <w:abstractNum w:abstractNumId="60">
    <w:nsid w:val="5D888A08"/>
    <w:multiLevelType w:val="hybridMultilevel"/>
    <w:lvl w:ilvl="0">
      <w:lvlJc w:val="left"/>
      <w:lvlText w:val="(%1)"/>
      <w:numFmt w:val="lowerLetter"/>
      <w:start w:val="1"/>
    </w:lvl>
    <w:lvl w:ilvl="1">
      <w:lvlJc w:val="left"/>
      <w:lvlText w:val="-"/>
      <w:numFmt w:val="bullet"/>
      <w:start w:val="1"/>
    </w:lvl>
  </w:abstractNum>
  <w:abstractNum w:abstractNumId="61">
    <w:nsid w:val="2A082C70"/>
    <w:multiLevelType w:val="hybridMultilevel"/>
    <w:lvl w:ilvl="0">
      <w:lvlJc w:val="left"/>
      <w:lvlText w:val="(%1)"/>
      <w:numFmt w:val="lowerLetter"/>
      <w:start w:val="5"/>
    </w:lvl>
    <w:lvl w:ilvl="1">
      <w:lvlJc w:val="left"/>
      <w:lvlText w:val="-"/>
      <w:numFmt w:val="bullet"/>
      <w:start w:val="1"/>
    </w:lvl>
  </w:abstractNum>
  <w:abstractNum w:abstractNumId="62">
    <w:nsid w:val="5EC6AFD4"/>
    <w:multiLevelType w:val="hybridMultilevel"/>
    <w:lvl w:ilvl="0">
      <w:lvlJc w:val="left"/>
      <w:lvlText w:val="(%1)"/>
      <w:numFmt w:val="lowerLetter"/>
      <w:start w:val="16"/>
    </w:lvl>
  </w:abstractNum>
  <w:abstractNum w:abstractNumId="63">
    <w:nsid w:val="19E21BB2"/>
    <w:multiLevelType w:val="hybridMultilevel"/>
    <w:lvl w:ilvl="0">
      <w:lvlJc w:val="left"/>
      <w:lvlText w:val="(%1)"/>
      <w:numFmt w:val="lowerRoman"/>
      <w:start w:val="2"/>
    </w:lvl>
  </w:abstractNum>
  <w:abstractNum w:abstractNumId="64">
    <w:nsid w:val="75E0858A"/>
    <w:multiLevelType w:val="hybridMultilevel"/>
    <w:lvl w:ilvl="0">
      <w:lvlJc w:val="left"/>
      <w:lvlText w:val="(%1)"/>
      <w:numFmt w:val="lowerLetter"/>
      <w:start w:val="1"/>
    </w:lvl>
    <w:lvl w:ilvl="1">
      <w:lvlJc w:val="left"/>
      <w:lvlText w:val="-"/>
      <w:numFmt w:val="bullet"/>
      <w:start w:val="1"/>
    </w:lvl>
  </w:abstractNum>
  <w:abstractNum w:abstractNumId="65">
    <w:nsid w:val="57A61A29"/>
    <w:multiLevelType w:val="hybridMultilevel"/>
    <w:lvl w:ilvl="0">
      <w:lvlJc w:val="left"/>
      <w:lvlText w:val="%1"/>
      <w:numFmt w:val="decimal"/>
      <w:start w:val="1"/>
    </w:lvl>
    <w:lvl w:ilvl="1">
      <w:lvlJc w:val="left"/>
      <w:lvlText w:val="(%2)"/>
      <w:numFmt w:val="lowerLetter"/>
      <w:start w:val="4"/>
    </w:lvl>
  </w:abstractNum>
  <w:abstractNum w:abstractNumId="66">
    <w:nsid w:val="5399C654"/>
    <w:multiLevelType w:val="hybridMultilevel"/>
    <w:lvl w:ilvl="0">
      <w:lvlJc w:val="left"/>
      <w:lvlText w:val="(%1)"/>
      <w:numFmt w:val="decimal"/>
      <w:start w:val="90"/>
    </w:lvl>
    <w:lvl w:ilvl="1">
      <w:lvlJc w:val="left"/>
      <w:lvlText w:val="%2"/>
      <w:numFmt w:val="lowerLetter"/>
      <w:start w:val="1"/>
    </w:lvl>
  </w:abstractNum>
  <w:abstractNum w:abstractNumId="67">
    <w:nsid w:val="20EE1348"/>
    <w:multiLevelType w:val="hybridMultilevel"/>
    <w:lvl w:ilvl="0">
      <w:lvlJc w:val="left"/>
      <w:lvlText w:val="(%1)"/>
      <w:numFmt w:val="lowerLetter"/>
      <w:start w:val="5"/>
    </w:lvl>
    <w:lvl w:ilvl="1">
      <w:lvlJc w:val="left"/>
      <w:lvlText w:val="-"/>
      <w:numFmt w:val="bullet"/>
      <w:start w:val="1"/>
    </w:lvl>
  </w:abstractNum>
  <w:abstractNum w:abstractNumId="68">
    <w:nsid w:val="4427069A"/>
    <w:multiLevelType w:val="hybridMultilevel"/>
    <w:lvl w:ilvl="0">
      <w:lvlJc w:val="left"/>
      <w:lvlText w:val="(%1)"/>
      <w:numFmt w:val="lowerLetter"/>
      <w:start w:val="35"/>
    </w:lvl>
    <w:lvl w:ilvl="1">
      <w:lvlJc w:val="left"/>
      <w:lvlText w:val="(%2)"/>
      <w:numFmt w:val="lowerLetter"/>
      <w:start w:val="12"/>
    </w:lvl>
  </w:abstractNum>
  <w:abstractNum w:abstractNumId="69">
    <w:nsid w:val="B37E80A"/>
    <w:multiLevelType w:val="hybridMultilevel"/>
    <w:lvl w:ilvl="0">
      <w:lvlJc w:val="left"/>
      <w:lvlText w:val="(%1)"/>
      <w:numFmt w:val="lowerLetter"/>
      <w:start w:val="1"/>
    </w:lvl>
    <w:lvl w:ilvl="1">
      <w:lvlJc w:val="left"/>
      <w:lvlText w:val="-"/>
      <w:numFmt w:val="bullet"/>
      <w:start w:val="1"/>
    </w:lvl>
  </w:abstractNum>
  <w:abstractNum w:abstractNumId="70">
    <w:nsid w:val="2157F6BC"/>
    <w:multiLevelType w:val="hybridMultilevel"/>
    <w:lvl w:ilvl="0">
      <w:lvlJc w:val="left"/>
      <w:lvlText w:val="(%1)"/>
      <w:numFmt w:val="lowerLetter"/>
      <w:start w:val="10"/>
    </w:lvl>
  </w:abstractNum>
  <w:abstractNum w:abstractNumId="71">
    <w:nsid w:val="704E1DD5"/>
    <w:multiLevelType w:val="hybridMultilevel"/>
    <w:lvl w:ilvl="0">
      <w:lvlJc w:val="left"/>
      <w:lvlText w:val="(%1)"/>
      <w:numFmt w:val="lowerLetter"/>
      <w:start w:val="1"/>
    </w:lvl>
    <w:lvl w:ilvl="1">
      <w:lvlJc w:val="left"/>
      <w:lvlText w:val="-"/>
      <w:numFmt w:val="bullet"/>
      <w:start w:val="1"/>
    </w:lvl>
  </w:abstractNum>
  <w:abstractNum w:abstractNumId="72">
    <w:nsid w:val="57D2F10E"/>
    <w:multiLevelType w:val="hybridMultilevel"/>
    <w:lvl w:ilvl="0">
      <w:lvlJc w:val="left"/>
      <w:lvlText w:val="(%1)"/>
      <w:numFmt w:val="lowerLetter"/>
      <w:start w:val="5"/>
    </w:lvl>
  </w:abstractNum>
  <w:abstractNum w:abstractNumId="73">
    <w:nsid w:val="BFFAE18"/>
    <w:multiLevelType w:val="hybridMultilevel"/>
    <w:lvl w:ilvl="0">
      <w:lvlJc w:val="left"/>
      <w:lvlText w:val="(%1)"/>
      <w:numFmt w:val="lowerLetter"/>
      <w:start w:val="1"/>
    </w:lvl>
    <w:lvl w:ilvl="1">
      <w:lvlJc w:val="left"/>
      <w:lvlText w:val="-"/>
      <w:numFmt w:val="bullet"/>
      <w:start w:val="1"/>
    </w:lvl>
  </w:abstractNum>
  <w:abstractNum w:abstractNumId="74">
    <w:nsid w:val="E3E47A8"/>
    <w:multiLevelType w:val="hybridMultilevel"/>
    <w:lvl w:ilvl="0">
      <w:lvlJc w:val="left"/>
      <w:lvlText w:val="%1"/>
      <w:numFmt w:val="decimal"/>
      <w:start w:val="1"/>
    </w:lvl>
    <w:lvl w:ilvl="1">
      <w:lvlJc w:val="left"/>
      <w:lvlText w:val="(%2)"/>
      <w:numFmt w:val="lowerLetter"/>
      <w:start w:val="2"/>
    </w:lvl>
  </w:abstractNum>
  <w:abstractNum w:abstractNumId="75">
    <w:nsid w:val="2E48F044"/>
    <w:multiLevelType w:val="hybridMultilevel"/>
    <w:lvl w:ilvl="0">
      <w:lvlJc w:val="left"/>
      <w:lvlText w:val="(%1)"/>
      <w:numFmt w:val="decimal"/>
      <w:start w:val="4"/>
    </w:lvl>
    <w:lvl w:ilvl="1">
      <w:lvlJc w:val="left"/>
      <w:lvlText w:val="%2"/>
      <w:numFmt w:val="lowerLetter"/>
      <w:start w:val="1"/>
    </w:lvl>
  </w:abstractNum>
  <w:abstractNum w:abstractNumId="76">
    <w:nsid w:val="49D0FEAC"/>
    <w:multiLevelType w:val="hybridMultilevel"/>
    <w:lvl w:ilvl="0">
      <w:lvlJc w:val="left"/>
      <w:lvlText w:val="(%1)"/>
      <w:numFmt w:val="lowerLetter"/>
      <w:start w:val="1"/>
    </w:lvl>
  </w:abstractNum>
  <w:abstractNum w:abstractNumId="77">
    <w:nsid w:val="4BEE5A5B"/>
    <w:multiLevelType w:val="hybridMultilevel"/>
    <w:lvl w:ilvl="0">
      <w:lvlJc w:val="left"/>
      <w:lvlText w:val="(%1)"/>
      <w:numFmt w:val="lowerLetter"/>
      <w:start w:val="3"/>
    </w:lvl>
  </w:abstractNum>
  <w:abstractNum w:abstractNumId="78">
    <w:nsid w:val="5551B9F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9">
    <w:nsid w:val="24F6AB8E"/>
    <w:multiLevelType w:val="hybridMultilevel"/>
    <w:lvl w:ilvl="0">
      <w:lvlJc w:val="left"/>
      <w:lvlText w:val="(%1)"/>
      <w:numFmt w:val="lowerLetter"/>
      <w:start w:val="4"/>
    </w:lvl>
    <w:lvl w:ilvl="1">
      <w:lvlJc w:val="left"/>
      <w:lvlText w:val="(%2)"/>
      <w:numFmt w:val="lowerLetter"/>
      <w:start w:val="2"/>
    </w:lvl>
    <w:lvl w:ilvl="2">
      <w:lvlJc w:val="left"/>
      <w:lvlText w:val="-"/>
      <w:numFmt w:val="bullet"/>
      <w:start w:val="1"/>
    </w:lvl>
  </w:abstractNum>
  <w:abstractNum w:abstractNumId="80">
    <w:nsid w:val="634C574C"/>
    <w:multiLevelType w:val="hybridMultilevel"/>
    <w:lvl w:ilvl="0">
      <w:lvlJc w:val="left"/>
      <w:lvlText w:val="(%1)"/>
      <w:numFmt w:val="lowerLetter"/>
      <w:start w:val="3"/>
    </w:lvl>
  </w:abstractNum>
  <w:abstractNum w:abstractNumId="81">
    <w:nsid w:val="24E99DD7"/>
    <w:multiLevelType w:val="hybridMultilevel"/>
    <w:lvl w:ilvl="0">
      <w:lvlJc w:val="left"/>
      <w:lvlText w:val="(%1)"/>
      <w:numFmt w:val="lowerLetter"/>
      <w:start w:val="1"/>
    </w:lvl>
    <w:lvl w:ilvl="1">
      <w:lvlJc w:val="left"/>
      <w:lvlText w:val="-"/>
      <w:numFmt w:val="bullet"/>
      <w:start w:val="1"/>
    </w:lvl>
  </w:abstractNum>
  <w:abstractNum w:abstractNumId="82">
    <w:nsid w:val="2A31B62D"/>
    <w:multiLevelType w:val="hybridMultilevel"/>
    <w:lvl w:ilvl="0">
      <w:lvlJc w:val="left"/>
      <w:lvlText w:val="(%1)"/>
      <w:numFmt w:val="lowerLetter"/>
      <w:start w:val="2"/>
    </w:lvl>
    <w:lvl w:ilvl="1">
      <w:lvlJc w:val="left"/>
      <w:lvlText w:val="-"/>
      <w:numFmt w:val="bullet"/>
      <w:start w:val="1"/>
    </w:lvl>
  </w:abstractNum>
  <w:abstractNum w:abstractNumId="83">
    <w:nsid w:val="1849C29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4">
    <w:nsid w:val="7DFF9D09"/>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85">
    <w:nsid w:val="754342"/>
    <w:multiLevelType w:val="hybridMultilevel"/>
    <w:lvl w:ilvl="0">
      <w:lvlJc w:val="left"/>
      <w:lvlText w:val="(%1)"/>
      <w:numFmt w:val="lowerLetter"/>
      <w:start w:val="5"/>
    </w:lvl>
  </w:abstractNum>
  <w:abstractNum w:abstractNumId="86">
    <w:nsid w:val="69E7F3E5"/>
    <w:multiLevelType w:val="hybridMultilevel"/>
    <w:lvl w:ilvl="0">
      <w:lvlJc w:val="left"/>
      <w:lvlText w:val="(%1)"/>
      <w:numFmt w:val="lowerLetter"/>
      <w:start w:val="1"/>
    </w:lvl>
    <w:lvl w:ilvl="1">
      <w:lvlJc w:val="left"/>
      <w:lvlText w:val="-"/>
      <w:numFmt w:val="bullet"/>
      <w:start w:val="1"/>
    </w:lvl>
  </w:abstractNum>
  <w:abstractNum w:abstractNumId="87">
    <w:nsid w:val="2A6DE806"/>
    <w:multiLevelType w:val="hybridMultilevel"/>
    <w:lvl w:ilvl="0">
      <w:lvlJc w:val="left"/>
      <w:lvlText w:val="(%1)"/>
      <w:numFmt w:val="lowerLetter"/>
      <w:start w:val="4"/>
    </w:lvl>
    <w:lvl w:ilvl="1">
      <w:lvlJc w:val="left"/>
      <w:lvlText w:val="-"/>
      <w:numFmt w:val="bullet"/>
      <w:start w:val="1"/>
    </w:lvl>
  </w:abstractNum>
  <w:abstractNum w:abstractNumId="88">
    <w:nsid w:val="1816F8C4"/>
    <w:multiLevelType w:val="hybridMultilevel"/>
    <w:lvl w:ilvl="0">
      <w:lvlJc w:val="left"/>
      <w:lvlText w:val="%1"/>
      <w:numFmt w:val="lowerLetter"/>
      <w:start w:val="1"/>
    </w:lvl>
    <w:lvl w:ilvl="1">
      <w:lvlJc w:val="left"/>
      <w:lvlText w:val="(%2)"/>
      <w:numFmt w:val="lowerLetter"/>
      <w:start w:val="9"/>
    </w:lvl>
  </w:abstractNum>
  <w:abstractNum w:abstractNumId="89">
    <w:nsid w:val="37DF2233"/>
    <w:multiLevelType w:val="hybridMultilevel"/>
    <w:lvl w:ilvl="0">
      <w:lvlJc w:val="left"/>
      <w:lvlText w:val="(%1)"/>
      <w:numFmt w:val="lowerLetter"/>
      <w:start w:val="61"/>
    </w:lvl>
    <w:lvl w:ilvl="1">
      <w:lvlJc w:val="left"/>
      <w:lvlText w:val="(%2)"/>
      <w:numFmt w:val="lowerLetter"/>
      <w:start w:val="11"/>
    </w:lvl>
  </w:abstractNum>
  <w:abstractNum w:abstractNumId="90">
    <w:nsid w:val="7AB49DAF"/>
    <w:multiLevelType w:val="hybridMultilevel"/>
    <w:lvl w:ilvl="0">
      <w:lvlJc w:val="left"/>
      <w:lvlText w:val="(%1)"/>
      <w:numFmt w:val="lowerLetter"/>
      <w:start w:val="1"/>
    </w:lvl>
    <w:lvl w:ilvl="1">
      <w:lvlJc w:val="left"/>
      <w:lvlText w:val="(%2)"/>
      <w:numFmt w:val="lowerRoman"/>
      <w:start w:val="1"/>
    </w:lvl>
  </w:abstractNum>
  <w:abstractNum w:abstractNumId="91">
    <w:nsid w:val="759F82CD"/>
    <w:multiLevelType w:val="hybridMultilevel"/>
    <w:lvl w:ilvl="0">
      <w:lvlJc w:val="left"/>
      <w:lvlText w:val="(%1)"/>
      <w:numFmt w:val="lowerLetter"/>
      <w:start w:val="2"/>
    </w:lvl>
  </w:abstractNum>
  <w:abstractNum w:abstractNumId="92">
    <w:nsid w:val="61E74EA3"/>
    <w:multiLevelType w:val="hybridMultilevel"/>
    <w:lvl w:ilvl="0">
      <w:lvlJc w:val="left"/>
      <w:lvlText w:val="(%1)"/>
      <w:numFmt w:val="lowerLetter"/>
      <w:start w:val="1"/>
    </w:lvl>
    <w:lvl w:ilvl="1">
      <w:lvlJc w:val="left"/>
      <w:lvlText w:val="-"/>
      <w:numFmt w:val="bullet"/>
      <w:start w:val="1"/>
    </w:lvl>
  </w:abstractNum>
  <w:abstractNum w:abstractNumId="93">
    <w:nsid w:val="597B4D84"/>
    <w:multiLevelType w:val="hybridMultilevel"/>
    <w:lvl w:ilvl="0">
      <w:lvlJc w:val="left"/>
      <w:lvlText w:val="(%1)"/>
      <w:numFmt w:val="lowerLetter"/>
      <w:start w:val="5"/>
    </w:lvl>
  </w:abstractNum>
  <w:abstractNum w:abstractNumId="94">
    <w:nsid w:val="F819E7F"/>
    <w:multiLevelType w:val="hybridMultilevel"/>
    <w:lvl w:ilvl="0">
      <w:lvlJc w:val="left"/>
      <w:lvlText w:val="(%1)"/>
      <w:numFmt w:val="lowerLetter"/>
      <w:start w:val="1"/>
    </w:lvl>
    <w:lvl w:ilvl="1">
      <w:lvlJc w:val="left"/>
      <w:lvlText w:val="-"/>
      <w:numFmt w:val="bullet"/>
      <w:start w:val="1"/>
    </w:lvl>
  </w:abstractNum>
  <w:abstractNum w:abstractNumId="95">
    <w:nsid w:val="57C7D42D"/>
    <w:multiLevelType w:val="hybridMultilevel"/>
    <w:lvl w:ilvl="0">
      <w:lvlJc w:val="left"/>
      <w:lvlText w:val="(%1)"/>
      <w:numFmt w:val="lowerRoman"/>
      <w:start w:val="1"/>
    </w:lvl>
  </w:abstractNum>
  <w:abstractNum w:abstractNumId="96">
    <w:nsid w:val="312167AD"/>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97">
    <w:nsid w:val="631B64D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8">
    <w:nsid w:val="78B5E776"/>
    <w:multiLevelType w:val="hybridMultilevel"/>
    <w:lvl w:ilvl="0">
      <w:lvlJc w:val="left"/>
      <w:lvlText w:val="(%1)"/>
      <w:numFmt w:val="lowerLetter"/>
      <w:start w:val="1"/>
    </w:lvl>
    <w:lvl w:ilvl="1">
      <w:lvlJc w:val="left"/>
      <w:lvlText w:val="-"/>
      <w:numFmt w:val="bullet"/>
      <w:start w:val="1"/>
    </w:lvl>
  </w:abstractNum>
  <w:abstractNum w:abstractNumId="99">
    <w:nsid w:val="75486E47"/>
    <w:multiLevelType w:val="hybridMultilevel"/>
    <w:lvl w:ilvl="0">
      <w:lvlJc w:val="left"/>
      <w:lvlText w:val="(%1)"/>
      <w:numFmt w:val="lowerLetter"/>
      <w:start w:val="2"/>
    </w:lvl>
  </w:abstractNum>
  <w:abstractNum w:abstractNumId="100">
    <w:nsid w:val="6E534CDE"/>
    <w:multiLevelType w:val="hybridMultilevel"/>
    <w:lvl w:ilvl="0">
      <w:lvlJc w:val="left"/>
      <w:lvlText w:val="(%1)"/>
      <w:numFmt w:val="lowerLetter"/>
      <w:start w:val="1"/>
    </w:lvl>
  </w:abstractNum>
  <w:abstractNum w:abstractNumId="101">
    <w:nsid w:val="1A0DDE32"/>
    <w:multiLevelType w:val="hybridMultilevel"/>
    <w:lvl w:ilvl="0">
      <w:lvlJc w:val="left"/>
      <w:lvlText w:val="(%1)"/>
      <w:numFmt w:val="lowerLetter"/>
      <w:start w:val="1"/>
    </w:lvl>
    <w:lvl w:ilvl="1">
      <w:lvlJc w:val="left"/>
      <w:lvlText w:val="-"/>
      <w:numFmt w:val="bullet"/>
      <w:start w:val="1"/>
    </w:lvl>
  </w:abstractNum>
  <w:abstractNum w:abstractNumId="102">
    <w:nsid w:val="65968C1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03">
    <w:nsid w:val="46263DEC"/>
    <w:multiLevelType w:val="hybridMultilevel"/>
    <w:lvl w:ilvl="0">
      <w:lvlJc w:val="left"/>
      <w:lvlText w:val="(%1)"/>
      <w:numFmt w:val="decimal"/>
      <w:start w:val="4"/>
    </w:lvl>
    <w:lvl w:ilvl="1">
      <w:lvlJc w:val="left"/>
      <w:lvlText w:val="(%2)"/>
      <w:numFmt w:val="lowerLetter"/>
      <w:start w:val="3"/>
    </w:lvl>
    <w:lvl w:ilvl="2">
      <w:lvlJc w:val="left"/>
      <w:lvlText w:val="-"/>
      <w:numFmt w:val="bullet"/>
      <w:start w:val="1"/>
    </w:lvl>
  </w:abstractNum>
  <w:abstractNum w:abstractNumId="104">
    <w:nsid w:val="260D8C4A"/>
    <w:multiLevelType w:val="hybridMultilevel"/>
    <w:lvl w:ilvl="0">
      <w:lvlJc w:val="left"/>
      <w:lvlText w:val="(%1)"/>
      <w:numFmt w:val="lowerLetter"/>
      <w:start w:val="4"/>
    </w:lvl>
    <w:lvl w:ilvl="1">
      <w:lvlJc w:val="left"/>
      <w:lvlText w:val="-"/>
      <w:numFmt w:val="bullet"/>
      <w:start w:val="1"/>
    </w:lvl>
  </w:abstractNum>
  <w:abstractNum w:abstractNumId="105">
    <w:nsid w:val="73D4D3C4"/>
    <w:multiLevelType w:val="hybridMultilevel"/>
    <w:lvl w:ilvl="0">
      <w:lvlJc w:val="left"/>
      <w:lvlText w:val="(%1)"/>
      <w:numFmt w:val="lowerLetter"/>
      <w:start w:val="7"/>
    </w:lvl>
  </w:abstractNum>
  <w:abstractNum w:abstractNumId="106">
    <w:nsid w:val="746F2E3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7">
    <w:nsid w:val="6FDE8AF6"/>
    <w:multiLevelType w:val="hybridMultilevel"/>
    <w:lvl w:ilvl="0">
      <w:lvlJc w:val="left"/>
      <w:lvlText w:val="(%1)"/>
      <w:numFmt w:val="lowerRoman"/>
      <w:start w:val="2"/>
    </w:lvl>
    <w:lvl w:ilvl="1">
      <w:lvlJc w:val="left"/>
      <w:lvlText w:val="(%2)"/>
      <w:numFmt w:val="upperLetter"/>
      <w:start w:val="1"/>
    </w:lvl>
  </w:abstractNum>
  <w:abstractNum w:abstractNumId="108">
    <w:nsid w:val="3FC32E20"/>
    <w:multiLevelType w:val="hybridMultilevel"/>
    <w:lvl w:ilvl="0">
      <w:lvlJc w:val="left"/>
      <w:lvlText w:val="(%1)"/>
      <w:numFmt w:val="lowerLetter"/>
      <w:start w:val="2"/>
    </w:lvl>
  </w:abstractNum>
  <w:abstractNum w:abstractNumId="109">
    <w:nsid w:val="49C0E823"/>
    <w:multiLevelType w:val="hybridMultilevel"/>
    <w:lvl w:ilvl="0">
      <w:lvlJc w:val="left"/>
      <w:lvlText w:val="(%1)"/>
      <w:numFmt w:val="lowerRoman"/>
      <w:start w:val="1"/>
    </w:lvl>
  </w:abstractNum>
  <w:abstractNum w:abstractNumId="110">
    <w:nsid w:val="14D53685"/>
    <w:multiLevelType w:val="hybridMultilevel"/>
    <w:lvl w:ilvl="0">
      <w:lvlJc w:val="left"/>
      <w:lvlText w:val="(%1)"/>
      <w:numFmt w:val="lowerLetter"/>
      <w:start w:val="1"/>
    </w:lvl>
    <w:lvl w:ilvl="1">
      <w:lvlJc w:val="left"/>
      <w:lvlText w:val="-"/>
      <w:numFmt w:val="bullet"/>
      <w:start w:val="1"/>
    </w:lvl>
  </w:abstractNum>
  <w:abstractNum w:abstractNumId="111">
    <w:nsid w:val="230F856C"/>
    <w:multiLevelType w:val="hybridMultilevel"/>
    <w:lvl w:ilvl="0">
      <w:lvlJc w:val="left"/>
      <w:lvlText w:val="(%1)"/>
      <w:numFmt w:val="lowerLetter"/>
      <w:start w:val="2"/>
    </w:lvl>
  </w:abstractNum>
  <w:abstractNum w:abstractNumId="112">
    <w:nsid w:val="6EAA85FB"/>
    <w:multiLevelType w:val="hybridMultilevel"/>
    <w:lvl w:ilvl="0">
      <w:lvlJc w:val="left"/>
      <w:lvlText w:val="(%1)"/>
      <w:numFmt w:val="lowerRoman"/>
      <w:start w:val="1"/>
    </w:lvl>
    <w:lvl w:ilvl="1">
      <w:lvlJc w:val="left"/>
      <w:lvlText w:val="-"/>
      <w:numFmt w:val="bullet"/>
      <w:start w:val="1"/>
    </w:lvl>
  </w:abstractNum>
  <w:abstractNum w:abstractNumId="113">
    <w:nsid w:val="3F06ECB2"/>
    <w:multiLevelType w:val="hybridMultilevel"/>
    <w:lvl w:ilvl="0">
      <w:lvlJc w:val="left"/>
      <w:lvlText w:val="(%1)"/>
      <w:numFmt w:val="lowerLetter"/>
      <w:start w:val="1"/>
    </w:lvl>
    <w:lvl w:ilvl="1">
      <w:lvlJc w:val="left"/>
      <w:lvlText w:val="(%2)"/>
      <w:numFmt w:val="lowerRoman"/>
      <w:start w:val="1"/>
    </w:lvl>
  </w:abstractNum>
  <w:abstractNum w:abstractNumId="114">
    <w:nsid w:val="3B594807"/>
    <w:multiLevelType w:val="hybridMultilevel"/>
    <w:lvl w:ilvl="0">
      <w:lvlJc w:val="left"/>
      <w:lvlText w:val="(%1)"/>
      <w:numFmt w:val="lowerLetter"/>
      <w:start w:val="1"/>
    </w:lvl>
  </w:abstractNum>
  <w:abstractNum w:abstractNumId="115">
    <w:nsid w:val="6CAA2304"/>
    <w:multiLevelType w:val="hybridMultilevel"/>
    <w:lvl w:ilvl="0">
      <w:lvlJc w:val="left"/>
      <w:lvlText w:val="(%1)"/>
      <w:numFmt w:val="lowerRoman"/>
      <w:start w:val="1"/>
    </w:lvl>
  </w:abstractNum>
  <w:abstractNum w:abstractNumId="116">
    <w:nsid w:val="3F7C2FF4"/>
    <w:multiLevelType w:val="hybridMultilevel"/>
    <w:lvl w:ilvl="0">
      <w:lvlJc w:val="left"/>
      <w:lvlText w:val="(%1)"/>
      <w:numFmt w:val="lowerLetter"/>
      <w:start w:val="1"/>
    </w:lvl>
  </w:abstractNum>
  <w:abstractNum w:abstractNumId="117">
    <w:nsid w:val="25413BEC"/>
    <w:multiLevelType w:val="hybridMultilevel"/>
    <w:lvl w:ilvl="0">
      <w:lvlJc w:val="left"/>
      <w:lvlText w:val="(%1)"/>
      <w:numFmt w:val="lowerRoman"/>
      <w:start w:val="1"/>
    </w:lvl>
  </w:abstractNum>
  <w:abstractNum w:abstractNumId="118">
    <w:nsid w:val="17180B0B"/>
    <w:multiLevelType w:val="hybridMultilevel"/>
    <w:lvl w:ilvl="0">
      <w:lvlJc w:val="left"/>
      <w:lvlText w:val="(%1)"/>
      <w:numFmt w:val="lowerLetter"/>
      <w:start w:val="3"/>
    </w:lvl>
    <w:lvl w:ilvl="1">
      <w:lvlJc w:val="left"/>
      <w:lvlText w:val="-"/>
      <w:numFmt w:val="bullet"/>
      <w:start w:val="1"/>
    </w:lvl>
  </w:abstractNum>
  <w:abstractNum w:abstractNumId="119">
    <w:nsid w:val="579328B9"/>
    <w:multiLevelType w:val="hybridMultilevel"/>
    <w:lvl w:ilvl="0">
      <w:lvlJc w:val="left"/>
      <w:lvlText w:val="(%1)"/>
      <w:numFmt w:val="lowerLetter"/>
      <w:start w:val="4"/>
    </w:lvl>
    <w:lvl w:ilvl="1">
      <w:lvlJc w:val="left"/>
      <w:lvlText w:val="-"/>
      <w:numFmt w:val="bullet"/>
      <w:start w:val="1"/>
    </w:lvl>
  </w:abstractNum>
  <w:abstractNum w:abstractNumId="120">
    <w:nsid w:val="5D205E20"/>
    <w:multiLevelType w:val="hybridMultilevel"/>
    <w:lvl w:ilvl="0">
      <w:lvlJc w:val="left"/>
      <w:lvlText w:val="(%1)"/>
      <w:numFmt w:val="lowerLetter"/>
      <w:start w:val="6"/>
    </w:lvl>
  </w:abstractNum>
  <w:abstractNum w:abstractNumId="121">
    <w:nsid w:val="11CCA8BA"/>
    <w:multiLevelType w:val="hybridMultilevel"/>
    <w:lvl w:ilvl="0">
      <w:lvlJc w:val="left"/>
      <w:lvlText w:val="(%1)"/>
      <w:numFmt w:val="lowerLetter"/>
      <w:start w:val="1"/>
    </w:lvl>
    <w:lvl w:ilvl="1">
      <w:lvlJc w:val="left"/>
      <w:lvlText w:val="-"/>
      <w:numFmt w:val="bullet"/>
      <w:start w:val="1"/>
    </w:lvl>
  </w:abstractNum>
  <w:abstractNum w:abstractNumId="122">
    <w:nsid w:val="4D32AB86"/>
    <w:multiLevelType w:val="hybridMultilevel"/>
    <w:lvl w:ilvl="0">
      <w:lvlJc w:val="left"/>
      <w:lvlText w:val="(%1)"/>
      <w:numFmt w:val="lowerLetter"/>
      <w:start w:val="4"/>
    </w:lvl>
  </w:abstractNum>
  <w:abstractNum w:abstractNumId="123">
    <w:nsid w:val="3F07ACC3"/>
    <w:multiLevelType w:val="hybridMultilevel"/>
    <w:lvl w:ilvl="0">
      <w:lvlJc w:val="left"/>
      <w:lvlText w:val="%1."/>
      <w:numFmt w:val="decimal"/>
      <w:start w:val="1"/>
    </w:lvl>
  </w:abstractNum>
  <w:abstractNum w:abstractNumId="124">
    <w:nsid w:val="6B47F63E"/>
    <w:multiLevelType w:val="hybridMultilevel"/>
    <w:lvl w:ilvl="0">
      <w:lvlJc w:val="left"/>
      <w:lvlText w:val="(%1)"/>
      <w:numFmt w:val="lowerLetter"/>
      <w:start w:val="1"/>
    </w:lvl>
  </w:abstractNum>
  <w:abstractNum w:abstractNumId="125">
    <w:nsid w:val="5CB44A05"/>
    <w:multiLevelType w:val="hybridMultilevel"/>
    <w:lvl w:ilvl="0">
      <w:lvlJc w:val="left"/>
      <w:lvlText w:val="(%1)"/>
      <w:numFmt w:val="lowerLetter"/>
      <w:start w:val="2"/>
    </w:lvl>
  </w:abstractNum>
  <w:abstractNum w:abstractNumId="126">
    <w:nsid w:val="16CF80F1"/>
    <w:multiLevelType w:val="hybridMultilevel"/>
    <w:lvl w:ilvl="0">
      <w:lvlJc w:val="left"/>
      <w:lvlText w:val="%1."/>
      <w:numFmt w:val="decimal"/>
      <w:start w:val="1"/>
    </w:lvl>
  </w:abstractNum>
  <w:abstractNum w:abstractNumId="127">
    <w:nsid w:val="1C695DEC"/>
    <w:multiLevelType w:val="hybridMultilevel"/>
    <w:lvl w:ilvl="0">
      <w:lvlJc w:val="left"/>
      <w:lvlText w:val="%1."/>
      <w:numFmt w:val="decimal"/>
      <w:start w:val="4"/>
    </w:lvl>
  </w:abstractNum>
  <w:abstractNum w:abstractNumId="128">
    <w:nsid w:val="3FCFAED9"/>
    <w:multiLevelType w:val="hybridMultilevel"/>
    <w:lvl w:ilvl="0">
      <w:lvlJc w:val="left"/>
      <w:lvlText w:val="(%1)"/>
      <w:numFmt w:val="lowerLetter"/>
      <w:start w:val="1"/>
    </w:lvl>
  </w:abstractNum>
  <w:abstractNum w:abstractNumId="129">
    <w:nsid w:val="F856867"/>
    <w:multiLevelType w:val="hybridMultilevel"/>
    <w:lvl w:ilvl="0">
      <w:lvlJc w:val="left"/>
      <w:lvlText w:val="(%1)"/>
      <w:numFmt w:val="lowerLetter"/>
      <w:start w:val="2"/>
    </w:lvl>
  </w:abstractNum>
  <w:abstractNum w:abstractNumId="130">
    <w:nsid w:val="11B1CC33"/>
    <w:multiLevelType w:val="hybridMultilevel"/>
    <w:lvl w:ilvl="0">
      <w:lvlJc w:val="left"/>
      <w:lvlText w:val="%1."/>
      <w:numFmt w:val="decimal"/>
      <w:start w:val="1"/>
    </w:lvl>
  </w:abstractNum>
  <w:abstractNum w:abstractNumId="131">
    <w:nsid w:val="2E22FBB7"/>
    <w:multiLevelType w:val="hybridMultilevel"/>
    <w:lvl w:ilvl="0">
      <w:lvlJc w:val="left"/>
      <w:lvlText w:val="%1."/>
      <w:numFmt w:val="upperLetter"/>
      <w:start w:val="1"/>
    </w:lvl>
  </w:abstractNum>
  <w:abstractNum w:abstractNumId="132">
    <w:nsid w:val="29934699"/>
    <w:multiLevelType w:val="hybridMultilevel"/>
    <w:lvl w:ilvl="0">
      <w:lvlJc w:val="left"/>
      <w:lvlText w:val="%1."/>
      <w:numFmt w:val="upperLetter"/>
      <w:start w:val="2"/>
    </w:lvl>
  </w:abstractNum>
  <w:abstractNum w:abstractNumId="133">
    <w:nsid w:val="77485850"/>
    <w:multiLevelType w:val="hybridMultilevel"/>
    <w:lvl w:ilvl="0">
      <w:lvlJc w:val="left"/>
      <w:lvlText w:val="%1."/>
      <w:numFmt w:val="upperLetter"/>
      <w:start w:val="3"/>
    </w:lvl>
  </w:abstractNum>
  <w:abstractNum w:abstractNumId="134">
    <w:nsid w:val="744939A3"/>
    <w:multiLevelType w:val="hybridMultilevel"/>
    <w:lvl w:ilvl="0">
      <w:lvlJc w:val="left"/>
      <w:lvlText w:val="%1."/>
      <w:numFmt w:val="upperLetter"/>
      <w:start w:val="4"/>
    </w:lvl>
  </w:abstractNum>
  <w:abstractNum w:abstractNumId="135">
    <w:nsid w:val="4FA0D2E3"/>
    <w:multiLevelType w:val="hybridMultilevel"/>
    <w:lvl w:ilvl="0">
      <w:lvlJc w:val="left"/>
      <w:lvlText w:val="%1."/>
      <w:numFmt w:val="upperLetter"/>
      <w:start w:val="5"/>
    </w:lvl>
  </w:abstractNum>
  <w:abstractNum w:abstractNumId="136">
    <w:nsid w:val="6B1D2C14"/>
    <w:multiLevelType w:val="hybridMultilevel"/>
    <w:lvl w:ilvl="0">
      <w:lvlJc w:val="left"/>
      <w:lvlText w:val="%1."/>
      <w:numFmt w:val="upperLetter"/>
      <w:start w:val="6"/>
    </w:lvl>
  </w:abstractNum>
  <w:abstractNum w:abstractNumId="137">
    <w:nsid w:val="68B867D3"/>
    <w:multiLevelType w:val="hybridMultilevel"/>
    <w:lvl w:ilvl="0">
      <w:lvlJc w:val="left"/>
      <w:lvlText w:val="%1."/>
      <w:numFmt w:val="decimal"/>
      <w:start w:val="5"/>
    </w:lvl>
  </w:abstractNum>
  <w:abstractNum w:abstractNumId="138">
    <w:nsid w:val="3F7F5DD9"/>
    <w:multiLevelType w:val="hybridMultilevel"/>
    <w:lvl w:ilvl="0">
      <w:lvlJc w:val="left"/>
      <w:lvlText w:val="%1."/>
      <w:numFmt w:val="upperLetter"/>
      <w:start w:val="7"/>
    </w:lvl>
  </w:abstractNum>
  <w:abstractNum w:abstractNumId="139">
    <w:nsid w:val="2AE05A34"/>
    <w:multiLevelType w:val="hybridMultilevel"/>
    <w:lvl w:ilvl="0">
      <w:lvlJc w:val="left"/>
      <w:lvlText w:val="%1."/>
      <w:numFmt w:val="decimal"/>
      <w:start w:val="4"/>
    </w:lvl>
  </w:abstractNum>
  <w:abstractNum w:abstractNumId="140">
    <w:nsid w:val="32794FF7"/>
    <w:multiLevelType w:val="hybridMultilevel"/>
    <w:lvl w:ilvl="0">
      <w:lvlJc w:val="left"/>
      <w:lvlText w:val="%1."/>
      <w:numFmt w:val="decimal"/>
      <w:start w:val="4"/>
    </w:lvl>
  </w:abstractNum>
  <w:abstractNum w:abstractNumId="141">
    <w:nsid w:val="5454945E"/>
    <w:multiLevelType w:val="hybridMultilevel"/>
    <w:lvl w:ilvl="0">
      <w:lvlJc w:val="left"/>
      <w:lvlText w:val="%1."/>
      <w:numFmt w:val="upperLetter"/>
      <w:start w:val="9"/>
    </w:lvl>
  </w:abstractNum>
  <w:abstractNum w:abstractNumId="142">
    <w:nsid w:val="4DEFDFA0"/>
    <w:multiLevelType w:val="hybridMultilevel"/>
    <w:lvl w:ilvl="0">
      <w:lvlJc w:val="left"/>
      <w:lvlText w:val="%1."/>
      <w:numFmt w:val="upperLetter"/>
      <w:start w:val="10"/>
    </w:lvl>
  </w:abstractNum>
  <w:abstractNum w:abstractNumId="143">
    <w:nsid w:val="2123D5F2"/>
    <w:multiLevelType w:val="hybridMultilevel"/>
    <w:lvl w:ilvl="0">
      <w:lvlJc w:val="left"/>
      <w:lvlText w:val="%1."/>
      <w:numFmt w:val="decimal"/>
      <w:start w:val="4"/>
    </w:lvl>
  </w:abstractNum>
  <w:abstractNum w:abstractNumId="144">
    <w:nsid w:val="135B8110"/>
    <w:multiLevelType w:val="hybridMultilevel"/>
    <w:lvl w:ilvl="0">
      <w:lvlJc w:val="left"/>
      <w:lvlText w:val="%1."/>
      <w:numFmt w:val="decimal"/>
      <w:start w:val="4"/>
    </w:lvl>
  </w:abstractNum>
  <w:abstractNum w:abstractNumId="145">
    <w:nsid w:val="94927A8"/>
    <w:multiLevelType w:val="hybridMultilevel"/>
    <w:lvl w:ilvl="0">
      <w:lvlJc w:val="left"/>
      <w:lvlText w:val="%1."/>
      <w:numFmt w:val="decimal"/>
      <w:start w:val="6"/>
    </w:lvl>
  </w:abstractNum>
  <w:abstractNum w:abstractNumId="146">
    <w:nsid w:val="DCDF8F6"/>
    <w:multiLevelType w:val="hybridMultilevel"/>
    <w:lvl w:ilvl="0">
      <w:lvlJc w:val="left"/>
      <w:lvlText w:val="%1."/>
      <w:numFmt w:val="upperLetter"/>
      <w:start w:val="9"/>
    </w:lvl>
  </w:abstractNum>
  <w:abstractNum w:abstractNumId="147">
    <w:nsid w:val="52D7B105"/>
    <w:multiLevelType w:val="hybridMultilevel"/>
    <w:lvl w:ilvl="0">
      <w:lvlJc w:val="left"/>
      <w:lvlText w:val="%1."/>
      <w:numFmt w:val="decimal"/>
      <w:start w:val="2"/>
    </w:lvl>
  </w:abstractNum>
  <w:abstractNum w:abstractNumId="148">
    <w:nsid w:val="2E8A6394"/>
    <w:multiLevelType w:val="hybridMultilevel"/>
    <w:lvl w:ilvl="0">
      <w:lvlJc w:val="left"/>
      <w:lvlText w:val="%1."/>
      <w:numFmt w:val="upperLetter"/>
      <w:start w:val="10"/>
    </w:lvl>
  </w:abstractNum>
  <w:abstractNum w:abstractNumId="149">
    <w:nsid w:val="24E60401"/>
    <w:multiLevelType w:val="hybridMultilevel"/>
    <w:lvl w:ilvl="0">
      <w:lvlJc w:val="left"/>
      <w:lvlText w:val="%1."/>
      <w:numFmt w:val="decimal"/>
      <w:start w:val="2"/>
    </w:lvl>
  </w:abstractNum>
  <w:abstractNum w:abstractNumId="150">
    <w:nsid w:val="2A6AD9BE"/>
    <w:multiLevelType w:val="hybridMultilevel"/>
    <w:lvl w:ilvl="0">
      <w:lvlJc w:val="left"/>
      <w:lvlText w:val="%1."/>
      <w:numFmt w:val="upperLetter"/>
      <w:start w:val="11"/>
    </w:lvl>
  </w:abstractNum>
  <w:abstractNum w:abstractNumId="151">
    <w:nsid w:val="BAAC1B4"/>
    <w:multiLevelType w:val="hybridMultilevel"/>
    <w:lvl w:ilvl="0">
      <w:lvlJc w:val="left"/>
      <w:lvlText w:val="%1."/>
      <w:numFmt w:val="decimal"/>
      <w:start w:val="1"/>
    </w:lvl>
  </w:abstractNum>
  <w:abstractNum w:abstractNumId="152">
    <w:nsid w:val="36B2ACBC"/>
    <w:multiLevelType w:val="hybridMultilevel"/>
    <w:lvl w:ilvl="0">
      <w:lvlJc w:val="left"/>
      <w:lvlText w:val="%1."/>
      <w:numFmt w:val="upperLetter"/>
      <w:start w:val="12"/>
    </w:lvl>
    <w:lvl w:ilvl="1">
      <w:lvlJc w:val="left"/>
      <w:lvlText w:val="%2."/>
      <w:numFmt w:val="decimal"/>
      <w:start w:val="1"/>
    </w:lvl>
  </w:abstractNum>
  <w:abstractNum w:abstractNumId="153">
    <w:nsid w:val="779D8544"/>
    <w:multiLevelType w:val="hybridMultilevel"/>
    <w:lvl w:ilvl="0">
      <w:lvlJc w:val="left"/>
      <w:lvlText w:val="%1."/>
      <w:numFmt w:val="upperLetter"/>
      <w:start w:val="13"/>
    </w:lvl>
  </w:abstractNum>
  <w:abstractNum w:abstractNumId="154">
    <w:nsid w:val="4AB26E78"/>
    <w:multiLevelType w:val="hybridMultilevel"/>
    <w:lvl w:ilvl="0">
      <w:lvlJc w:val="left"/>
      <w:lvlText w:val="%1."/>
      <w:numFmt w:val="decimal"/>
      <w:start w:val="2"/>
    </w:lvl>
  </w:abstractNum>
  <w:abstractNum w:abstractNumId="155">
    <w:nsid w:val="21FAA2FA"/>
    <w:multiLevelType w:val="hybridMultilevel"/>
    <w:lvl w:ilvl="0">
      <w:lvlJc w:val="left"/>
      <w:lvlText w:val="1"/>
      <w:numFmt w:val="bullet"/>
      <w:start w:val="1"/>
    </w:lvl>
  </w:abstractNum>
  <w:abstractNum w:abstractNumId="156">
    <w:nsid w:val="5451CF49"/>
    <w:multiLevelType w:val="hybridMultilevel"/>
    <w:lvl w:ilvl="0">
      <w:lvlJc w:val="left"/>
      <w:lvlText w:val="2"/>
      <w:numFmt w:val="bullet"/>
      <w:start w:val="1"/>
    </w:lvl>
  </w:abstractNum>
  <w:abstractNum w:abstractNumId="157">
    <w:nsid w:val="6181EF69"/>
    <w:multiLevelType w:val="hybridMultilevel"/>
    <w:lvl w:ilvl="0">
      <w:lvlJc w:val="left"/>
      <w:lvlText w:val="%1."/>
      <w:numFmt w:val="upperLetter"/>
      <w:start w:val="14"/>
    </w:lvl>
  </w:abstractNum>
  <w:abstractNum w:abstractNumId="158">
    <w:nsid w:val="3E6400E6"/>
    <w:multiLevelType w:val="hybridMultilevel"/>
    <w:lvl w:ilvl="0">
      <w:lvlJc w:val="left"/>
      <w:lvlText w:val="%1."/>
      <w:numFmt w:val="decimal"/>
      <w:start w:val="2"/>
    </w:lvl>
  </w:abstractNum>
  <w:abstractNum w:abstractNumId="159">
    <w:nsid w:val="14217E23"/>
    <w:multiLevelType w:val="hybridMultilevel"/>
    <w:lvl w:ilvl="0">
      <w:lvlJc w:val="left"/>
      <w:lvlText w:val="%1."/>
      <w:numFmt w:val="upperLetter"/>
      <w:start w:val="15"/>
    </w:lvl>
  </w:abstractNum>
  <w:abstractNum w:abstractNumId="160">
    <w:nsid w:val="710757D0"/>
    <w:multiLevelType w:val="hybridMultilevel"/>
    <w:lvl w:ilvl="0">
      <w:lvlJc w:val="left"/>
      <w:lvlText w:val="%1."/>
      <w:numFmt w:val="decimal"/>
      <w:start w:val="2"/>
    </w:lvl>
  </w:abstractNum>
  <w:abstractNum w:abstractNumId="161">
    <w:nsid w:val="5015CD1A"/>
    <w:multiLevelType w:val="hybridMultilevel"/>
    <w:lvl w:ilvl="0">
      <w:lvlJc w:val="left"/>
      <w:lvlText w:val="3"/>
      <w:numFmt w:val="bullet"/>
      <w:start w:val="1"/>
    </w:lvl>
  </w:abstractNum>
  <w:abstractNum w:abstractNumId="162">
    <w:nsid w:val="424479DA"/>
    <w:multiLevelType w:val="hybridMultilevel"/>
    <w:lvl w:ilvl="0">
      <w:lvlJc w:val="left"/>
      <w:lvlText w:val="4"/>
      <w:numFmt w:val="bullet"/>
      <w:start w:val="1"/>
    </w:lvl>
  </w:abstractNum>
  <w:abstractNum w:abstractNumId="163">
    <w:nsid w:val="1A9A9E69"/>
    <w:multiLevelType w:val="hybridMultilevel"/>
    <w:lvl w:ilvl="0">
      <w:lvlJc w:val="left"/>
      <w:lvlText w:val="%1"/>
      <w:numFmt w:val="lowerRoman"/>
      <w:start w:val="1"/>
    </w:lvl>
    <w:lvl w:ilvl="1">
      <w:lvlJc w:val="left"/>
      <w:lvlText w:val="%2."/>
      <w:numFmt w:val="decimal"/>
      <w:start w:val="1"/>
    </w:lvl>
  </w:abstractNum>
  <w:abstractNum w:abstractNumId="164">
    <w:nsid w:val="475E256A"/>
    <w:multiLevelType w:val="hybridMultilevel"/>
    <w:lvl w:ilvl="0">
      <w:lvlJc w:val="left"/>
      <w:lvlText w:val="(%1)"/>
      <w:numFmt w:val="lowerRoman"/>
      <w:start w:val="2"/>
    </w:lvl>
    <w:lvl w:ilvl="1">
      <w:lvlJc w:val="left"/>
      <w:lvlText w:val="%2"/>
      <w:numFmt w:val="decimal"/>
      <w:start w:val="1"/>
    </w:lvl>
  </w:abstractNum>
  <w:abstractNum w:abstractNumId="165">
    <w:nsid w:val="368DB37E"/>
    <w:multiLevelType w:val="hybridMultilevel"/>
    <w:lvl w:ilvl="0">
      <w:lvlJc w:val="left"/>
      <w:lvlText w:val="%1."/>
      <w:numFmt w:val="decimal"/>
      <w:start w:val="4"/>
    </w:lvl>
  </w:abstractNum>
  <w:abstractNum w:abstractNumId="166">
    <w:nsid w:val="6A3B714C"/>
    <w:multiLevelType w:val="hybridMultilevel"/>
    <w:lvl w:ilvl="0">
      <w:lvlJc w:val="left"/>
      <w:lvlText w:val="%1."/>
      <w:numFmt w:val="decimal"/>
      <w:start w:val="8"/>
    </w:lvl>
  </w:abstractNum>
  <w:abstractNum w:abstractNumId="167">
    <w:nsid w:val="327B517E"/>
    <w:multiLevelType w:val="hybridMultilevel"/>
    <w:lvl w:ilvl="0">
      <w:lvlJc w:val="left"/>
      <w:lvlText w:val="%1."/>
      <w:numFmt w:val="decimal"/>
      <w:start w:val="1"/>
    </w:lvl>
  </w:abstractNum>
  <w:abstractNum w:abstractNumId="168">
    <w:nsid w:val="1F461B51"/>
    <w:multiLevelType w:val="hybridMultilevel"/>
    <w:lvl w:ilvl="0">
      <w:lvlJc w:val="left"/>
      <w:lvlText w:val="%1."/>
      <w:numFmt w:val="decimal"/>
      <w:start w:val="3"/>
    </w:lvl>
  </w:abstractNum>
  <w:abstractNum w:abstractNumId="169">
    <w:nsid w:val="29BACF25"/>
    <w:multiLevelType w:val="hybridMultilevel"/>
    <w:lvl w:ilvl="0">
      <w:lvlJc w:val="left"/>
      <w:lvlText w:val="*"/>
      <w:numFmt w:val="bullet"/>
      <w:start w:val="1"/>
    </w:lvl>
  </w:abstractNum>
  <w:abstractNum w:abstractNumId="170">
    <w:nsid w:val="5D5BABB3"/>
    <w:multiLevelType w:val="hybridMultilevel"/>
    <w:lvl w:ilvl="0">
      <w:lvlJc w:val="left"/>
      <w:lvlText w:val="%1."/>
      <w:numFmt w:val="upperLetter"/>
      <w:start w:val="1"/>
    </w:lvl>
  </w:abstractNum>
  <w:abstractNum w:abstractNumId="171">
    <w:nsid w:val="51BF6B48"/>
    <w:multiLevelType w:val="hybridMultilevel"/>
    <w:lvl w:ilvl="0">
      <w:lvlJc w:val="left"/>
      <w:lvlText w:val="%1."/>
      <w:numFmt w:val="decimal"/>
      <w:start w:val="5"/>
    </w:lvl>
  </w:abstractNum>
  <w:abstractNum w:abstractNumId="172">
    <w:nsid w:val="7E0F6384"/>
    <w:multiLevelType w:val="hybridMultilevel"/>
    <w:lvl w:ilvl="0">
      <w:lvlJc w:val="left"/>
      <w:lvlText w:val="%1."/>
      <w:numFmt w:val="upperLetter"/>
      <w:start w:val="1"/>
    </w:lvl>
  </w:abstractNum>
  <w:abstractNum w:abstractNumId="173">
    <w:nsid w:val="2B4B8B53"/>
    <w:multiLevelType w:val="hybridMultilevel"/>
    <w:lvl w:ilvl="0">
      <w:lvlJc w:val="left"/>
      <w:lvlText w:val="%1."/>
      <w:numFmt w:val="decimal"/>
      <w:start w:val="2"/>
    </w:lvl>
  </w:abstractNum>
  <w:abstractNum w:abstractNumId="174">
    <w:nsid w:val="72E3413A"/>
    <w:multiLevelType w:val="hybridMultilevel"/>
    <w:lvl w:ilvl="0">
      <w:lvlJc w:val="left"/>
      <w:lvlText w:val="%1."/>
      <w:numFmt w:val="upperLetter"/>
      <w:start w:val="2"/>
    </w:lvl>
  </w:abstractNum>
  <w:abstractNum w:abstractNumId="175">
    <w:nsid w:val="116AE494"/>
    <w:multiLevelType w:val="hybridMultilevel"/>
    <w:lvl w:ilvl="0">
      <w:lvlJc w:val="left"/>
      <w:lvlText w:val="%1."/>
      <w:numFmt w:val="decimal"/>
      <w:start w:val="2"/>
    </w:lvl>
  </w:abstractNum>
  <w:abstractNum w:abstractNumId="176">
    <w:nsid w:val="3494B2FB"/>
    <w:multiLevelType w:val="hybridMultilevel"/>
    <w:lvl w:ilvl="0">
      <w:lvlJc w:val="left"/>
      <w:lvlText w:val="%1."/>
      <w:numFmt w:val="upperLetter"/>
      <w:start w:val="3"/>
    </w:lvl>
  </w:abstractNum>
  <w:abstractNum w:abstractNumId="177">
    <w:nsid w:val="B13A31"/>
    <w:multiLevelType w:val="hybridMultilevel"/>
    <w:lvl w:ilvl="0">
      <w:lvlJc w:val="left"/>
      <w:lvlText w:val="%1."/>
      <w:numFmt w:val="decimal"/>
      <w:start w:val="1"/>
    </w:lvl>
  </w:abstractNum>
  <w:abstractNum w:abstractNumId="178">
    <w:nsid w:val="64429599"/>
    <w:multiLevelType w:val="hybridMultilevel"/>
    <w:lvl w:ilvl="0">
      <w:lvlJc w:val="left"/>
      <w:lvlText w:val="%1."/>
      <w:numFmt w:val="decimal"/>
      <w:start w:val="2"/>
    </w:lvl>
  </w:abstractNum>
  <w:abstractNum w:abstractNumId="179">
    <w:nsid w:val="631F1690"/>
    <w:multiLevelType w:val="hybridMultilevel"/>
    <w:lvl w:ilvl="0">
      <w:lvlJc w:val="left"/>
      <w:lvlText w:val="%1."/>
      <w:numFmt w:val="upperLetter"/>
      <w:start w:val="4"/>
    </w:lvl>
  </w:abstractNum>
  <w:abstractNum w:abstractNumId="180">
    <w:nsid w:val="25973E32"/>
    <w:multiLevelType w:val="hybridMultilevel"/>
    <w:lvl w:ilvl="0">
      <w:lvlJc w:val="left"/>
      <w:lvlText w:val="%1."/>
      <w:numFmt w:val="decimal"/>
      <w:start w:val="1"/>
    </w:lvl>
  </w:abstractNum>
  <w:abstractNum w:abstractNumId="181">
    <w:nsid w:val="EAD6F57"/>
    <w:multiLevelType w:val="hybridMultilevel"/>
    <w:lvl w:ilvl="0">
      <w:lvlJc w:val="left"/>
      <w:lvlText w:val="%1."/>
      <w:numFmt w:val="upperLetter"/>
      <w:start w:val="5"/>
    </w:lvl>
    <w:lvl w:ilvl="1">
      <w:lvlJc w:val="left"/>
      <w:lvlText w:val="%2."/>
      <w:numFmt w:val="decimal"/>
      <w:start w:val="1"/>
    </w:lvl>
  </w:abstractNum>
  <w:abstractNum w:abstractNumId="182">
    <w:nsid w:val="6EC9D844"/>
    <w:multiLevelType w:val="hybridMultilevel"/>
    <w:lvl w:ilvl="0">
      <w:lvlJc w:val="left"/>
      <w:lvlText w:val="%1."/>
      <w:numFmt w:val="upperLetter"/>
      <w:start w:val="6"/>
    </w:lvl>
  </w:abstractNum>
  <w:abstractNum w:abstractNumId="183">
    <w:nsid w:val="5C49EAEE"/>
    <w:multiLevelType w:val="hybridMultilevel"/>
    <w:lvl w:ilvl="0">
      <w:lvlJc w:val="left"/>
      <w:lvlText w:val="%1."/>
      <w:numFmt w:val="decimal"/>
      <w:start w:val="2"/>
    </w:lvl>
  </w:abstractNum>
  <w:abstractNum w:abstractNumId="184">
    <w:nsid w:val="64AF49B"/>
    <w:multiLevelType w:val="hybridMultilevel"/>
    <w:lvl w:ilvl="0">
      <w:lvlJc w:val="left"/>
      <w:lvlText w:val="%1."/>
      <w:numFmt w:val="upperLetter"/>
      <w:start w:val="7"/>
    </w:lvl>
  </w:abstractNum>
  <w:abstractNum w:abstractNumId="185">
    <w:nsid w:val="397C46BC"/>
    <w:multiLevelType w:val="hybridMultilevel"/>
    <w:lvl w:ilvl="0">
      <w:lvlJc w:val="left"/>
      <w:lvlText w:val="5"/>
      <w:numFmt w:val="bullet"/>
      <w:start w:val="1"/>
    </w:lvl>
  </w:abstractNum>
  <w:abstractNum w:abstractNumId="186">
    <w:nsid w:val="7E448DE9"/>
    <w:multiLevelType w:val="hybridMultilevel"/>
    <w:lvl w:ilvl="0">
      <w:lvlJc w:val="left"/>
      <w:lvlText w:val="6"/>
      <w:numFmt w:val="bullet"/>
      <w:start w:val="1"/>
    </w:lvl>
  </w:abstractNum>
  <w:abstractNum w:abstractNumId="187">
    <w:nsid w:val="5A9CC3E5"/>
    <w:multiLevelType w:val="hybridMultilevel"/>
    <w:lvl w:ilvl="0">
      <w:lvlJc w:val="left"/>
      <w:lvlText w:val="7"/>
      <w:numFmt w:val="bullet"/>
      <w:start w:val="1"/>
    </w:lvl>
  </w:abstractNum>
  <w:abstractNum w:abstractNumId="188">
    <w:nsid w:val="1AFE3625"/>
    <w:multiLevelType w:val="hybridMultilevel"/>
    <w:lvl w:ilvl="0">
      <w:lvlJc w:val="left"/>
      <w:lvlText w:val="%1."/>
      <w:numFmt w:val="decimal"/>
      <w:start w:val="2"/>
    </w:lvl>
  </w:abstractNum>
  <w:abstractNum w:abstractNumId="189">
    <w:nsid w:val="3CA88ECF"/>
    <w:multiLevelType w:val="hybridMultilevel"/>
    <w:lvl w:ilvl="0">
      <w:lvlJc w:val="left"/>
      <w:lvlText w:val="%1."/>
      <w:numFmt w:val="upperLetter"/>
      <w:start w:val="8"/>
    </w:lvl>
  </w:abstractNum>
  <w:abstractNum w:abstractNumId="190">
    <w:nsid w:val="6EBE4208"/>
    <w:multiLevelType w:val="hybridMultilevel"/>
    <w:lvl w:ilvl="0">
      <w:lvlJc w:val="left"/>
      <w:lvlText w:val="%1."/>
      <w:numFmt w:val="decimal"/>
      <w:start w:val="2"/>
    </w:lvl>
  </w:abstractNum>
  <w:abstractNum w:abstractNumId="191">
    <w:nsid w:val="C058DF5"/>
    <w:multiLevelType w:val="hybridMultilevel"/>
    <w:lvl w:ilvl="0">
      <w:lvlJc w:val="left"/>
      <w:lvlText w:val="8"/>
      <w:numFmt w:val="bullet"/>
      <w:start w:val="1"/>
    </w:lvl>
  </w:abstractNum>
  <w:abstractNum w:abstractNumId="192">
    <w:nsid w:val="CBE5BE9"/>
    <w:multiLevelType w:val="hybridMultilevel"/>
    <w:lvl w:ilvl="0">
      <w:lvlJc w:val="left"/>
      <w:lvlText w:val="%1."/>
      <w:numFmt w:val="decimal"/>
      <w:start w:val="1"/>
    </w:lvl>
    <w:lvl w:ilvl="1">
      <w:lvlJc w:val="left"/>
      <w:lvlText w:val="(%2)"/>
      <w:numFmt w:val="lowerLetter"/>
      <w:start w:val="1"/>
    </w:lvl>
  </w:abstractNum>
  <w:abstractNum w:abstractNumId="193">
    <w:nsid w:val="3102BBE2"/>
    <w:multiLevelType w:val="hybridMultilevel"/>
    <w:lvl w:ilvl="0">
      <w:lvlJc w:val="left"/>
      <w:lvlText w:val="%1."/>
      <w:numFmt w:val="decimal"/>
      <w:start w:val="1"/>
    </w:lvl>
    <w:lvl w:ilvl="1">
      <w:lvlJc w:val="left"/>
      <w:lvlText w:val="(%2)"/>
      <w:numFmt w:val="lowerLetter"/>
      <w:start w:val="1"/>
    </w:lvl>
  </w:abstractNum>
  <w:abstractNum w:abstractNumId="194">
    <w:nsid w:val="26A02C5E"/>
    <w:multiLevelType w:val="hybridMultilevel"/>
    <w:lvl w:ilvl="0">
      <w:lvlJc w:val="left"/>
      <w:lvlText w:val="(%1)"/>
      <w:numFmt w:val="decimal"/>
      <w:start w:val="1"/>
    </w:lvl>
  </w:abstractNum>
  <w:abstractNum w:abstractNumId="195">
    <w:nsid w:val="541C81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57" Type="http://schemas.openxmlformats.org/officeDocument/2006/relationships/hyperlink" Target="https://www.sec.gov/Archives/edgar/data/0001786117/000155837019011294/ex-3d1.htm" TargetMode="External"/><Relationship Id="rId58" Type="http://schemas.openxmlformats.org/officeDocument/2006/relationships/hyperlink" Target="https://www.sec.gov/Archives/edgar/data/1786117/000155837021009093/tmb-20210721xex3d1.htm" TargetMode="External"/><Relationship Id="rId59" Type="http://schemas.openxmlformats.org/officeDocument/2006/relationships/hyperlink" Target="https://www.sec.gov/Archives/edgar/data/0001786117/000119312519277917/d793798dex41.htm" TargetMode="External"/><Relationship Id="rId60" Type="http://schemas.openxmlformats.org/officeDocument/2006/relationships/hyperlink" Target="https://www.sec.gov/Archives/edgar/data/1786117/000155837022014891/pine-2022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2022-10-20T15:50:16Z</dcterms:created>
  <dcterms:modified xsi:type="dcterms:W3CDTF">2022-10-20T15:50:16Z</dcterms:modified>
</cp:coreProperties>
</file>