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pine-20251231x10k.htm"/>
        <w:bookmarkStart w:id="1" w:name="kspine2025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94c7fe84_c916_4a91_851a_5e3409597547"/>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Washington, DC 20549</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10-K</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4"/>
        </w:rPr>
        <w:t>ANNUAL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31, 2025</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           </w:t>
      </w:r>
      <w:r>
        <w:rPr>
          <w:rFonts w:ascii="Times New Roman;Times;serif" w:hAnsi="Times New Roman;Times;serif"/>
          <w:b/>
          <w:sz w:val="14"/>
        </w:rPr>
        <w:t>TRANSITION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b/>
          <w:sz w:val="14"/>
        </w:rPr>
        <w:t xml:space="preserve">For the transition period from </w:t>
      </w:r>
      <w:r>
        <w:rPr>
          <w:rFonts w:ascii="Times New Roman;Times;serif" w:hAnsi="Times New Roman;Times;serif"/>
          <w:sz w:val="14"/>
        </w:rPr>
        <w:t xml:space="preserve">          </w:t>
      </w:r>
      <w:r>
        <w:rPr>
          <w:rFonts w:ascii="Times New Roman;Times;serif" w:hAnsi="Times New Roman;Times;serif"/>
          <w:b/>
          <w:sz w:val="14"/>
        </w:rPr>
        <w:t>to</w:t>
      </w:r>
      <w:r>
        <w:rPr>
          <w:rFonts w:ascii="Times New Roman;Times;serif" w:hAnsi="Times New Roman;Times;serif"/>
          <w:sz w:val="14"/>
        </w:rPr>
        <w:t xml:space="preserve">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001-39143</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ALPINE INCOME PROPERTY TRUST,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SLy428ogOEeWJJ5WweUnlw_3_1"/>
      <w:bookmarkStart w:id="4" w:name="Tc__PmQ6WfAi0S3D7lUZQgiMQ_3_0"/>
      <w:bookmarkStart w:id="5" w:name="Tc_6qQICUacekGoTx0prYLIZg_2_1"/>
      <w:bookmarkStart w:id="6" w:name="Tc_HpTq_r1rY0WS4Xnbv3096g_2_0"/>
      <w:bookmarkStart w:id="7" w:name="_391b19ac_d944_4882_be45_f70e9c55e18a"/>
      <w:bookmarkStart w:id="8" w:name="Tc_SLy428ogOEeWJJ5WweUnlw_3_1"/>
      <w:bookmarkStart w:id="9" w:name="Tc__PmQ6WfAi0S3D7lUZQgiMQ_3_0"/>
      <w:bookmarkStart w:id="10" w:name="Tc_6qQICUacekGoTx0prYLIZg_2_1"/>
      <w:bookmarkStart w:id="11" w:name="Tc_HpTq_r1rY0WS4Xnbv3096g_2_0"/>
      <w:bookmarkStart w:id="12" w:name="_391b19ac_d944_4882_be45_f70e9c55e18a"/>
      <w:bookmarkEnd w:id="8"/>
      <w:bookmarkEnd w:id="9"/>
      <w:bookmarkEnd w:id="10"/>
      <w:bookmarkEnd w:id="11"/>
      <w:bookmarkEnd w:id="12"/>
    </w:p>
    <w:tbl>
      <w:tblPr>
        <w:tblW w:w="3227" w:type="dxa"/>
        <w:jc w:val="left"/>
        <w:tblInd w:w="0" w:type="dxa"/>
        <w:tblLayout w:type="fixed"/>
        <w:tblCellMar>
          <w:top w:w="0" w:type="dxa"/>
          <w:left w:w="0" w:type="dxa"/>
          <w:bottom w:w="0" w:type="dxa"/>
          <w:right w:w="0" w:type="dxa"/>
        </w:tblCellMar>
      </w:tblPr>
      <w:tblGrid>
        <w:gridCol w:w="1981"/>
        <w:gridCol w:w="124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57935" cy="29210"/>
                      <wp:effectExtent l="0" t="0" r="0" b="0"/>
                      <wp:wrapNone/>
                      <wp:docPr id="1" name="Frame1"/>
                      <a:graphic xmlns:a="http://schemas.openxmlformats.org/drawingml/2006/main">
                        <a:graphicData uri="http://schemas.microsoft.com/office/word/2010/wordprocessingShape">
                          <wps:wsp>
                            <wps:cNvSpPr txBox="1"/>
                            <wps:spPr>
                              <a:xfrm>
                                <a:off x="0" y="0"/>
                                <a:ext cx="1257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791210" cy="29210"/>
                      <wp:effectExtent l="0" t="0" r="0" b="0"/>
                      <wp:wrapNone/>
                      <wp:docPr id="2" name="Frame2"/>
                      <a:graphic xmlns:a="http://schemas.openxmlformats.org/drawingml/2006/main">
                        <a:graphicData uri="http://schemas.microsoft.com/office/word/2010/wordprocessingShape">
                          <wps:wsp>
                            <wps:cNvSpPr txBox="1"/>
                            <wps:spPr>
                              <a:xfrm>
                                <a:off x="0" y="0"/>
                                <a:ext cx="791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Maryland</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84-2769895</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tc>
      </w:tr>
      <w:tr>
        <w:trPr/>
        <w:tc>
          <w:tcPr>
            <w:tcW w:w="19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eVrws0HWg0WNarzO8dPcmQ_3_1"/>
      <w:bookmarkStart w:id="14" w:name="Tc_aZtEi7S-rEOkx4MSA-5Akg_3_0"/>
      <w:bookmarkStart w:id="15" w:name="Tc_7PSQ7Gr8CE6FwOgeW1-bLw_2_0"/>
      <w:bookmarkStart w:id="16" w:name="Tc_78OVjSlm30Wv5suPVKcGaw_1_0"/>
      <w:bookmarkStart w:id="17" w:name="_47b806e9_828f_4e6a_a806_575a83e22086"/>
      <w:bookmarkStart w:id="18" w:name="Tc_eVrws0HWg0WNarzO8dPcmQ_3_1"/>
      <w:bookmarkStart w:id="19" w:name="Tc_aZtEi7S-rEOkx4MSA-5Akg_3_0"/>
      <w:bookmarkStart w:id="20" w:name="Tc_7PSQ7Gr8CE6FwOgeW1-bLw_2_0"/>
      <w:bookmarkStart w:id="21" w:name="Tc_78OVjSlm30Wv5suPVKcGaw_1_0"/>
      <w:bookmarkStart w:id="22" w:name="_47b806e9_828f_4e6a_a806_575a83e22086"/>
      <w:bookmarkEnd w:id="18"/>
      <w:bookmarkEnd w:id="19"/>
      <w:bookmarkEnd w:id="20"/>
      <w:bookmarkEnd w:id="21"/>
      <w:bookmarkEnd w:id="22"/>
    </w:p>
    <w:tbl>
      <w:tblPr>
        <w:tblW w:w="3212" w:type="dxa"/>
        <w:jc w:val="left"/>
        <w:tblInd w:w="0" w:type="dxa"/>
        <w:tblLayout w:type="fixed"/>
        <w:tblCellMar>
          <w:top w:w="0" w:type="dxa"/>
          <w:left w:w="0" w:type="dxa"/>
          <w:bottom w:w="0" w:type="dxa"/>
          <w:right w:w="0" w:type="dxa"/>
        </w:tblCellMar>
      </w:tblPr>
      <w:tblGrid>
        <w:gridCol w:w="2431"/>
        <w:gridCol w:w="781"/>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543685" cy="29210"/>
                      <wp:effectExtent l="0" t="0" r="0" b="0"/>
                      <wp:wrapNone/>
                      <wp:docPr id="3" name="Frame3"/>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29210"/>
                      <wp:effectExtent l="0" t="0" r="0" b="0"/>
                      <wp:wrapNone/>
                      <wp:docPr id="4" name="Frame4"/>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369 N. New York Avenue, Suite 201</w:t>
            </w:r>
            <w:r>
              <w:rPr>
                <w:rFonts w:ascii="Times New Roman;Times;serif" w:hAnsi="Times New Roman;Times;serif"/>
                <w:sz w:val="20"/>
              </w:rPr>
              <w:t xml:space="preserve"> </w:t>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Winter Park, Florida</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32789</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lineRule="auto" w:line="256" w:before="0" w:after="0"/>
        <w:ind w:left="0" w:right="0" w:hanging="0"/>
        <w:jc w:val="center"/>
        <w:rPr>
          <w:rFonts w:ascii="Times New Roman;Times;serif" w:hAnsi="Times New Roman;Times;serif"/>
          <w:b/>
          <w:sz w:val="14"/>
        </w:rPr>
      </w:pPr>
      <w:r>
        <w:rPr>
          <w:rFonts w:ascii="Times New Roman;Times;serif" w:hAnsi="Times New Roman;Times;serif"/>
          <w:b/>
          <w:sz w:val="14"/>
        </w:rPr>
        <w:t>(407) 904-3324</w:t>
      </w:r>
    </w:p>
    <w:p>
      <w:pPr>
        <w:pStyle w:val="TextBody"/>
        <w:bidi w:val="0"/>
        <w:spacing w:lineRule="auto" w:line="256" w:before="0" w:after="240"/>
        <w:ind w:left="0" w:right="0" w:hanging="0"/>
        <w:jc w:val="center"/>
        <w:rPr/>
      </w:pPr>
      <w:r>
        <w:rPr/>
        <w:t>​</w:t>
      </w:r>
    </w:p>
    <w:p>
      <w:pPr>
        <w:pStyle w:val="TextBody"/>
        <w:bidi w:val="0"/>
        <w:spacing w:lineRule="auto" w:line="256" w:before="0" w:after="240"/>
        <w:ind w:left="0" w:right="0" w:hanging="0"/>
        <w:jc w:val="center"/>
        <w:rPr/>
      </w:pPr>
      <w:r>
        <w:rPr/>
        <w:t>​</w:t>
      </w:r>
    </w:p>
    <w:p>
      <w:pPr>
        <w:pStyle w:val="TextBody"/>
        <w:bidi w:val="0"/>
        <w:spacing w:lineRule="auto" w:line="256"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TextBody"/>
        <w:bidi w:val="0"/>
        <w:spacing w:lineRule="auto" w:line="256" w:before="0" w:after="240"/>
        <w:ind w:left="0" w:right="0" w:hanging="0"/>
        <w:jc w:val="both"/>
        <w:rPr/>
      </w:pPr>
      <w:r>
        <w:rPr/>
        <w:t>​</w:t>
      </w:r>
    </w:p>
    <w:p>
      <w:pPr>
        <w:pStyle w:val="Normal"/>
        <w:bidi w:val="0"/>
        <w:spacing w:before="0" w:after="0"/>
        <w:jc w:val="left"/>
        <w:rPr>
          <w:sz w:val="4"/>
          <w:szCs w:val="4"/>
        </w:rPr>
      </w:pPr>
      <w:r>
        <w:rPr>
          <w:sz w:val="4"/>
          <w:szCs w:val="4"/>
        </w:rPr>
      </w:r>
      <w:bookmarkStart w:id="23" w:name="Tc_OGAn9ZEdN0iudMPRoLwYGg_3_4"/>
      <w:bookmarkStart w:id="24" w:name="Tc_F4y8ABbYuUmbpnjXUoO2zA_3_2"/>
      <w:bookmarkStart w:id="25" w:name="Tc_OSGwkcTcQkSfpMoTperXng_3_0"/>
      <w:bookmarkStart w:id="26" w:name="Tc_FLu0_sIBUUOg6RXERBrtdQ_2_4"/>
      <w:bookmarkStart w:id="27" w:name="_4c175f7d_dae0_459e_bbe3_fac85061fb51"/>
      <w:bookmarkStart w:id="28" w:name="Tc_OGAn9ZEdN0iudMPRoLwYGg_3_4"/>
      <w:bookmarkStart w:id="29" w:name="Tc_F4y8ABbYuUmbpnjXUoO2zA_3_2"/>
      <w:bookmarkStart w:id="30" w:name="Tc_OSGwkcTcQkSfpMoTperXng_3_0"/>
      <w:bookmarkStart w:id="31" w:name="Tc_FLu0_sIBUUOg6RXERBrtdQ_2_4"/>
      <w:bookmarkStart w:id="32" w:name="_4c175f7d_dae0_459e_bbe3_fac85061fb51"/>
      <w:bookmarkEnd w:id="28"/>
      <w:bookmarkEnd w:id="29"/>
      <w:bookmarkEnd w:id="30"/>
      <w:bookmarkEnd w:id="31"/>
      <w:bookmarkEnd w:id="32"/>
    </w:p>
    <w:tbl>
      <w:tblPr>
        <w:tblW w:w="9440" w:type="dxa"/>
        <w:jc w:val="left"/>
        <w:tblInd w:w="0" w:type="dxa"/>
        <w:tblLayout w:type="fixed"/>
        <w:tblCellMar>
          <w:top w:w="0" w:type="dxa"/>
          <w:left w:w="0" w:type="dxa"/>
          <w:bottom w:w="0" w:type="dxa"/>
          <w:right w:w="0" w:type="dxa"/>
        </w:tblCellMar>
      </w:tblPr>
      <w:tblGrid>
        <w:gridCol w:w="5566"/>
        <w:gridCol w:w="346"/>
        <w:gridCol w:w="1081"/>
        <w:gridCol w:w="346"/>
        <w:gridCol w:w="2101"/>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534410" cy="29210"/>
                      <wp:effectExtent l="0" t="0" r="0" b="0"/>
                      <wp:wrapNone/>
                      <wp:docPr id="5" name="Frame5"/>
                      <a:graphic xmlns:a="http://schemas.openxmlformats.org/drawingml/2006/main">
                        <a:graphicData uri="http://schemas.microsoft.com/office/word/2010/wordprocessingShape">
                          <wps:wsp>
                            <wps:cNvSpPr txBox="1"/>
                            <wps:spPr>
                              <a:xfrm>
                                <a:off x="0" y="0"/>
                                <a:ext cx="3534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4135" cy="29210"/>
                      <wp:effectExtent l="0" t="0" r="0" b="0"/>
                      <wp:wrapNone/>
                      <wp:docPr id="6" name="Frame6"/>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55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56" w:before="0" w:after="0"/>
              <w:ind w:left="0" w:right="0" w:hanging="0"/>
              <w:jc w:val="left"/>
              <w:rPr/>
            </w:pPr>
            <w:r>
              <w:rPr/>
              <w:t>​</w:t>
            </w:r>
          </w:p>
        </w:tc>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56" w:before="0" w:after="0"/>
              <w:ind w:left="0" w:right="0" w:hanging="0"/>
              <w:jc w:val="left"/>
              <w:rPr/>
            </w:pPr>
            <w:r>
              <w:rPr/>
              <w:t>​</w:t>
            </w:r>
          </w:p>
        </w:tc>
        <w:tc>
          <w:tcPr>
            <w:tcW w:w="2101" w:type="dxa"/>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56" w:before="0" w:after="0"/>
              <w:ind w:left="0" w:right="0" w:hanging="0"/>
              <w:jc w:val="center"/>
              <w:rPr/>
            </w:pPr>
            <w:r>
              <w:rPr/>
              <w:t>  ​ ​ ​</w:t>
            </w:r>
          </w:p>
        </w:tc>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56" w:before="0" w:after="0"/>
              <w:ind w:left="0" w:right="0" w:hanging="0"/>
              <w:jc w:val="center"/>
              <w:rPr/>
            </w:pPr>
            <w:r>
              <w:rPr/>
              <w:t>  ​ ​ ​</w:t>
            </w:r>
          </w:p>
        </w:tc>
        <w:tc>
          <w:tcPr>
            <w:tcW w:w="2101" w:type="dxa"/>
            <w:tcBorders/>
            <w:vAlign w:val="center"/>
          </w:tcPr>
          <w:p>
            <w:pPr>
              <w:pStyle w:val="TableContents"/>
              <w:bidi w:val="0"/>
              <w:spacing w:lineRule="auto" w:line="256"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Name of each exchange on which </w:t>
            </w:r>
          </w:p>
        </w:tc>
      </w:tr>
      <w:tr>
        <w:trPr/>
        <w:tc>
          <w:tcPr>
            <w:tcW w:w="55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vAlign w:val="center"/>
          </w:tcPr>
          <w:p>
            <w:pPr>
              <w:pStyle w:val="TableContents"/>
              <w:bidi w:val="0"/>
              <w:spacing w:before="0" w:after="24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46" w:type="dxa"/>
            <w:tcBorders/>
            <w:vAlign w:val="center"/>
          </w:tcPr>
          <w:p>
            <w:pPr>
              <w:pStyle w:val="TableContents"/>
              <w:bidi w:val="0"/>
              <w:spacing w:before="0" w:after="240"/>
              <w:ind w:left="0" w:right="0" w:hanging="0"/>
              <w:jc w:val="center"/>
              <w:rPr/>
            </w:pPr>
            <w:r>
              <w:rPr/>
              <w:t>​</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registered</w:t>
            </w:r>
          </w:p>
        </w:tc>
      </w:tr>
      <w:tr>
        <w:trPr/>
        <w:tc>
          <w:tcPr>
            <w:tcW w:w="55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COMMON STOCK, $0.01</w:t>
            </w:r>
            <w:r>
              <w:rPr>
                <w:rFonts w:ascii="Times New Roman;Times;serif" w:hAnsi="Times New Roman;Times;serif"/>
                <w:sz w:val="20"/>
              </w:rPr>
              <w:t xml:space="preserve"> </w:t>
            </w:r>
            <w:r>
              <w:rPr>
                <w:rFonts w:ascii="Times New Roman;Times;serif" w:hAnsi="Times New Roman;Times;serif"/>
                <w:b/>
                <w:sz w:val="14"/>
              </w:rPr>
              <w:t>PAR VALUE</w:t>
            </w:r>
          </w:p>
        </w:tc>
        <w:tc>
          <w:tcPr>
            <w:tcW w:w="346" w:type="dxa"/>
            <w:tcBorders/>
            <w:vAlign w:val="center"/>
          </w:tcPr>
          <w:p>
            <w:pPr>
              <w:pStyle w:val="TableContents"/>
              <w:bidi w:val="0"/>
              <w:spacing w:before="0" w:after="240"/>
              <w:ind w:left="0" w:right="0" w:hanging="0"/>
              <w:jc w:val="center"/>
              <w:rPr/>
            </w:pPr>
            <w:r>
              <w:rPr/>
              <w:t>​</w:t>
            </w:r>
          </w:p>
        </w:tc>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PINE</w:t>
            </w:r>
          </w:p>
        </w:tc>
        <w:tc>
          <w:tcPr>
            <w:tcW w:w="346" w:type="dxa"/>
            <w:tcBorders/>
            <w:vAlign w:val="center"/>
          </w:tcPr>
          <w:p>
            <w:pPr>
              <w:pStyle w:val="TableContents"/>
              <w:bidi w:val="0"/>
              <w:spacing w:before="0" w:after="240"/>
              <w:ind w:left="0" w:right="0" w:hanging="0"/>
              <w:jc w:val="center"/>
              <w:rPr/>
            </w:pPr>
            <w:r>
              <w:rPr/>
              <w:t>​</w:t>
            </w:r>
          </w:p>
        </w:tc>
        <w:tc>
          <w:tcPr>
            <w:tcW w:w="21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NYSE </w:t>
            </w:r>
          </w:p>
        </w:tc>
      </w:tr>
      <w:tr>
        <w:trPr/>
        <w:tc>
          <w:tcPr>
            <w:tcW w:w="5566" w:type="dxa"/>
            <w:tcBorders/>
            <w:vAlign w:val="center"/>
          </w:tcPr>
          <w:p>
            <w:pPr>
              <w:pStyle w:val="TableContents"/>
              <w:bidi w:val="0"/>
              <w:spacing w:before="0" w:after="24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8.000% SERIES A CUMULATIVE REDEEMABLE PREFERRED STOCK, $0.01 PAR VALUE</w:t>
            </w:r>
          </w:p>
        </w:tc>
        <w:tc>
          <w:tcPr>
            <w:tcW w:w="346" w:type="dxa"/>
            <w:tcBorders/>
            <w:vAlign w:val="center"/>
          </w:tcPr>
          <w:p>
            <w:pPr>
              <w:pStyle w:val="TableContents"/>
              <w:bidi w:val="0"/>
              <w:spacing w:before="0" w:after="240"/>
              <w:ind w:left="0" w:right="0" w:hanging="0"/>
              <w:jc w:val="center"/>
              <w:rPr/>
            </w:pPr>
            <w:r>
              <w:rPr/>
              <w:t>​</w:t>
            </w:r>
          </w:p>
        </w:tc>
        <w:tc>
          <w:tcPr>
            <w:tcW w:w="1081" w:type="dxa"/>
            <w:tcBorders/>
            <w:vAlign w:val="center"/>
          </w:tcPr>
          <w:p>
            <w:pPr>
              <w:pStyle w:val="TableContents"/>
              <w:bidi w:val="0"/>
              <w:spacing w:before="0" w:after="240"/>
              <w:ind w:left="0" w:right="0" w:hanging="0"/>
              <w:jc w:val="center"/>
              <w:rPr/>
            </w:pPr>
            <w:r>
              <w:rPr/>
              <w:t>​</w:t>
            </w:r>
          </w:p>
          <w:p>
            <w:pPr>
              <w:pStyle w:val="TableContents"/>
              <w:bidi w:val="0"/>
              <w:spacing w:before="0" w:after="240"/>
              <w:ind w:left="0" w:right="0" w:hanging="0"/>
              <w:jc w:val="center"/>
              <w:rPr/>
            </w:pPr>
            <w:r>
              <w:rPr/>
              <w:t>​</w:t>
            </w:r>
          </w:p>
          <w:p>
            <w:pPr>
              <w:pStyle w:val="TableContents"/>
              <w:bidi w:val="0"/>
              <w:spacing w:before="0" w:after="24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PINE/PA</w:t>
            </w:r>
          </w:p>
        </w:tc>
        <w:tc>
          <w:tcPr>
            <w:tcW w:w="346" w:type="dxa"/>
            <w:tcBorders/>
            <w:vAlign w:val="center"/>
          </w:tcPr>
          <w:p>
            <w:pPr>
              <w:pStyle w:val="TableContents"/>
              <w:bidi w:val="0"/>
              <w:spacing w:before="0" w:after="240"/>
              <w:ind w:left="0" w:right="0" w:hanging="0"/>
              <w:jc w:val="center"/>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NYSE</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12(g) OF THE ACT: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NONE</w:t>
      </w:r>
    </w:p>
    <w:p>
      <w:pPr>
        <w:pStyle w:val="TextBody"/>
        <w:bidi w:val="0"/>
        <w:spacing w:before="0" w:after="240"/>
        <w:ind w:left="0" w:right="0" w:hanging="0"/>
        <w:jc w:val="center"/>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6" w:before="0" w:after="240"/>
        <w:ind w:left="0" w:right="0" w:hanging="0"/>
        <w:jc w:val="both"/>
        <w:rPr/>
      </w:pPr>
      <w:r>
        <w:rPr/>
        <w:t>​</w:t>
      </w:r>
    </w:p>
    <w:tbl>
      <w:tblPr>
        <w:tblW w:w="7384" w:type="dxa"/>
        <w:jc w:val="left"/>
        <w:tblInd w:w="0" w:type="dxa"/>
        <w:tblLayout w:type="fixed"/>
        <w:tblCellMar>
          <w:top w:w="0" w:type="dxa"/>
          <w:left w:w="0" w:type="dxa"/>
          <w:bottom w:w="0" w:type="dxa"/>
          <w:right w:w="0" w:type="dxa"/>
        </w:tblCellMar>
      </w:tblPr>
      <w:tblGrid>
        <w:gridCol w:w="1861"/>
        <w:gridCol w:w="1441"/>
        <w:gridCol w:w="1786"/>
        <w:gridCol w:w="229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181735" cy="29210"/>
                      <wp:effectExtent l="0" t="0" r="0" b="0"/>
                      <wp:wrapNone/>
                      <wp:docPr id="7" name="Frame7"/>
                      <a:graphic xmlns:a="http://schemas.openxmlformats.org/drawingml/2006/main">
                        <a:graphicData uri="http://schemas.microsoft.com/office/word/2010/wordprocessingShape">
                          <wps:wsp>
                            <wps:cNvSpPr txBox="1"/>
                            <wps:spPr>
                              <a:xfrm>
                                <a:off x="0" y="0"/>
                                <a:ext cx="11817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15035" cy="29210"/>
                      <wp:effectExtent l="0" t="0" r="0" b="0"/>
                      <wp:wrapNone/>
                      <wp:docPr id="8" name="Frame8"/>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134110" cy="29210"/>
                      <wp:effectExtent l="0" t="0" r="0" b="0"/>
                      <wp:wrapNone/>
                      <wp:docPr id="9" name="Frame9"/>
                      <a:graphic xmlns:a="http://schemas.openxmlformats.org/drawingml/2006/main">
                        <a:graphicData uri="http://schemas.microsoft.com/office/word/2010/wordprocessingShape">
                          <wps:wsp>
                            <wps:cNvSpPr txBox="1"/>
                            <wps:spPr>
                              <a:xfrm>
                                <a:off x="0" y="0"/>
                                <a:ext cx="1134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57960" cy="29210"/>
                      <wp:effectExtent l="0" t="0" r="0" b="0"/>
                      <wp:wrapNone/>
                      <wp:docPr id="10" name="Frame10"/>
                      <a:graphic xmlns:a="http://schemas.openxmlformats.org/drawingml/2006/main">
                        <a:graphicData uri="http://schemas.microsoft.com/office/word/2010/wordprocessingShape">
                          <wps:wsp>
                            <wps:cNvSpPr txBox="1"/>
                            <wps:spPr>
                              <a:xfrm>
                                <a:off x="0" y="0"/>
                                <a:ext cx="1457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861" w:type="dxa"/>
            <w:tcBorders/>
            <w:vAlign w:val="center"/>
          </w:tcPr>
          <w:p>
            <w:pPr>
              <w:pStyle w:val="TableContents"/>
              <w:bidi w:val="0"/>
              <w:spacing w:lineRule="auto" w:line="256"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lineRule="auto" w:line="256"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86" w:type="dxa"/>
            <w:tcBorders/>
            <w:vAlign w:val="center"/>
          </w:tcPr>
          <w:p>
            <w:pPr>
              <w:pStyle w:val="TableContents"/>
              <w:bidi w:val="0"/>
              <w:spacing w:lineRule="auto" w:line="256"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2296" w:type="dxa"/>
            <w:tcBorders/>
            <w:vAlign w:val="center"/>
          </w:tcPr>
          <w:p>
            <w:pPr>
              <w:pStyle w:val="TableContents"/>
              <w:bidi w:val="0"/>
              <w:spacing w:lineRule="auto" w:line="256" w:before="0" w:after="0"/>
              <w:ind w:left="0" w:right="0" w:hanging="0"/>
              <w:jc w:val="right"/>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w:t>
            </w:r>
          </w:p>
        </w:tc>
      </w:tr>
      <w:tr>
        <w:trPr/>
        <w:tc>
          <w:tcPr>
            <w:tcW w:w="1861" w:type="dxa"/>
            <w:tcBorders/>
            <w:vAlign w:val="center"/>
          </w:tcPr>
          <w:p>
            <w:pPr>
              <w:pStyle w:val="TableContents"/>
              <w:bidi w:val="0"/>
              <w:spacing w:lineRule="auto" w:line="256" w:before="0" w:after="0"/>
              <w:ind w:left="0" w:right="0" w:hanging="0"/>
              <w:jc w:val="center"/>
              <w:rPr/>
            </w:pPr>
            <w:r>
              <w:rPr/>
              <w:t> </w:t>
            </w:r>
          </w:p>
        </w:tc>
        <w:tc>
          <w:tcPr>
            <w:tcW w:w="1441" w:type="dxa"/>
            <w:tcBorders/>
            <w:vAlign w:val="center"/>
          </w:tcPr>
          <w:p>
            <w:pPr>
              <w:pStyle w:val="TableContents"/>
              <w:bidi w:val="0"/>
              <w:spacing w:lineRule="auto" w:line="256" w:before="0" w:after="0"/>
              <w:ind w:left="0" w:right="0" w:hanging="0"/>
              <w:jc w:val="center"/>
              <w:rPr/>
            </w:pPr>
            <w:r>
              <w:rPr/>
              <w:t> </w:t>
            </w:r>
          </w:p>
        </w:tc>
        <w:tc>
          <w:tcPr>
            <w:tcW w:w="1786" w:type="dxa"/>
            <w:tcBorders/>
            <w:vAlign w:val="center"/>
          </w:tcPr>
          <w:p>
            <w:pPr>
              <w:pStyle w:val="TableContents"/>
              <w:bidi w:val="0"/>
              <w:spacing w:lineRule="auto" w:line="256" w:before="0" w:after="0"/>
              <w:ind w:left="0" w:right="0" w:hanging="0"/>
              <w:jc w:val="left"/>
              <w:rPr/>
            </w:pPr>
            <w:r>
              <w:rPr/>
              <w:t> </w:t>
            </w:r>
          </w:p>
        </w:tc>
        <w:tc>
          <w:tcPr>
            <w:tcW w:w="2296" w:type="dxa"/>
            <w:tcBorders/>
            <w:vAlign w:val="center"/>
          </w:tcPr>
          <w:p>
            <w:pPr>
              <w:pStyle w:val="TableContents"/>
              <w:bidi w:val="0"/>
              <w:spacing w:lineRule="auto" w:line="256" w:before="0" w:after="0"/>
              <w:ind w:left="0" w:right="0" w:hanging="0"/>
              <w:jc w:val="right"/>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56" w:before="0" w:after="0"/>
        <w:ind w:left="0" w:right="0" w:hanging="0"/>
        <w:jc w:val="left"/>
        <w:rPr/>
      </w:pPr>
      <w:r>
        <w:rPr/>
        <w:t>​</w:t>
      </w:r>
    </w:p>
    <w:p>
      <w:pPr>
        <w:pStyle w:val="TextBody"/>
        <w:bidi w:val="0"/>
        <w:spacing w:lineRule="auto" w:line="256"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56" w:before="0" w:after="240"/>
        <w:ind w:left="0" w:right="0" w:hanging="0"/>
        <w:jc w:val="left"/>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Times;serif" w:hAnsi="Times New Roman;Times;serif"/>
          <w:sz w:val="20"/>
        </w:rPr>
        <w:t xml:space="preserve"> ☐    </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Times;serif" w:hAnsi="Times New Roman;Times;serif"/>
          <w:sz w:val="20"/>
        </w:rPr>
        <w:t xml:space="preserve"> ☐    </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any of those error corrections are restatements that required a recovery analysis of incentive-based compensation received by any of the registrant’s executive officers during the relevant recovery period pursuant to § 240.10D-1(b). ☐    </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On June 30, 2025, the last business day of the Registrant’s most recently completed second fiscal quarter, the aggregate market value of the Registrant’s common stock held by non-affiliates of the Registrant was $190,306,859 based on the closing sales price of the Registrant’s common stock on such date as reported on the New York Stock Exchange. For purposes of this computation, all officers, directors and 10% beneficial owners of the Registrant’s common stock of which the Registrant is aware are deemed to be affiliates. Such determination should not be deemed to be an admission that such officers, directors or 10% beneficial owners are, in fact, affiliates of the Registrant.</w:t>
      </w:r>
    </w:p>
    <w:p>
      <w:pPr>
        <w:pStyle w:val="TextBody"/>
        <w:bidi w:val="0"/>
        <w:spacing w:lineRule="auto" w:line="256" w:before="0" w:after="240"/>
        <w:ind w:left="0" w:right="0" w:hanging="0"/>
        <w:jc w:val="both"/>
        <w:rPr/>
      </w:pPr>
      <w:r>
        <w:rPr/>
        <w:t>​</w:t>
      </w:r>
    </w:p>
    <w:p>
      <w:pPr>
        <w:pStyle w:val="TextBody"/>
        <w:bidi w:val="0"/>
        <w:spacing w:lineRule="auto" w:line="256" w:before="0" w:after="0"/>
        <w:ind w:left="0" w:right="0" w:hanging="0"/>
        <w:jc w:val="both"/>
        <w:rPr>
          <w:rFonts w:ascii="Times New Roman;Times;serif" w:hAnsi="Times New Roman;Times;serif"/>
          <w:sz w:val="16"/>
        </w:rPr>
      </w:pPr>
      <w:r>
        <w:rPr>
          <w:rFonts w:ascii="Times New Roman;Times;serif" w:hAnsi="Times New Roman;Times;serif"/>
          <w:sz w:val="16"/>
        </w:rPr>
        <w:t>The number of shares of the registrant’s common stock outstanding on January 29, 2026 was 15,088,574.</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240"/>
        <w:ind w:left="0" w:right="0" w:hanging="0"/>
        <w:jc w:val="center"/>
        <w:rPr/>
      </w:pPr>
      <w:r>
        <w:rPr/>
        <w:t>​</w:t>
      </w:r>
    </w:p>
    <w:p>
      <w:pPr>
        <w:pStyle w:val="TextBody"/>
        <w:bidi w:val="0"/>
        <w:spacing w:before="0" w:after="0"/>
        <w:ind w:left="0" w:right="0" w:firstLine="360"/>
        <w:jc w:val="both"/>
        <w:rPr>
          <w:rFonts w:ascii="Times New Roman;Times;serif" w:hAnsi="Times New Roman;Times;serif"/>
          <w:sz w:val="16"/>
        </w:rPr>
      </w:pPr>
      <w:r>
        <w:rPr>
          <w:rFonts w:ascii="Times New Roman;Times;serif" w:hAnsi="Times New Roman;Times;serif"/>
          <w:sz w:val="16"/>
        </w:rPr>
        <w:t>Portions of the registrant’s Proxy Statement for the 2026 Annual Meeting of Stockholders, which will be filed with the Securities and Exchange Commission within 120 days after the end of the registrant’s fiscal year ended December 31, 2025, are incorporated by reference in Part III of this report.</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3" w:name="_0eed1710_8cc7_40e6_b987_3553b3e20393"/>
      <w:bookmarkStart w:id="34" w:name="TOC"/>
      <w:bookmarkEnd w:id="33"/>
      <w:bookmarkEnd w:id="3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346"/>
        <w:gridCol w:w="7981"/>
        <w:gridCol w:w="346"/>
        <w:gridCol w:w="72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067935" cy="29210"/>
                      <wp:effectExtent l="0" t="0" r="0" b="0"/>
                      <wp:wrapNone/>
                      <wp:docPr id="11" name="Frame11"/>
                      <a:graphic xmlns:a="http://schemas.openxmlformats.org/drawingml/2006/main">
                        <a:graphicData uri="http://schemas.microsoft.com/office/word/2010/wordprocessingShape">
                          <wps:wsp>
                            <wps:cNvSpPr txBox="1"/>
                            <wps:spPr>
                              <a:xfrm>
                                <a:off x="0" y="0"/>
                                <a:ext cx="5067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57835" cy="29210"/>
                      <wp:effectExtent l="0" t="0" r="0" b="0"/>
                      <wp:wrapNone/>
                      <wp:docPr id="12" name="Frame12"/>
                      <a:graphic xmlns:a="http://schemas.openxmlformats.org/drawingml/2006/main">
                        <a:graphicData uri="http://schemas.microsoft.com/office/word/2010/wordprocessingShape">
                          <wps:wsp>
                            <wps:cNvSpPr txBox="1"/>
                            <wps:spPr>
                              <a:xfrm>
                                <a:off x="0" y="0"/>
                                <a:ext cx="4578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79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w: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_973964">
              <w:r>
                <w:rPr>
                  <w:rStyle w:val="InternetLink"/>
                  <w:rFonts w:ascii="Times New Roman;Times;serif" w:hAnsi="Times New Roman;Times;serif"/>
                  <w:b/>
                  <w:i w:val="false"/>
                  <w:caps w:val="false"/>
                  <w:smallCaps w:val="false"/>
                  <w:sz w:val="20"/>
                </w:rPr>
                <w:t>PART I</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BUSINESS_896461">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BUSINESS_896461">
              <w:r>
                <w:rPr>
                  <w:rStyle w:val="InternetLink"/>
                  <w:rFonts w:ascii="Times New Roman;Times;serif" w:hAnsi="Times New Roman;Times;serif"/>
                  <w:b w:val="false"/>
                  <w:i w:val="false"/>
                  <w:caps w:val="false"/>
                  <w:smallCaps w:val="false"/>
                  <w:sz w:val="20"/>
                </w:rPr>
                <w:t>BUSINESS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1ARISKFACTORS_920857">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ARISKFACTORS_920857">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11" w:type="dxa"/>
            <w:tcBorders/>
            <w:vAlign w:val="center"/>
          </w:tcPr>
          <w:p>
            <w:pPr>
              <w:pStyle w:val="TableContents"/>
              <w:bidi w:val="0"/>
              <w:spacing w:before="0" w:after="0"/>
              <w:ind w:left="0" w:right="0" w:hanging="0"/>
              <w:jc w:val="left"/>
              <w:rPr/>
            </w:pPr>
            <w:hyperlink w:anchor="ITEM1BUNRESOLVEDSTAFFCOMMENTS_212658">
              <w:r>
                <w:rPr>
                  <w:rStyle w:val="InternetLink"/>
                  <w:rFonts w:ascii="Times New Roman;Times;serif" w:hAnsi="Times New Roman;Times;serif"/>
                  <w:b w:val="false"/>
                  <w:i w:val="false"/>
                  <w:caps w:val="false"/>
                  <w:smallCaps w:val="false"/>
                  <w:sz w:val="20"/>
                </w:rPr>
                <w:t>Item 1B.</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BUNRESOLVEDSTAFFCOMMENTS_212658">
              <w:r>
                <w:rPr>
                  <w:rStyle w:val="InternetLink"/>
                  <w:rFonts w:ascii="Times New Roman;Times;serif" w:hAnsi="Times New Roman;Times;serif"/>
                  <w:b w:val="false"/>
                  <w:i w:val="false"/>
                  <w:caps w:val="false"/>
                  <w:smallCaps w:val="false"/>
                  <w:sz w:val="20"/>
                </w:rPr>
                <w:t>UNRESOLVED STAFF COMMENTS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Item 1C.</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_1C_Cybersecurity">
              <w:r>
                <w:rPr>
                  <w:rStyle w:val="InternetLink"/>
                  <w:rFonts w:ascii="Times New Roman;Times;serif" w:hAnsi="Times New Roman;Times;serif"/>
                  <w:b w:val="false"/>
                  <w:i w:val="false"/>
                  <w:caps w:val="false"/>
                  <w:smallCaps w:val="false"/>
                  <w:sz w:val="20"/>
                </w:rPr>
                <w:t>CYBERSECURITY</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811" w:type="dxa"/>
            <w:tcBorders/>
            <w:vAlign w:val="center"/>
          </w:tcPr>
          <w:p>
            <w:pPr>
              <w:pStyle w:val="TableContents"/>
              <w:bidi w:val="0"/>
              <w:spacing w:before="0" w:after="0"/>
              <w:ind w:left="0" w:right="0" w:hanging="0"/>
              <w:jc w:val="left"/>
              <w:rPr/>
            </w:pPr>
            <w:hyperlink w:anchor="ITEM2PROPERTIES_519156">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2PROPERTIES_519156">
              <w:r>
                <w:rPr>
                  <w:rStyle w:val="InternetLink"/>
                  <w:rFonts w:ascii="Times New Roman;Times;serif" w:hAnsi="Times New Roman;Times;serif"/>
                  <w:b w:val="false"/>
                  <w:i w:val="false"/>
                  <w:caps w:val="false"/>
                  <w:smallCaps w:val="false"/>
                  <w:sz w:val="20"/>
                </w:rPr>
                <w:t>PROPERTIES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3LEGALPROCEEDINGS_42989">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3LEGALPROCEEDINGS_42989">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4MINESAFETYDISCLOSURES_844828">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4MINESAFETYDISCLOSURES_844828">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I_948070">
              <w:r>
                <w:rPr>
                  <w:rStyle w:val="InternetLink"/>
                  <w:rFonts w:ascii="Times New Roman;Times;serif" w:hAnsi="Times New Roman;Times;serif"/>
                  <w:b/>
                  <w:i w:val="false"/>
                  <w:caps w:val="false"/>
                  <w:smallCaps w:val="false"/>
                  <w:sz w:val="20"/>
                </w:rPr>
                <w:t>PART II</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811" w:type="dxa"/>
            <w:tcBorders/>
            <w:vAlign w:val="center"/>
          </w:tcPr>
          <w:p>
            <w:pPr>
              <w:pStyle w:val="TableContents"/>
              <w:bidi w:val="0"/>
              <w:spacing w:before="0" w:after="0"/>
              <w:ind w:left="0" w:right="0" w:hanging="0"/>
              <w:jc w:val="left"/>
              <w:rPr/>
            </w:pPr>
            <w:hyperlink w:anchor="ITEM6SELECTEDFINANCIALDATA_762869">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Reserved_762107">
              <w:r>
                <w:rPr>
                  <w:rStyle w:val="InternetLink"/>
                  <w:rFonts w:ascii="Times New Roman;Times;serif" w:hAnsi="Times New Roman;Times;serif"/>
                  <w:b w:val="false"/>
                  <w:i w:val="false"/>
                  <w:caps w:val="false"/>
                  <w:smallCaps w:val="false"/>
                  <w:sz w:val="20"/>
                </w:rPr>
                <w:t>RESERVED</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81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811" w:type="dxa"/>
            <w:tcBorders/>
            <w:vAlign w:val="center"/>
          </w:tcPr>
          <w:p>
            <w:pPr>
              <w:pStyle w:val="TableContents"/>
              <w:bidi w:val="0"/>
              <w:spacing w:before="0" w:after="0"/>
              <w:ind w:left="0" w:right="0" w:hanging="0"/>
              <w:jc w:val="left"/>
              <w:rPr/>
            </w:pPr>
            <w:hyperlink w:anchor="ITEM9ACONTROLSANDPROCEDURES_752806">
              <w:r>
                <w:rPr>
                  <w:rStyle w:val="InternetLink"/>
                  <w:rFonts w:ascii="Times New Roman;Times;serif" w:hAnsi="Times New Roman;Times;serif"/>
                  <w:b w:val="false"/>
                  <w:i w:val="false"/>
                  <w:caps w:val="false"/>
                  <w:smallCaps w:val="false"/>
                  <w:sz w:val="20"/>
                </w:rPr>
                <w:t>Item 9A.</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9ACONTROLSANDPROCEDURES_752806">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811" w:type="dxa"/>
            <w:tcBorders/>
            <w:vAlign w:val="center"/>
          </w:tcPr>
          <w:p>
            <w:pPr>
              <w:pStyle w:val="TableContents"/>
              <w:bidi w:val="0"/>
              <w:spacing w:before="0" w:after="0"/>
              <w:ind w:left="0" w:right="0" w:hanging="0"/>
              <w:jc w:val="left"/>
              <w:rPr/>
            </w:pPr>
            <w:hyperlink w:anchor="ITEM9BOTHERINFORMATION_64042">
              <w:r>
                <w:rPr>
                  <w:rStyle w:val="InternetLink"/>
                  <w:rFonts w:ascii="Times New Roman;Times;serif" w:hAnsi="Times New Roman;Times;serif"/>
                  <w:b w:val="false"/>
                  <w:i w:val="false"/>
                  <w:caps w:val="false"/>
                  <w:smallCaps w:val="false"/>
                  <w:sz w:val="20"/>
                </w:rPr>
                <w:t>Item 9B.</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9BOTHERINFORMATION_64042">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20"/>
                </w:rPr>
                <w:t>Item 9C.</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DISCLOSUREREGARDINGFOREIGNJURISDICTIONST">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II_476155">
              <w:r>
                <w:rPr>
                  <w:rStyle w:val="InternetLink"/>
                  <w:rFonts w:ascii="Times New Roman;Times;serif" w:hAnsi="Times New Roman;Times;serif"/>
                  <w:b/>
                  <w:i w:val="false"/>
                  <w:caps w:val="false"/>
                  <w:smallCaps w:val="false"/>
                  <w:sz w:val="20"/>
                </w:rPr>
                <w:t>PART III</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811" w:type="dxa"/>
            <w:tcBorders/>
            <w:vAlign w:val="center"/>
          </w:tcPr>
          <w:p>
            <w:pPr>
              <w:pStyle w:val="TableContents"/>
              <w:bidi w:val="0"/>
              <w:spacing w:before="0" w:after="0"/>
              <w:ind w:left="0" w:right="0" w:hanging="0"/>
              <w:jc w:val="left"/>
              <w:rPr/>
            </w:pPr>
            <w:hyperlink w:anchor="ITEM11EXECUTIVECOMPENSATION_918030">
              <w:r>
                <w:rPr>
                  <w:rStyle w:val="InternetLink"/>
                  <w:rFonts w:ascii="Times New Roman;Times;serif" w:hAnsi="Times New Roman;Times;serif"/>
                  <w:b w:val="false"/>
                  <w:i w:val="false"/>
                  <w:caps w:val="false"/>
                  <w:smallCaps w:val="false"/>
                  <w:sz w:val="20"/>
                </w:rPr>
                <w:t>Item 11.</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1EXECUTIVECOMPENSATION_918030">
              <w:r>
                <w:rPr>
                  <w:rStyle w:val="InternetLink"/>
                  <w:rFonts w:ascii="Times New Roman;Times;serif" w:hAnsi="Times New Roman;Times;serif"/>
                  <w:b w:val="false"/>
                  <w:i w:val="false"/>
                  <w:caps w:val="false"/>
                  <w:smallCaps w:val="false"/>
                  <w:sz w:val="20"/>
                </w:rPr>
                <w:t>EXECUTIVE COMPENSATION</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1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1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1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center"/>
              <w:rPr/>
            </w:pPr>
            <w:hyperlink w:anchor="PARTIV_258754">
              <w:r>
                <w:rPr>
                  <w:rStyle w:val="InternetLink"/>
                  <w:rFonts w:ascii="Times New Roman;Times;serif" w:hAnsi="Times New Roman;Times;serif"/>
                  <w:b/>
                  <w:i w:val="false"/>
                  <w:caps w:val="false"/>
                  <w:smallCaps w:val="false"/>
                  <w:sz w:val="20"/>
                </w:rPr>
                <w:t>PART IV</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Item 15.</w:t>
              </w:r>
            </w:hyperlink>
          </w:p>
        </w:tc>
        <w:tc>
          <w:tcPr>
            <w:tcW w:w="346" w:type="dxa"/>
            <w:tcBorders/>
            <w:vAlign w:val="center"/>
          </w:tcPr>
          <w:p>
            <w:pPr>
              <w:pStyle w:val="TableContents"/>
              <w:bidi w:val="0"/>
              <w:spacing w:before="0" w:after="0"/>
              <w:ind w:left="0" w:right="0" w:hanging="0"/>
              <w:jc w:val="left"/>
              <w:rPr/>
            </w:pPr>
            <w:r>
              <w:rPr/>
              <w:t>​</w:t>
            </w:r>
          </w:p>
        </w:tc>
        <w:tc>
          <w:tcPr>
            <w:tcW w:w="7981" w:type="dxa"/>
            <w:tcBorders/>
            <w:vAlign w:val="center"/>
          </w:tcPr>
          <w:p>
            <w:pPr>
              <w:pStyle w:val="TableContents"/>
              <w:bidi w:val="0"/>
              <w:spacing w:before="0" w:after="0"/>
              <w:ind w:left="0" w:right="0" w:hanging="0"/>
              <w:jc w:val="left"/>
              <w:rPr/>
            </w:pPr>
            <w:hyperlink w:anchor="ITEM15EXHIBITSANDFINANCIALSTATEMENTSCHED">
              <w:r>
                <w:rPr>
                  <w:rStyle w:val="InternetLink"/>
                  <w:rFonts w:ascii="Times New Roman;Times;serif" w:hAnsi="Times New Roman;Times;serif"/>
                  <w:b w:val="false"/>
                  <w:i w:val="false"/>
                  <w:caps w:val="false"/>
                  <w:smallCaps w:val="false"/>
                  <w:sz w:val="20"/>
                </w:rPr>
                <w:t>EXHIBITS AND FINANCIAL STATEMENT SCHEDULES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9138" w:type="dxa"/>
            <w:gridSpan w:val="3"/>
            <w:tcBorders/>
            <w:vAlign w:val="center"/>
          </w:tcPr>
          <w:p>
            <w:pPr>
              <w:pStyle w:val="TableContents"/>
              <w:bidi w:val="0"/>
              <w:spacing w:before="0" w:after="0"/>
              <w:ind w:left="0" w:right="0" w:hanging="0"/>
              <w:jc w:val="left"/>
              <w:rPr/>
            </w:pPr>
            <w:hyperlink w:anchor="SIGNATURES_747870">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138" w:type="dxa"/>
            <w:gridSpan w:val="3"/>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shd w:fill="FFFF00" w:val="clear"/>
              </w:rPr>
            </w:pPr>
            <w:r>
              <w:rPr>
                <w:shd w:fill="FFFF00" w:val="clea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 w:name="PARTI_973964"/>
      <w:bookmarkStart w:id="36" w:name="_4b085538_d4a8_4c86_8331_5b6fa195d8dc"/>
      <w:bookmarkEnd w:id="35"/>
      <w:bookmarkEnd w:id="36"/>
      <w:r>
        <w:rPr>
          <w:rFonts w:ascii="Times New Roman;Times;serif" w:hAnsi="Times New Roman;Times;serif"/>
          <w:b/>
          <w:sz w:val="20"/>
        </w:rPr>
        <w:t>PART I</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When we refer to “we,” “us,” “our,” “PINE,” or “the Company,” we mean Alpine Income Property Trust, Inc. and its consolidated subsidiaries. References to “Notes to the Financial Statements” refer to the Notes to the Consolidated Financial Statements of Alpine Income Property Trust, Inc. included in Item 8 of this Annual Report on Form 10-K.</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(set forth in Section 27A of the Securities Act of 1933, as amended (the “Securities Act”), and Section 21E of the Securities Exchange Act of 1934, as amended (the “Exchange Act”)). The words “believe,” “estimate,” “expect,” “intend,” “anticipate,” “will,” “could,” “may,” “should,” “plan,” “potential,” “predict,” “forecast,” “project,” “assume,”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and higher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See “Item 1A. Risk Factors” within this Annual Report on Form 10-K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Annual Report on Form 10-K.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sz w:val="20"/>
        </w:rPr>
      </w:pPr>
      <w:bookmarkStart w:id="37" w:name="ITEM1BUSINESS_896461"/>
      <w:bookmarkEnd w:id="37"/>
      <w:r>
        <w:rPr>
          <w:rFonts w:ascii="Times New Roman;Times;serif" w:hAnsi="Times New Roman;Times;serif"/>
          <w:b/>
          <w:sz w:val="20"/>
        </w:rPr>
        <w:t>ITEM 1.            BUSINESS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a real estate investment trust (“REIT”) that owns and operates a high-quality portfolio of commercial net lease properties all located in the United States. Our properties are primarily leased to industry leading, creditworthy tenants, many of which operate in industries we believe are resistant to the impact of e-commerce. Our portfolio consists of 127 net leased properties located in 32 states. The properties in our portfolio are primarily subject to long-term leases, which generally require the tenant to pay directly or reimburse us for property operating expenses such as real estate taxes, insurance, assessments and other governmental fees, utilities, repairs and maintenance and certain capital expenditures. We also acquire and originate commercial loans and investments. Our investments in commercial loans are generally secured by real estate or the borrower’s pledge of its ownership interest in an entity that owns real estate.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in two primary business segments: (i) income properties and (ii) 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no employees and is externally managed by Alpine Income Property Manager, LLC (our “Manager”), a Delaware limited liability company and a wholly owned subsidiary of CTO Realty Growth, Inc. (NYSE: CTO) (“CTO”). CTO is a Maryland corporation that is a publicly traded diversified REIT and the sole member of our Manager.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elected to be taxed as a REIT for U.S. federal income tax purposes commencing with its initial taxable year ended December 31, 2019. We believe we have been organized and have operated in such a manner as to qualify and maintain our qualification for taxation as a REIT under the U.S. federal income tax laws. We intend to continue to operate in such a manner, but no assurances can be given that we will continue to operate in such a manner as to qualify and maintain our qualification for taxation as a REIT under the U.S. federal income tax laws.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primary objective is to maximize cash flow and value per share by generating stable and growing cash flows and attractive risk-adjusted returns through (i) the ownership, operation and growth through acquisition of a diversified portfolio of high-quality, net leased commercial properties with attractive long-term real estate fundamentals and (ii) investments in commercial loans and other investments secured by real estate. The 127 properties in our income property portfolio are 99.5% occupied and represent 4.3 million of gross rentable square feet with leases that have a weighted average lease term of 8.4 years (weighting based on annualized base rent as of December 31, 2025). Our portfolio is representative of our investment strategy, which consists of one or more of the following core investment criteria:</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Attractive Locations</w:t>
            </w:r>
            <w:r>
              <w:rPr>
                <w:rFonts w:ascii="Times New Roman;Times;serif" w:hAnsi="Times New Roman;Times;serif"/>
                <w:b w:val="false"/>
                <w:i w:val="false"/>
                <w:caps w:val="false"/>
                <w:smallCaps w:val="false"/>
                <w:sz w:val="20"/>
              </w:rPr>
              <w:t>. The 127 properties in our portfolio are primarily located in, or in close proximity to major metropolitan statistical areas, or MSAs, and in markets in the United States with favorable economic and demographic conditions supporting the underlying businesses of our tenants. As of December 31, 2025, approximately 52% of our portfolio’s annualized base rent was derived from properties located in MSAs with populations greater than one million people.</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Creditworthy Tenants</w:t>
            </w:r>
            <w:r>
              <w:rPr>
                <w:rFonts w:ascii="Times New Roman;Times;serif" w:hAnsi="Times New Roman;Times;serif"/>
                <w:b w:val="false"/>
                <w:i w:val="false"/>
                <w:caps w:val="false"/>
                <w:smallCaps w:val="false"/>
                <w:sz w:val="20"/>
              </w:rPr>
              <w:t xml:space="preserve">. 51% of our portfolio’s annualized base rent as of December 31, 2025 was derived from tenants that have (or whose parent company has) an investment grade credit rating from a recognized credit rating agency. The Company defines an investment grade credit rating as a rating from S&amp;P Global Ratings, Moody’s Investors Service, Fitch Ratings or the National Association of Insurance Commissioners of Baa3, BBB-, or NAIC-2 or higher. If applicable, in the event of a split rating between S&amp;P Global Ratings and Moody’s Investors Services, the Company utilizes the higher of the two ratings as its reference point as to whether a tenant has an investment grade credit rating. </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Geographic Diversity</w:t>
            </w:r>
            <w:r>
              <w:rPr>
                <w:rFonts w:ascii="Times New Roman;Times;serif" w:hAnsi="Times New Roman;Times;serif"/>
                <w:b w:val="false"/>
                <w:i w:val="false"/>
                <w:caps w:val="false"/>
                <w:smallCaps w:val="false"/>
                <w:sz w:val="20"/>
              </w:rPr>
              <w:t>. Our portfolio is spread across 95 markets in 32 states. Our largest property, as measured by annualized base rent, is located in the Rochester, New York MSA.</w:t>
            </w:r>
          </w:p>
        </w:tc>
      </w:tr>
    </w:tbl>
    <w:p>
      <w:pPr>
        <w:pStyle w:val="TextBody"/>
        <w:bidi w:val="0"/>
        <w:spacing w:before="0" w:after="24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High Occupancy with Primarily Long Duration Leases</w:t>
            </w:r>
            <w:r>
              <w:rPr>
                <w:rFonts w:ascii="Times New Roman;Times;serif" w:hAnsi="Times New Roman;Times;serif"/>
                <w:b w:val="false"/>
                <w:i w:val="false"/>
                <w:caps w:val="false"/>
                <w:smallCaps w:val="false"/>
                <w:sz w:val="20"/>
              </w:rPr>
              <w:t>. Our portfolio is 99.5% occupied. The leases in our portfolio have a weighted average remaining lease term of 8.4 years (weighted based on annualized base rent as of December 31, 2025).</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our income property portfolio, as of December 31, 2025, our business included a portfolio of nine construction loans, six mortgage notes, and three properties acquired pursuant to a sale-leaseback transaction whereby the tenant has a future repurchase right.</w:t>
      </w:r>
    </w:p>
    <w:p>
      <w:pPr>
        <w:pStyle w:val="TextBody"/>
        <w:bidi w:val="0"/>
        <w:spacing w:before="0" w:after="0"/>
        <w:ind w:left="0" w:right="0" w:firstLine="360"/>
        <w:jc w:val="both"/>
        <w:rPr/>
      </w:pPr>
      <w:r>
        <w:rPr/>
        <w:t>​</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The Company is a Maryland corporation formed on August 19, 2019. On November 26, 2019, the Company closed its initial public offering (“IPO”). Our common stock is listed on the New York Stock Exchange (“NYSE”) under the symbol “PINE.” We sold 7,500,000 shares of our common stock at $19.00 per share in the IPO. CTO purchased 421,053 of the shares of our common stock that we sold in the IPO. Concurrently with the closing of the IPO, CTO invested $15.5 million in exchange for 815,790 shares of our common stock (the “CTO Private Placement”). We refer to the IPO, the CTO Private Placement, and the other transactions executed at the time of our listing on the NYSE collectively as the “Formation Transactions.” See Note 19, “Related Party Management Company” in the Notes to the Financial Statements for the Company’s disclosure related to CTO’s purchases of PINE common stock subsequent to the IPO.</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We are externally managed by our Manager and conduct the substantial majority of our operations through, and substantially all of our assets are held by, Alpine Income Property OP, LP (the “Operating Partnership”). Our wholly owned subsidiary, Alpine Income Property GP, LLC (“PINE GP”), is the sole general partner of the Operating Partnership. As of December 31, 2025, we have a total common ownership interest in the Operating Partnership of 92.4%, with CTO holding, directly and indirectly, a 7.6% common ownership interest in the Operating Partnership. We also own 100% of the Series A Preferred units of the Operating Partnership underlying the Series A Preferred Stock (hereinafter defined). Our interest in the Operating Partnership generally entitles us to share in cash distributions from, and in the profits and losses of, the Operating Partnership in proportion to our percentage common ownership. We, through PINE GP, generally have the exclusive power under the partnership agreement to manage and conduct the business and affairs of the Operating Partnership, subject to certain approval and voting rights of the limited partners. Our Board of Directors (the “Board”) manages our business and affairs.</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Each limited partner of the Operating Partnership has the right to require the Operating Partnership to redeem part or all of its common units of the Operating Partnership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 Each redemption of OP Units will increase our percentage ownership interest in the Operating Partnership and our share of its cash distributions and profits and losses.</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Capital Markets</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i/>
          <w:sz w:val="20"/>
        </w:rPr>
        <w:t xml:space="preserve">Equity. </w:t>
      </w:r>
      <w:r>
        <w:rPr>
          <w:rFonts w:ascii="Times New Roman;Times;serif" w:hAnsi="Times New Roman;Times;serif"/>
          <w:sz w:val="20"/>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(the “SEC”) declared the 2020 Registration Statement effective on December 11, 2020.</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its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 declared the 2023 Registration Statement effective on September 29, 2023.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Company was not active under the 2020 ATM Program during the year ended December 31, 2020. The 2020 ATM Program was terminated in advance of implementing the 2022 ATM Program, hereinafter defined.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year ended December 31, 2025, the Company sold 618,757 shares under the 2022 ATM Program for gross proceeds of $10.6 million at a weighted average price of $17.10 per share, generating net proceeds of $10.4 million after deducting transaction fees totaling $0.2 million.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 As of December 31, 2025, we have $79.9 million of availability under the 2022 ATM Program.</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5, 2025, the Company priced a public offering of 2,000,000 shares of the Company’s 8.00% Series A Cumulative Redeemable Preferred Stock (the “Series A Preferred Stock”) at a public offering price of $25.00 per share. The offering closed on November 12, 2025, and the Company received gross proceeds of $50.0 million before deducting the underwriting discount and expenses, with net proceeds totaling $48.1 million.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5, 2025, the Company implemented a $35.0 million “at-the-market” preferred stock equity offering program (the “2025 Preferred Stock ATM Program”) pursuant to which the Company may sell, from time to time, shares of the Company’s Series A Preferred Stock. During the year ended December 31, 2025, the Company sold 83,328 shares under the 2025 Preferred Stock ATM Program for gross proceeds of $2.1 million at a weighted average price of $24.96 per share, generating net proceeds of $2.0 million after deducting transaction fees totaling less than $0.1 million. As of December 31, 2025, $32.9 million of availability remained under the 2025 Preferred Stock ATM Program.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Series A Preferred Stock ranks senior to the Company’s common stock with respect to dividend rights and rights upon liquidation, dissolution or winding up of the Company. The Series A Preferred Stock has no maturity date and will remain outstanding unless redeemed. The Series A Preferred Stock is not redeemable by the Company prior to November 12, 2030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Debt</w:t>
      </w:r>
      <w:r>
        <w:rPr>
          <w:rFonts w:ascii="Times New Roman;Times;serif" w:hAnsi="Times New Roman;Times;serif"/>
          <w:sz w:val="20"/>
        </w:rPr>
        <w:t>. Credit Facility. On September 30, 2022, the Company and the Operating Partnership entered into a credit agreement (the “2022 Amended and Restated Credit Agreement”)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origination of a new senior unsecured revolving credit facility in the amount of $250 million (the “Credit Facility”)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 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 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2022 Amended and Restated Credit Agreement, the indebtedness outstanding under the Credit Facility accrues at a rate ranging from SOFR plus 0.10% plus a range of 125 basis points to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2026 Term Loan. 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amends certain financial covenants and adds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2027 Term Loan. 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Market Opportunity</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investor demand remains resilient for the net lease industry with the total addressable market continuing to expand through sale-leaseback transactions and new developments. Unlike a gross lease, which places the financial responsibility for most expenses with the property owner, the net lease structure shifts the majority or entirety of costs for property taxes, insurance, maintenance and often utilities and capital expenditures, to the lessee, in addition to rent payments. Net leases are generally executed for an initial term of 10 to 15 years, but 20- and 25-year leases are not uncommon. Lease agreements often include multiple options for the tenant to extend and may include terms for periodic rent increases. Comparatively, multi-tenant commercial real estate properties under gross leases often have average initial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 terms between five and ten years with shorter or fewer options to extend. Rent escalation is also commonly embedded in the net lease terms as a specified percentage increase of existing rent per year or determined by reference to an inflation measure such as the Consumer Price Index. With cash flows that are intended to be passive, stable and paid at regular intervals, net leased real estate is similar, in many ways, to interest-bearing corporate bonds, but with the additional potential for appreciation in the value of the underlying property.</w:t>
      </w:r>
    </w:p>
    <w:p>
      <w:pPr>
        <w:pStyle w:val="TextBody"/>
        <w:bidi w:val="0"/>
        <w:spacing w:before="0" w:after="240"/>
        <w:ind w:left="0" w:right="0" w:firstLine="360"/>
        <w:jc w:val="both"/>
        <w:rPr>
          <w:shd w:fill="FFFF00" w:val="clear"/>
        </w:rPr>
      </w:pPr>
      <w:r>
        <w:rPr>
          <w:shd w:fill="FFFF00" w:val="clea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Investment Strategy</w:t>
      </w:r>
    </w:p>
    <w:p>
      <w:pPr>
        <w:pStyle w:val="TextBody"/>
        <w:bidi w:val="0"/>
        <w:spacing w:before="0" w:after="240"/>
        <w:ind w:left="0" w:right="0" w:firstLine="360"/>
        <w:jc w:val="both"/>
        <w:rPr/>
      </w:pPr>
      <w:r>
        <w:rPr/>
        <w:t>​</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real estate properties located in the United States leased primarily pursuant to triple-net, long-term leases. We focus on investments primarily in retail properties. We target tenants in industries that we believe are favorably impacted by current macroeconomic trends that support consumer spending, such as strong and growing employment and positive consumer sentiment, as well as tenants in industries that have demonstrated resistance to the impact of the growing e-commerce retail sector or who use a physical presence as a component of their omnichannel strategy. We also seek to invest in properties that are net leased to tenants that we determine have attractive credit characteristics, stable operating histories and healthy rent coverage levels, are well-located within their respective markets and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the net leased properties we own and intend to acquire will provide our stockholders with investment diversification and can deliver strong risk-adjusted returns. We expect the majority of our net leased properties will be retail properties. We believe the risk-adjusted returns for retail properties within our portfolio are compelling and offer attractive investment yields, rental rates at or below prevailing market rental rates and an investment basis below replacement cost.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also acquire and originate commercial loans and investments associated with real estate located in the United States. Our investments in commercial loans are generally secured by real estate or the borrower’s pledge of its ownership interest in an entity that owns real estate.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Property Portfolio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owned 127 properties in 32 states. The following is a summary of the relevant leases attributable to these properties:</w:t>
      </w:r>
    </w:p>
    <w:p>
      <w:pPr>
        <w:pStyle w:val="TextBody"/>
        <w:bidi w:val="0"/>
        <w:spacing w:before="0" w:after="0"/>
        <w:ind w:left="0" w:right="0" w:firstLine="360"/>
        <w:jc w:val="both"/>
        <w:rPr/>
      </w:pPr>
      <w:r>
        <w:rPr/>
        <w:t>​</w:t>
      </w:r>
    </w:p>
    <w:tbl>
      <w:tblPr>
        <w:tblW w:w="7635" w:type="dxa"/>
        <w:jc w:val="left"/>
        <w:tblInd w:w="0" w:type="dxa"/>
        <w:tblLayout w:type="fixed"/>
        <w:tblCellMar>
          <w:top w:w="0" w:type="dxa"/>
          <w:left w:w="0" w:type="dxa"/>
          <w:bottom w:w="0" w:type="dxa"/>
          <w:right w:w="0" w:type="dxa"/>
        </w:tblCellMar>
      </w:tblPr>
      <w:tblGrid>
        <w:gridCol w:w="1861"/>
        <w:gridCol w:w="109"/>
        <w:gridCol w:w="1666"/>
        <w:gridCol w:w="109"/>
        <w:gridCol w:w="1486"/>
        <w:gridCol w:w="109"/>
        <w:gridCol w:w="611"/>
        <w:gridCol w:w="1684"/>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181735" cy="175260"/>
                      <wp:effectExtent l="0" t="0" r="0" b="0"/>
                      <wp:wrapNone/>
                      <wp:docPr id="13" name="Frame13"/>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057910" cy="175260"/>
                      <wp:effectExtent l="0" t="0" r="0" b="0"/>
                      <wp:wrapNone/>
                      <wp:docPr id="15" name="Frame1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43610" cy="175260"/>
                      <wp:effectExtent l="0" t="0" r="0" b="0"/>
                      <wp:wrapNone/>
                      <wp:docPr id="17" name="Frame17"/>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87985" cy="175260"/>
                      <wp:effectExtent l="0" t="0" r="0" b="0"/>
                      <wp:wrapNone/>
                      <wp:docPr id="19" name="Frame19"/>
                      <a:graphic xmlns:a="http://schemas.openxmlformats.org/drawingml/2006/main">
                        <a:graphicData uri="http://schemas.microsoft.com/office/word/2010/wordprocessingShape">
                          <wps:wsp>
                            <wps:cNvSpPr txBox="1"/>
                            <wps:spPr>
                              <a:xfrm>
                                <a:off x="0" y="0"/>
                                <a:ext cx="38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069340" cy="175260"/>
                      <wp:effectExtent l="0" t="0" r="0" b="0"/>
                      <wp:wrapNone/>
                      <wp:docPr id="20" name="Frame20"/>
                      <a:graphic xmlns:a="http://schemas.openxmlformats.org/drawingml/2006/main">
                        <a:graphicData uri="http://schemas.microsoft.com/office/word/2010/wordprocessingShape">
                          <wps:wsp>
                            <wps:cNvSpPr txBox="1"/>
                            <wps:spPr>
                              <a:xfrm>
                                <a:off x="0" y="0"/>
                                <a:ext cx="1069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Description</w:t>
            </w:r>
          </w:p>
        </w:tc>
        <w:tc>
          <w:tcPr>
            <w:tcW w:w="109" w:type="dxa"/>
            <w:tcBorders/>
            <w:vAlign w:val="center"/>
          </w:tcPr>
          <w:p>
            <w:pPr>
              <w:pStyle w:val="TableContents"/>
              <w:bidi w:val="0"/>
              <w:spacing w:before="0" w:after="0"/>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Location</w:t>
            </w:r>
          </w:p>
        </w:tc>
        <w:tc>
          <w:tcPr>
            <w:tcW w:w="109"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Rentable Square Feet</w:t>
            </w:r>
          </w:p>
        </w:tc>
        <w:tc>
          <w:tcPr>
            <w:tcW w:w="109" w:type="dxa"/>
            <w:tcBorders/>
            <w:vAlign w:val="center"/>
          </w:tcPr>
          <w:p>
            <w:pPr>
              <w:pStyle w:val="TableContents"/>
              <w:bidi w:val="0"/>
              <w:spacing w:before="0" w:after="0"/>
              <w:ind w:left="0" w:right="0" w:hanging="0"/>
              <w:jc w:val="left"/>
              <w:rPr/>
            </w:pPr>
            <w:r>
              <w:rPr/>
              <w:t>​</w:t>
            </w:r>
          </w:p>
        </w:tc>
        <w:tc>
          <w:tcPr>
            <w:tcW w:w="229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5"/>
              </w:rPr>
              <w:t xml:space="preserve">Annualized Base Rent ($000's) </w:t>
            </w:r>
            <w:r>
              <w:rPr>
                <w:rFonts w:ascii="Times New Roman;Times;serif" w:hAnsi="Times New Roman;Times;serif"/>
                <w:b/>
                <w:sz w:val="11"/>
              </w:rPr>
              <w:t>(1)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Beachside Hospitality Group</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Anna Maria, FL</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10,600</w:t>
            </w:r>
          </w:p>
        </w:tc>
        <w:tc>
          <w:tcPr>
            <w:tcW w:w="109"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68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Germfree Laboratories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Ormond Beach, FL</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160,013</w:t>
            </w:r>
          </w:p>
        </w:tc>
        <w:tc>
          <w:tcPr>
            <w:tcW w:w="10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1,931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Victor, NY</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120,908</w:t>
            </w:r>
          </w:p>
        </w:tc>
        <w:tc>
          <w:tcPr>
            <w:tcW w:w="109"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center"/>
              <w:rPr/>
            </w:pPr>
            <w:r>
              <w:rPr/>
              <w:t>​</w:t>
            </w:r>
          </w:p>
        </w:tc>
        <w:tc>
          <w:tcPr>
            <w:tcW w:w="168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1,871</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Bass Pro Shops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Hermantown, MN</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66,033</w:t>
            </w:r>
          </w:p>
        </w:tc>
        <w:tc>
          <w:tcPr>
            <w:tcW w:w="10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1,370</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Howell, MI</w:t>
            </w:r>
          </w:p>
        </w:tc>
        <w:tc>
          <w:tcPr>
            <w:tcW w:w="109"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214,172</w:t>
            </w:r>
          </w:p>
        </w:tc>
        <w:tc>
          <w:tcPr>
            <w:tcW w:w="109"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right"/>
              <w:rPr/>
            </w:pPr>
            <w:r>
              <w:rPr/>
              <w:t>​</w:t>
            </w:r>
          </w:p>
        </w:tc>
        <w:tc>
          <w:tcPr>
            <w:tcW w:w="168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Knoxville, TN</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142,092</w:t>
            </w:r>
          </w:p>
        </w:tc>
        <w:tc>
          <w:tcPr>
            <w:tcW w:w="10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BJ's Wholesale Club</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108,532</w:t>
            </w:r>
          </w:p>
        </w:tc>
        <w:tc>
          <w:tcPr>
            <w:tcW w:w="109"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center"/>
              <w:rPr/>
            </w:pPr>
            <w:r>
              <w:rPr/>
              <w:t>​</w:t>
            </w:r>
          </w:p>
        </w:tc>
        <w:tc>
          <w:tcPr>
            <w:tcW w:w="168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Beachside Hospitality Group</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Bradenton Beach, FL</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22,131</w:t>
            </w:r>
          </w:p>
        </w:tc>
        <w:tc>
          <w:tcPr>
            <w:tcW w:w="10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Alamo Drafthouse</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Westminster, CO</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43,815</w:t>
            </w:r>
          </w:p>
        </w:tc>
        <w:tc>
          <w:tcPr>
            <w:tcW w:w="109"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center"/>
              <w:rPr/>
            </w:pPr>
            <w:r>
              <w:rPr/>
              <w:t>​</w:t>
            </w:r>
          </w:p>
        </w:tc>
        <w:tc>
          <w:tcPr>
            <w:tcW w:w="168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1,153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Houston, TX</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131,039</w:t>
            </w:r>
          </w:p>
        </w:tc>
        <w:tc>
          <w:tcPr>
            <w:tcW w:w="10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center"/>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 Home</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108,338</w:t>
            </w:r>
          </w:p>
        </w:tc>
        <w:tc>
          <w:tcPr>
            <w:tcW w:w="109"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center"/>
              <w:rPr/>
            </w:pPr>
            <w:r>
              <w:rPr/>
              <w:t>​</w:t>
            </w:r>
          </w:p>
        </w:tc>
        <w:tc>
          <w:tcPr>
            <w:tcW w:w="168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947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Houston, TX</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131,644</w:t>
            </w:r>
          </w:p>
        </w:tc>
        <w:tc>
          <w:tcPr>
            <w:tcW w:w="10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68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6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Logan, WV</w:t>
            </w:r>
          </w:p>
        </w:tc>
        <w:tc>
          <w:tcPr>
            <w:tcW w:w="109"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114,731</w:t>
            </w:r>
          </w:p>
        </w:tc>
        <w:tc>
          <w:tcPr>
            <w:tcW w:w="109" w:type="dxa"/>
            <w:tcBorders/>
            <w:shd w:fill="CCEEFF" w:val="clear"/>
            <w:vAlign w:val="center"/>
          </w:tcPr>
          <w:p>
            <w:pPr>
              <w:pStyle w:val="TableContents"/>
              <w:bidi w:val="0"/>
              <w:spacing w:before="0" w:after="0"/>
              <w:ind w:left="0" w:right="0" w:hanging="0"/>
              <w:jc w:val="left"/>
              <w:rPr/>
            </w:pPr>
            <w:r>
              <w:rPr/>
              <w:t>​</w:t>
            </w:r>
          </w:p>
        </w:tc>
        <w:tc>
          <w:tcPr>
            <w:tcW w:w="611" w:type="dxa"/>
            <w:tcBorders/>
            <w:shd w:fill="CCEEFF" w:val="clear"/>
            <w:vAlign w:val="center"/>
          </w:tcPr>
          <w:p>
            <w:pPr>
              <w:pStyle w:val="TableContents"/>
              <w:bidi w:val="0"/>
              <w:spacing w:before="0" w:after="0"/>
              <w:ind w:left="0" w:right="0" w:hanging="0"/>
              <w:jc w:val="center"/>
              <w:rPr/>
            </w:pPr>
            <w:r>
              <w:rPr/>
              <w:t>​</w:t>
            </w:r>
          </w:p>
        </w:tc>
        <w:tc>
          <w:tcPr>
            <w:tcW w:w="168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870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w:t>
            </w:r>
          </w:p>
        </w:tc>
        <w:tc>
          <w:tcPr>
            <w:tcW w:w="109"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North Richland Hills, TX</w:t>
            </w:r>
          </w:p>
        </w:tc>
        <w:tc>
          <w:tcPr>
            <w:tcW w:w="109"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70,891</w:t>
            </w:r>
          </w:p>
        </w:tc>
        <w:tc>
          <w:tcPr>
            <w:tcW w:w="109" w:type="dxa"/>
            <w:tcBorders/>
            <w:vAlign w:val="center"/>
          </w:tcPr>
          <w:p>
            <w:pPr>
              <w:pStyle w:val="TableContents"/>
              <w:bidi w:val="0"/>
              <w:spacing w:before="0" w:after="0"/>
              <w:ind w:left="0" w:right="0" w:hanging="0"/>
              <w:jc w:val="left"/>
              <w:rPr/>
            </w:pPr>
            <w:r>
              <w:rPr/>
              <w:t>​</w:t>
            </w:r>
          </w:p>
        </w:tc>
        <w:tc>
          <w:tcPr>
            <w:tcW w:w="611" w:type="dxa"/>
            <w:tcBorders/>
            <w:vAlign w:val="center"/>
          </w:tcPr>
          <w:p>
            <w:pPr>
              <w:pStyle w:val="TableContents"/>
              <w:bidi w:val="0"/>
              <w:spacing w:before="0" w:after="0"/>
              <w:ind w:left="0" w:right="0" w:hanging="0"/>
              <w:jc w:val="right"/>
              <w:rPr/>
            </w:pPr>
            <w:r>
              <w:rPr/>
              <w:t>​</w:t>
            </w:r>
          </w:p>
        </w:tc>
        <w:tc>
          <w:tcPr>
            <w:tcW w:w="1684" w:type="dxa"/>
            <w:tcBorders/>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859</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802" w:type="dxa"/>
        <w:jc w:val="left"/>
        <w:tblInd w:w="0" w:type="dxa"/>
        <w:tblLayout w:type="fixed"/>
        <w:tblCellMar>
          <w:top w:w="0" w:type="dxa"/>
          <w:left w:w="0" w:type="dxa"/>
          <w:bottom w:w="0" w:type="dxa"/>
          <w:right w:w="0" w:type="dxa"/>
        </w:tblCellMar>
      </w:tblPr>
      <w:tblGrid>
        <w:gridCol w:w="1861"/>
        <w:gridCol w:w="109"/>
        <w:gridCol w:w="1366"/>
        <w:gridCol w:w="109"/>
        <w:gridCol w:w="601"/>
        <w:gridCol w:w="226"/>
        <w:gridCol w:w="109"/>
        <w:gridCol w:w="421"/>
      </w:tblGrid>
      <w:tr>
        <w:trPr/>
        <w:tc>
          <w:tcPr>
            <w:tcW w:w="18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Lowe's </w:t>
            </w:r>
            <w:r>
              <w:rPr>
                <w:rFonts w:ascii="Times New Roman;Times;serif" w:hAnsi="Times New Roman;Times;serif"/>
                <w:sz w:val="11"/>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Stockton, CA</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138,136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Adrian, MI</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101,287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Home Depot</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Woodridge, IL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110,626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693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Downers Grove, IL</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62,860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Beachside Hospitality Group</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Longboat Key, FL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6,520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At Home</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Turnersville,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89,460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641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Academy Sports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Tupelo, MS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62,943</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Live Nation</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East Troy, WI</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226"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1"/>
              </w:rPr>
              <w:t>(2)</w:t>
            </w:r>
            <w:r>
              <w:rPr>
                <w:rFonts w:ascii="Times New Roman;Times;serif" w:hAnsi="Times New Roman;Times;serif"/>
                <w:sz w:val="14"/>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Downers Grove, IL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38,297</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630</w:t>
            </w:r>
          </w:p>
        </w:tc>
      </w:tr>
      <w:tr>
        <w:trPr/>
        <w:tc>
          <w:tcPr>
            <w:tcW w:w="186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Walmart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VA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116,425</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Academy Sports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Florence, SC</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58,410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625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Lowe's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Fremont, OH</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125,357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Chesterfield, MI</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49,979</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Crunch Fitness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Buford, GA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24,800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514</w:t>
            </w:r>
          </w:p>
        </w:tc>
      </w:tr>
      <w:tr>
        <w:trPr/>
        <w:tc>
          <w:tcPr>
            <w:tcW w:w="18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Lowe's </w:t>
            </w:r>
            <w:r>
              <w:rPr>
                <w:rFonts w:ascii="Times New Roman;Times;serif" w:hAnsi="Times New Roman;Times;serif"/>
                <w:sz w:val="11"/>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El Paso, TX</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136,545</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512</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Lafayette, LA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45,611</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AMC</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Tyngsborough, MA</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39,474</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Sportsman's Warehouse</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Morgantown, WV</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30,547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50,000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McDonough, GA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46,315</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495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Blackwood, NJ</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Dicks Sporting Goods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Glen Allen, VA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23,635</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Dayton, OH</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45,535</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432</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CVS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Baton Rouge, LA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13,813</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Marshalls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30,006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Verizon</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6,034</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359</w:t>
            </w:r>
          </w:p>
        </w:tc>
      </w:tr>
      <w:tr>
        <w:trPr/>
        <w:tc>
          <w:tcPr>
            <w:tcW w:w="18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Home Depot </w:t>
            </w:r>
            <w:r>
              <w:rPr>
                <w:rFonts w:ascii="Times New Roman;Times;serif" w:hAnsi="Times New Roman;Times;serif"/>
                <w:sz w:val="11"/>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125,218</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Decatur, IL</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353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Michaels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24,000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342</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McDonough, GA</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30,038</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Edgewater, MD</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14,820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328</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Office Depot</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Albuquerque, NM</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30,346</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Old Time Pottery</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West Chicago, IL</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78,721</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Best Buy</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20,460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Petco</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VA</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13,386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294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Ashley HomeStore</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Dayton, OH</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33,310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TJ Maxx</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VA</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21,089</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Albany, GA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14,770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258</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Hempstead, TX</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52,190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HomeGoods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22,910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Walmart</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Malden, MO</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48,081</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Nawabi Hyderabad House</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7,480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Walgreens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Glen Burnie, MD</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14,490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228</w:t>
            </w:r>
          </w:p>
        </w:tc>
      </w:tr>
      <w:tr>
        <w:trPr/>
        <w:tc>
          <w:tcPr>
            <w:tcW w:w="186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7-Eleven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Olathe, KS</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4,165</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Office Depot</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Gadsden, AL</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23,638</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Boot Barn</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10,037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IN</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5,108</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City, FL</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170</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Bounce Hopper</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Victor, NY</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20,055</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Miya Nails</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VA</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10,823</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 Paul, MN</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7,201</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Harbor Freight</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Washington, MO</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23,466</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Severn, MD</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6,876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148</w:t>
            </w:r>
          </w:p>
        </w:tc>
      </w:tr>
      <w:tr>
        <w:trPr/>
        <w:tc>
          <w:tcPr>
            <w:tcW w:w="1861" w:type="dxa"/>
            <w:tcBorders/>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Red Robin </w:t>
            </w:r>
            <w:r>
              <w:rPr>
                <w:rFonts w:ascii="Times New Roman;Times;serif" w:hAnsi="Times New Roman;Times;serif"/>
                <w:sz w:val="11"/>
              </w:rPr>
              <w:t>(3)</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4,575</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141</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VA</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9,736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127</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Kermit, TX</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10,920</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126</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Burger King</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Plymouth, NC</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3,142</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125</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Carrabba's Italian Grill</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Concord, NC</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6,382</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Harbor Freight</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Midland, MI</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14,624</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Mattress Firm</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Gadsden, AL</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7,237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122</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Tractor Supply Company</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Owensville, MO</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38,452</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Chazy, NY</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9,277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119</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Auburn, NE</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10,577</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118</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Odessa, TX</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117</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McKenney, VA</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10,531</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116</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Willis, TX</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9,138</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Medicine Lodge, KS</w:t>
            </w:r>
          </w:p>
        </w:tc>
        <w:tc>
          <w:tcPr>
            <w:tcW w:w="109" w:type="dxa"/>
            <w:tcBorders/>
            <w:shd w:fill="CCEEFF" w:val="clear"/>
            <w:vAlign w:val="center"/>
          </w:tcPr>
          <w:p>
            <w:pPr>
              <w:pStyle w:val="TableContents"/>
              <w:bidi w:val="0"/>
              <w:spacing w:before="0" w:after="0"/>
              <w:ind w:left="0" w:right="0" w:hanging="0"/>
              <w:jc w:val="center"/>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10,566</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City, AR</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10,424</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Amsterdam, OH</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Winthrop, NY</w:t>
            </w:r>
          </w:p>
        </w:tc>
        <w:tc>
          <w:tcPr>
            <w:tcW w:w="10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9,167</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 KS</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366"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Burlington, NC</w:t>
            </w:r>
          </w:p>
        </w:tc>
        <w:tc>
          <w:tcPr>
            <w:tcW w:w="109"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11,394</w:t>
            </w:r>
          </w:p>
        </w:tc>
        <w:tc>
          <w:tcPr>
            <w:tcW w:w="2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113</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36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Caneyville, KY</w:t>
            </w:r>
          </w:p>
        </w:tc>
        <w:tc>
          <w:tcPr>
            <w:tcW w:w="109"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10,604</w:t>
            </w:r>
          </w:p>
        </w:tc>
        <w:tc>
          <w:tcPr>
            <w:tcW w:w="2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421" w:type="dxa"/>
            <w:tcBorders/>
            <w:shd w:fill="CCEEFF" w:val="cle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112</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457" w:type="dxa"/>
        <w:jc w:val="left"/>
        <w:tblInd w:w="0" w:type="dxa"/>
        <w:tblLayout w:type="fixed"/>
        <w:tblCellMar>
          <w:top w:w="0" w:type="dxa"/>
          <w:left w:w="0" w:type="dxa"/>
          <w:bottom w:w="0" w:type="dxa"/>
          <w:right w:w="0" w:type="dxa"/>
        </w:tblCellMar>
      </w:tblPr>
      <w:tblGrid>
        <w:gridCol w:w="1321"/>
        <w:gridCol w:w="109"/>
        <w:gridCol w:w="1291"/>
        <w:gridCol w:w="109"/>
        <w:gridCol w:w="721"/>
        <w:gridCol w:w="109"/>
        <w:gridCol w:w="181"/>
        <w:gridCol w:w="616"/>
      </w:tblGrid>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Caney, KS</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Cut and Shoot, TX</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9,096</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Sulphur, OK</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Ware, MA</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6,889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Tipton, MO</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111</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Milford, ME</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9,128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Demopolis, AL</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10,159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110</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Madill, OK</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9,682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Superior, NE</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Sabetha, KS</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108</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Phillipsburg, KS</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Van Buren, MO</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Salem,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9,199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Plainville, KS</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McGehee, AR</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10,993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Gladewater, TX</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10,111</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Town Creek, AL</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10,545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Tecumseh, NE</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10,644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Anthony, KS</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Bingham, ME</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9,345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Harrisville, NY</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9,309</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Murfreesboro, AR</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Heuvelton,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9,342</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Firestone</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Pittsburgh, PA</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10,629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103</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Barker,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9,275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102</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Limestone, ME</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9,167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Anderson, AL</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10,607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99</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Hammond, NY</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Des Arc, AR</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10,555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98</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Somerville, TX</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9,252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96</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Dearing, GA</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9,288</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Seguin, TX</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Tree</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Albuquerque, NM</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10,023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Family Dollar</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Village, AR</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14,592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Newtonsville, OH</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9,290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Del Rio, TX</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9,219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83</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Hardee's</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Bluefield, VA</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3,763</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80</w:t>
            </w:r>
          </w:p>
        </w:tc>
      </w:tr>
      <w:tr>
        <w:trPr/>
        <w:tc>
          <w:tcPr>
            <w:tcW w:w="13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J.F. Williams </w:t>
            </w:r>
            <w:r>
              <w:rPr>
                <w:rFonts w:ascii="Times New Roman;Times;serif" w:hAnsi="Times New Roman;Times;serif"/>
                <w:sz w:val="11"/>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Richmond, VA</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5,982</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76</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Starbucks</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75</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Warsaw, NY</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14,495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74</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Hardee's</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Belleville, IL</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3,230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Burger King</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Dundee, MI</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3,255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Jiffy Lube</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Lake Charles, LA</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1,897</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Ludington, MI</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6,604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Advance Auto Parts</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New Baltimore, MI</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6,784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63</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Sushi Lovers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1,999</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Perry,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9,181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59</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Dansville, NY</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9,174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Dollar General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Ellicottville,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9,144</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56</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Playa Bowls</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1,498</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55</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Philly Pretzel</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1,505</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w:t>
            </w:r>
          </w:p>
        </w:tc>
      </w:tr>
      <w:tr>
        <w:trPr/>
        <w:tc>
          <w:tcPr>
            <w:tcW w:w="13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4"/>
              </w:rPr>
            </w:pPr>
            <w:r>
              <w:rPr>
                <w:rFonts w:ascii="Times New Roman;Times;serif" w:hAnsi="Times New Roman;Times;serif"/>
                <w:sz w:val="15"/>
              </w:rPr>
              <w:t xml:space="preserve">7Brew </w:t>
            </w:r>
            <w:r>
              <w:rPr>
                <w:rFonts w:ascii="Times New Roman;Times;serif" w:hAnsi="Times New Roman;Times;serif"/>
                <w:sz w:val="11"/>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Orange Park, FL</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Jackson, MS</w:t>
            </w:r>
          </w:p>
        </w:tc>
        <w:tc>
          <w:tcPr>
            <w:tcW w:w="109"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1,920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Leland, MS</w:t>
            </w:r>
          </w:p>
        </w:tc>
        <w:tc>
          <w:tcPr>
            <w:tcW w:w="109"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3,343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32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Oceanside, NY</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15,500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32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Vacant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Vineland, NJ</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r>
      <w:tr>
        <w:trPr/>
        <w:tc>
          <w:tcPr>
            <w:tcW w:w="1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4,272,921</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w:t>
            </w:r>
          </w:p>
        </w:tc>
        <w:tc>
          <w:tcPr>
            <w:tcW w:w="616"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46,227</w:t>
            </w:r>
          </w:p>
        </w:tc>
      </w:tr>
    </w:tbl>
    <w:tbl>
      <w:tblPr>
        <w:tblW w:w="5897" w:type="dxa"/>
        <w:jc w:val="left"/>
        <w:tblInd w:w="0" w:type="dxa"/>
        <w:tblLayout w:type="fixed"/>
        <w:tblCellMar>
          <w:top w:w="0" w:type="dxa"/>
          <w:left w:w="0" w:type="dxa"/>
          <w:bottom w:w="0" w:type="dxa"/>
          <w:right w:w="0" w:type="dxa"/>
        </w:tblCellMar>
      </w:tblPr>
      <w:tblGrid>
        <w:gridCol w:w="271"/>
        <w:gridCol w:w="562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6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Annualized straight-line base rental income in place as of December 31, 2025.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Alpine Valley Music Theatre, leased to Live Nation Entertainment, Inc., is an entertainment venue consisting of a two-sided, open-air, 7,500-seat pavilion; an outdoor amphitheater with a capacity for 37,000; and over 150 acres of green space.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We are the lessor in a ground lease with the tenant. Rentable square feet represents improvements on the property that revert to us at the expiration of the lease.</w:t>
            </w:r>
          </w:p>
        </w:tc>
      </w:tr>
    </w:tbl>
    <w:tbl>
      <w:tblPr>
        <w:tblW w:w="6617" w:type="dxa"/>
        <w:jc w:val="left"/>
        <w:tblInd w:w="0" w:type="dxa"/>
        <w:tblLayout w:type="fixed"/>
        <w:tblCellMar>
          <w:top w:w="0" w:type="dxa"/>
          <w:left w:w="0" w:type="dxa"/>
          <w:bottom w:w="0" w:type="dxa"/>
          <w:right w:w="0" w:type="dxa"/>
        </w:tblCellMar>
      </w:tblPr>
      <w:tblGrid>
        <w:gridCol w:w="271"/>
        <w:gridCol w:w="634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6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Tenants represent active leases with rent to commence subsequent to December 31, 2025.</w:t>
            </w:r>
          </w:p>
        </w:tc>
      </w:tr>
    </w:tbl>
    <w:p>
      <w:pPr>
        <w:pStyle w:val="TextBody"/>
        <w:bidi w:val="0"/>
        <w:spacing w:before="0" w:after="0"/>
        <w:ind w:left="36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Certain individual tenants in the Company’s portfolio of income properties accounted for more than 10% of lease income from the Company’s income properties during the years ended December 31, 2025, 2024, and 2023. For the year ended December 31, 2025, Dick’s Sporting Goods and Lowe’s accounted for 11% and 10% of lease income revenues, respectively.  For the years ended December 31, 2024 and 2023, Walgreens represented 11% of lease income revenues.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2025, 14% of the Company’s income property portfolio, based on square footage, was located in the state of Texas. As of December 31, 2024, 11% of the Company’s income property portfolio, based on square footage, was located in each of the states of New Jersey and Michigan.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investments in commercial loans are generally secured by real estate or the borrower’s pledge of its ownership interest in the entity that owns the real estate. As of December 31, 2025 and 2024, our</w:t>
      </w:r>
      <w:r>
        <w:rPr>
          <w:rFonts w:ascii="Times New Roman;Times;serif" w:hAnsi="Times New Roman;Times;serif"/>
          <w:sz w:val="20"/>
          <w:shd w:fill="FFFFFF" w:val="clear"/>
        </w:rPr>
        <w:t xml:space="preserve"> investments in commercial loans were all associated with real estate located in the United States, are current and performing, and bear interest at a fixed rate.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shd w:fill="FFFFFF" w:val="clear"/>
        </w:rPr>
        <w:t xml:space="preserve">2025 Commercial Loans and Investments Activity. </w:t>
      </w:r>
      <w:r>
        <w:rPr>
          <w:rFonts w:ascii="Times New Roman;Times;serif" w:hAnsi="Times New Roman;Times;serif"/>
          <w:sz w:val="20"/>
        </w:rPr>
        <w:t xml:space="preserve">During the year ended December 31, 2025, the Company originated (i) 11 commercial loans for an aggregate investment volume of $137.3 million at a weighted average initial cash yield of 12.4% and (ii) one, $2.0 million short-term mortgage note with an initial cash yield of 16.5%, that was originated on June 5, 2025 and repaid in full on July 2, 2025. Additionally, during the year ended December 31, 2025, the Company amended five existing commercial loan investments whereby certain maturity dates were extended and the total face amounts of four loan investments were upsized by an aggregate of $39.7 million. </w:t>
      </w:r>
      <w:r>
        <w:rPr>
          <w:rFonts w:ascii="Times New Roman;Times;serif" w:hAnsi="Times New Roman;Times;serif"/>
          <w:sz w:val="20"/>
          <w:shd w:fill="FFFFFF" w:val="clear"/>
        </w:rPr>
        <w:t>Also during the year ended December 31, 2025, the Company sold a $10.0 million A-1 participation interest in a $29.5 million mortgage note that was initially originated by the Company. As of December 31, 2025, the Company’s commercial loan investments portfolio included nine construction loans, six mortgage notes, and three properties acquired pursuant to a sale-leaseback transaction whereby the tenant has a future repurchase right, with an aggregate carrying value of $167.6 million.</w:t>
      </w:r>
      <w:r>
        <w:rPr>
          <w:rFonts w:ascii="Times New Roman;Times;serif" w:hAnsi="Times New Roman;Times;serif"/>
          <w:sz w:val="20"/>
        </w:rPr>
        <w:t xml:space="preserve"> </w:t>
      </w:r>
      <w:r>
        <w:rPr>
          <w:rFonts w:ascii="Times New Roman;Times;serif" w:hAnsi="Times New Roman;Times;serif"/>
          <w:sz w:val="20"/>
          <w:shd w:fill="FFFFFF" w:val="clear"/>
        </w:rPr>
        <w:t>See Note 4, “Commercial Loans and Investments” in the Notes to the Financial Statements for additional disclosures related to the Company’s commercial loans and investments as of December 31, 2025.</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shd w:fill="FFFFFF" w:val="clear"/>
        </w:rPr>
        <w:t>2024 Commercial Loans and Investments Portfolio</w:t>
      </w:r>
      <w:r>
        <w:rPr>
          <w:rFonts w:ascii="Times New Roman;Times;serif" w:hAnsi="Times New Roman;Times;serif"/>
          <w:sz w:val="20"/>
          <w:shd w:fill="FFFFFF" w:val="clear"/>
        </w:rPr>
        <w:t xml:space="preserve">. During the year ended December 31, 2024, the Company originated three commercial loans for an aggregate investment volume of $31.1 million at a weighted average initial cash yield of 10.7%. The Company also acquired three single-tenant income properties (“the Sale-Leaseback Properties”) in the greater Tampa Bay, Florida area for $31.4 million during the year ended December 31, 2024, through a sale-leaseback transaction that includes a tenant repurchase option. Due to the existence of the tenant repurchase option, and pursuant to FASB ASC Topic 842, </w:t>
      </w:r>
      <w:r>
        <w:rPr>
          <w:rFonts w:ascii="Times New Roman;Times;serif" w:hAnsi="Times New Roman;Times;serif"/>
          <w:i/>
          <w:sz w:val="20"/>
          <w:shd w:fill="FFFFFF" w:val="clear"/>
        </w:rPr>
        <w:t>Leases</w:t>
      </w:r>
      <w:r>
        <w:rPr>
          <w:rFonts w:ascii="Times New Roman;Times;serif" w:hAnsi="Times New Roman;Times;serif"/>
          <w:sz w:val="20"/>
          <w:shd w:fill="FFFFFF" w:val="clear"/>
        </w:rPr>
        <w:t xml:space="preserve">, GAAP requires that the $31.4 million investment be accounted for as a financing arrangement, and accordingly the related assets and corresponding revenue are included in the Company’s commercial loans and investments in the Company’s consolidated balance sheets and consolidated statement of operations. However, as the Sale-Leaseback Properties constitute real estate assets for both legal and tax purposes, we have included them in the property portfolio when describing our property portfolio and for purposes of providing statistics related thereto. </w:t>
      </w:r>
      <w:r>
        <w:rPr>
          <w:rFonts w:ascii="Times New Roman;Times;serif" w:hAnsi="Times New Roman;Times;serif"/>
          <w:sz w:val="20"/>
        </w:rPr>
        <w:t xml:space="preserve">Also during the year ended December 31, 2024, the Company sold a $13.6 million A-1 participation interest in a $23.4 million portfolio loan that was initially originated by the Company. </w:t>
      </w:r>
      <w:r>
        <w:rPr>
          <w:rFonts w:ascii="Times New Roman;Times;serif" w:hAnsi="Times New Roman;Times;serif"/>
          <w:sz w:val="20"/>
          <w:shd w:fill="FFFFFF" w:val="clear"/>
        </w:rPr>
        <w:t xml:space="preserve">As of December 31, 2024, the Company’s commercial loan investments portfolio included </w:t>
      </w:r>
      <w:r>
        <w:rPr>
          <w:rFonts w:ascii="Times New Roman;Times;serif" w:hAnsi="Times New Roman;Times;serif"/>
          <w:sz w:val="20"/>
        </w:rPr>
        <w:t>five construction loans, one mortgage note, and three properties acquired pursuant to a sale-leaseback transaction whereby the tenant has a future repurchase right,</w:t>
      </w:r>
      <w:r>
        <w:rPr>
          <w:rFonts w:ascii="Times New Roman;Times;serif" w:hAnsi="Times New Roman;Times;serif"/>
          <w:sz w:val="20"/>
          <w:shd w:fill="FFFFFF" w:val="clear"/>
        </w:rPr>
        <w:t xml:space="preserve"> with an aggregate carrying value of $89.6 million. </w:t>
      </w:r>
      <w:r>
        <w:rPr>
          <w:rFonts w:ascii="Times New Roman;Times;serif" w:hAnsi="Times New Roman;Times;serif"/>
          <w:sz w:val="20"/>
        </w:rPr>
        <w:t xml:space="preserve">See Note 4, “Commercial Loans and Investments” </w:t>
      </w:r>
      <w:r>
        <w:rPr>
          <w:rFonts w:ascii="Times New Roman;Times;serif" w:hAnsi="Times New Roman;Times;serif"/>
          <w:sz w:val="20"/>
          <w:shd w:fill="FFFFFF" w:val="clear"/>
        </w:rPr>
        <w:t xml:space="preserve">in the Notes to the Financial Statements </w:t>
      </w:r>
      <w:r>
        <w:rPr>
          <w:rFonts w:ascii="Times New Roman;Times;serif" w:hAnsi="Times New Roman;Times;serif"/>
          <w:sz w:val="20"/>
        </w:rPr>
        <w:t xml:space="preserve">for additional disclosures related to the Company’s commercial loans and investments as of December 31, 2024.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shd w:fill="FFFFFF" w:val="clear"/>
        </w:rPr>
        <w:t>2023 Commercial Loans and Investments Portfolio</w:t>
      </w:r>
      <w:r>
        <w:rPr>
          <w:rFonts w:ascii="Times New Roman;Times;serif" w:hAnsi="Times New Roman;Times;serif"/>
          <w:sz w:val="20"/>
          <w:shd w:fill="FFFFFF" w:val="clear"/>
        </w:rPr>
        <w:t>. During the year ended December 31, 2023, the Company invested in three commercial loans with a total funding commitment of $38.6 million. As of December 31, 2023, the Company’s commercial loan investments portfolio included two construction loans and one mortgage note with a total carrying value of $35.1 million. See Note 4, “Commercial Loans and Investments” in the Notes to the Financial Statements for additional disclosures related to the Company’s commercial loans and investments as of December 31, 2023.</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Management Agreement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 1.5% annual rate), calculated and payable in cash, quarterly in arrears. Our Manager has waived a portion of the base management fee attributable to the inclusion of the net cash proceeds from the issuance of the Series A Preferred Stock in our “total equity” (the “Incremental Equity Base”), such that the base management fee rate on the Incremental Equity Base is equal to 0.75% per annum (0.1875% per quarter), instead of 1.50% per annum (0.375% per quarter) as provided in the Management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years ended December 31, 2025, 2024, or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July 18, 2024, the Operating Partnership and PINE entered into an amendment (the “Amendment”) to the Management Agreement with the Manager. The Amendment extended the expiration date of the initial term of the Management Agreement from November 26, 2024 to January 31, 2025 and on that date the term of the Management Agreement automatically renewed for a one-year term. The current term of the Management Agreement expires on January 31, 2027, and the Management Agreement will automatically renew for an unlimited number of successive one-year periods thereafter, unless the Management Agreement is not renewed or is terminated in accordance with its terms.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independent directors review our Manager’s performance and the management fees annually.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without the payment of any termination fee, with 30 days’ prior written notice from the Board.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Conflicts of Interest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or sell net leased properties that would potentially fit the investment criteria for our Manager or its affiliates. Similarly, our Manager or its affiliates may acquire or sell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asset.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4" w:after="4"/>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real estate business, generally, is highly competitive. We intend to focus on investing in commercial real estate that produces income primarily through the leasing of assets to tenants and on acquiring or originating commercial loans and investments associated with commercial real estate located in the United States. To identify investment opportunities in income-producing real estate assets and commercial loans and investments and to achieve our investment objectives, we compete with numerous companies and organizations, both public as well as private, of varying sizes, ranging from organizations with local operations to organizations with national scale and reach, and in some cases, we compete with individual real estate investors. In all the markets in which we compete to acquire net leased properties, price is the principal method of competition, with transaction structure and certainty of execution also being significant considerations for potential sellers. We face competition for acquisitions of real property and acquisitions and originations of commercial loans and investments from investors, including traded and non-traded public REITs, private equity investors, institutional investment funds, debt funds, private credit funds, specialty finance companies, savings and loan associations, banks, mortgage bankers, insurance companies, mutual funds, investment banking firms, financial institutions, hedge funds, governmental bodies and other entities, many of which have greater financial resources than we do, a greater ability to borrow funds to acquire properties or originate other investments and the ability to accept more risk. This competition may increase the demand for the types of properties or commercial loans and investments in which we typically invest and, therefore, reduce the number of suitable investment opportunities available to us and increase the prices paid for such properties or commercial loans and investments. This competition will increase if investments in real estate become more attractive relative to other forms of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landlord, we compete in the multi-billion-dollar commercial real estate market with numerous developers and owners of properties, many of which own properties similar to ours in the same markets in which our properties are located. Some of our competitors have greater economies of scale, lower costs of capital, access to more resources and greater name recognition than we do. If our competitors offer space at rental rates below current market rates or below the rental rates we currently charge our tenants, we may lose our tenants or prospective tenants and we may be pressured to reduce our rental rates or to offer substantial rent abatements, tenant improvement allowances, early termination rights or below-market renewal options in order to retain tenants when our leases expire.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xml:space="preserve"> Our properties are subject to various laws, ordinances and regulations, including those relating to fire and safety requirements, and affirmative and negative covenants and, in some instances, common area obligations. Our tenants have primary responsibility for compliance with these requirements pursuant to our leases. We believe that each of our properties has the necessary permits and approvals.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 xml:space="preserve">Americans With Disabilities Act. </w:t>
      </w:r>
      <w:r>
        <w:rPr>
          <w:rFonts w:ascii="Times New Roman;Times;serif" w:hAnsi="Times New Roman;Times;serif"/>
          <w:sz w:val="20"/>
        </w:rPr>
        <w:t>Under Title III of the Americans with Disabilities Act (“ADA”), and rules promulgated thereunder, in order to protect individuals with disabilities, public accommodations must remove architectural and communication barriers that are structural in nature from existing places of public accommodation to the extent “readily achievable.” In addition, under the ADA, alterations to a place of public accommodation or a commercial facility are to be made so that, to the maximum extent feasible, such altered portions are readily accessible to and usable by disabled individuals. The “readily achievable” standard considers, among other factors, the financial resources of the affected site and the owner, lessor or other applicable person.</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Compliance with the ADA, as well as other federal, state and local laws, may require modifications to properties we currently own or may purchase or may restrict renovations of those properties. Failure to comply with these laws or regulations could result in the imposition of fines or an award of damages to private litigants, as well as the incurrence of the costs of making modifications to attain compliance, and future legislation could impose additional obligations or restrictions on our properties. Although our tenants are generally responsible for all maintenance and repairs of the property pursuant to our lease, including compliance with the ADA and other similar laws or regulations, we could be held liable as the owner of the property for a failure of one of our tenants to comply with these laws or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ENVIRONMENTAL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Federal, state and local environmental laws and regulations regulate, and impose liability for, releases of hazardous or toxic substances into the environment. Under various of these laws and regulations, a current or previous owner, operator or tenant of real estate may be required to investigate and clean up hazardous or toxic substances, hazardous wastes or petroleum product releases or threats of releases at the property, and may be held liable to a government entity or to third parties for property damage and for investigation, clean-up and monitoring costs incurred by those parties in connection with the actual or threatened contamination. These laws may impose clean-up responsibility and liability without regard to fault, or whether the owner, operator or tenant knew of or caused the presence of the contamination. The liability under these laws may be joint and several for the full amount of the investigation, clean-up and monitoring costs incurred or to be incurred or actions to be undertaken, although a party held jointly and severally liable may seek to obtain contributions from other identified, solvent, responsible parties of their fair share toward these costs. These costs may be substantial and can exceed the value of the property. In addition, some environmental laws may create a lien on the contaminated site in favor of the government for damages and costs it incurs in connection with the contamination. As the owner or operator of real estate, we may also be liable under common law to third parties for damages and injuries resulting from environmental contamination emanating from the real estate. The presence of contamination, or the failure to properly remediate contamination, on a property may adversely affect the ability of the owner, operator or tenant to sell or rent that property or to borrow using the property as collateral and may adversely impact our investment in that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properties contain, have contained or are adjacent to or near other properties that have contained or currently contain storage tanks for the storage of petroleum products or other hazardous or toxic substances. Similarly, some of our properties were used in the past for commercial or industrial purposes, or are currently used for commercial purposes, that involve or involved the use of petroleum products or other hazardous or toxic substances or are adjacent to or near properties that have been or are used for similar commercial or industrial purposes. These operations create a potential for the release of petroleum products or other hazardous or toxic substances, and we could potentially be required to pay to clean up any contamination. In addition, environmental laws regulate a variety of activities that can occur on a property, including the storage of petroleum products or other hazardous or toxic substances, air emissions, water discharges and exposure to lead-based paint. Such laws may impose fines or penalties for violations and may require permits or other governmental approvals to be obtained for the operation of a business involving such activities. As a result of the foregoing, we could be materially and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Environmental laws also govern the presence, maintenance, and removal of asbestos-containing materials (“ACM”). Federal regulations require building owners and those exercising control over a building’s management to identify and warn, through signs and labels, of potential hazards posed by workplace exposure to installed ACM in their building. The regulations also have employee training, record keeping and due diligence requirements pertaining to ACM. Significant fines can be assessed for violation of these regulations. As a result of these regulations, building owners and those exercising control over a building’s management may be subject to an increased risk of personal injury lawsuits by workers and others exposed to ACM. The regulations may affect the value of a building containing ACM in which we have invested. Federal, state and local laws and regulations also govern the removal, encapsulation, disturbance, handling and/or disposal of ACM when those materials are in poor condition or in the event of construction, remodeling, renovation or demolition of a building. These laws may impose liability for improper handling or a release into the environment of ACM and may provide for fines to, and for third parties to seek recovery from, owners or operators of real properties for personal injury or improper work exposure associated with ACM.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Indoor air quality issues can also stem from inadequate ventilation, chemical contamination from indoor or outdoor sources and other biological contaminants such as pollen, viruses and bacteria. Indoor exposure to airborne toxins or irritants above certain levels can be alleged to cause a variety of adverse health effects and symptoms, including allergic or other reactions. As a result, the presence of significant mold or other airborne contaminants at any of our properties could require us to undertake a costly remediation program to contain or remove the mold or other airborne contaminants from the affected property or increase indoor ventilation. In addition, the presence of significant mold or other airborne contaminants could expose us to liability from our tenants, employees of our tenants or others if property damage or personal injury occurs.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obtain Phase I environmental assessments for properties acquired. Phase I environmental site assessments are limited in scope and therefore may not reveal all environmental conditions affecting a property. However, if recommended in the initial assessments, we may undertake additional assessments such as soil and/or groundwater samplings or other limited subsurface investigations and ACM or mold surveys to test for substances of concern. A prior owner or operator of a property or historic operations at our properties may have created a material environmental condition that is not known to us or the independent consultants preparing the site assessments. Material environmental conditions may have arisen after the review was completed or may arise in the future, and future laws, ordinances or regulations may impose material additional environmental liability. If environmental concerns are not satisfactorily resolved in any initial or additional assessments, we may obtain environmental insurance policies to insure against potential environmental risk or loss depending on the type of property, the availability and cost of the insurance and various other factors we deem relevant. Our ultimate liability for environmental conditions may exceed the policy limits on any environmental insurance policies we obtain, if 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Generally, our leases require the lessee to comply with environmental law and provide that the lessee will indemnify us for any loss or expense we incur as a result of the lessee’s violation of environmental law or the presence, use or release of hazardous materials on our property attributable to the lessee. If our lessees do not comply with environmental law, or we are unable to enforce the indemnification obligations of our lessees, our results of operations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what other environmental legislation or regulations will be enacted in the future, how existing or future laws or regulations will be administered or interpreted or what environmental conditions may be found to exist on our properties in the future. Compliance with existing and new laws and regulations may require us or our tenants to spend funds to remedy environmental problems. If we or our tenants were to become subject to significant environmental liabilities, we could be materially and adversely affected.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no employees and is externally managed and advised by our Manager pursuant to the Management Agreement. Our Manager is a wholly owned subsidiary of CTO. All of our executive officers also serve as executive officers of CTO, and one of our executive officers and directors, John P. Albright, also serves as an executive officer and director of CTO.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maintains a website at </w:t>
      </w:r>
      <w:r>
        <w:rPr>
          <w:rFonts w:ascii="Times New Roman;Times;serif" w:hAnsi="Times New Roman;Times;serif"/>
          <w:i/>
          <w:sz w:val="20"/>
        </w:rPr>
        <w:t>www.alpinereit.com</w:t>
      </w:r>
      <w:r>
        <w:rPr>
          <w:rFonts w:ascii="Times New Roman;Times;serif" w:hAnsi="Times New Roman;Times;serif"/>
          <w:sz w:val="20"/>
        </w:rPr>
        <w:t>. The Company is providing the address to its website solely for the information of investors. The information on the Company’s website is not a part of, nor is it incorporated by reference into this Annual Report on Form 10-K. Through its website, the Company makes available, free of charge, its annual proxy statement, Annual Reports on Form 10-K, Quarterly Reports on Form 10-Q, Current Reports on Form 8-K and amendments to those reports filed or furnished pursuant to Section 13(a) or 15(d) of the Exchange Act as soon as reasonably practicable after the Company electronically files such material with, or furnishes them to, the SEC. The public may read and obtain a copy of any materials the Company files electronically with the SEC at www.sec.gov.</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38" w:name="ITEM1ARISKFACTORS_920857"/>
      <w:bookmarkStart w:id="39" w:name="_e29fcc2b_7060_4734_abfb_e1aeec00a6d9"/>
      <w:bookmarkEnd w:id="38"/>
      <w:bookmarkEnd w:id="39"/>
      <w:r>
        <w:rPr>
          <w:rFonts w:ascii="Times New Roman;Times;serif" w:hAnsi="Times New Roman;Times;serif"/>
          <w:b/>
          <w:sz w:val="20"/>
        </w:rPr>
        <w:t>ITEM 1A.             RISK FACTORS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An investment in our securities involves a high degree of risk. The following list of risk factors is not exhaustive and should be read together with the more detailed risk factors contained below. </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the ownership of commercial real estate that could affect the performance and value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U.S., global and local regions or markets that impact our tenants’ businesses may materially and adversely affect us generally and the ability of our tenants to make rental payments to us pursuant to our leases.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upon our tenants successfully operating their businesses, and their failure to do so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 occupied by a single tenant pursuant to a single lease subject us to significant risk of tenant default.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portfolio has geographic market concentrations that make us susceptible to adverse developments in those geographic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tenant concentration, and an adverse development with respect to a large tenant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tenants are not rated by a recognized credit rating agency or do not have an investment grade rating from such an agency. Leases with unrated or non-investment grade rated tenants may be subject to a greater risk of default.</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demand for retail space may materially and adversely affect us.</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renew leases, lease vacant space or re-lease space as leases expire on favorable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and potential tenants’ businesses and thereby adversely impact our ability to collect rents and reduce the demand for leasing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vacancy of one or more of our properties could result in us having to incur significant capital expenditures to re-tenant the space.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identify suitable property acquisitions or developments, which may impede our growth, and our future acquisitions and developments may not yield the returns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significant competition for tenants, which may adversely impact the occupancy levels of our portfolio or prevent increases of the rental rates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our investment strategy is focused on investing in commercial loans and investments which may involve credit risk or repayment risk.</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origination or acquisition of construction loans exposes us to an increased risk of loss.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fixed-rate loan investments, and an increase in market interest rates may adversely affect the value of these investments, which could adversely impact our financial condition,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loans or similar investments we may acquire that are secured by real estate typically depend on the ability of the property owner to generate income from operating the property. Failure to do so may result in delinquency and/or foreclosure.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losses when a borrower defaults on a loan and the value of the underlying collateral is less than the amount due.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decline in the fair value of our real estate assets or investments which could result in impairments and would impact our financial condition and results of operations.</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compliance with or liabilities related to environmental laws may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properties may contain or develop harmful mold, which could lead to liability for adverse health effects and costs of remediation.</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is required to operate two publicly traded companies, CTO and our company, which could place a significant strain on our senior management team and the management systems, infrastructure and other resources of CTO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employees and are entirely dependent upon our Manager for all the services we require, and we cannot assure you that our Manager will allocate the resources necessary to meet our business objectives.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CTO may be unable to obtain or retain the executive officers and other personnel that it provides to us through our Manager.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fee payable to our Manager pursuant to the Management Agreement may cause our Manager to select investments in more risky assets to increase its incentive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conflicts of interest in our relationships with our Manager, which could result in outcomes that are not in our best interests.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Management Agreement could be difficult and costly, including as a result of payment of termination fees to our Manager, and may cause us to be unable to execute our business plan, which could materially and adversely affect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 Agreement with our Manager and the ROFO Agreement with CTO were not negotiated on an arm’s-length basis and may not be as favorable to us as if they had been negotiated with unaffiliated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remain qualified as a REIT would cause us to be taxed as a regular corporation, which would substantially reduce funds available for distributions to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remain qualified as a REIT, we may face other tax liabilities that could reduce our cash flows and negatively impact our results of operations and financial condition.</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make required distributions would subject us to U.S. federal corporate income tax.</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Complying with REIT requirements may limit our ability to hedge our liabilities effectively and may cause us to incur tax liabilities.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prohibited transactions tax may limit our ability to dispose of our properties.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to revoke our REIT qualification without stockholder approval may cause adverse consequences to our stockholders.</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payable by REITs do not qualify for the reduced tax rates available for some dividends.</w:t>
            </w:r>
          </w:p>
        </w:tc>
      </w:tr>
    </w:tbl>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Income Properties Segment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the ownership of commercial real estate that could affect the performance and value of our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Factors beyond our control can affect the performance and value of our properties. Our core business is the ownership of commercial net leased properties. Accordingly, our performance is subject to risks incident to the ownership of commercial real estate, including:</w:t>
      </w:r>
    </w:p>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collect rents from tenants due to financial hardship, including bankruptcy;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local real estate conditions in the markets where our properties are located, including the availability and demand for the properties we own;</w:t>
            </w:r>
          </w:p>
        </w:tc>
      </w:tr>
    </w:tbl>
    <w:tbl>
      <w:tblPr>
        <w:tblW w:w="9846" w:type="dxa"/>
        <w:jc w:val="left"/>
        <w:tblInd w:w="0" w:type="dxa"/>
        <w:tblLayout w:type="fixed"/>
        <w:tblCellMar>
          <w:top w:w="28" w:type="dxa"/>
          <w:left w:w="28" w:type="dxa"/>
          <w:bottom w:w="28" w:type="dxa"/>
          <w:right w:w="28" w:type="dxa"/>
        </w:tblCellMar>
      </w:tblPr>
      <w:tblGrid>
        <w:gridCol w:w="124"/>
        <w:gridCol w:w="25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trends and preferences that affect the demand for products and services offered by our tenants;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national, regional and local economic conditions;</w:t>
            </w:r>
          </w:p>
        </w:tc>
      </w:tr>
    </w:tbl>
    <w:tbl>
      <w:tblPr>
        <w:tblW w:w="7341" w:type="dxa"/>
        <w:jc w:val="left"/>
        <w:tblInd w:w="0" w:type="dxa"/>
        <w:tblLayout w:type="fixed"/>
        <w:tblCellMar>
          <w:top w:w="28" w:type="dxa"/>
          <w:left w:w="28" w:type="dxa"/>
          <w:bottom w:w="28" w:type="dxa"/>
          <w:right w:w="28" w:type="dxa"/>
        </w:tblCellMar>
      </w:tblPr>
      <w:tblGrid>
        <w:gridCol w:w="124"/>
        <w:gridCol w:w="256"/>
        <w:gridCol w:w="6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lease or sell properties upon expiration or termination of existing leases;</w:t>
            </w:r>
          </w:p>
        </w:tc>
      </w:tr>
    </w:tbl>
    <w:tbl>
      <w:tblPr>
        <w:tblW w:w="8226" w:type="dxa"/>
        <w:jc w:val="left"/>
        <w:tblInd w:w="0" w:type="dxa"/>
        <w:tblLayout w:type="fixed"/>
        <w:tblCellMar>
          <w:top w:w="28" w:type="dxa"/>
          <w:left w:w="28" w:type="dxa"/>
          <w:bottom w:w="28" w:type="dxa"/>
          <w:right w:w="28" w:type="dxa"/>
        </w:tblCellMar>
      </w:tblPr>
      <w:tblGrid>
        <w:gridCol w:w="124"/>
        <w:gridCol w:w="256"/>
        <w:gridCol w:w="7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risks, including the presence of hazardous or toxic substances on our properties;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subjectivity of real estate valuations and changes in such valuations over time;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illiquidity of real estate investments, which may limit our ability to modify our portfolio promptly in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response to changes in economic or other conditions;</w:t>
      </w:r>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zoning or other local regulatory restrictions, or other factors pertaining to the local government institutions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inhibit interest in the markets in which our properties are located;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196" w:type="dxa"/>
        <w:jc w:val="left"/>
        <w:tblInd w:w="0" w:type="dxa"/>
        <w:tblLayout w:type="fixed"/>
        <w:tblCellMar>
          <w:top w:w="28" w:type="dxa"/>
          <w:left w:w="28" w:type="dxa"/>
          <w:bottom w:w="28" w:type="dxa"/>
          <w:right w:w="28" w:type="dxa"/>
        </w:tblCellMar>
      </w:tblPr>
      <w:tblGrid>
        <w:gridCol w:w="124"/>
        <w:gridCol w:w="256"/>
        <w:gridCol w:w="48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and the availability of financing;</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from other real estate companies similar to ours and competition for tenants, including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 xml:space="preserve">competition based on rental rates, age and location of properties and the quality of maintenance, insurance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and management services;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God, including natural disasters and global pandemics, such as the COVID-19 Pandemic, which impact the United States, which may result in uninsured losses;</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of war or terrorism, including consequences of terrorist attacks;</w:t>
            </w:r>
          </w:p>
        </w:tc>
      </w:tr>
    </w:tbl>
    <w:tbl>
      <w:tblPr>
        <w:tblW w:w="8436" w:type="dxa"/>
        <w:jc w:val="left"/>
        <w:tblInd w:w="0" w:type="dxa"/>
        <w:tblLayout w:type="fixed"/>
        <w:tblCellMar>
          <w:top w:w="28" w:type="dxa"/>
          <w:left w:w="28" w:type="dxa"/>
          <w:bottom w:w="28" w:type="dxa"/>
          <w:right w:w="28" w:type="dxa"/>
        </w:tblCellMar>
      </w:tblPr>
      <w:tblGrid>
        <w:gridCol w:w="124"/>
        <w:gridCol w:w="256"/>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tenant preferences that reduce the attractiveness and marketability of our properties to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tenants or cause decreases in market rental rates;</w:t>
      </w:r>
    </w:p>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need to periodically repair, renovate or re-lease our properties;</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increases in the cost of our operations, particularly maintenance, insurance or real estate taxes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which may occur even when circumstances such as market factors and competition cause a reduction in our revenues;</w:t>
      </w:r>
    </w:p>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governmental laws and regulations, fiscal policies and zoning ordinances and the related </w:t>
            </w:r>
          </w:p>
        </w:tc>
      </w:tr>
    </w:tbl>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costs of compliance with laws and regulations, fiscal policies and ordinances including in response to global pandemics whereby our tenants’ businesses are forced to close or remain open on a limited basis only; and</w:t>
      </w:r>
    </w:p>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commodities prices.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occurrence of any of the risks described above may cause the performance and value of our properties to decline, which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Adverse changes in U.S., global and local regions or markets that impact our tenants’ businesses may materially and adversely affect us generally and the ability of our tenants to make rental payments to us pursuant to our leases.</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results of operations, as well as the results of operations of our tenants, are sensitive to changes in U.S., global and local regions or markets that impact our tenants’ businesses. Adverse changes or developments in U.S., global or regional economic conditions may impact our tenants’ financial condition, which may adversely impact their ability to make rental payments to us pursuant to the leases they have with us and may also impact their current or future leasing practices. Adverse economic conditions such as high unemployment levels, rising interest rates, increased tax rates and increasing fuel and energy costs may have an impact on the results of operations and financial conditions of our tenants, which would likely adversely impact us. During periods of economic slowdown and declining demand for real estate, we may experience a general decline in rents or increased rates of default under our leases. A lack of demand for rental space could adversely affect our ability to maintain our current tenants and gain new tenants, which may affect our growth, profitability and ability to pay dividends.</w:t>
      </w:r>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Global trade disruption, significant introductions of trade barriers and bilateral trade frictions, together with any future downturns in the global economy resulting therefrom, could adversely affect our performance.</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including China,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our performance.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business is dependent upon our tenants successfully operating their businesses, and their failure to do so could materially and adversely affect us.</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Most of our income properties are occupied by a single tenant. Therefore, the success of our investments in these properties is materially dependent upon the performance of each property’s respective tenants. The financial performance of any one of our tenants is dependent on the tenant’s individual business, its industry and, in many instances, the performance of a larger business network that the tenant may be affiliated with or operate under. The financial performance of any one of our tenants could be adversely affected by poor management, inflation, higher interest rates, supply chain issues (including those potentially caused by global trade uncertainty or tariffs), unfavorable economic conditions in general, changes in consumer trends and preferences that decrease demand for a tenant’s products or services or other factors, including the impact of a global pandemic which affects the United States, over which neither they nor we have control. Our portfolio includes properties leased to single tenants that operate in multiple locations, which means we own multiple properties operated by the same tenant. To the extent we own multiple properties operated by one tenant, the general failure of that single tenant or a loss or significant decline in its business could materially and adversely affect us.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any given time, any tenant may experience a decline in its business that may weaken its operating results or the overall financial condition of individual properties or its business as a whole. Any such decline may result in our tenant failing to make rental payments when due, declining to extend a lease upon its expiration, delaying occupancy of our property or the commencement of the lease or becoming insolvent or filing for bankruptcy protection. We depend on our tenants to operate their businesses at the properties we own in a manner which generates revenues sufficient to allow them to meet their obligations to us, including their obligations to pay rent, maintain certain insurance coverage, pay real estate taxes, make repairs and otherwise maintain our properties. The ability of our tenants to fulfill their obligations under our leases may depend, in part, upon the overall profitability of their operations. Cash flow generated by certain tenant businesses may not be sufficient for a tenant to meet its obligations to us pursuant to the applicable lease. We could be materially and adversely affected if a tenant representing a significant portion of our operating results or a number of our tenants were unable to meet their obligations to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assessment that certain of our tenants’ businesses are insulated from e-commerce pressure may prove to be incorrect, and changes in macroeconomic trends may adversely affect our tenants, either of which could impair our tenants’ ability to make rental payments to us and thereby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invest in properties leased, in many instances, to tenants engaged in businesses that we believe are generally insulated from the impact of e-commerce. While we believe our assessment to be accurate, businesses previously thought to be resistant to the pressure of the increasing level of e-commerce have ultimately been proven to be susceptible to competition from e-commerce. Overall business conditions and the impact of technology, particularly in the retail industry, are rapidly changing, and our tenants may be adversely affected by technological innovation, changing consumer preferences and competition from non-traditional sources. To the extent our tenants face increased competition from non-traditional competitors, such as internet vendors, their businesses could suffer. There can be no assurance that our tenants will be successful in meeting any new competition, and a deterioration in our tenants’ businesses could impair their ability to meet their lease obligations to us and thereby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believe that many of the businesses operated by our tenants are benefiting from macroeconomic trends that support consumer spending, such as low unemployment and positive consumer sentiment. Economic conditions are generally cyclical, and developments that discourage consumer spending, such as increasing unemployment, wage stagnation, decreases in the value of real estate, inflation or increasing interest rates, could adversely affect our tenants, impair their ability to meet their lease obligations to us and materially and adversely affect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Properties occupied by a single tenant pursuant to a single lease subject us to significant risk of tenant default.</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Most of our properties are occupied by a single tenant. Therefore, the financial failure of, or default in payment by, a tenant under its lease is likely to cause a significant reduction or complete cessation of our rental revenue from that property and possibly a reduction in the value of the property. We may also experience difficulty or a significant delay in re-leasing or selling such property. This risk is magnified in situations where we lease multiple properties to a single tenant and the financial failure of the tenant’s business affects more than a single property. A failure or default by such a tenant could reduce or eliminate rental revenue from multiple properties and reduce the value of such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experience a decline in the fair value of our real estate assets which could result in impairments and would impact our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decline in the fair market value of our long-lived assets may require us to recognize an impairment against such assets (as defined by Financial Accounting Standards Board, or the FASB, authoritative accounting guidance) if certain conditions or circumstances related to an asset were to change and we were to determine that, with respect to any such asset, that the cash flows no longer support the carrying value of the asset. The fair value of our long-lived assets depends on market conditions, including estimates of future demand for these assets, and the revenues that can be generated from such assets. If such a determination were to be made, we would recognize the estimated unrealized losses through earnings and write down the depreciated cost of such assets to a new cost basis, based on the fair value of such assets on the date they are considered to be impaired. Such impairment charges reflect non-cash losses at the time of recognition, and subsequent dispositions or sales of such assets could further affect our future losses or gains, as they are based on the difference between the sales price received and the adjusted depreciated cost of such assets at the time of sale.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portfolio has geographic market concentrations that make us susceptible to adverse developments in those geographic markets.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to general, regional, national, and global economic conditions, our operating performance is impacted by the economic conditions of the specific geographic markets in which we have concentrations of properties. Our portfolio includes substantial holdings in Texas as of December 31, 2025 (based on square footage). Our geographic concentrations could adversely affect our operating performance if conditions become less favorable in any of the states or markets within such states in which we have a concentration of properties. Such geographic concentrations could be heightened by the fact that our investments may be concentrated in certain areas that are affected by epidemics or pandemics such as COVID-19 more than other areas. We cannot assure you that any of our markets will grow, not experience adverse developments or that underlying real estate fundamentals will be favorable to owners and operators of commercial properties. Our operations may also be affected if competing properties are built in our markets. A downturn in the economy in the states or regions in which we have a concentration of properties, or markets within such states or regions, could adversely affect our tenants operating businesses in those states or regions, impair their ability to pay rent to us and thereby,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tenant concentration, and an adverse development with respect to a large tenant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in the past and may in the future have significant tenant and property concentrations. In the event that a tenant that occupies a significant number of our properties or whose lease payments represent a significant portion of our rental revenue, were to experience financial difficulty or file for bankruptcy protection, it could have a material adverse effect on us.</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Certain of our tenants are not rated by a recognized credit rating agency or do not have an investment grade rating from such an agency. Leases with unrated or non-investment grade rated tenants may be subject to a greater risk of default.</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49% of our tenants or parent entities thereof (based on annualized straight-line base rent) were not rated or did not have an investment grade credit rating from a recognized rating agency. Leases with non-investment grade or unrated tenants may be subject to a greater risk of default. Unrated tenants or non-investment grade tenants may also be more likely to experience financial weakness or file for bankruptcy protection than tenants with investment grade credit ratings. When we consider the acquisition of a property with an in-place lease with an unrated or non-investment grade rated tenant or leasing a property to a tenant that does not have a credit rating or does not have an investment grade rating, we evaluate the strength of the proposed tenant’s business at the property level and at a corporate level, if applicable, and may consider the risk of tenant/company insolvency using internally developed methodologies or assessments provided by third parties. If our evaluation of an unrated or non-investment grade tenant’s creditworthiness is inaccurate, the default or bankruptcy risk related to the tenant may be greater than anticipated. In the event that any of our unrated tenants were to experience financial weakness or file for bankruptcy protection, it could have a material adverse effect on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A decrease in demand for retail space may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100% of leases based on annualized straight-line base rent were with tenants operating retail businesses. In the future, we intend to acquire additional properties leased to a single tenant operating a retail business at the property. Accordingly, decreases in the demand for leasing retail space may have a greater adverse effect on us than if we had fewer investments in retail properties. The market for leasing of retail space has historically been adversely affected by weakness in the national, regional and local economies, the adverse financial condition of some large retail companies, consolidation in the retail industry, the excess amount of retail space in a number of markets and increasing e-commerce pressure. To the extent that adverse conditions arise or continue, they are likely to negatively affect market rents for retail space and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renew leases, lease vacant space or re-lease space as leases expire on favorable terms or at all.</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results of operations depend on our ability to lease our properties, including renewing expiring leases, leasing vacant space and re-leasing space in properties where leases are expiring, and leasing space related to new project development. In leasing or re-leasing our properties, we may be unable to optimize our tenant mix or execute leases on more economically favorable terms than the prior in-place lease. Our tenants may decline, or may not have the financial resources available, to renew their leases, and there can be no assurance that leases that are renewed will have terms that are as economically favorable to us as the expiring lease terms. If tenants do not renew their leases as they expire, we will have to source new tenants to lease our properties, and there can be no assurance that we will be able to find new tenants or that our properties will be re-leased at rental rates equal to or above the previous in-place lease or current average rental rates or that substantial rent abatements, tenant improvement allowances, early termination rights or below-market renewal options will not be offered to attract new tenants. We may experience increased costs in connection with re-leasing our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Certain provisions of our leases may be unenforceable.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rights and obligations with respect to our leases are governed by written agreements. A court could determine that one or more provisions of such an agreement are unenforceable. We could be adversely impacted if this were to happen with respect to a property or group of properties.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bankruptcy or insolvency of any of our tenants could result in the termination of such tenant’s lease and material losses to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occurrence of a tenant bankruptcy or insolvency in most cases diminishes the income we receive from that tenant’s lease or leases, or forces us to re-tenant the affected property as a result of a default of the in-place tenant or a rejection of a tenant lease by a bankruptcy court. When a tenant files for bankruptcy protection or becomes insolvent, federal law may prohibit us from evicting such tenant based solely upon such bankruptcy or insolvency. In addition, a bankrupt or insolvent tenant may be authorized to reject and terminate its lease or leases with us. Any claims against such bankrupt tenant for unpaid rent or future rent would be subject to statutory limitations that would likely result in our receipt of rental revenues that are substantially less than the contractually specified rent we are owed under the lease or leases. In addition, any claim we have for unpaid past rent, if any, may not be paid in full. We may also be unable to re-lease a property in which the in-place lease was not terminated or rejected or to re-lease it on comparable or more favorable terms. As a result, tenant bankruptcies or insolvencies may materially and adversely affect us.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2023, one of our tenants under three separate master leases filed for bankruptcy protection and ultimately liquidation, resulting in the termination of such master leases, which covered seven convenience store properties. During the year ended December 31, 2023, the Company recorded a $2.9 million impairment charge representing the provision for losses related to these seven convenience store properties within our income properties segment. The seven leases underlying these seven convenience store properties were rejected as a part of the bankruptcy proceedings during August of 2023. The impairment charge of $2.9 million was equal to the estimated sales prices for these seven convenience store properties (as set forth in executed letters of intent at the time the impairment was estimated), less the book value of the assets as of December 31, 2023, less estimated costs to sell. During the year ended December 31, 2024, the Company recorded an additional $1.1 million impairment charge representing the provision for losses related to the same portfolio of convenience store properties within our income properties segment. The impairment charge of $1.1 million is equal to the estimated sales prices for these assets pursuant to letters of intent for sale executed during the year ended December 31, 2024, less the book value of the assets, less estimated costs to sell. Our estimated costs to sell include certain property improvements, which are estimated at $0.6 million. During the year ended December 31, 2025, the Company recorded an additional $0.9 million impairment charge representing the provision for losses related to the same portfolio of convenience store properties within our income properties segment. The impairment charge of $0.9 million is equal to the estimated sales prices for these assets pursuant to letters of intent for sale executed during the year ended December 31, 2025, less the book value of the assets, less estimated costs to sell. Our estimated costs to sell include certain property improvements, which are estimated at $0.1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Additionally during the year ended December 31, 2024, another one of our tenants, Party City, filed for bankruptcy protection. During the year ended December 31, 2025, the Company recorded an impairment on a property formerly leased to Party City, which is currently vacant, in the amount of $1.0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not acquire the properties that we evaluate in our pipeline.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generally seek to maintain a robust pipeline of investment opportunities. Transactions may fail to close for a variety of reasons, including the discovery of previously unknown liabilities or other items uncovered during our diligence process. Similarly, we may never execute binding purchase agreements with respect to properties that are currently subject to non-binding letters of intent, and properties with respect to which we are negotiating may never lead to the execution of any letter of intent. For many other reasons, we may not ultimately acquire the properties in our pipeline.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As we continue to acquire properties, we may decrease or fail to increase the diversity of our portfolio.</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generally seek to maintain or increase our portfolio’s tenant, geographic and industry diversification with future acquisitions, it is possible that we may determine to consummate one or more acquisitions that actually decrease our portfolio’s diversity. If our portfolio becomes less diverse, our business will be more sensitive to tenant or market factors, including the bankruptcy or insolvency of tenants, to changes in consumer trends of a particular industry and to a general economic downturn or downturns in a market or particular geographic area.</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obtain only limited warranties when we acquire a property and may only have limited recourse if our due diligence did not identify any issues that may subject us to unknown liabilities or lower the value of our property, which could adversely affect our financial condition and ability to make distributions to you.</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seller of a property often sells the property in its “as is” condition on a “where is” basis and “with all faults,” without any warranties of merchantability or fitness for a particular use or purpose. In addition, purchase agreements may contain only limited warranties, representations and indemnifications that will survive for only a limited period after the closing. The acquisition of properties with limited warranties increases the risk that we may lose some or all of our invested capital in the property, lose rental income from that property or may be subject to unknown liabilities with respect to such properties.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Many of the tenants that occupy our properties compete in industries that depend upon discretionary spending by consumers. A reduction in the willingness or ability of consumers to use their discretionary income in the businesses of our tenants and potential tenants could adversely impact our tenants’ business and thereby adversely impact our ability to collect rents and reduce the demand for leasing our properties.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Certain properties in our portfolio are leased to tenants operating retail, service-oriented or experience-based businesses. Sporting goods, home improvement, dollar stores, casual dining, home furnishings, pharmacy, consumer electronics and grocery represent a significant portion of the industries in our portfolio. The success of most of the tenants operating businesses in these industries depends on consumer demand and, more specifically, the willingness of consumers to use their discretionary income to purchase products or services from our tenants. Consumer spending has in the past declined, and may in the future decline at any time, for reasons beyond our control, including as a result of economic downturns or recessions, unemployment and consumer income levels, financial market volatility, credit conditions and availability, inflation, rising or elevated interest rates, tariffs and international trade policy, increases in theft or other crime, pandemics or other public health concerns and changes in consumer preferences. A prolonged period of economic weakness, another downturn in the U.S. economy or accelerated dislocation of these industries due to the impact of e-commerce, could cause consumers to reduce their discretionary spending in general or spending at these locations in particular, which could have a material and adverse effect on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vacancy of one or more of our properties could result in us having to incur significant capital expenditures to re-tenant the space.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loss of a tenant, either through lease expiration, tenant bankruptcy or insolvency, may require us to spend significant amounts of capital to renovate the property before it is suitable for a new tenant and cause us to incur significant costs to source new tenants. In many instances, the leases we enter into or assume through acquisition are for properties that are specifically suited to the particular business of our tenants. Because these properties have been designed or physically modified for a particular tenant, if the current lease is terminated or not renewed, we may be required to renovate the property at substantial costs, decrease the rent we charge or provide other concessions in order to lease the property to another tenant. In addition, in the event we decide to sell the property, we may have difficulty selling it to a party other than the tenant due to the special purpose for which the property may have been designed or modified. This potential limitation on our ability to sell a property may limit our ability to quickly modify our portfolio in response to changes in our tenants’ business prospects, economic or other conditions, including tenant demand. These limitations may materially and adversely affect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identify and complete suitable property acquisitions or developments, which may impede our growth, and our future acquisitions and developments may not yield the returns we expect.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ability to expand through acquisitions and developments requires us to identify and complete acquisitions and new property developments that are consistent with our investment and growth strategy and our investment criteria and to successfully integrate newly acquired properties into our portfolio. Our Manager continually evaluates investment opportunities for us, but our ability to acquire or develop new properties on favorable terms and successfully operate them may be constrained by the following significant risks: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commercial developers and other real estate investors with significant capital, including REITs and institutional investment funds, which may be able to accept more risk than we can prudently manage, including risks associated with paying higher acquisition prices;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other potential acquirers which may significantly increase the purchase price for a property we acquire, which could reduce our growth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significant costs and divert management attention in connection with evaluating and negotiating potential acquisitions and developments, including ones that we are unable to complete;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properties that are not accretive to our results of operations upon acquisition, and we may be unsuccessful in managing and leasing such properties in accordance with our expectations;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 from an acquired or developed property may be insufficient to meet our required principal and interest payments with respect to debt used to finance the acquisition or development of such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discover unexpected issues, such as unknown liabilities, during our due diligence investigation of a potential acquisition or other customary closing conditions may not be satisfied, causing us to abandon an investment opportunity after incurring expenses related thereto;</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obtain financing for an acquisition or new property development on favorable terms or at all;</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spend more than budgeted amounts to make necessary improvements or renovations to acquired properties;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may result in higher than expected vacancy rates and lower than expected rental rates;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properties subject to (i) liabilities without any recourse, or with only limited recourse, with respect to unknown liabilities such as liabilities for clean-up of undisclosed environmental contamination not revealed in Phase I environmental site assessments or otherwise through due diligence, (ii) claims by tenants, vendors or other persons dealing with the former owners of the properties, (iii) liabilities incurred in the ordinary course of business, and (iv) claims for indemnification by general partners, directors, officers and others indemnified by the former owners of the properties.</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these risks are realized, we may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be unable to complete acquisitions of properties owned by CTO that are covered by the ROFO Agreement, and any completed acquisitions of such properties may not yield the returns we expect.</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the ROFO Agreement provides us with a right of first offer with respect to certain single-tenant, net leased properties owned by CTO, there can be no assurance that CTO will elect to sell these properties in the future. Even if CTO elects to sell these properties in the future, we may be unable to reach an agreement with CTO on the terms of the purchase of such properties or may not have the funds or ability to finance the purchase of such properties. Accordingly, there can be no assurance that we will be able to acquire any properties covered by the ROFO Agreement in the future. Further, even if we are able to acquire properties covered by the ROFO Agreement, there is no guarantee that such properties will be able to maintain their historical performance, or that we will be able to realize the same returns from those properties as CTO.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face significant competition for tenants, which may adversely impact the occupancy levels of our portfolio or prevent increases of the rental rates of our properties.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compete with numerous developers, owners and operators of net leased properties, many of which are much larger and own properties similar to ours in the same markets in which our properties are located. The size and financial wherewithal of our competitors may allow them to offer space at rental rates below current market rates or below the rental rates we charge our tenants. As a result, we may lose existing tenants or fail to obtain future tenants, and the downward pressure caused by these other owners, operators and developers may cause us to reduce our rental rates or to offer more substantial rent abatements, tenant improvements, early termination rights or below-market renewal options in order to retain tenants when our leases expire. Competition for tenants could adversely impact the occupancy levels of our portfolio or prevent increases of the rental rates of our properties,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Inflation may materially and adversely affect us and our tenants.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Increased inflation has in the past and could again in the future have an adverse impact on interest rates, which has negatively impacted the cost of our or our tenants’ variable rate debt and would likely negatively impact the cost of any variable rate debt that we obtain in the future. During times when inflation is increasing at a greater rate than the increases in rent provided by our leases, our rent levels will not keep up with the costs associated with rising inflation. Increased costs may have an adverse impact on our tenants if increases in their operating expenses exceed increases they might achieve in revenues, which may adversely affect the tenants’ ability to pay rent owed to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redevelopment or renovation of our properties may cause us to experience unexpected costs and have other risks that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in the future redevelop, significantly renovate or otherwise invest additional capital in our properties to improve them and enhance the opportunity for achieving attractive risk-adjusted returns. These activities are subject to a number of risks, including risks associated with construction work and risks of cost overruns due to construction delays or other factors that may increase the expected costs of a project. In addition, we may incur costs in connection with projects that are ultimately not pursued to completion. Any of our redevelopment or renovation projects may be financed. If such financing is not available on acceptable terms, our redevelopment and renovation activities may not be pursued or may be curtailed. In addition, such activities would likely reduce the available borrowing capacity on the Credit Facility or any other credit facilities that we may have in place in the future, which would limit our ability to use those sources of capital for the acquisition of properties and other operating needs. The risks associated with redevelopment and renovation activities, including but not necessarily limited to those noted above,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real estate investments are generally illiquid, which could significantly affect our ability to respond to market changes or adverse changes relating to our tenants or in the performance of our properties.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real estate investments made, and expected to be made, by us are relatively difficult for us to sell quickly. As a result, our ability to make rapid adjustments in the size and content of our portfolio in response to economic or other conditions is limited. Illiquid assets typically experience greater price volatility, as a ready market does not exist, and can be more difficult to value. In addition, validating third party pricing for illiquid assets may be more subjective than more liquid assets. As a result, if we are required to quickly liquidate all or a portion of our portfolio, we may realize significantly less than the value at which we have previously recorded our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Internal Revenue Code of 1986, as amended (the “Code”), imposes restrictions on a REIT’s ability to dispose of properties that are not applicable to other types of real estate companies. In particular, the tax laws applicable to REITs effectively require that we hold our properties for investment, rather than primarily for sale in the ordinary course of business, which may cause us to forgo or defer sales of properties that otherwise would be in our best interest. Therefore, we may not be able to vary our portfolio in response to economic or other conditions promptly or on favorable terms, which may materially and adversely affect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may not be able to dispose of properties we target for sale to recycle our capital.</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may seek to selectively sell properties to recycle our capital, we may be unable to sell properties targeted for disposition due to adverse market or other conditions, or not achieve the pricing or timing that is consistent with our expectations. This may adversely affect, among other things, our ability to deploy capital into the acquisition of other properties and the execution of our overall operating strategy, which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development of new projects and/or properties may cause us to experience unexpected costs and have other risks that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develop new projects to enhance the opportunity for achieving attractive risk-adjusted returns. New project development is subject to a number of risks, including risks associated with the availability and timely receipt of zoning and other regulatory approvals, the timely completion of construction (including risks from factors beyond our control, such as weather, labor conditions or material shortages) and risks of cost overruns due to construction delays, inflation, higher interest rates, supply chain issues (including those potentially caused by global trade uncertainty or tariffs), or other factors that may increase the expected costs of a project. These risks could result in substantial unanticipated delays and, under certain circumstances, provide a tenant the opportunity to delay rent commencement, reduce rent or terminate a lease. In addition, we may incur costs in connection with projects that are ultimately not pursued to completion. Any new development projects may be financed. If such financing is not available on acceptable terms, our development activities may not be pursued or may be curtailed. In addition, such activities would likely reduce the available borrowing capacity on the revolving credit facility or any other credit facilities that we may have in place in the future, which would limit our ability to use those sources of capital for the acquisition of properties, origination or acquisition of commercial loans and investments and other operating needs. The risks associated with new project development activities, including but not necessarily limited to those noted above,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success of our activities related to new project development in which we will retain an ownership interest is partly dependent on the availability of suitable undeveloped land at acceptable prices.</w:t>
      </w:r>
    </w:p>
    <w:p>
      <w:pPr>
        <w:pStyle w:val="TextBody"/>
        <w:bidi w:val="0"/>
        <w:spacing w:before="0" w:after="0"/>
        <w:ind w:left="0" w:right="0" w:firstLine="360"/>
        <w:jc w:val="both"/>
        <w:rPr/>
      </w:pPr>
      <w:r>
        <w:rPr/>
        <w:t> </w:t>
      </w:r>
    </w:p>
    <w:p>
      <w:pPr>
        <w:pStyle w:val="TextBody"/>
        <w:bidi w:val="0"/>
        <w:spacing w:before="0" w:after="0"/>
        <w:ind w:left="0" w:right="0" w:firstLine="360"/>
        <w:jc w:val="both"/>
        <w:rPr/>
      </w:pPr>
      <w:r>
        <w:rPr/>
        <w:t> </w:t>
      </w:r>
      <w:r>
        <w:rPr>
          <w:rFonts w:ascii="Times New Roman;Times;serif" w:hAnsi="Times New Roman;Times;serif"/>
          <w:sz w:val="20"/>
        </w:rPr>
        <w:t>Our success in developing projects that we will retain an ownership interest in is partly dependent upon the availability of undeveloped land suitable for the intended development. The availability of undeveloped land for purchase at acceptable prices depends on a number of factors outside of our control, including the risk of competitive over-bidding on land and governmental regulations that restrict the potential uses of land. If the availability of suitable land opportunities decreases, the number of development projects we may be able to undertake could be reduced. Thus, the lack of availability of suitable land opportunities could have a material adverse effect on our results of operations and growth prospects.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Commercial Loans and Investments Segment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 part of our investment strategy is focused on investing in commercial loans and investments which may involve credit risk.</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We have invested in commercial loans secured by real estate and may from time to time in the future opportunistically invest in additional commercial loans secured by real estate or similar financings secured by real estate. Investments in commercial loans or similar financings of real estate involve credit risk with regard to the borrower, the borrower’s operations and the real estate that secures the financing. The credit risks include, but are not limited to, the ability of the borrower to execute their business plan and strategy, the ability of the borrower to sustain and/or improve the operating results generated by the collateral property, the ability of the borrower to continue as a going concern, and the risk associated with the market or industry in which the collateral property is utilized. Our evaluation of the investment opportunity in a mortgage loan or similar financing includes these elements of credit risk as well as other underwriting criteria and factors. Further, we may rely on third party resources to assist us in our investment evaluation process and otherwise in conducting customary due diligence. Our underwriting of the investment or our estimates of credit risk may not prove to be accurate, as actual results may vary from our estimates. In the event we underestimate the performance of the borrower and/or the underlying real estate which secures our commercial loan or financing, we may experience losses or unanticipated costs regarding our investment and our financial condition, results of operations, and cash flows may be adversely impacted.</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commercial loans and investments segment is also generally exposed to risks associated with real estate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deterioration of real estate fundamentals generally, and in the United States in particular, could negatively impact the performance of our commercial loans and investments segment by making it more difficult for borrowers to satisfy their debt payment obligations, increasing the default risk applicable to borrowers and making it relatively more difficult for us to generate attractive risk-adjusted returns in our commercial loans and investments segment. Real estate investments are subject to various risks, including the risks described elsewhere in this Form 10-K with respect to the properties that we own directly. Our borrowers may be impacted by these same risks, which may make it more difficult for them to satisfy their debt payment obligations to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origination or acquisition of construction loans exposes us to an increased risk of loss.</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construction from other sources; a borrower claim against us for failure to perform under the loan documents; increased costs to the borrower that the borrower is unable to pay; a bankruptcy filing by the borrower; and abandonment by the borrower of the collateral for the loan. A borrower default on a construction loan where the property has not achieved completion poses a greater risk than a conventional loan, as completion would be required before the property is able to generate revenue. The process of foreclosing on a property is time-consuming, and we may incur significant expense if we foreclose on a property securing a loan under these or other circumstances.</w:t>
      </w:r>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investments in construction loans require us to make estimates about the fair value of land improvements that may be challenged by the Internal Revenue Service (“IRS”).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originated and may in the future originate or acquire additional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For purposes of construction loans, the loan value of the real property is the fair value of the land plus the reasonably estimated cost of the improvements or developments (other than personal property) that will secure the loan and that are to be constructed from the proceeds of the loan. There can be no assurance that the IRS would not challenge our estimate of the loan value of the real property.</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invest in fixed-rate loan investments, and an increase in interest rates may adversely affect the value of these investments, which could adversely impact our financial condition, results of operations and cash flows.</w:t>
      </w:r>
    </w:p>
    <w:p>
      <w:pPr>
        <w:pStyle w:val="TextBody"/>
        <w:shd w:fill="FFFFFF" w:val="clear"/>
        <w:bidi w:val="0"/>
        <w:spacing w:before="0" w:after="0"/>
        <w:ind w:left="0" w:right="0" w:hanging="0"/>
        <w:jc w:val="both"/>
        <w:rPr/>
      </w:pPr>
      <w:r>
        <w:rPr/>
        <w:t>​</w:t>
      </w:r>
    </w:p>
    <w:p>
      <w:pPr>
        <w:pStyle w:val="TextBody"/>
        <w:shd w:fill="FFFFFF" w:val="clear"/>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Increases in interest rates may negatively affect the market value of our investments, particularly the fixed-rate commercial loans and other financings we have invested in. Generally, any fixed-rate commercial loans or other financings will be more negatively affected by rising interest rates than adjustable-rate assets. Reductions in the fair value of our investments could decrease the amounts we may borrow to purchase additional commercial loans or similar financing investments, which could impact our ability to increase our operating results and cash flows. Furthermore, if our borrowing costs are rising while our interest income is fixed for the fixed-rate investments, the spread between our borrowing costs and the fixed-rate we earn on the commercial loans or similar financing investments will contract or could become negative which would adversely impact our financial condition, results of operations, and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commercial loans or similar financings we have acquired and may acquire in the future that are secured by real estate typically depend on the ability of the property owner to generate income from operating the property. Failure to do so may result in delinquency and/or foreclosure.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Commercial loans are secured by property and are subject to risks of delinquency and foreclosure and therefore risk of loss.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In the event of any default under a commercial loan held directly by us, we will bear a risk of loss of principal to the extent of any deficiency between the value of the collateral and the principal and accrued interest of the commercial loan, which could have a material adverse effect on our financial condition, operating results and cash flows. In the event of the bankruptcy of a commercial loan borrower, the mortgage loan to such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Foreclosure of a loan can be an expensive and lengthy process, which could have a substantial negative effect on our anticipated return on the foreclosed commercial loan. If the borrower is unable to repay a mortgage loan or similar financing, our inability to foreclose on the asset in a timely manner, and/or our inability to obtain value from reselling or otherwise disposing of the asset for an amount equal to our investment basis, would adversely impact our financial condition, results of operations, and cash flows.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suffer losses when a borrower defaults on a loan and the value of the underlying collateral is less than the amount due.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If a borrower defaults on a non-recourse loan, we will only have recourse to the real estate-related assets collateralizing the loan. If the underlying collateral value is less than the loan amount, we will suffer a loss. Conversely, commercial loans we invest in may be unsecured or be secured only by equity interests in the borrowing entities. These loans are subject to the risk that other lenders in the capital stack may be directly secured by the real estate assets of the borrower or may otherwise have a superior right to repayment. Upon a default, those collateralized lenders would have priority over us with respect to the proceeds of a sale of the underlying real estate. In such cases, we may lack control over the underlying asset collateralizing our loan or the underlying assets of the borrower before a default and, as a result, the value of the collateral may be reduced by acts or omissions by owners or managers of the assets.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Commercial loans we may invest in may be backed by individual or corporate guarantees from borrowers or their affiliates which guarantees are not secured. If the guarantees are not fully or partially secured, we typically rely on financial covenants from borrowers and guarantors which are designed to require the borrower or guarantor to maintain certain levels of creditworthiness. Should we not have recourse to specific collateral pledged to satisfy such guarantees or recourse loans, we will have recourse as an unsecured creditor only to the general assets of the borrower or guarantor, some or all of which may be pledged as collateral for other lenders. There can be no assurance that a borrower or guarantor will comply with its financial covenants, or that sufficient assets will be available to pay amounts owed to us under our loans and guarantees. Because of these factors, we may suffer additional losses which could have a material adverse effect on our financial condition, operating results and 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a borrower bankruptcy, we may not have full recourse to the assets of the borrower to satisfy our loan. Additionally, in some instances, our loans may be subordinate to other debt of certain borrowers. If a borrower defaults on our loan or on debt senior to our loan, or a borrower files for bankruptcy protection,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Bankruptcy and borrower litigation can significantly increase collection costs and the time needed for us to acquire title to the underlying collateral (if applicable), during which time the collateral and/or a borrower’s financial condition may decline in value, causing us to suffer additional losses.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value of collateral underlying a loan declines, or interest rates increase during the term of a loan, a borrower may not be able to obtain the necessary funds to repay our loan at maturity through refinancing because the underlying property revenue cannot satisfy the debt service coverage requirements necessary to obtain new financing. If a borrower is unable to repay our loan at maturity, we could suffer additional loss which may adversely impact our financial condition, operating results and cash flows.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any of the above factors or events, the losses we may suffer could adversely impact our financial condition, results of operations and cash flows.</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We could fail to continue to qualify as a REIT if the IRS successfully challenges our treatment of any mezzanine loans in which we invest.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in the future, originate or acquire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 asset tests, and interest derived from those loans will be treated as qualifying income for both the 75% and 95% gross income tests, provided several requirements are satisfied. Although Revenue Procedure 2003-65 provides a safe harbor on which taxpayers may rely, it does not prescribe rules of substantive tax law. Moreover, our mezzanine loans may not meet all of the requirements for reliance on the safe harbor. Consequently, there can be no assurance that the IRS will not challenge our treatment of such loans as qualifying real estate assets, which could adversely affect our ability to continue to qualify as a REIT.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associated with commercial real estate loan participations.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commercial real estate loan investments are held in the form of participation interests or co-lender arrangements in which we share the loan rights, obligations and benefits with other lenders. With respect to such participation interests, we may require the consent of these parties to exercise our rights under such loans, including rights with respect to amendment of loan documentation, enforcement proceedings upon a default and the institution of, and control over, foreclosure proceedings. In circumstances where we hold a minority interest, we may become bound to actions of the majority to which we otherwise would object. We may be adversely affected by this lack of control with respect to these interests.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Certain Events, Environmental Matters and Climate Change</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Natural disasters, terrorist attacks, other acts of violence or war or other unexpected events could materially and adversely affect 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Natural disasters, terrorist attacks, other acts of violence or war or other unexpected events, including a global pandemic that impacts the economy in the United States, could materially interrupt our business operations (or those of our tenants), cause consumer confidence and spending to decrease or result in increased volatility in the U.S. and worldwide financial markets and economies. They also could result in or prolong an economic recession. Any of these occurrences could materially and adversely affect us.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our corporate headquarters and certain of our properties are located in Florida, where major hurricanes have occurred. Depending on where any hurricane makes landfall, our properties in Florida could experience significant damage. In addition, the occurrence and frequency of hurricanes in Florida could also negatively impact demand for our properties located in that state because of consumer perceptions of hurricane risks. In addition to hurricanes, the occurrence of other natural disasters and climate conditions in Florida (and in other states where our properties are located), such as tornadoes, floods, fires, unusually heavy or prolonged rain, droughts and heat waves, could have an adverse effect on our tenants, which could adversely impact our ability to collect rental revenues. If a hurricane, earthquake, natural disaster or other similar significant disruption occurs, we may experience disruptions to our operations and damage to our properties, which could materially and adversely affect us.</w:t>
      </w:r>
    </w:p>
    <w:p>
      <w:pPr>
        <w:pStyle w:val="TextBody"/>
        <w:bidi w:val="0"/>
        <w:spacing w:before="0" w:after="0"/>
        <w:ind w:left="0" w:right="0" w:firstLine="360"/>
        <w:jc w:val="both"/>
        <w:rPr/>
      </w:pPr>
      <w:r>
        <w:rPr/>
        <w: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Terrorist attacks or other acts of violence may also negatively affect our operations. There can be no assurance that there will not be terrorist attacks against businesses within the U.S. These attacks may directly impact our physical assets or business operations or the financial condition of our tenants, borrowers, lenders or other institutions with which we have a relationship. The U.S. may be engaged in armed conflict, which could also have an impact on the tenants, borrowers, lenders or other institutions with which we have a relationship. The consequences of armed conflict are unpredictable, and we may not be able to foresee events that could have an adverse effect on our business. Any of these occurrences could materially and adversely affect us.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Insurance on our properties may not adequately cover all losses and uninsured losses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leases typically provide that either the landlord or the tenant will maintain property and liability insurance for the properties that are leased from us. If our tenants are required to carry liability and/or property insurance coverage, our tenants are required to name us (and any of our lenders that have a mortgage on the property leased by the tenant) as additional insureds on their liability policies and additional named insured and/or loss payee (or mortgagee, in the case of our lenders) on their property policies. Depending on the location of the property, losses of a catastrophic nature, such as those caused by hurricanes, earthquakes and floods, may be covered by insurance policies that are held by our tenant with limitations such as large deductibles or co-payments that a tenant may not be able to meet. In addition, losses of a catastrophic nature, such as those caused by wind, hail, hurricanes, terrorism or acts of war, may be uninsurable or not economically insurable. In the event there is damage to our properties that is not covered by insurance and such properties are subject to recourse indebtedness, we will continue to be liable for the indebtedness, even if these properties are irreparably damaged.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Inflation, changes in building codes and ordinances, environmental considerations and other factors, including terrorism or acts of war, may make any insurance proceeds we receive insufficient to repair or replace a property if it is damaged or destroyed. In those circumstances, the insurance proceeds received may not be adequate to restore our economic position with respect to the affected real property and its generation of rental revenue. Furthermore, in the event we experience a substantial or comprehensive loss of one of our properties, we may not be able to rebuild such property to its existing specifications without significant capital expenditures which may exceed any amounts received pursuant to insurance policies, as reconstruction or improvement of such a property would likely require significant upgrades to meet zoning and building code requirements. The loss of our capital investment in or anticipated future returns from our properties due to material uninsured losses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costs of compliance with or liabilities related to environmental laws may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ownership of our properties may subject us to known and unknown environmental liabilities. Under various federal, state and local laws and regulations relating to the environment, as a current or former owner or operator of real property, we may be liable for costs and damages resulting from environmental matters, including the presence or discharge of hazardous or toxic substances, waste or petroleum products at, on, in, under or migrating from such property, as well as costs to investigate or clean up such contamination and liability for personal injury, property damage or harm to natural resources. We may face liability regardless of:</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knowledge of the contamination;</w:t>
            </w:r>
          </w:p>
        </w:tc>
      </w:tr>
    </w:tbl>
    <w:tbl>
      <w:tblPr>
        <w:tblW w:w="3171" w:type="dxa"/>
        <w:jc w:val="left"/>
        <w:tblInd w:w="0" w:type="dxa"/>
        <w:tblLayout w:type="fixed"/>
        <w:tblCellMar>
          <w:top w:w="28" w:type="dxa"/>
          <w:left w:w="28" w:type="dxa"/>
          <w:bottom w:w="28" w:type="dxa"/>
          <w:right w:w="28" w:type="dxa"/>
        </w:tblCellMar>
      </w:tblPr>
      <w:tblGrid>
        <w:gridCol w:w="124"/>
        <w:gridCol w:w="256"/>
        <w:gridCol w:w="2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contamination;</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cause of the contamination; or</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party responsible for the contamination of the property.</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may be environmental liabilities associated with our properties of which we are unaware. We obtain Phase I environmental assessments for properties acquired. Phase I environmental site assessments are limited in scope and therefore may not reveal all environmental conditions affecting a property. Therefore, there could be undiscovered environmental liabilities on the properties we own. Some of our properties use, or may have used in the past, underground tanks for the storage of petroleum-based products or waste products that could create a potential for release of hazardous substances or penalties if tanks do not comply with legal standards. If environmental contamination exists on our properties, we could be subject to strict, joint and/or several liability for the contamination by virtue of our ownership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Some of our properties may contain asbestos-containing materials, or ACM. Environmental laws govern the presence, maintenance and removal of ACM and such laws may impose fines, penalties or other obligations for failure to comply with these requirements or expose us to third-party liability (for example, liability for personal injury associated with exposure to asbestos). Environmental laws also apply to other activities that can occur on a property, such as storage of petroleum products or other hazardous toxic substances, air emissions, water discharges and exposure to lead-based paint. Such laws may impose fines and penalties for violations and may require permits or other governmental approvals to be obtained for the operation of a business involving such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known or potential presence of hazardous substances on a property may adversely affect our ability to sell, lease or improve the property or to borrow using the property as collateral. In addition, environmental laws may create liens on contaminated properties in favor of the government for damages and costs it incurs to address such contamination. Moreover, if contamination is discovered on our properties, environmental laws may impose restrictions on the manner in which they may be used or businesses may be operated, and these restrictions may require substantial expenditures.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although our leases generally require our tenants to operate in compliance with all applicable laws and to indemnify us against any environmental liabilities arising from a tenant’s activities on the property, we could be subject to strict liability by virtue of our ownership interest. We cannot be sure that our tenants will, or will be able to, satisfy their indemnification obligations, if any, under our leases. Furthermore, the discovery of environmental liabilities on any of our properties could lead to significant remediation costs or to other liabilities or obligations attributable to the tenant of that property or could result in material interference with the ability of our tenants to operate their businesses as currently operated. Noncompliance with environmental laws or discovery of environmental liabilities could each individually or collectively affect such tenant’s ability to make payments to us, including rental payments and, where applicable, indemnification payments.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environmental liabilities may include property and natural resources damage, personal injury, investigation and clean-up costs, among other potential environmental liabilities. These costs could be substantial. Although we may obtain insurance for environmental liability for certain properties that are deemed to warrant coverage, our insurance may be insufficient to address any particular environmental situation and we may be unable to continue to obtain insurance for environmental matters, at a reasonable cost or at all, in the future. If our environmental liability insurance is inadequate, we may become subject to material losses for environmental liabilities. Our ability to receive the benefits of any environmental liability insurance policy will depend on the financial stability of our insurance company and the position it takes with respect to our insurance policies. If we were to become subject to significant environmental liabilities, we could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properties may contain or develop harmful mold, which could lead to liability for adverse health effects and costs of remediation.</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excessive moisture accumulates in buildings or on building materials, mold growth may occur, particularly if the moisture problem remains undiscovered or is not addressed over a period of time. Some molds may produce airborne toxins or irritants. Concern about indoor exposure to mold has been increasing, as exposure to mold may cause a variety of adverse health effects and symptoms, including allergic or other reactions. As a result, should our tenants or their employees or customers be exposed to mold at any of our properties, we could be required to undertake a costly remediation program to contain or remove the mold from the affected property. In addition, exposure to mold by our tenants or others could subject us to liability if property damage or health concerns arise. If we were to become subject to significant mold-related liabilities, we could be materially and adversely affected.</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operations and financial condition may be adversely affected by climate change, including possible changes in weather patterns, weather-related events, government policy, laws, regulations and economic conditions.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recent years, the assessment of the potential impact of climate change has begun to impact the activities of government authorities, the pattern of consumer behavior and other areas that impact the business environment in the U.S., including, but not limited to, energy-efficiency measures, water use measures and land-use practices. The promulgation of policies, laws or regulations relating to climate change by governmental authorities in the U.S. and the markets in which we own properties may require us to invest additional capital in our properties. In addition, the impact of climate change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businesses operated by our tenants is not reasonably determinable at this time. While not generally known at this time, climate change may impact weather patterns or the occurrence of significant weather events which could impact economic activity or the value of our properties in specific markets. The occurrence of any of these events or conditions may adversely impact our ability to lease our properties, which would materially and adversely affect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Other Aspects of our Operation and as a Public Company</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are highly dependent on information systems and certain third-party technology service providers, and systems failures not related to cyber-attacks or similar external attacks could significantly disrupt our business, which may, in turn, negatively affect the market price of our securities and adversely impact our results of operations and cash flows.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highly dependent on communications and information systems and networks. Any failure or interruption of these systems or networks could cause delays or other problems in our operations and communications. Through our relationship with CTO and our Manager, we rely heavily on CTO’s financial, accounting and other data processing systems. In addition, much of the information technology (“IT”) infrastructure on which we rely is managed by a third party and, as such, we also face the risk of operational failure, termination or capacity constraints by this third party. It is difficult to determine what, if any, negative impact may directly result from any specific interruption or disruption of the networks or systems on which our business relies or any failure to maintain performance, reliability and security of our technological infrastructure, but significant events impacting the systems or networks on which our business relies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senior management team is required to operate two publicly traded companies, CTO and our company, which could place a significant strain on our senior management team and the management systems, infrastructure and other resources of CTO on which we rely.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senior management team operates two publicly traded companies, our company and CTO, and is required to comply with periodic and current reporting requirements under applicable SEC regulations and comply with applicable listing standards of the NYSE. This could place a significant strain on our senior management team and the management systems, infrastructure and other resources of CTO made available to us through our Manager and on which we rely. There can be no assurance that our senior management team will be able to successfully operate two publicly traded companies. Any failure by our senior management team to successfully operate our company or CTO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If there are deficiencies in our disclosure controls and procedures or internal control over financial reporting, we may be unable to accurately present our financial statements, which could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publicly traded company, we are required to report our financial statements on a consolidated basis. Effective internal controls are necessary for us to accurately report our financial results. Section 404 of the Sarbanes-Oxley Act requires us to evaluate and report on our internal control over financial reporting. However, for so long as we are a smaller reporting company that is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Future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Compliance with the Americans with Disabilities Act and fire, safety and other regulations may require us to make unanticipated expenditures that materially and adversely affect us.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properties are and will be subject to the Americans with Disabilities Act, or the ADA. Under the ADA, all public accommodations must meet federal requirements related to access and use by disabled persons. Compliance with the ADA requirements could require removal of access barriers and non-compliance could result in imposition of fines by the U.S. government or an award of damages to private litigants, or both. While our tenants are and will be obligated by law to comply with the ADA and typically obligated under our leases to cover costs associated with compliance, if required changes involve greater expenditures than anticipated or if the changes must be made on a more accelerated basis than anticipated, the ability of our tenants to cover costs could be adversely affected. We could be required to expend our own funds to comply with the provisions of the ADA,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are and will be required to operate our properties in compliance with fire and safety regulations, building codes and other land use regulations, as they may be adopted by governmental agencies and bodies and become applicable to our properties. We may be required to make substantial capital expenditures to comply with those requirements and may be required to obtain approvals from various authorities with respect to our properties, including prior to acquiring a property or when undertaking renovations of any of our existing properties. There can be no assurance that existing laws and regulatory policies will not adversely affect us or the timing or cost of any future acquisitions, developments or renovations, or that additional regulations will not be adopted that increase such delays or result in additional costs. Additionally, failure to comply with any of these requirements could result in the imposition of fines by governmental authorities or awards of damages to private litigants. While we intend to only acquire properties that we believe are currently in substantial compliance with all regulatory requirements, these requirements may change, and new requirements may be imposed which would require significant unanticipated expenditures by us and could materially and adversely affect us.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have in the past and may in the future choose to acquire properties or portfolios of properties through tax deferred contribution transactions, which could result in stockholder dilution and limit our ability to sell such assets.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acquired, and may in the future acquire, properties or portfolios of properties through tax deferred contribution transactions in exchange for common or preferred units of limited partnership interest in the Operating Partnership, which may result in stockholder dilution. This acquisition structure may have the effect of, among other things, reducing the amount of tax depreciation we could deduct over the tax life of the acquired properties, and may require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Relationship with CTO and Our Manager and the Management Agreement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have no employees and are entirely dependent upon our Manager for all the services we require, and we cannot assure you that our Manager will allocate the resources necessary to meet our business objectives.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Because we are “externally managed,” we do not employ our own personnel, but instead depend upon CTO, our Manager and their affiliates for virtually all of the services we require. Our Manager selects and manages the acquisition and origination of properties and commercial loan investments that meet our investment criteria; administers the collection of rents, monitors lease compliance by our tenants and deals with vacancies and re-letting of our properties; coordinates the sale of our properties; provides financial and regulatory reporting services; communicates with our stockholders, causes us to pay distributions to our stockholders and arranges for transfer agent services; and provides all of our other administrative services. Accordingly, our success is largely dependent upon the expertise and services of the executive officers and other personnel of CTO provided to us through our Manager.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CTO may be unable to obtain or retain the executive officers and other personnel that it provides to us through our Manager.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success depends to a significant degree upon the executive officers and other personnel of CTO that it provides to us through our Manager. In particular, we rely on the services of John P. Albright, President and Chief Executive Officer of our company and CTO and a member of the board of directors of our company and CTO; Philip R. Mays, Senior Vice President, Chief Financial Officer and Treasurer of our company and CTO; Steven R. Greathouse, Senior Vice President and Chief Investment Officer of our company and CTO; Daniel E. Smith, Senior Vice President, General Counsel and Corporate Secretary of our company and CTO; and Lisa M. Vorakoun, Senior Vice President and Chief Accounting Officer of our company and CTO. In addition to these executive officers, we also rely on other personnel of CTO that are provided to us through our Manager. We cannot guarantee that all, or any particular one of these executive officers and other personnel of CTO provided to us through our Manager, will remain affiliated with CTO, our Manager and us. We do not separately maintain key person life insurance on any person. Failure by CTO to retain any of its executive officers and other personnel provided to us through our Manager and to hire and retain additional highly skilled managerial, operational and marketing personnel could have a material adverse effect on our ability to achieve our investment growth objectives and could result in us incurring excess costs and suffering deficiencies in our disclosure controls and procedures or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We pay substantial fees and expenses to our Manager. These payments increase the risk that you will not earn a profit on your investment.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Management Agreement, we pay significant fees to our Manager. Those fees include a base management fee and an incentive fee, if earned. We will also reimburse our Manager for certain expenses pursuant to the Management Agreement. These payments increase the risk that you will not earn a profit on your investment.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base management fee payable to our Manager pursuant to the Management Agreement is payable regardless of the performance of our portfolio, which may reduce our Manager’s incentive to devote the time and effort to seeking profitable investment opportunities for us.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pay our Manager a base management fee pursuant to the Management Agreement, which may be substantial, based on our “total equity” (as defined in the Management Agreement) regardless of the performance of our portfolio of properties. Our Manager’s entitlement to non-performance-based compensation might reduce its incentive to seek profitable investment opportunities for us, which could result in a lower performance of our portfolio and materially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incentive fee payable to our Manager pursuant to the Management Agreement may cause our Manager to select investments in more risky assets to increase its incentive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incentive fees based on our total stockholder return exceeding an 8% cumulative annual hurdle rate, which may create an incentive for our Manager to invest in properties with a purchase price reflecting a higher potential yield, that may be riskier or more speculative, or sell an investment prematurely for a gain, in an effort to increase our short-term gains and thereby increase our stock price and the incentive fees to which it is entitled. If our interests and those of our Manager are not aligned, the execution of our business plan and our results of operations could be adversely affected, which could materially and adversely affect the market price of our securities and our ability to make distributions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There are conflicts of interest in our relationships with our Manager, which could result in outcomes that are not in our best interests.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subject to conflicts of interest arising out of our relationships with our Manager. Pursuant to the Management Agreement, our Manager is obligated to supply us with our management team. However, our Manager is not obligated to dedicate any specific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officers (John P. Albright) is also a member of the board of directors of our company and the board of directors of CTO. As a result, our Manager and the CTO personnel it provides to us, including our executive officers, may have conflicts between their duties to us and their duties to CTO.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initial portfolio, we have in the past acquired and may in the future acquire or sell properties that would potentially fit the investment criteria for CTO or its affiliates. Similarly, CTO or its affiliates may acquire or sell properties that would potentially fit our investment criteria. Although such acquisitions or dispositions could present conflicts of interest, we nonetheless may pursue and consummate such transactions. Additionally, we have in the past and may in the future engage in transactions directly with CTO, our Manager or their affiliates. If we acquire a property from CTO or one of its affiliates or sell a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 If we issue additional equity securities at dilutive prices, the market price of our securities may be adversely affected, and you could lose some or all of your investment in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Manager’s failure to identify and acquire properties that meet our investment criteria or perform its responsibilities under the Management Agreement could materially and adversely affect our business and our ability to make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achieve our objectives depends on, among other things, our Manager’s ability to identify, acquire and lease properties that meet our investment criteria. Accomplishing our objectives is largely a function of our Manager’s structuring of our investment process, our access to financing on acceptable terms and general market conditions. Our stockholders will not have input into our investment decisions. All of these factors increase the uncertainty, and thus the risk, of investing in our securities. The CTO executive officers and other CTO personnel provided to us through our Manager have substantial responsibilities under the Management Agreement. In order to implement certain strategies, CTO, our Manager or their affiliates may need to hire, train, supervise and manage new employees successfully. Any failure by CTO or our Manager to manage our future growth effectively could have a material adverse effect on us, our ability to maintain our qualification as a REIT and our ability to make distributions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Manager’s liability is limited under the Management Agreement, and we have agreed to indemnify our Manager against certain liabilities. As a result, we could experience unfavorable operating results or incur losses for which our Manager would not be liable.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Management Agreement, our Manager will not assume any responsibility other than to render the services called for thereunder and will not be responsible for any action of the Board in following or declining to follow its directives. Our Manager maintains a contractual, as opposed to a fiduciary relationship, with us. Under the terms of the Management Agreement, our Manager, its officers, members and personnel, any person controlling or controlled by our Manager and any person providing sub-advisory services to our Manager will not be liable to us, any subsidiary of ours, our directors, our stockholders or any subsidiary’s stockholders or partners for acts or omissions performed in accordance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and pursuant to the Management Agreement, except those resulting from acts constituting gross negligence, willful misconduct, bad faith or reckless disregard of our Manager’s duties under the Management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have agreed to indemnify our Manager and each of its officers, directors, members, managers and employees from and against any claims or liabilities, including reasonable legal fees and other expenses reasonably incurred, arising out of or in connection with our business and operations or any action taken or omitted on our behalf pursuant to authority granted by the Management Agreement, except where attributable to gross negligence, willful misconduct, bad faith or reckless disregard of such person’s duties under the Management Agreement. As a result, we could experience unfavorable operating results or incur losses for which our Manager would not be liable.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Termination of the Management Agreement could be difficult and costly, including as a result of payment of termination fees to our Manager, and may cause us to be unable to execute our business plan,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renew the Management Agreement, or terminate the agreement, other than for a termination for cause, we are obligated to pay our Manager a termination fee equal to three times the sum of (i) the average annual base management fee earned by our Manager during the 24-month period immediately preceding the most recently completed calendar quarter prior to the termination date and (ii) the average annual incentive fee earned by our Manager during the two most recently completed measurement periods (as defined in the Management Agreement) prior to the termination date. Such a payment would likely be a substantial one-time charge that could render unattractive, or not economically feasible, the termination of our Manager, even if it performed poorly. In addition, any termination of the Management Agreement would end our Manager’s obligation to provide us with our executive officers and personnel upon whom we rely for the operation of our business and would also terminate our rights under the ROFO Agreement with CTO, as discussed further herein. As a result of termination of the ROFO Agreement, we would face increased competition from CTO and its affiliates, as well as others, for the acquisition of properties that meet our investment criteria, and our right to acquire certain properties from CTO and its affiliates would be terminated. As a result, the termination of the Management Agreement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our Manager ceases to be our manager pursuant to the Management Agreement, counterparties to our agreements may cease doing business with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our Manager ceases to be our manager, it could constitute an event of default or early termination event under financing and other agreements we may enter into in the future, upon which our counterparties may have the right to terminate their agreements with us. If our Manager ceases to be our manager for any reason, including upon the non-renewal of the Management Agreement, our business and our ability to make distributions to our stockholders may be materially adversely affected.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Management Agreement with our Manager and the ROFO Agreement with CTO were not negotiated on an arm’s-length basis and may not be as favorable to us as if they had been negotiated with unaffiliated third parties.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Management Agreement with our Manager and the ROFO Agreement with CTO were negotiated between related parties and before our independent directors were elected, and their terms, including the fees payable to our Manager, may not be as favorable to us as if they had been negotiated with unaffiliated third parties. The terms of these agreements may not reflect our long-term best interests and may be overly favorable to CTO, our Manager and their affiliates (other than us and our subsidiaries). Further, we may choose not to enforce, or to enforce less vigorously, our rights under the Management Agreement and the ROFO Agreement because of our desire to maintain our ongoing relationships with our Manager and CTO.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Financing Activities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growth depends on external sources of capital, including debt financings, that are outside of our control and may not be available to us on commercially reasonable terms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to maintain our qualification as a REIT under the Code, we are required, among other things, to distribute annually at least 90% of our REIT taxable income, determined without regard to the dividends paid deduction and excluding any net capital gain. In addition, we are subject to income tax at the U.S. federal corporate income tax rate to the extent that we distribute less than 100% of our net taxable income. Because of these distribution requirements, we may not have sufficient liquidity from our operating cash flows to fund future capital needs, including any acquisition financing. Consequently, we may rely on third-party sources, including lenders, to fund our capital needs. We may not be able to obtain debt financing on favorable terms or at all. Any additional debt we incur will increase our leverage and likelihood of default. Our access to third-party sources of capital depends, in part, on:</w:t>
      </w:r>
    </w:p>
    <w:tbl>
      <w:tblPr>
        <w:tblW w:w="2706" w:type="dxa"/>
        <w:jc w:val="left"/>
        <w:tblInd w:w="0" w:type="dxa"/>
        <w:tblLayout w:type="fixed"/>
        <w:tblCellMar>
          <w:top w:w="28" w:type="dxa"/>
          <w:left w:w="28" w:type="dxa"/>
          <w:bottom w:w="28" w:type="dxa"/>
          <w:right w:w="28" w:type="dxa"/>
        </w:tblCellMar>
      </w:tblPr>
      <w:tblGrid>
        <w:gridCol w:w="124"/>
        <w:gridCol w:w="256"/>
        <w:gridCol w:w="2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perception of our growth potential;</w:t>
            </w:r>
          </w:p>
        </w:tc>
      </w:tr>
    </w:tbl>
    <w:tbl>
      <w:tblPr>
        <w:tblW w:w="2406" w:type="dxa"/>
        <w:jc w:val="left"/>
        <w:tblInd w:w="0" w:type="dxa"/>
        <w:tblLayout w:type="fixed"/>
        <w:tblCellMar>
          <w:top w:w="28" w:type="dxa"/>
          <w:left w:w="28" w:type="dxa"/>
          <w:bottom w:w="28" w:type="dxa"/>
          <w:right w:w="28" w:type="dxa"/>
        </w:tblCellMar>
      </w:tblPr>
      <w:tblGrid>
        <w:gridCol w:w="124"/>
        <w:gridCol w:w="256"/>
        <w:gridCol w:w="2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debt levels;</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and expected future earnings;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 and cash distributions; and</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per share of our common stock and preferred stock.</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we cannot obtain capital from third-party sources, we may not be able to acquire or develop properties when strategic opportunities exist, meet the capital and operating needs of our existing properties, satisfy our debt service obligations or make the cash distributions to our stockholders necessary to maintain our qualification as a REIT, which would materially and adversely affect us.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organizational documents have no limitation on the amount of additional indebtedness that we may incur in the future. As a result, we may become highly leveraged in the future, which could materially and adversely affect us.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entered into certain debt agreements and, in the future, we may incur additional indebtedness to finance future acquisitions and development, redevelopment and renovation projects and for general corporate purposes. There are no restrictions in our charter or bylaws that limit the amount or percentage of indebtedness that we may incur nor restrict the form in which our indebtedness will be incurred (including recourse or non-recourse debt or cross-collateralized debt).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substantial level of indebtedness in the future could have adverse consequences for our business and otherwise materially and adversely affect us because it could, among other things:</w:t>
      </w:r>
    </w:p>
    <w:p>
      <w:pPr>
        <w:pStyle w:val="TextBody"/>
        <w:bidi w:val="0"/>
        <w:spacing w:before="0" w:after="24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dedicate a substantial portion of our cash flow from operations to make principal and interest payments on our indebtedness, thereby reducing our cash flow available to fund working capital, capital expenditures and other general corporate purposes, including to pay dividends on our common stock and preferred stock as currently contemplated or necessary to satisfy the requirements for qualification as a REIT;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vulnerability to general adverse economic and industry conditions and limit our flexibility in planning for, or reacting to, changes in our business and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our ability to borrow additional funds or refinance indebtedness on favorable terms or at all to expand our business or ease liquidity constraints; and</w:t>
            </w:r>
          </w:p>
        </w:tc>
      </w:tr>
    </w:tbl>
    <w:tbl>
      <w:tblPr>
        <w:tblW w:w="7836" w:type="dxa"/>
        <w:jc w:val="left"/>
        <w:tblInd w:w="0" w:type="dxa"/>
        <w:tblLayout w:type="fixed"/>
        <w:tblCellMar>
          <w:top w:w="28" w:type="dxa"/>
          <w:left w:w="28" w:type="dxa"/>
          <w:bottom w:w="28" w:type="dxa"/>
          <w:right w:w="28" w:type="dxa"/>
        </w:tblCellMar>
      </w:tblPr>
      <w:tblGrid>
        <w:gridCol w:w="124"/>
        <w:gridCol w:w="25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us at a competitive disadvantage relative to competitors that have less indebtedness.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agreements governing our indebtedness place restrictions on us and our subsidiaries, reducing our operational flexibility and creating risks associated with default and noncompliance.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agreements governing the Credit Facility, the 2026 Term Loan, the 2027 Term Loan and any other indebtedness that we may incur in the future contain or may contain covenants that place restrictions on us and our subsidiaries. These covenants may restrict, among other activities, our and our subsidiaries’ ability to:</w:t>
      </w:r>
    </w:p>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 consolidate or transfer all or substantially all of our or our subsidiaries’ assets;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transfer, pledge or encumber our stock or the ownership interests of our subsidiaries;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debt or issue preferred stock;</w:t>
            </w:r>
          </w:p>
        </w:tc>
      </w:tr>
    </w:tbl>
    <w:tbl>
      <w:tblPr>
        <w:tblW w:w="2646" w:type="dxa"/>
        <w:jc w:val="left"/>
        <w:tblInd w:w="0" w:type="dxa"/>
        <w:tblLayout w:type="fixed"/>
        <w:tblCellMar>
          <w:top w:w="28" w:type="dxa"/>
          <w:left w:w="28" w:type="dxa"/>
          <w:bottom w:w="28" w:type="dxa"/>
          <w:right w:w="28" w:type="dxa"/>
        </w:tblCellMar>
      </w:tblPr>
      <w:tblGrid>
        <w:gridCol w:w="124"/>
        <w:gridCol w:w="256"/>
        <w:gridCol w:w="22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investments;</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certain expenditures, including capital expenditures;  </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on or repurchase our capital stock; and</w:t>
            </w:r>
          </w:p>
        </w:tc>
      </w:tr>
    </w:tbl>
    <w:tbl>
      <w:tblPr>
        <w:tblW w:w="4131" w:type="dxa"/>
        <w:jc w:val="left"/>
        <w:tblInd w:w="0" w:type="dxa"/>
        <w:tblLayout w:type="fixed"/>
        <w:tblCellMar>
          <w:top w:w="28" w:type="dxa"/>
          <w:left w:w="28" w:type="dxa"/>
          <w:bottom w:w="28" w:type="dxa"/>
          <w:right w:w="28" w:type="dxa"/>
        </w:tblCellMar>
      </w:tblPr>
      <w:tblGrid>
        <w:gridCol w:w="124"/>
        <w:gridCol w:w="256"/>
        <w:gridCol w:w="3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certain transactions with affiliates.</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covenants could impair our ability to grow our business, take advantage of attractive business opportunities or successfully compete. Our ability to comply with financial and other covenants may be affected by events beyond our control, including prevailing economic, financial and industry conditions. A breach of any of these covenants or covenants under any other agreements governing our indebtedness could result in an event of default. Any cross-default provisions in our debt agreements could cause an event of default under one debt agreement to trigger an event of default under our other debt agreements. Upon the occurrence of an event of default under any of our debt agreements, our lenders could elect to declare all outstanding debt under such agreements to be immediately due and payable. If we were unable to repay or refinance the accelerated debt, our lenders could proceed against any assets pledged to secure that debt, including foreclosing on or requiring the sale of any properties securing that debt, and the proceeds from the sale of these properties may not be sufficient to repay such debt in full.</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Mortgage debt obligations expose us to the possibility of foreclosure, which could result in the loss of our investment in any property subject to mortgage debt.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Future borrowings may be secured by mortgages on our properties. Incurring mortgage and other secured debt obligations increases our risk of losses because defaults on secured indebtedness may result in foreclosure actions initiated by lenders and ultimately our loss of the properties securing any loans for which we are in default. If we are in default under a cross-defaulted mortgage loan, we could lose multiple properties to foreclosure. For U.S. federal income tax purposes, a foreclosure of any of our properties would be treated as a sale of the property for a purchase price equal to the outstanding balance of the debt secured by the mortgage. If the outstanding balance of the debt secured by the mortgage exceeds our tax basis in the property, we would recognize taxable income on foreclosure, but would not receive any cash proceeds, which could hinder our ability to meet the REIT distribution requirements imposed by the Code. As we execute our business plan, we may assume or incur new mortgage indebtedness on our properties. Any default under any mortgage debt obligation we incur may increase the risk of our default on our other indebtedness, including indebtedness under our Credit Facility, the 2026 Term Loan and the 2027 Term Loan, which could materially and adversely affect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Increases in interest rates have and will likely continue to increase our interest costs on our variable rate debt and could adversely impact our ability to refinance existing debt or sell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Current and future borrowings under our Credit Facility, the 2026 Term Loan and the 2027 Term Loan will bear interest at variable rates. Recent increases in interest rates have increased our interest payments and reduced our cash flow available for other corporate purposes, and we expect this trend to continue in the near term. In addition, rising interest rates could limit our ability to refinance debt when it matures and increase interest costs on any debt that is refinanced. Further, an increase in interest rates could increase the cost of financing, thereby decreasing the amount third parties are willing to pay for our properties, which would limit our ability to dispose of properties when necessary or desired.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may enter into hedging arrangements in the future. Our hedging arrangements may include interest rate swaps, caps, floors and other interest rate hedging contracts. Our hedging arrangements could reduce, but may not eliminate, the impact of rising interest rates, and they could expose us to the risk that other parties to our hedging arrangements will not perform or that the agreements relating to our hedges may not be enforceable.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Organization and Structure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a holding company with no direct operations, and we rely on funds received from the Operating Partnership to pay our obligations and make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and conduct substantially all of our operations through the Operating Partnership. We do not have, apart from an interest in the Operating Partnership, any independent operations. As a result, we rely on distributions from the Operating Partnership to make any distributions we declare on shares of our common stock and preferred stock. We also rely on distributions from the Operating Partnership to meet our obligations, including any tax liability on taxable income allocated to us from the Operating Partnership. In addition, because we are a holding company, your claims as stockholders are structurally subordinated to all existing and future creditors and preferred equity holders of the Operating Partnership and its subsidiaries. Therefore, in the event of a bankruptcy, insolvency, liquidation or reorganization of the Operating Partnership or its subsidiaries, assets of the Operating Partnership or the applicable subsidiary will be available to satisfy our claims to us as an equity owner therein only after all of their liabilities and preferred equity have been paid in full.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we owned 92.4% of the OP Units issued by the Operating Partnership. However, in connection with our future acquisition activities or otherwise, we may issue additional OP Units to third parties. Such issuances would reduce our ownership in the Operating Partnership.</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Certain provisions of Maryland law could inhibit changes in control of our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 provide the holders of our securities with the opportunity to realize a premium over the then-prevailing market price of our securities. Pursuant to the MGCL, the Board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securities or that our stockholders otherwise believe to be in their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Certain provisions in the partnership agreement of the Operating Partnership may delay, defer or prevent unsolicited acquisitions of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Provisions in the partnership agreement of the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of qualifying parties;  </w:t>
            </w:r>
          </w:p>
        </w:tc>
      </w:tr>
    </w:tbl>
    <w:tbl>
      <w:tblPr>
        <w:tblW w:w="3156" w:type="dxa"/>
        <w:jc w:val="left"/>
        <w:tblInd w:w="0" w:type="dxa"/>
        <w:tblLayout w:type="fixed"/>
        <w:tblCellMar>
          <w:top w:w="28" w:type="dxa"/>
          <w:left w:w="28" w:type="dxa"/>
          <w:bottom w:w="28" w:type="dxa"/>
          <w:right w:w="28" w:type="dxa"/>
        </w:tblCellMar>
      </w:tblPr>
      <w:tblGrid>
        <w:gridCol w:w="124"/>
        <w:gridCol w:w="256"/>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 on OP Units;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as general partner, in some cases, to amend the partnership agreement and to cause the Operating Partnership to issue units with terms that could delay, defer or prevent a merger or other change of control of us or the Operating Partnership without the consent of the limited partners;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limited partners to consent to transfers of the general partnership interest and mergers or other transactions involving us under specified circumstances.</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partnership agreement of the Operating Partnership and Delaware law also contain other provisions that may delay, defer or prevent a transaction or a change of control that might involve a premium price for our securities or that our stockholders otherwise believe to be in their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charter contains stock ownership limits, which may delay, defer or prevent a change of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for us to maintain our qualification as a REIT,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any class or series of our capital stock. These ownership limitations could have the effect of discouraging a takeover or other transaction in which holders of our securities might receive a premium for their shares over the then prevailing market price or which holders might believe to be otherwise in their best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the Board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Board may change our strategies, policies or procedures without stockholder consent, which may subject us to different and more significant risks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 financing, leverage and distribution policies and our policies with respect to all other activities, including growth, debt, capitalization and operations, are determined by the Board. These policies may be amended or revised at any time and from time to time at the discretion of the Board without notice to or a vote of our stockholders. This could result in us conducting operational matters, making investments or pursuing different business or growth strategies than those contemplated. Under these circumstances, we may expose ourselves to different and more significant risks in the future, which could have a material adverse effect on our business and growth. In addition, the Board may change our policies with respect to conflicts of interest, provided that such changes are consistent with applicable legal requirements.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have assumed unknown liabilities in connection with the Formation Transactions, which, if significant,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part of the Formation Transactions, we acquired our initial portfolio from CTO, subject to existing liabilities, some of which may have been unknown at the time of the IPO and may remain unknown. Unknown liabilities might include claims of tenants, vendors or other persons dealing with such entities prior to the IPO (that had not been asserted or threatened prior to the IPO), tax liabilities and accrued but unpaid liabilities incurred in the ordinary course of business. Any unknown or unquantifiable liabilities that we assumed in connection with the Formation Transactions for which we have no or limited recourse could materially and adversely affect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rights and the rights of our stockholders to take action against our directors and executive officers are limited, which could limit your recourse in the event of actions not in your best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 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Conflicts of interest exist or could arise in the future between the interests of our stockholders and the interests of holders of Operating Partnership units, which may impede business decisions that could benefit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Conflicts of interest exist or could arise in the future as a result of the relationships between us and our affiliates, on the one hand, and the Operating Partnership or any partner thereof, on the other. Our directors and executive officers have duties to our company under applicable Maryland law in connection with their management of our company. At the same time, PINE GP, as the general partner of the Operating Partnership, has fiduciary duties and obligations to the Operating Partnership and its limited partners under Delaware law and the partnership agreement of the Operating Partnership in connection with the management of the Operating Partnership. The fiduciary duties and obligations of the general partner to the Operating Partnership and its partners may come into conflict with the duties of our directors and executive officers to our company. The Operating Partnership agreement provides that, in the event of a conflict between the interests of our stockholders on the one hand, and the limited partners of the Operating Partnership on the other hand, the general partner will endeavor in good faith to resolve the conflict in a manner not adverse to either our stockholders or the limited partners, provided however, that so long as we own a controlling interest in the Operating Partnership, any such conflict that the general partner, in its sole and absolute discretion, determines cannot be resolved in a manner not adverse to either our stockholders or the limited partners of the Operating Partnership are resolved in favor of our stockholders, and the general partner will not be liable for monetary damages for losses sustained, liabilities incurred or benefits not derived by the limited partners in connection with such decisions.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extent permitted by applicable law, the partnership agreement will provide for the indemnification of the general partner and our officers, directors, employees and any other persons the general partner may designate from and against any and all claims that relate to the operations of the Operating Partnership as set forth in the partnership agreement in which any indemnitee may be involved, or is threatened to be involved, as a party or otherwise, unless it is established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or omission of the indemnitee was material to the matter giving rise to the proceeding and either was committed in bad faith or was the result of active and deliberate dishonesty;</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indemnitee actually received an improper personal benefit in money, property or services;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criminal proceeding, the indemnitee had reasonable cause to believe that the act or omission was unlawful.</w:t>
            </w:r>
          </w:p>
        </w:tc>
      </w:tr>
    </w:tbl>
    <w:p>
      <w:pPr>
        <w:pStyle w:val="TextBody"/>
        <w:bidi w:val="0"/>
        <w:spacing w:before="0" w:after="0"/>
        <w:ind w:left="72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Similarly, the general partner of the Operating Partnership and our officers, directors, agents or employees, will not be liable for monetary damages to the Operating Partnership or the limited partners for losses sustained or liabilities incurred as a result of errors in judgment or mistakes of fact or law or of any act or omission so long as any such party acted in good faith.</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could increase or decrease the number of authorized shares of stock, classify and reclassify unissued stock and issue stock without stockholder approval, which could prevent a change in our control and negatively affect the market price of our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to classify or reclassify any unissued shares of our common stock or preferred stock into one or more classes or series of stock and set the terms of such newly classified or reclassified shares.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the Board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Operating Partnership has in the past and may in the future issue additional OP Units without the consent of our stockholders, which could have a dilutive effect on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Operating Partnership has in the past and may in the future issue additional OP Units to third parties without the consent of our stockholders, which would reduce our ownership percentage in the Operating Partnership and may have a dilutive effect on the amount of distributions made to us by the Operating Partnership and, therefore, the amount of distributions we may make to our stockholders. Any such issuances, or the perception of such issuances, could materially and adversely affect the market price of our securities.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a “smaller reporting company” and we cannot be certain if the reduced disclosure requirements applicable to smaller reporting companies will make our securities less attractive to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Regulation S-K under the Securities Act and may benefit from certain of the scaled disclosures available to smaller reporting companies. We cannot be certain if the reduced disclosure requirements applicable to smaller reporting companies will make our securities less attractive to investors.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some investors find our securities less attractive as a result, there may be a less active, liquid and/or orderly trading market for our securities and the market price and trading volume of our securities may be more volatile and decline significantly.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Qualification and Operation as a REIT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Failure to remain qualified as a REIT would cause us to be taxed as a regular corporation, which would substantially reduce funds available for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organization and method of operation have enabled us to meet the requirements for qualification and taxation as a REIT and we intend to continue to be organized and operate in such a manner. However, we cannot assure you that we will remain qualified as a REIT. Moreover, our qualification and taxation as a REIT depend upon our ability to meet on a continuing basis, through actual annual operating results, certain qualification tests set forth in the U.S. federal income tax laws. Accordingly, no assurance can be given that our actual results of operations for any particular taxable year will satisfy such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fail to qualify as a REIT in any taxable year, we will face serious tax consequences that will substantially reduce the funds available for distributions to our stockholders because: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not be allowed a deduction for dividends paid to stockholders in computing our taxable income and would be subject to U.S. federal income tax at regular corporate rates (currently 21%);</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subject to increased state and local taxes;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entitled to relief under certain U.S. federal income tax laws, we could not re-elect REIT status until the fifth calendar year after the year in which we failed to qualify as a REIT.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if we fail to remain qualified as a REIT, we will no longer be required to make distributions. As a result of all these factors, our failure to remain qualified as a REIT could impair our ability to expand our business and raise capital, and it would adversely affect our business, financial condition, results of operations or ability to make distributions to our stockholders and the trading price of our securities.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Even if we remain qualified as a REIT, we may face other tax liabilities that could reduce our cash flows and negatively impact our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Even if we remain qualified for taxation as a REIT, we may be subject to certain U.S. federal, state and local taxes on our income and assets, including taxes on any undistributed income, tax on income from some activities conducted as a result of a foreclosure and state or local income, property and transfer taxes. In addition, under partnership audit procedures, the Operating Partnership and any other partnership that we may form or acquire may be liable at the entity level for tax imposed under those procedures. Further, any taxable REIT subsidiaries (“TRSs”) that we may form in the future will be subject to regular corporate U.S. federal, state and local taxes. Moreover, several provisions of the Code regarding the arrangements between a REIT and its TRS entities function to ensure that such TRS entities are subject to an appropriate level of U.S. federal income taxation. Any of these taxes would decrease cash available for distributions to stockholders, which, in turn, could materially adversely affect our business, financial condition, results of operations or ability to make distributions to our stockholders and the trading price of our securities.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Failure to make required distributions would subject us to U.S. federal corporate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continue to operate in a manner so as to maintain our qualification as a REIT for U.S. federal income tax purposes. In order to maintain our qualification as a REIT, we generally are required to distribute at least 90% of our REIT taxable income, determined without regard to the dividends paid deduction and excluding any net capital gain, each year to our stockholders. To the extent that we satisfy this distribution requirement but distribute less than 100% of our REIT taxable income, we will be subject to U.S. federal corporate income tax on our undistributed taxable income. In addition, we will be subject to a 4% nondeductible excise tax on the amount, if any, by which dividends we pay in a calendar year are less than the sum of 85% of our ordinary income, 95% of our capital gain net income and, 100% of our undistributed income (as defined under the excise tax rules) from prior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Complying with REIT requirements may cause us to forego otherwise attractive opportunities or liquidate otherwise attractive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maintain our qualification as a REIT for U.S. federal income tax purposes, we must continually satisfy tests concerning, among other things, the sources of our income, the nature and diversification of our assets, the amounts we distribute to our stockholders and the ownership of our stock. In order to meet these tests, we may be required to forego investments we might otherwise make. Thus, compliance with the REIT requirements may hinder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particular, we must ensure that at the end of each calendar quarter, at least 75% of the value of our assets consists of cash, cash items, government securities and qualified real estate assets. The remainder of our investment in securities (other than government securities, securities of TRSs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securities of TRSs and qualified real estate assets) can consist of the securities of any one issuer, no more than 25% of the value of our total assets can be represented by the securities of one or more TRSs and no more than 25% of our assets can be represented by debt of “publicly offered REITs” (i.e., REITs that are required to file annual and periodic reports with the SEC under the Exchange Act), unless secured by real property or interests in real property.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otherwise attractive investments. These actions could have the effect of reducing our income and amounts available for distribution to our stockholders.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Complying with REIT requirements may limit our ability to hedge our liabilities effectively and may cause us to incur tax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REIT provisions of the Code may limit our ability to hedge our liabilities. Any income from a hedging transaction we enter into to manage risk of interest rate changes, price changes or currency fluctuations with respect to borrowings made or to be made to acquire or carry real estate assets, if properly identified under applicable Treasury Regulations, does not constitute “gross income” for purposes of the 75% or 95% gross income tests applicable to REITs. In addition, certain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income from hedging transactions entered into to hedge existing hedging positions after any portion of the hedged indebtedness or property is extinguished or disposed of will not be included in income for purposes of the 75% and 95% gross income tests. To the extent that we enter into other types of hedging transactions, the income from those transactions will likely be treated as non-qualifying income for purposes of both the 75% and 95% gross income tests. As a result of these rules, we may need to limit our use of advantageous hedging techniques or implement those hedges through a TRS. This could increase the cost of our hedging activities because our TRSs would be subject to tax on gains or expose us to greater risks associated with changes in interest rates than we would otherwise bear. In addition, losses in a TRS generally will not provide any tax benefit, except for being carried forward against future taxable income of such TRS.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Our ability to provide certain services to our tenants may be limited by the REIT rules or may have to be provided through a TRS.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REIT, we generally cannot provide services to our tenants other than those that are customarily provided by landlords, nor can we derive income from a third party that provides such services. If we forego providing such services to our tenants, we may be at a disadvantage to competitors that are not subject to the same restrictions. However, we can provide such non-customary services to tenants or share in the revenue from such services if we do so through a TRS, though income earned by such TRS will be subject to U.S. federal corporate income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prohibited transactions tax may limit our ability to dispose of our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REIT’s net income from prohibited transactions is subject to a 100% tax. In general, prohibited transactions are sales or other dispositions of property, other than foreclosure property, held primarily for sale to customers in the ordinary course of business. We may be subject to the prohibited transaction tax equal to 100% of net gain upon a disposition of real property. Although a safe harbor to the characterization of the sale of real property by a REIT as a prohibited transaction is available, we cannot assure you that we can comply with the safe harbor or that we will avoid owning property that may be characterized as held primarily for sale to customers in the ordinary course of business. Consequently, we may choose not to engage in certain sales of our properties or may conduct such sales through any TRS that we may form in the future, whose sales of properties would be subject to U.S. federal corporate income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pay taxable dividends in our stock and cash, in which case stockholders may sell shares of our common stock to pay tax on such dividends, placing downward pressure on the market price of our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may satisfy the 90% distribution test with taxable distributions of our stock. The IRS has issued Revenue Procedure 2017-45 authorizing elective cash/stock dividends to be made by “publicly offered REITs.” Pursuant to Revenue Procedure 2017-45, the IRS will treat the distribution of stock pursuant to an elective cash/stock dividend as a distribution of property under Section 301 of the Code (i.e., a dividend), as long as at least 20% of the total dividend is available in cash and certain other parameters detailed in the Revenue Procedure are satisfied.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made a taxable dividend payable in cash and stock, taxable stockholders receiving such dividends will be required to include the full amount of the dividend as ordinary income to the extent of our current and accumulated earnings and profits, as determined for U.S. federal income tax purposes. As a result, stockholders may be required to pay income tax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federal income tax with respect to such dividends, including in respect of all or a portion of such dividend that is payable in stock. If we made a taxable dividend payable in cash and our stock and a significant number of our stockholders determine to sell shares of our stock in order to pay taxes owed on dividends, it may put downward pressure on the trading price of our stock. We do not currently intend to pay taxable dividends using both our stock and cash, although we may choose to do so in the future.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ability of the Board to revoke our REIT qualification without stockholder approval may cause adverse consequences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provides that the Board may revoke or otherwise terminate our REIT election, without the approval of our stockholders, if it determines in good faith that it is no longer in our best interest to continue to qualify as a REIT. If we cease to qualify as a REIT, we would become subject to U.S. federal income tax on our taxable income and would no longer be required to distribute most of our taxable income to our stockholders, which may have adverse consequences on our total return to our stockholders.</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Any ownership of a TRS we may form in the future will be subject to limitations and our transactions with a TRS will cause us to be subject to a 100% penalty tax on certain income or deductions if those transactions are not conducted on arm’s-length terms.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Overall, no more than 25% of the value of a REIT’s assets may consist of stock or securities of one or more TRS entities. A TRS will be subject to applicable U.S. federal, state and local corporate income tax on its taxable income, and its after tax net income will be available for distribution to us but is not required to be distributed to us. In addition, several provisions of the Code regarding the arrangements between a REIT and its TRS entities function to ensure that the TRS is subject to an appropriate level of U.S. federal income taxation. The Code also imposes a 100% excise tax on certain transactions between a TRS and its parent REIT that are not conducted on an arm’s-length basis. We will monitor the value of our respective investments in any TRS that we may form in the future for the purpose of ensuring compliance with TRS ownership limitations and will structure our transactions with any TRS on terms that we believe are arm’s length to avoid incurring the 100% excise tax described above. There can be no assurance, however, that we will be able to comply with the 25% limitation or to avoid application of the 100% excise tax.</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You may be restricted from acquiring or transferring certain amounts of our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stock ownership restrictions of the Code for REITs and the 9.8% share ownership limit in our charter may inhibit market activity in our capital stock and restrict our business combination opportunities.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order for us to maintain our qualification as a REIT, five or fewer individuals, as defined in the Code, may not own, beneficially or constructively, more than 50% in value of our issued and outstanding capital stock at any time during the last half of a taxable year. Attribution rules in the Code determine if any individual or entity beneficially or constructively owns our shares of capital stock under this requirement. Additionally, at least 100 persons must beneficially own our shares of capital stock during at least 335 days of each taxable year other than our initial REIT taxable year. To help ensure that we meet these tests, our charter restricts the acquisition and ownership of shares of our capital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charter, with certain exceptions, requires our directors to take such actions as are necessary and desirable to preserve our qualification as a REIT. Unless exempted by the Board, our charter prohibits any person from beneficially or constructively owning more than 9.8% in value or number of shares, whichever is more restrictive, of the outstanding shares of any class or series of our shares of capital stock. The Board may not grant an exemption from this restriction to any person if such exemption would result in our failing to qualify as a REIT. This as well as other restrictions on transferability and ownership will not apply, however, if the Board determines in good faith that it is no longer in our best interests to continue to qualify as a REIT.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Dividends payable by REITs do not qualify for the reduced tax rates available for some dividends.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maximum U.S. federal income tax rate applicable to “qualified dividend income” payable to U.S. stockholders that are taxed at individual rates is 20% (plus the 3.8% surtax on net investment income, if applicable). Dividends payable by REITs, however, generally are not eligible for the reduced rates on qualified dividend income. However, ordinary REIT dividends constitute “qualified business income” and thus a 20% deduction is available to individual taxpayers with respect to such dividends, resulting in a 29.6% maximum U.S. federal income tax rate (plus the 3.8% surtax on net investment income, if applicable) for individual U.S. stockholders. However, to qualify for this deduction, the stockholder receiving such dividends must hold the dividend-paying REIT stock for at least 46 days (taking into account certain special holding period rules) of the 91-day period beginning 45 days before the stock becomes ex-dividend, and cannot be under an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obligation to make related payments with respect to a position in substantially similar or related property. The more favorable rates applicable to regular corporate qualified dividends could cause investors who are taxed at individual rates to perceive investments in REITs to be relatively less attractive than investments in the stocks of non-REIT corporations that pay dividends, which could adversely affect the value of the shares of REITs, including our common and preferred stock.</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be subject to adverse legislative or regulatory tax changes, in each instance with potentially retroactive effect, that could reduce the market price of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any time, the U.S. federal income tax laws governing REITs, or the administrative interpretations of those laws may be amended. We cannot predict when or if any new U.S. federal income tax law, regulation or administrative interpretation, or any amendment to any existing U.S. federal income tax law, regulation or administrative interpretation, will be adopted, promulgated or become effective and any such law, regulation or interpretation may take effect retroactively. We and our stockholders could be adversely affected by any such change in the U.S. federal income tax laws, regulations or administrative interpretations which, in turn, could materially adversely affect our ability to make distributions to our stockholders and the trading price of our securities.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the Operating Partnership failed to qualify as a partnership for U.S. federal income tax purposes, we would cease to qualify as a REIT and suffer other adverse consequences.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the Operating Partnership will be treated as a partnership for U.S. federal income tax purposes. As a partnership, the Operating Partnership will not be subject to U.S. federal income tax on its income. Instead, each of its partners, including us, will be allocated, and may be required to pay tax with respect to, its share of the Operating Partnership’s income. We cannot assure you, however, that the IRS will not challenge the status of the Operating Partnership or any other subsidiary partnership in which we own an interest as a partnership for U.S. federal income tax purposes, or that a court would not sustain such a challenge. If the IRS were successful in treating the Operating Partnership or any such other subsidiary partnership as an entity taxable as a corporation for U.S. federal income tax purposes, we would fail to meet the gross income tests and certain of the asset tests applicable to REITs and, accordingly, we would likely cease to qualify as a REIT. Also, the failure of the Operating Partnership or any subsidiary partnership to qualify as a partnership could cause such partnership to become subject to U.S. federal and state corporate income tax, which would reduce significantly the amount of cash available for debt service and for distribution to its partners, including 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Securities</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The market values of our securities are subject to various factors that may cause significant fluctuations or volatility.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with other publicly traded securities, the market prices of our common stock and preferred stock depend on various factors, which may change from time to time and/or may be unrelated to our financial condition, results of operations or cash flows. These factors may cause significant fluctuations or volatility in the market prices of our common stock and preferred stock. These factors include, but are likely not limited to, the following:</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condition and operating performance and the financial condition or performance of other similar companies;</w:t>
            </w:r>
          </w:p>
        </w:tc>
      </w:tr>
    </w:tbl>
    <w:tbl>
      <w:tblPr>
        <w:tblW w:w="9306" w:type="dxa"/>
        <w:jc w:val="left"/>
        <w:tblInd w:w="0" w:type="dxa"/>
        <w:tblLayout w:type="fixed"/>
        <w:tblCellMar>
          <w:top w:w="28" w:type="dxa"/>
          <w:left w:w="28" w:type="dxa"/>
          <w:bottom w:w="28" w:type="dxa"/>
          <w:right w:w="28" w:type="dxa"/>
        </w:tblCellMar>
      </w:tblPr>
      <w:tblGrid>
        <w:gridCol w:w="124"/>
        <w:gridCol w:w="256"/>
        <w:gridCol w:w="8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differences in our quarterly or annual operating results as compared to expected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revenues, Funds From Operations (“FFO”), Adjusted Funds From Operations (“AFFO”), or earnings estimates or recommendations by securities analysts;</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publication of research reports about us or the real estate industry generally;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market interest rates, which may lead investors to demand a higher distribution yield for our securities, and could result in increased interest expense on our debt;</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market reaction to any increased indebtedness we incur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changes in our and our tenants’ businesses or prospects, including as a result of the impact of a global pandemic, such as the COVID-19 Pandemic;</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state of the credit and capital markets, and our ability and the ability of our tenants to obtain financing on favorable terms;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with CTO and its affiliates, including our Manager;</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of our Manager or additions and departures of key personnel of our Manager;</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in our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decisions by us or our competitors, such as acquisitions, divestments, spin-offs, joint ventures, strategic investments or changes in business or growth strategies;</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passage of legislation or other regulatory developments that adversely affect us or our industry;</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speculation in the press or investment community;</w:t>
            </w:r>
          </w:p>
        </w:tc>
      </w:tr>
    </w:tbl>
    <w:tbl>
      <w:tblPr>
        <w:tblW w:w="3561" w:type="dxa"/>
        <w:jc w:val="left"/>
        <w:tblInd w:w="0" w:type="dxa"/>
        <w:tblLayout w:type="fixed"/>
        <w:tblCellMar>
          <w:top w:w="28" w:type="dxa"/>
          <w:left w:w="28" w:type="dxa"/>
          <w:bottom w:w="28" w:type="dxa"/>
          <w:right w:w="28" w:type="dxa"/>
        </w:tblCellMar>
      </w:tblPr>
      <w:tblGrid>
        <w:gridCol w:w="124"/>
        <w:gridCol w:w="256"/>
        <w:gridCol w:w="3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institutional stockholders;</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investor interest in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reputation of REITs and the attractiveness of our equity securities in comparison to other equity securities, including securities issued by other real estate-based companies;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confidence in the stock and bond markets, generally;</w:t>
            </w:r>
          </w:p>
        </w:tc>
      </w:tr>
    </w:tbl>
    <w:tbl>
      <w:tblPr>
        <w:tblW w:w="2166" w:type="dxa"/>
        <w:jc w:val="left"/>
        <w:tblInd w:w="0" w:type="dxa"/>
        <w:tblLayout w:type="fixed"/>
        <w:tblCellMar>
          <w:top w:w="28" w:type="dxa"/>
          <w:left w:w="28" w:type="dxa"/>
          <w:bottom w:w="28" w:type="dxa"/>
          <w:right w:w="28" w:type="dxa"/>
        </w:tblCellMar>
      </w:tblPr>
      <w:tblGrid>
        <w:gridCol w:w="124"/>
        <w:gridCol w:w="256"/>
        <w:gridCol w:w="1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issuances by us (including the issuances of OP Units), or resales of our securities by our stockholders, or the perception that such issuances or resales may occur;</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of average daily trading and the amount of our securities available to be traded;</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our qualification as a REIT;</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rules of the NYSE or maintain the listing of our securities on the NYSE;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terrorist acts, natural or man-made disasters, including global pandemics impacting the United States, or threatened or actual armed conflicts;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and local, regional and national economic conditions, including factors unrelated to our operating performance and prospects.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assurance can be given that the market prices of our securities will not fluctuate or decline significantly in the future or that holders of our securities will be able to sell their securities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There can be no assurance that we will be able to make or maintain cash distributions, and certain agreements relating to our indebtedness may, under certain circumstances, limit or eliminate our ability to make distributions to our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make cash distributions to our stockholders in amounts such that all or substantially all of our taxable income in each year, subject to adjustments, is distributed. Our ability to continue to make distributions in the future may be adversely affected by the risk factors described in this Annual Report on Form 10-K. We can give no assurance that we will be able to make or maintain distributions and certain agreements relating to our indebtedness may, under certain circumstances, limit or eliminate our ability to make distributions to our stockholders. We can give no assurance that rents from our properties will increase, or that future acquisitions of real properties or other investments will increase our cash available for distributions to stockholders. In addition, any distributions will be authorized at the sole discretion of the Board, and their form, timing and amount, if any, will depend upon a number of factors, including our actual and 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the Board deems relevant.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do not have sufficient cash available for distributions, we may need to fund the shortage out of working capital or borrow to provide funds for such distributions, which would reduce the amount of proceeds available for real estate investments and increase our future interest costs. Our inability to make distributions, or to make distributions at expected levels, could result in a decrease in the per share trading price of our securities.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The market prices of our securities could be adversely affected by our level of cash distributions.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 market prices of the equity securities of a REIT are based primarily upon the market’s perception of the REIT’s growth potential, its current and potential future cash distributions, whether from operations, sales or refinancing, and its management and governance structure and is secondarily based upon the real estate market value of the underlying assets. For that reason, our securities may trade at prices that are higher or lower than our net asset value per share. To the extent we retain operating cash flows for investment purposes, working capital reserves or other purposes, these retained funds, while increasing the value of our underlying assets, may not correspondingly increase the market prices of our securities. If we fail to meet the market’s expectations with regard to future operating results and cash distributions, the market prices of our securities could be adversely affected.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Increases in market interest rates may result in a decline in the market prices of our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One of the factors that we believe influences the market prices of our securities is the distribution yield on the security (as a percentage of the market price of the security) relative to market interest rates. Additional increases in market interest rates, which have increased recently but are still currently at low levels relative to certain historical rates, may lead prospective purchasers of shares of our securities to expect a higher distribution yield. Additionally, higher interest rates have in the past and are expected to continue to increase our borrowing costs and potentially decrease our cash available for distribution. Thus, higher market interest rates could cause the market prices of our securities to decline.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Future issuances of debt securities, which would rank senior to shares of our common stock and preferred stock upon our liquidation, and future issuances of equity securities (including preferred stock and OP Units), which would dilute the holdings of our then-existing common stockholders and may be senior to shares of our common stock for the purposes of making distributions, periodically or upon liquidation, may materially and adversely affect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future, we may issue debt or equity securities or incur other borrowings. Upon liquidation, holders of our debt securities and other loans and shares of our preferred stock will receive a distribution of our available assets before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 Units), warrants or options, will dilute the holdings of our then-existing common stockholders and such issuances or the perception of such issuances may reduce the market price of our common stock. Our Series A Preferred Stock, has a preference on distribution payments, both periodically and upon liquidation, which could limit our ability to make distributions to holders of shares of our common stock in the future. Because our decision to issue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of debt or equity securities or our incurrence of other borrowings may materially and adversely affect the market price of shares of our common stock and dilute their ownership in us.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Sales of substantial amounts of our common stock in the public markets or the perception that they might occur, could reduce the price of our common stock and may dilute the voting power of our then-existing common stockholders and such common stockholders’ ownership interest in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of substantial amounts of our common stock in the public market, or the perception that such sales could occur, could adversely affect the market price of our common stock and may make it more difficult for our then-existing common stockholders to sell their shares of common stock at a time and price that such common stockholders deem appropriate.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shares of our common stock that we have sold in the IPO and subsequent public offerings may be resold immediately in the public market unless they are held by “affiliates,” as that term is defined in Rule 144 under the Securities Act. The common stock purchased by CTO in the CTO Private Placement and in the IPO and the shares of common stock underlying the OP Units issued in the Formation Transactions are “restricted securities” within the meaning of Rule 144 under the Securities Act and may not be sold in the absence of registration under the Securities Act unless an exemption from registration is available, including the exemptions contained in Rule 144. As a result of the registration rights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that we entered into with CTO, the shares of our common stock purchased by CTO in the CTO Private Placement may be eligible for future sale without restriction. Sales of a substantial number of such shares, or the perception that such sales may occur, could cause the market price of our common stock to fall or make it more difficult for our then-existing common stockholders to sell their common stock at a time and price that such common stockholders deem appropriate.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our charter provides that we may issue up to 500,000,000 shares of common stock and 100,000,000 shares of preferred stock, $0.01 par value per share. Moreover, under Maryland law and as is provided in our charter, a majority of our entire board of directors has the power to amend our charter to increase or decrease the aggregate number of shares of stock or the number of shares of stock of any class or series that we are authorized to issue without stockholder approval. Future issuances of shares of our common stock or securities convertible or exchangeable into common stock may dilute the ownership interest of our common stockholders. Because our decision to issue additional equity or convertible or exchangeable securities in any future offering will depend on market conditions and other factors beyond our control, we cannot predict or estimate the amount, timing or nature of our future issuances. In addition, we are not required to offer any such securities to existing stockholders on a preemptive basis. Therefore, it may not be possible for existing stockholders to participate in such future issuances, which may dilute the existing stockholders’ interests in us.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Cybersecurity risks and cyber incidents could adversely affect our business and disrupt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Cyber incidents can result from deliberate attacks or unintentional events. These incidents can include, but are not limited to, gaining unauthorized access to digital systems for purposes of misappropriating assets or sensitive information, corrupting data or causing operational disruption. The result of these incidents could include, but are not limited to, disrupted operations, misstated financial data, liability for stolen assets or information, increased cybersecurity protection costs, litigation and reputational damage. Should any such cyber incidents or similar events occur, our assets, particularly cash, could be lost and, as a result, our ability to execute our business and pursue our investment and growth strategy could be impaired, thereby materially and adversely affecting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New technologies also continue to develop, including tools that harness generative artificial intelligence and other machine learning techniques (collectively, “AI”). AI is developing at a rapid pace and becoming more accessible. As a result, the use of such new technologies by us or our service providers or counterparties can present additional known and unknown risks, including, among others, the risk that confidential information may be stolen, misappropriated or disclosed and the risk that we, our service providers and/or our counterparties may rely on incorrect, unclear or biased outputs generated by such technologies, any of which could have an adverse impact on us and our business. See “—Artificial intelligence and other machine learning techniques could increase competitive, operational, legal and regulatory risks to our business in ways that we cannot predict.”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Artificial intelligence and other machine learning techniques could increase competitive, operational, legal and regulatory risks to our business in ways that we cannot predict.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use of AI by us and others, and the overall adoption of AI throughout society, may exacerbate or create new and unpredictable competitive, operational, legal and regulatory risks to our business. There is substantial uncertainty about the extent to which AI will result in dramatic changes throughout the world, and we may not be able to anticipate, prevent, mitigate or remediate all of the potential risks, challenges or impacts of such changes. These changes could potentially disrupt, among other things, our business model, investment strategies and operational processes. Some of our competitors may be more successful than us in the development and implementation of new technologies, including services and platforms based on AI, to improve their operations. If we are unable to adequately advance our capabilities in these areas, or do so at a slower pace than others in our industry, we may be at a competitive disadvantage.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If the data we, or third parties whose services we rely on, use in connection with the possible development or deployment of AI is incomplete, inadequate or biased in some way, the performance of our business could suffer. In addition, recent technological advances in AI both present opportunities and pose risks to us. Data in technology that uses AI may contain a degree of inaccuracy and error, which could result in flawed algorithms in various models used in our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business. The volume and reliance on data and algorithms also make AI more susceptible to cybersecurity threats, including data poisoning and the compromise of underlying models, training data or other intellectual property. Our personnel or the personnel of our service providers could, without being known to us, improperly utilize AI and machine learning-technology while carrying out their responsibilities. This could reduce the effectiveness of AI technologies and adversely impact us and our operations to the extent that we rely on the AI’s work product.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is also a risk that AI may be misused or misappropriated by third parties we engage. For example, a user may input confidential information, including material non-public information or personally identifiable information, into AI applications, resulting in the information becoming a part of a dataset that is accessible by third-party technology applications and users, including our competitors. Further, we may not be able to control how third-party AI that we choose to use is developed or maintained, or how data we input is used or disclosed. The misuse or misappropriation of our data could have an adverse impact on our reputation and could subject us to legal and regulatory investigations or actions or create competitive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use of AI by us or others may require compliance with legal or regulatory frameworks that are not fully developed or tested, and we may face litigation and regulatory actions related to our use of AI. There has been increased scrutiny, including from global regulators, regarding the use of “big data,” diligence of data sets and oversight of data vendors. Our ability to use data to gain insights into and manage our business may be limited in the future by regulatory scrutiny and legal developments.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may become subject to litigation,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may become subject to litigation, in connection with our operations, securities offerings and otherwise in the ordinary course of business. Some of these claims may result in significant defense costs and potentially significant judgments against us, some of which are not, or cannot be, insured against. We generally intend to vigorously defend ourselves. However, we cannot be certain of the ultimate outcomes of any claims that may arise in the future and which are presently not known to us. Resolution of these types of matters against us may result in our having to pay significant fines, judgments or settlements, which, if uninsured, or if the fines, judgments and settlements exceed insured levels, could materially and adversely impact our earnings and cash flows, thereby materially and adversely affecting us. Certain litigation or the resolution of certain litigation may affect the availability or cost of some of our insurance coverage, which could materially and adversely impact us, expose us to increased risks that would be uninsured and materially and adversely impact our ability to attract directors and officers.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If we fail to maintain effective disclosure controls and procedures, we may not be able to meet applicable reporting requirements, which could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publicly traded company, we are subject to the informational requirements of the Exchange Act and are required to file reports and other information with the SEC. In addition, we are required to maintain disclosure controls and procedures that are designed to ensure that information required to be disclosed in the reports that we file with, or submit to, the SEC is recorded, processed, summarized and reported, within the time periods specified in the SEC’s rules and forms. They include controls and procedures designed to ensure that information required to be disclosed in reports filed with, or submitted to, the SEC is accumulated and communicated to management, including our principal executive and principal financial officers, to allow timely decisions regarding required disclosure. Effective disclosure controls and procedures are necessary for us to provide reliable reports, effectively prevent and detect fraud and to operate successfully as a public company. Designing and implementing effective disclosure controls and procedures is a continuous effort that requires significant resources and devotion of time. We may discover deficiencies in our disclosure controls and procedures that may be difficult or time consuming to remediate in a timely manner. Any failure to maintain effective disclosure controls and procedures or to timely effect any necessary improvements thereto could cause us to fail to meet our reporting obligations (which could affect the listing of our securities on the NYSE). Additionally, ineffective disclosure controls and procedures could also adversely affect our ability to prevent or detect fraud, harm our reputation and cause investors to lose confidence in our reports filed with, or submitted to, the SEC, which would likely have a negative effect on the trading prices of our securities.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An epidemic or pandemic (such as the outbreak and worldwide spread of COVID-19), and the measures that international, federal, state and local governments, agencies, law enforcement and/or health authorities implement to address it, may precipitate or materially exacerbate one or more of the other risks, and may significantly disrupt our tenants’ ability to operate their businesses and/or pay rent to us or prevent us from operating our business in the ordinary course for an extended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epidemic or pandemic could have a material and adverse effect on or cause disruption to our business or financial condition, results of operations, cash flows and the market value and trading price of our securities due to, among other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or partial closure of, or other operational issues with, our portfolio as a result of government or tenant action;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Declines in or instability of the economy or financial markets may result in a recession or negatively impact consumer discretionary spending, which could adversely affect retailers and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of economic activity may severely impact our tenants’ business operations, financial condition, liquidity and access to capital resources and may cause one or more of our tenants to be unable to meet their obligations to us in full, or at all, to default on their lease, or to otherwise seek modifications of such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access debt and equity capital on favorable terms, if at all, or a severe disruption and instability in the global financial markets or deteriorations in credit and financing conditions may affect our access to capital necessary to fund business operations, pursue acquisition and development opportunities, refinance existing debt, reduce our ability to make cash distributions to our stockholders and increase our future interest expense;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decline in business activity and demand for real estate transactions would adversely affect our ability to successfully execute our investment strategies or expand our portfolio;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reduction in our cash flows could impact our ability to continue paying cash dividends to our stockholders at expected levels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financial impact could negatively affect our future compliance with financial and other covenants of our debt instruments, and the failure to comply with such covenants could result in a default that accelerates the payment of such debt;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negative impact on the health of on CTO’s employees or members of the Board or CTO’s board of directors, particularly if a significant number are impacted, or the impact of government actions or restrictions, including stay-at-home orders, restricting access to CTO’s headquarters, could result in a deterioration in our ability to ensure business continuity during a disruption.</w:t>
            </w:r>
          </w:p>
        </w:tc>
      </w:tr>
    </w:tbl>
    <w:p>
      <w:pPr>
        <w:pStyle w:val="TextBody"/>
        <w:bidi w:val="0"/>
        <w:spacing w:before="0" w:after="240"/>
        <w:ind w:left="72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prolonged continuation of or repeated temporary business closures, reduced capacity at businesses or other social-distancing practices, and quarantine orders may adversely impact our tenants’ ability to generate sufficient revenues to meet financial obligations, and could force tenants to default on their leases, or result in the bankruptcy of tenants, which would diminish the rental revenue we receive under our leases.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Changes in accounting standards may materially and adversely affect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the FASB and the SEC, who create and interpret appropriate accounting standards, may change the financial accounting and reporting standards or their interpretation and application of these standards that will govern the preparation of our financial statements. These changes could materially and adversely affect our reported financial condition and results of operations. In some cases, we could be required to apply a new or revised standard retroactively, resulting in restating prior period financial statements. Similarly, these changes could materially and adversely affect our tenant’s reported financial condition or results of operations and affect their preferences regarding leasing real estate.</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We are subject to risks related to corporate social responsibility.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business faces public scrutiny related to environmental, social and governance (“ESG”) activities. We risk damage to our reputation if we or affiliates of our Manager fail to act responsibly in a number of areas, such as diversity and inclusion, environmental stewardship, support for local communities, corporate governance and transparency and considering ESG factors in our investment processes. Adverse incidents with respect to ESG activities could impact the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our operations and relationships with investors, all of which could adversely affect our business and results of operations. Additionally, new legislative or regulatory initiatives related to ESG could adversely affect our business.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Evolving investor-related sentiment related to ESG issues could adversely affect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So-called “anti-ESG” sentiment has also gained momentum across the U.S., with several states having enacted or proposed “anti-ESG” policies, legislation, or issued related legal opinions. For example, boycott bills in certain states target financial institutions that are perceived as “boycotting” or “discriminating against” companies in certain industries (e.g., energy and mining) and prohibit state entities from doing business with such institutions and/or investing the state’s assets through such institutions. In addition, certain states now require that relevant state entities or managers/administrators of state investments make investments based solely on pecuniary factors without consideration of ESG factors. If investors subject to such legislation viewed us, our policies, or our practices, as being in contradiction of such “anti-ESG” policies, legislation or legal opinions, such investors may not invest in us, which could negatively affect our financial performance.</w:t>
      </w:r>
    </w:p>
    <w:p>
      <w:pPr>
        <w:pStyle w:val="TextBody"/>
        <w:bidi w:val="0"/>
        <w:spacing w:before="0" w:after="160"/>
        <w:ind w:left="0" w:right="0" w:hanging="0"/>
        <w:jc w:val="both"/>
        <w:rPr>
          <w:rFonts w:ascii="Times New Roman;Times;serif" w:hAnsi="Times New Roman;Times;serif"/>
          <w:sz w:val="20"/>
        </w:rPr>
      </w:pPr>
      <w:bookmarkStart w:id="40" w:name="ITEM1BUNRESOLVEDSTAFFCOMMENTS_212658"/>
      <w:bookmarkStart w:id="41" w:name="_4658bdce_93f8_4be7_af28_af52adaeaf53"/>
      <w:bookmarkEnd w:id="40"/>
      <w:bookmarkEnd w:id="41"/>
      <w:r>
        <w:rPr>
          <w:rFonts w:ascii="Times New Roman;Times;serif" w:hAnsi="Times New Roman;Times;serif"/>
          <w:b/>
          <w:sz w:val="20"/>
        </w:rPr>
        <w:t>ITEM 1B.</w:t>
      </w:r>
      <w:r>
        <w:rPr>
          <w:rFonts w:ascii="Times New Roman;Times;serif" w:hAnsi="Times New Roman;Times;serif"/>
          <w:sz w:val="20"/>
        </w:rPr>
        <w:t>          </w:t>
      </w:r>
      <w:r>
        <w:rPr>
          <w:rFonts w:ascii="Times New Roman;Times;serif" w:hAnsi="Times New Roman;Times;serif"/>
          <w:b/>
          <w:sz w:val="20"/>
        </w:rPr>
        <w:t>UNRESOLVED STAFF COMMENTS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left"/>
        <w:rPr/>
      </w:pPr>
      <w:r>
        <w:rPr/>
        <w:t>​</w:t>
      </w:r>
    </w:p>
    <w:p>
      <w:pPr>
        <w:pStyle w:val="TextBody"/>
        <w:bidi w:val="0"/>
        <w:spacing w:before="0" w:after="160"/>
        <w:ind w:left="0" w:right="0" w:hanging="0"/>
        <w:jc w:val="both"/>
        <w:rPr>
          <w:rFonts w:ascii="Times New Roman;Times;serif" w:hAnsi="Times New Roman;Times;serif"/>
          <w:b/>
          <w:sz w:val="20"/>
        </w:rPr>
      </w:pPr>
      <w:bookmarkStart w:id="42" w:name="Item_1C_Cybersecurity"/>
      <w:bookmarkStart w:id="43" w:name="_92f56a9f_5c11_4f5f_8a9c_f161f031ea3e"/>
      <w:bookmarkEnd w:id="42"/>
      <w:bookmarkEnd w:id="43"/>
      <w:r>
        <w:rPr>
          <w:rFonts w:ascii="Times New Roman;Times;serif" w:hAnsi="Times New Roman;Times;serif"/>
          <w:b/>
          <w:sz w:val="20"/>
        </w:rPr>
        <w:t>ITEM 1C.          CYBERSECURITY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our Manager, which is a wholly owned subsidiary of CTO, a publicly traded diversified REIT. Pursuant to the terms of the Management Agreement, our Manager manages, operates and administers our day-to-day operations, business and affairs, subject to the direction and supervision of the Board. The Board recognizes the critical importance of maintaining the trust and confidence of our tenants, borrowers, and business partners. The Board plays an active role in overseeing management of our risks, and cybersecurity represents an important component of the Company’s overall approach to risk management and oversight.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an externally managed company, the Company relies on CTO’s information systems in connection with the Company’s day-to-day operations. Consequently, the Company also relies on the processes for assessing, identifying, and managing material risks from cybersecurity threats undertaken by CTO. All of the Company’s executive officers are executive officers and employees of CTO, and one of the Company’s officers (John P. Albright) is also a member of CTO’s board of directors.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cybersecurity processes and practices are integrated into CTO’s risk management and oversight program. In general, CTO seeks to address cybersecurity risks through a comprehensive, cross-functional approach that is focused on preserving the confidentiality, security and availability of the information that CTO collects and stores by identifying, preventing and mitigating cybersecurity threats and effectively responding to cybersecurity incidents when they occur. CTO utilizes a third-party managed IT service provider (the “MSP”) to provide comprehensive cybersecurity services for the Company, including threat detection and response, vulnerability assessment and monitoring, security incident response and recovery, and cybersecurity education and awareness. The Company has adopted a written information security incident response plan, which, as discussed below, is overseen by the Audit Committee of the Board (the “Audit Committee”).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cybersecurity program is focused on the following key areas: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Governance: As discussed in more detail under “Item 1C. Cybersecurity—Governance,” the Board’s oversight of cybersecurity risk management is supported by the Audit Committee, which regularly interacts with the Company’s management team.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Collaborative Approach: CTO has implemented a comprehensive, cross-functional approach to identifying, preventing and mitigating cybersecurity threats and incidents, while also implementing controls and procedures that provide for the prompt escalation of certain cybersecurity incidents so that decisions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public disclosure and reporting of such incidents can be made by management, the Audit Committee, and the Board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Safeguards: CTO and the MSP deploy technical safeguards that are designed to protect information systems from cybersecurity threats, including firewalls, intrusion prevention systems, endpoint detection and response systems, anti-malware functionality and access controls, which are evaluated and improved through vulnerability assessments and cybersecurity threat intelligence.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 Response and Recovery Planning: CTO and the MSP have established a written information security incident response plan that addresses the response to a cybersecurity incident, which plan is tested and evaluated on a regular basis.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Risk Management: CTO and the MSP maintain a comprehensive, risk-based approach to identifying and overseeing cybersecurity risks presented by third parties, including vendors, service providers and other external users of CTO’s systems, as well as the systems of third parties that could adversely impact the Company’s business in the event of a cybersecurity incident affecting those third-party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Education and Awareness: CTO, through the MSP, provides regular training for personnel regarding cybersecurity threats as a means to equip personnel with effective tools to address cybersecurity threats, and to communicate evolving information security policies, standards, processes and practices.</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 and the MSP engage in the periodic assessment and testing of CTO’s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CTO’s cybersecurity measures and planning. The MSP regularly assesses CTO’s cybersecurity measures, including information security maturity, and regularly reviews CTO’s information security control environment and operating effectiveness. The results of such assessments, audits and reviews will be reported to the Audit Committee and the Board, and CTO will adjust its cybersecurity policies, standards, processes and practices as necessary based on the information provided by these assessments, audits and reviews.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Governance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in coordination with the Audit Committee, oversees the Company’s cybersecurity risk management process. The Audit Committee has adopted a charter that provides that the Audit Committee must review and discuss with the Company’s management team the Company’s privacy and cybersecurity risk exposures, including:</w:t>
      </w:r>
    </w:p>
    <w:p>
      <w:pPr>
        <w:pStyle w:val="TextBody"/>
        <w:bidi w:val="0"/>
        <w:spacing w:before="0" w:after="0"/>
        <w:ind w:left="0" w:right="0" w:firstLine="360"/>
        <w:jc w:val="both"/>
        <w:rPr/>
      </w:pPr>
      <w:r>
        <w:rPr/>
        <w:t>​</w:t>
      </w:r>
    </w:p>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those exposures on the Company’s business, financial results, operations and reputation;</w:t>
            </w:r>
          </w:p>
        </w:tc>
      </w:tr>
    </w:tbl>
    <w:tbl>
      <w:tblPr>
        <w:tblW w:w="6426" w:type="dxa"/>
        <w:jc w:val="left"/>
        <w:tblInd w:w="0" w:type="dxa"/>
        <w:tblLayout w:type="fixed"/>
        <w:tblCellMar>
          <w:top w:w="28" w:type="dxa"/>
          <w:left w:w="28" w:type="dxa"/>
          <w:bottom w:w="28" w:type="dxa"/>
          <w:right w:w="28" w:type="dxa"/>
        </w:tblCellMar>
      </w:tblPr>
      <w:tblGrid>
        <w:gridCol w:w="124"/>
        <w:gridCol w:w="256"/>
        <w:gridCol w:w="6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management has taken to monitor and mitigate such exposures;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information governance policies and programs;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major legislative and regulatory developments that could materially impact the Company’s privacy and cybersecurity risk exposure. </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charter of the Audit Committee also provides that the Audit Committee may receive additional training in cybersecurity and data privacy matters to enable its oversight of such risks and that the Audit Committee will regularly report to the Board the substance of such reviews and discussions and, as necessary, recommend to the Board such actions as the Audit Committee deems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noted above, the Company relies on CTO’s information systems and the MSP in connection with the Company’s day-to-day operations. Consequently, the Company also relies on the processes for assessing, identifying, and managing material risks from cybersecurity threats undertaken by CTO. All of the Company’s executive officers are executive officers and employees of CTO, and one of the Company’s officers (John P. Albright) is also a member of CTO’s board of directors.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Senior Vice President, Chief Financial Officer and Treasurer, Senior Vice President, General Counsel and Corporate Secretary, and Senior Vice President and Chief Accounting Officer work collaboratively with the MSP to implement a program designed to protect CTO’s information systems from cybersecurity threats and to promptly respond to any cybersecurity incidents in accordance with written information security incident response plans adopted by CTO and the Company. These members of CTO’s management team, together with the MSP, monitor the prevention, detection, mitigation and remediation of cybersecurity threats and incidents and will report such threats and incidents to the Audit Committee when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CTO’s Senior Vice President, Chief Financial Officer and Treasurer, Senior Vice President, General Counsel and Corporate Secretary, and Senior Vice President and Chief Accounting Officer each hold degrees in their respective fields, and have approximately 20</w:t>
      </w:r>
      <w:r>
        <w:rPr>
          <w:rFonts w:ascii="Times New Roman;Times;serif" w:hAnsi="Times New Roman;Times;serif"/>
          <w:color w:val="FF0000"/>
          <w:sz w:val="20"/>
        </w:rPr>
        <w:t xml:space="preserve"> </w:t>
      </w:r>
      <w:r>
        <w:rPr>
          <w:rFonts w:ascii="Times New Roman;Times;serif" w:hAnsi="Times New Roman;Times;serif"/>
          <w:sz w:val="20"/>
        </w:rPr>
        <w:t>years or more of experience managing risks at CTO, the Company, and similar companies, including risks arising from cybersecurity threats.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Cybersecurity threats, including as a result of any previous cybersecurity incidents, have not materially affected and are not reasonably likely to affect the Company, including its business strategy, results of operations or financial condition.</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4" w:name="ITEM2PROPERTIES_519156"/>
      <w:bookmarkStart w:id="45" w:name="_02195ecf_a066_4967_a0ce_983ffb1e183b"/>
      <w:bookmarkEnd w:id="44"/>
      <w:bookmarkEnd w:id="45"/>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principal offices are located at 369 N. New York Avenue, Suite 201, Winter Park, Florida 32789. Our telephone number is (407) 904-3324.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the Company owns 127 net leased retail buildings located in 32 states (refer to Item 1. “Business”).</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6" w:name="ITEM3LEGALPROCEEDINGS_42989"/>
      <w:bookmarkStart w:id="47" w:name="_18e72c46_4859_4b31_9ffc_82728ce0d6fb"/>
      <w:bookmarkEnd w:id="46"/>
      <w:bookmarkEnd w:id="47"/>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our business. We are not currently a party to any pending or threatened legal proceedings that we believe could have a material adverse effect on our business or financial condition.</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48" w:name="ITEM4MINESAFETYDISCLOSURES_844828"/>
      <w:bookmarkStart w:id="49" w:name="_f3acfb40_5ef7_49f5_ab70_f02cad02c70c"/>
      <w:bookmarkEnd w:id="48"/>
      <w:bookmarkEnd w:id="49"/>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MINE SAFETY DISCLOSURES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left"/>
        <w:rPr/>
      </w:pPr>
      <w:r>
        <w:rPr/>
        <w:t>​</w:t>
      </w:r>
    </w:p>
    <w:p>
      <w:pPr>
        <w:pStyle w:val="TextBody"/>
        <w:bidi w:val="0"/>
        <w:spacing w:before="0" w:after="0"/>
        <w:ind w:left="0" w:right="0" w:hanging="0"/>
        <w:jc w:val="center"/>
        <w:rPr>
          <w:rFonts w:ascii="Times New Roman;Times;serif" w:hAnsi="Times New Roman;Times;serif"/>
          <w:b/>
          <w:sz w:val="20"/>
        </w:rPr>
      </w:pPr>
      <w:bookmarkStart w:id="50" w:name="PARTII_948070"/>
      <w:bookmarkEnd w:id="50"/>
      <w:r>
        <w:rPr>
          <w:rFonts w:ascii="Times New Roman;Times;serif" w:hAnsi="Times New Roman;Times;serif"/>
          <w:b/>
          <w:sz w:val="20"/>
        </w:rPr>
        <w:t>PART II</w:t>
      </w:r>
    </w:p>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bookmarkStart w:id="51" w:name="ITEM5MARKETFORREGISTRANTSCOMMONEQUITYREL"/>
      <w:bookmarkStart w:id="52" w:name="_1618eb73_98ee_4287_80a9_35900795bf78"/>
      <w:bookmarkEnd w:id="51"/>
      <w:bookmarkEnd w:id="52"/>
      <w:r>
        <w:rPr>
          <w:rFonts w:ascii="Times New Roman;Times;serif" w:hAnsi="Times New Roman;Times;serif"/>
          <w:b/>
          <w:sz w:val="20"/>
        </w:rPr>
        <w:t>ITEM 5.</w:t>
      </w:r>
      <w:r>
        <w:rPr>
          <w:rFonts w:ascii="Times New Roman;Times;serif" w:hAnsi="Times New Roman;Times;serif"/>
          <w:sz w:val="20"/>
        </w:rPr>
        <w:t>            </w:t>
      </w:r>
      <w:r>
        <w:rPr>
          <w:rFonts w:ascii="Times New Roman;Times;serif" w:hAnsi="Times New Roman;Times;serif"/>
          <w:b/>
          <w:sz w:val="20"/>
        </w:rPr>
        <w:t>MARKET FOR REGISTRANT’S COMMON EQUITY, RELATED STOCKHOLDER</w:t>
      </w:r>
      <w:r>
        <w:rPr>
          <w:rFonts w:ascii="Times New Roman;Times;serif" w:hAnsi="Times New Roman;Times;serif"/>
          <w:sz w:val="20"/>
        </w:rPr>
        <w:t xml:space="preserve"> </w:t>
      </w:r>
      <w:r>
        <w:rPr>
          <w:rFonts w:ascii="Times New Roman;Times;serif" w:hAnsi="Times New Roman;Times;serif"/>
          <w:b/>
          <w:sz w:val="20"/>
        </w:rPr>
        <w:t>MATTERS, AND ISSUER REPURCHASES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common stock trades on the NYSE under the symbol “PINE”.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January 30, 2026, there were 166 holders of record of our common stock. This figure does not represent the actual number of beneficial owners of our common stock because shares of our common stock are frequently held in “street name” through banks, brokers and others for the benefit of beneficial owners who may vote the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intend to make quarterly distributions to our common stockholders. In particular, in order to maintain our qualification for taxation as a REIT, we intend to make annual distributions to our stockholders of at least 90% of our REIT taxable income, determined without regard to the deduction for dividends paid and excluding any net capital gain. However, any future distributions will be at the sole discretion of the Board and will depend upon, among other things, our actual results of operations and liquidity.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2025 and December 31, 2024, there were no unregistered sales of equity securities, which were not previously reported. On November 10, 2023, we issued 479,640 shares of our common stock to holders of OP Units upon the redemption of such OP Units pursuant to the partnership agreement of the Operating Partnership. The issuance of such shares was exempt from registration under the Securities Act, pursuant to the exemption contemplated by Section 4(a)(2) thereof for transactions not involving a public offering. The OP Units were redeemed for an equal number of shares of our common stock. Each limited partner of the Operating Partnership has the right to require the Operating Partnership to redeem part or all of its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53" w:name="Reserved_762107"/>
      <w:bookmarkStart w:id="54" w:name="ITEM6SELECTEDFINANCIALDATA_762869"/>
      <w:bookmarkStart w:id="55" w:name="_37c6de89_d336_41a4_a9f0_40b4f02ecf19"/>
      <w:bookmarkEnd w:id="53"/>
      <w:bookmarkEnd w:id="54"/>
      <w:bookmarkEnd w:id="55"/>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56" w:name="ITEM7MANAGEMENTSDISCUSSIONANDANALYSISOFF"/>
      <w:bookmarkStart w:id="57" w:name="_99f5aea4_24e3_4687_9ad0_95c1ff825bce"/>
      <w:bookmarkEnd w:id="56"/>
      <w:bookmarkEnd w:id="57"/>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When we refer to “we,” “us,” “our,” “PINE,” or “the Company,” we mean Alpine Income Property Trust, Inc. and its consolidated subsidiaries. References to “Notes to the Financial Statements” refer to the Notes to the Consolidated Financial Statements of Alpine Income Property Trust, Inc. included in Item 8 of this Annual Report on Form 10-K. Also, when the Company uses any of the words “anticipate,” “assume,” “believe,” “estimate,” “expect,” “intend,” or similar expressions, the Company is making forward-looking statements. Although management believes that the expectations reflected in such forward-looking statements are based upon present expectations and reasonable assumptions, the Company’s actual results could differ materially from those set forth in the forward-looking statements. Certain factors that could cause actual results or events to differ materially from those the Company anticipates or projects are described in “Item 1A. Risk Factors” of this Annual Report on Form 10-K. Given these uncertainties, readers are cautioned not to place undue reliance on such statements, which speak only as of the date of this Annual Report on Form 10-K or any document incorporated herein by reference. The Company undertakes no obligation to publicly release any revisions to these forward-looking statements that may be made to reflect events or circumstances after the date of this Annual Report on Form 10-K.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following discussion and analysis should be read in conjunction with the consolidated financial statements and related notes included elsewhere in this report.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Alpine Income Property Trust, Inc. is a Maryland corporation that conducts its operations so as to qualify as a REIT for U.S. federal income tax purposes. Substantially all of our operations are conducted through our Operating Partnership.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in two primary business segments: income properties and 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our Manager, a Delaware limited liability company and a wholly owned subsidiary of CTO. CTO is a Maryland corporation that is a publicly traded diversified REIT and the sole member of our Manager. See Note 19, “Related Party Management Company” in the Notes to the Financial Statements for further discussion of the Company’s related party transactions with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2025, the Company acquired 13 properties for a combined purchase price of $100.6 million. During the year ended December 31, 2025, the Company sold 20 properties for an aggregate sales price of $72.8 million, generating aggregate gains on sale of $2.1 million. The aggregate gains included gains on sale totaling $6.9 million net of losses on sale totaling $4.8 million. The $4.8 million in losses were primarily attributable to the sale of four properties leased to Walgreens for an aggregate $4.3 million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2025, we owned 127 properties with an aggregate gross leasable area of 4.3 million square feet, located in 32 states, with a weighted average remaining lease term of 8.4 years. Our portfolio was 99.5% occupied as of December 31, 2025.</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also acquire or originate commercial loans and investments associated with real estate located in the United States. Our investments in commercial loans are generally secured by real estate or the borrower’s pledge of its ownership interest in an entity that owns real estate. </w:t>
      </w:r>
      <w:r>
        <w:rPr>
          <w:rFonts w:ascii="Times New Roman;Times;serif" w:hAnsi="Times New Roman;Times;serif"/>
          <w:sz w:val="20"/>
          <w:shd w:fill="FFFFFF" w:val="clear"/>
        </w:rPr>
        <w:t xml:space="preserve">During the year ended December 31, 2025, the Company invested in 12 commercial loans with a total funding commitment of $139.3 million. Additionally, during the year ended December 31, 2025, the Company amended five existing commercial loan investments whereby certain maturity dates were extended and the total face amounts of four loan investments were upsized by an aggregate of $39.7 million. Also during the year ended December 31, 2025, the Company sold a $10.0 million A-1 participation interest in a $29.5 million mortgage note that was initially originated by the Company. As of December 31, 2025, the Company’s commercial loan investments portfolio included nine construction loans, six mortgage notes, and three properties acquired pursuant to a sale-leaseback transaction whereby the tenant has a future repurchase right, with an aggregate carrying value of $167.6 million.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Historical Financial Information</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our selected historical financial information for each of the last three fiscal years (in thousands, except per share and dividend data). The selected financial information has been derived from our audited consolidated financial statements. </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434"/>
        <w:gridCol w:w="346"/>
        <w:gridCol w:w="377"/>
        <w:gridCol w:w="1213"/>
        <w:gridCol w:w="346"/>
        <w:gridCol w:w="377"/>
        <w:gridCol w:w="1213"/>
        <w:gridCol w:w="346"/>
        <w:gridCol w:w="349"/>
        <w:gridCol w:w="1204"/>
      </w:tblGrid>
      <w:tr>
        <w:trPr/>
        <w:tc>
          <w:tcPr>
            <w:tcW w:w="44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9395" cy="175260"/>
                      <wp:effectExtent l="0" t="0" r="0" b="0"/>
                      <wp:wrapNone/>
                      <wp:docPr id="22" name="Frame22"/>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70255" cy="175260"/>
                      <wp:effectExtent l="0" t="0" r="0" b="0"/>
                      <wp:wrapNone/>
                      <wp:docPr id="23" name="Frame23"/>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9395" cy="175260"/>
                      <wp:effectExtent l="0" t="0" r="0" b="0"/>
                      <wp:wrapNone/>
                      <wp:docPr id="25" name="Frame25"/>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770255" cy="175260"/>
                      <wp:effectExtent l="0" t="0" r="0" b="0"/>
                      <wp:wrapNone/>
                      <wp:docPr id="26" name="Frame26"/>
                      <a:graphic xmlns:a="http://schemas.openxmlformats.org/drawingml/2006/main">
                        <a:graphicData uri="http://schemas.microsoft.com/office/word/2010/wordprocessingShape">
                          <wps:wsp>
                            <wps:cNvSpPr txBox="1"/>
                            <wps:spPr>
                              <a:xfrm>
                                <a:off x="0" y="0"/>
                                <a:ext cx="770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1615" cy="175260"/>
                      <wp:effectExtent l="0" t="0" r="0" b="0"/>
                      <wp:wrapNone/>
                      <wp:docPr id="28" name="Frame2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764540" cy="175260"/>
                      <wp:effectExtent l="0" t="0" r="0" b="0"/>
                      <wp:wrapNone/>
                      <wp:docPr id="29" name="Frame29"/>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542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Year Ended</w:t>
            </w:r>
          </w:p>
        </w:tc>
      </w:tr>
      <w:tr>
        <w:trPr/>
        <w:tc>
          <w:tcPr>
            <w:tcW w:w="443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December 31, 2025</w:t>
            </w:r>
          </w:p>
        </w:tc>
        <w:tc>
          <w:tcPr>
            <w:tcW w:w="346" w:type="dxa"/>
            <w:tcBorders/>
            <w:vAlign w:val="center"/>
          </w:tcPr>
          <w:p>
            <w:pPr>
              <w:pStyle w:val="TableContents"/>
              <w:bidi w:val="0"/>
              <w:spacing w:before="0" w:after="1"/>
              <w:ind w:left="0" w:right="0" w:hanging="0"/>
              <w:jc w:val="center"/>
              <w:rPr/>
            </w:pPr>
            <w:r>
              <w:rPr/>
              <w:t>  ​ ​ ​</w:t>
            </w:r>
          </w:p>
        </w:tc>
        <w:tc>
          <w:tcPr>
            <w:tcW w:w="15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December 31, 2024</w:t>
            </w:r>
          </w:p>
        </w:tc>
        <w:tc>
          <w:tcPr>
            <w:tcW w:w="346" w:type="dxa"/>
            <w:tcBorders/>
            <w:vAlign w:val="center"/>
          </w:tcPr>
          <w:p>
            <w:pPr>
              <w:pStyle w:val="TableContents"/>
              <w:bidi w:val="0"/>
              <w:spacing w:before="0" w:after="1"/>
              <w:ind w:left="0" w:right="0" w:hanging="0"/>
              <w:jc w:val="center"/>
              <w:rPr/>
            </w:pPr>
            <w:r>
              <w:rPr/>
              <w:t>  ​ ​ ​</w:t>
            </w:r>
          </w:p>
        </w:tc>
        <w:tc>
          <w:tcPr>
            <w:tcW w:w="15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December 31, 2023</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60,532</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52,227</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45,644</w:t>
            </w:r>
          </w:p>
        </w:tc>
      </w:tr>
      <w:tr>
        <w:trPr/>
        <w:tc>
          <w:tcPr>
            <w:tcW w:w="44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right"/>
              <w:rPr/>
            </w:pPr>
            <w:r>
              <w:rPr/>
              <w:t>​</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13,138</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14,015</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13,142</w:t>
            </w:r>
          </w:p>
        </w:tc>
      </w:tr>
      <w:tr>
        <w:trPr/>
        <w:tc>
          <w:tcPr>
            <w:tcW w:w="44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right"/>
              <w:rPr/>
            </w:pPr>
            <w:r>
              <w:rPr/>
              <w:t>​</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(2,885)</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2,254</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3,266</w:t>
            </w:r>
          </w:p>
        </w:tc>
      </w:tr>
      <w:tr>
        <w:trPr/>
        <w:tc>
          <w:tcPr>
            <w:tcW w:w="44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Less: Net Loss (Income) Attributable to Noncontrolling Interest</w:t>
            </w:r>
          </w:p>
        </w:tc>
        <w:tc>
          <w:tcPr>
            <w:tcW w:w="346"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228</w:t>
            </w:r>
          </w:p>
        </w:tc>
        <w:tc>
          <w:tcPr>
            <w:tcW w:w="346"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(188)</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(349)</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 Attributable to Alpine Income Property Trust, Inc.</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(2,657)</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2,066</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2,917</w:t>
            </w:r>
          </w:p>
        </w:tc>
      </w:tr>
      <w:tr>
        <w:trPr/>
        <w:tc>
          <w:tcPr>
            <w:tcW w:w="44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Less: Distributions to Preferred Stockholders</w:t>
            </w:r>
          </w:p>
        </w:tc>
        <w:tc>
          <w:tcPr>
            <w:tcW w:w="346"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(552)</w:t>
            </w:r>
          </w:p>
        </w:tc>
        <w:tc>
          <w:tcPr>
            <w:tcW w:w="346" w:type="dxa"/>
            <w:tcBorders/>
            <w:vAlign w:val="center"/>
          </w:tcPr>
          <w:p>
            <w:pPr>
              <w:pStyle w:val="TableContents"/>
              <w:bidi w:val="0"/>
              <w:spacing w:before="0" w:after="1"/>
              <w:ind w:left="0" w:right="0" w:hanging="0"/>
              <w:jc w:val="left"/>
              <w:rPr/>
            </w:pPr>
            <w:r>
              <w:rPr/>
              <w:t>​</w:t>
            </w:r>
          </w:p>
        </w:tc>
        <w:tc>
          <w:tcPr>
            <w:tcW w:w="3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 Attributable to Common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(3,209)</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2,066</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2,917</w:t>
            </w:r>
          </w:p>
        </w:tc>
      </w:tr>
      <w:tr>
        <w:trPr/>
        <w:tc>
          <w:tcPr>
            <w:tcW w:w="44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right"/>
              <w:rPr/>
            </w:pPr>
            <w:r>
              <w:rPr/>
              <w:t>​</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 (Loss) Attributable to Common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2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121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1204" w:type="dxa"/>
            <w:tcBorders/>
            <w:shd w:fill="CCEEFF" w:val="clear"/>
            <w:vAlign w:val="center"/>
          </w:tcPr>
          <w:p>
            <w:pPr>
              <w:pStyle w:val="TableContents"/>
              <w:bidi w:val="0"/>
              <w:spacing w:before="0" w:after="1"/>
              <w:ind w:left="0" w:right="0" w:hanging="0"/>
              <w:jc w:val="right"/>
              <w:rPr/>
            </w:pPr>
            <w:r>
              <w:rPr/>
              <w:t>​</w:t>
            </w:r>
          </w:p>
        </w:tc>
      </w:tr>
      <w:tr>
        <w:trPr/>
        <w:tc>
          <w:tcPr>
            <w:tcW w:w="44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Basic</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(0.22)</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0.15</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0.21</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(0.22)</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0.14</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0.19</w:t>
            </w:r>
          </w:p>
        </w:tc>
      </w:tr>
      <w:tr>
        <w:trPr/>
        <w:tc>
          <w:tcPr>
            <w:tcW w:w="44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pPr>
            <w:r>
              <w:rPr/>
              <w:t>​</w:t>
            </w:r>
          </w:p>
        </w:tc>
        <w:tc>
          <w:tcPr>
            <w:tcW w:w="121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pPr>
            <w:r>
              <w:rPr/>
              <w:t>​</w:t>
            </w:r>
          </w:p>
        </w:tc>
        <w:tc>
          <w:tcPr>
            <w:tcW w:w="1204" w:type="dxa"/>
            <w:tcBorders/>
            <w:vAlign w:val="center"/>
          </w:tcPr>
          <w:p>
            <w:pPr>
              <w:pStyle w:val="TableContents"/>
              <w:bidi w:val="0"/>
              <w:spacing w:before="0" w:after="1"/>
              <w:ind w:left="0" w:right="0" w:hanging="0"/>
              <w:jc w:val="left"/>
              <w:rPr/>
            </w:pPr>
            <w:r>
              <w:rPr/>
              <w:t>​</w:t>
            </w:r>
          </w:p>
        </w:tc>
      </w:tr>
      <w:tr>
        <w:trPr/>
        <w:tc>
          <w:tcPr>
            <w:tcW w:w="443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Dividends Declared and Paid - Preferred Stock</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0.272</w:t>
            </w:r>
          </w:p>
        </w:tc>
        <w:tc>
          <w:tcPr>
            <w:tcW w:w="346" w:type="dxa"/>
            <w:tcBorders/>
            <w:shd w:fill="CCEEFF" w:val="clear"/>
            <w:vAlign w:val="center"/>
          </w:tcPr>
          <w:p>
            <w:pPr>
              <w:pStyle w:val="TableContents"/>
              <w:bidi w:val="0"/>
              <w:spacing w:before="0" w:after="1"/>
              <w:ind w:left="0" w:right="0" w:hanging="0"/>
              <w:jc w:val="left"/>
              <w:rPr/>
            </w:pPr>
            <w:r>
              <w:rPr/>
              <w:t>​</w:t>
            </w:r>
          </w:p>
        </w:tc>
        <w:tc>
          <w:tcPr>
            <w:tcW w:w="37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shd w:fill="CCEEFF" w:val="clear"/>
            <w:vAlign w:val="center"/>
          </w:tcPr>
          <w:p>
            <w:pPr>
              <w:pStyle w:val="TableContents"/>
              <w:bidi w:val="0"/>
              <w:spacing w:before="0" w:after="1"/>
              <w:ind w:left="0" w:right="0" w:hanging="0"/>
              <w:jc w:val="right"/>
              <w:rPr>
                <w:rFonts w:ascii="Arial;Helvetica;sans-serif" w:hAnsi="Arial;Helvetica;sans-serif"/>
                <w:sz w:val="19"/>
              </w:rPr>
            </w:pPr>
            <w:r>
              <w:rPr>
                <w:rFonts w:ascii="Arial;Helvetica;sans-serif" w:hAnsi="Arial;Helvetica;sans-serif"/>
                <w:sz w:val="19"/>
              </w:rPr>
              <w:t>-</w:t>
            </w:r>
          </w:p>
        </w:tc>
      </w:tr>
      <w:tr>
        <w:trPr/>
        <w:tc>
          <w:tcPr>
            <w:tcW w:w="4434"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Dividends Declared and Paid - Common Stock</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1.140</w:t>
            </w:r>
          </w:p>
        </w:tc>
        <w:tc>
          <w:tcPr>
            <w:tcW w:w="346" w:type="dxa"/>
            <w:tcBorders/>
            <w:vAlign w:val="center"/>
          </w:tcPr>
          <w:p>
            <w:pPr>
              <w:pStyle w:val="TableContents"/>
              <w:bidi w:val="0"/>
              <w:spacing w:before="0" w:after="1"/>
              <w:ind w:left="0" w:right="0" w:hanging="0"/>
              <w:jc w:val="left"/>
              <w:rPr/>
            </w:pPr>
            <w:r>
              <w:rPr/>
              <w:t>​</w:t>
            </w:r>
          </w:p>
        </w:tc>
        <w:tc>
          <w:tcPr>
            <w:tcW w:w="377"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13"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1.110</w:t>
            </w:r>
          </w:p>
        </w:tc>
        <w:tc>
          <w:tcPr>
            <w:tcW w:w="346" w:type="dxa"/>
            <w:tcBorders/>
            <w:vAlign w:val="center"/>
          </w:tcPr>
          <w:p>
            <w:pPr>
              <w:pStyle w:val="TableContents"/>
              <w:bidi w:val="0"/>
              <w:spacing w:before="0" w:after="1"/>
              <w:ind w:left="0" w:right="0" w:hanging="0"/>
              <w:jc w:val="left"/>
              <w:rPr/>
            </w:pPr>
            <w:r>
              <w:rPr/>
              <w:t>​</w:t>
            </w:r>
          </w:p>
        </w:tc>
        <w:tc>
          <w:tcPr>
            <w:tcW w:w="349"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204" w:type="dxa"/>
            <w:tcBorders/>
            <w:vAlign w:val="center"/>
          </w:tcPr>
          <w:p>
            <w:pPr>
              <w:pStyle w:val="TableContents"/>
              <w:bidi w:val="0"/>
              <w:spacing w:before="0" w:after="1"/>
              <w:ind w:left="0" w:right="72" w:hanging="0"/>
              <w:jc w:val="right"/>
              <w:rPr>
                <w:rFonts w:ascii="Times New Roman;Times;serif" w:hAnsi="Times New Roman;Times;serif"/>
                <w:sz w:val="19"/>
              </w:rPr>
            </w:pPr>
            <w:r>
              <w:rPr>
                <w:rFonts w:ascii="Times New Roman;Times;serif" w:hAnsi="Times New Roman;Times;serif"/>
                <w:sz w:val="19"/>
              </w:rPr>
              <w:t>1.100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Sheet Data (in thousands):</w:t>
      </w:r>
    </w:p>
    <w:p>
      <w:pPr>
        <w:pStyle w:val="TextBody"/>
        <w:bidi w:val="0"/>
        <w:spacing w:before="0" w:after="240"/>
        <w:ind w:left="0" w:right="0" w:hanging="0"/>
        <w:jc w:val="both"/>
        <w:rPr/>
      </w:pPr>
      <w:r>
        <w:rPr/>
        <w:t>​</w:t>
      </w:r>
    </w:p>
    <w:tbl>
      <w:tblPr>
        <w:tblW w:w="7240" w:type="dxa"/>
        <w:jc w:val="left"/>
        <w:tblInd w:w="0" w:type="dxa"/>
        <w:tblLayout w:type="fixed"/>
        <w:tblCellMar>
          <w:top w:w="0" w:type="dxa"/>
          <w:left w:w="0" w:type="dxa"/>
          <w:bottom w:w="0" w:type="dxa"/>
          <w:right w:w="0" w:type="dxa"/>
        </w:tblCellMar>
      </w:tblPr>
      <w:tblGrid>
        <w:gridCol w:w="4921"/>
        <w:gridCol w:w="109"/>
        <w:gridCol w:w="211"/>
        <w:gridCol w:w="781"/>
        <w:gridCol w:w="109"/>
        <w:gridCol w:w="211"/>
        <w:gridCol w:w="898"/>
      </w:tblGrid>
      <w:tr>
        <w:trPr/>
        <w:tc>
          <w:tcPr>
            <w:tcW w:w="4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5935" cy="175260"/>
                      <wp:effectExtent l="0" t="0" r="0" b="0"/>
                      <wp:wrapNone/>
                      <wp:docPr id="32" name="Frame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70230" cy="175260"/>
                      <wp:effectExtent l="0" t="0" r="0" b="0"/>
                      <wp:wrapNone/>
                      <wp:docPr id="35" name="Frame3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As of December 31,</w:t>
            </w:r>
          </w:p>
        </w:tc>
      </w:tr>
      <w:tr>
        <w:trPr/>
        <w:tc>
          <w:tcPr>
            <w:tcW w:w="492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2025</w:t>
            </w:r>
          </w:p>
        </w:tc>
        <w:tc>
          <w:tcPr>
            <w:tcW w:w="109" w:type="dxa"/>
            <w:tcBorders/>
            <w:vAlign w:val="center"/>
          </w:tcPr>
          <w:p>
            <w:pPr>
              <w:pStyle w:val="TableContents"/>
              <w:bidi w:val="0"/>
              <w:spacing w:before="0" w:after="1"/>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2024</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Real Estate, at Cost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495,766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489,867</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Real Estate—Net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441,320</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444,017</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Assets Held For Sale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8,077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2,254</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Commercial Loans and Investments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167,553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89,629</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38,999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7,951</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Intangible Lease Assets—Net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48,925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43,925</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1,485</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8,908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15,734</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715,874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604,995</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Payable, Accrued Expenses, and Other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7,877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8,445</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Prepaid Rent and Deferred Revenue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14,031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2,412</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Intangible Lease Liabilities—Net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4,971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4,774</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Obligation Under Participation Agreement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11,403</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Long-Term Debt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377,739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301,466</w:t>
            </w:r>
          </w:p>
        </w:tc>
      </w:tr>
      <w:tr>
        <w:trPr/>
        <w:tc>
          <w:tcPr>
            <w:tcW w:w="492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414,618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328,500</w:t>
            </w:r>
          </w:p>
        </w:tc>
      </w:tr>
      <w:tr>
        <w:trPr/>
        <w:tc>
          <w:tcPr>
            <w:tcW w:w="492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Equity</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301,256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8" w:type="dxa"/>
            <w:tcBorders/>
            <w:vAlign w:val="center"/>
          </w:tcPr>
          <w:p>
            <w:pPr>
              <w:pStyle w:val="TableContents"/>
              <w:bidi w:val="0"/>
              <w:spacing w:before="0" w:after="1"/>
              <w:ind w:left="0" w:right="72" w:hanging="0"/>
              <w:jc w:val="right"/>
              <w:rPr>
                <w:rFonts w:ascii="Times New Roman;Times;serif" w:hAnsi="Times New Roman;Times;serif"/>
                <w:sz w:val="19"/>
              </w:rPr>
            </w:pPr>
            <w:r>
              <w:rPr>
                <w:rFonts w:ascii="Times New Roman;Times;serif" w:hAnsi="Times New Roman;Times;serif"/>
                <w:sz w:val="19"/>
              </w:rPr>
              <w:t>276,495</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120" w:after="4"/>
        <w:ind w:left="0" w:right="0" w:firstLine="360"/>
        <w:jc w:val="both"/>
        <w:rPr>
          <w:rFonts w:ascii="Times New Roman;Times;serif" w:hAnsi="Times New Roman;Times;serif"/>
          <w:sz w:val="20"/>
        </w:rPr>
      </w:pPr>
      <w:r>
        <w:rPr>
          <w:rFonts w:ascii="Times New Roman;Times;serif" w:hAnsi="Times New Roman;Times;serif"/>
          <w:sz w:val="20"/>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FFO and AFFO do not represent cash generated from operating activities and are not necessarily indicative of cash available to fund cash requirements; accordingly, they should not be considered alternatives to net income or loss or as a performance measure or cash flows from operations as reported on our statement of cash flows as a liquidity measure and should be considered in addition to, and not in lieu of, GAAP financial measures.</w:t>
      </w:r>
    </w:p>
    <w:p>
      <w:pPr>
        <w:pStyle w:val="TextBody"/>
        <w:bidi w:val="0"/>
        <w:spacing w:before="4" w:after="4"/>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or loss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Reconciliation of Non-GAAP Measures (in thousands, except share data):</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045"/>
        <w:gridCol w:w="275"/>
        <w:gridCol w:w="1357"/>
        <w:gridCol w:w="109"/>
        <w:gridCol w:w="275"/>
        <w:gridCol w:w="1357"/>
        <w:gridCol w:w="109"/>
        <w:gridCol w:w="273"/>
        <w:gridCol w:w="1405"/>
      </w:tblGrid>
      <w:tr>
        <w:trPr/>
        <w:tc>
          <w:tcPr>
            <w:tcW w:w="5045"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4625" cy="175260"/>
                      <wp:effectExtent l="0" t="0" r="0" b="0"/>
                      <wp:wrapNone/>
                      <wp:docPr id="36" name="Frame3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861695" cy="175260"/>
                      <wp:effectExtent l="0" t="0" r="0" b="0"/>
                      <wp:wrapNone/>
                      <wp:docPr id="37" name="Frame37"/>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74625" cy="175260"/>
                      <wp:effectExtent l="0" t="0" r="0" b="0"/>
                      <wp:wrapNone/>
                      <wp:docPr id="39" name="Frame3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61695" cy="175260"/>
                      <wp:effectExtent l="0" t="0" r="0" b="0"/>
                      <wp:wrapNone/>
                      <wp:docPr id="40" name="Frame40"/>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9215" cy="175260"/>
                      <wp:effectExtent l="0" t="0" r="0" b="0"/>
                      <wp:wrapNone/>
                      <wp:docPr id="41"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3355" cy="175260"/>
                      <wp:effectExtent l="0" t="0" r="0" b="0"/>
                      <wp:wrapNone/>
                      <wp:docPr id="42" name="Frame42"/>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892175" cy="175260"/>
                      <wp:effectExtent l="0" t="0" r="0" b="0"/>
                      <wp:wrapNone/>
                      <wp:docPr id="43" name="Frame43"/>
                      <a:graphic xmlns:a="http://schemas.openxmlformats.org/drawingml/2006/main">
                        <a:graphicData uri="http://schemas.microsoft.com/office/word/2010/wordprocessingShape">
                          <wps:wsp>
                            <wps:cNvSpPr txBox="1"/>
                            <wps:spPr>
                              <a:xfrm>
                                <a:off x="0" y="0"/>
                                <a:ext cx="892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45" w:type="dxa"/>
            <w:tcBorders/>
            <w:vAlign w:val="center"/>
          </w:tcPr>
          <w:p>
            <w:pPr>
              <w:pStyle w:val="TableContents"/>
              <w:bidi w:val="0"/>
              <w:spacing w:before="0" w:after="1"/>
              <w:ind w:left="0" w:right="0" w:hanging="0"/>
              <w:jc w:val="left"/>
              <w:rPr/>
            </w:pPr>
            <w:r>
              <w:rPr/>
              <w:t>​</w:t>
            </w:r>
          </w:p>
        </w:tc>
        <w:tc>
          <w:tcPr>
            <w:tcW w:w="516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045" w:type="dxa"/>
            <w:tcBorders/>
            <w:vAlign w:val="center"/>
          </w:tcPr>
          <w:p>
            <w:pPr>
              <w:pStyle w:val="TableContents"/>
              <w:bidi w:val="0"/>
              <w:spacing w:before="0" w:after="1"/>
              <w:ind w:left="0" w:right="0" w:hanging="0"/>
              <w:jc w:val="center"/>
              <w:rPr/>
            </w:pPr>
            <w:r>
              <w:rPr/>
              <w:t>​</w:t>
            </w:r>
          </w:p>
        </w:tc>
        <w:tc>
          <w:tcPr>
            <w:tcW w:w="1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1"/>
              <w:ind w:left="0" w:right="0" w:hanging="0"/>
              <w:jc w:val="center"/>
              <w:rPr/>
            </w:pPr>
            <w:r>
              <w:rPr/>
              <w:t>​</w:t>
            </w:r>
          </w:p>
        </w:tc>
        <w:tc>
          <w:tcPr>
            <w:tcW w:w="1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1"/>
              <w:ind w:left="0" w:right="0" w:hanging="0"/>
              <w:jc w:val="center"/>
              <w:rPr/>
            </w:pPr>
            <w:r>
              <w:rPr/>
              <w:t>​</w:t>
            </w:r>
          </w:p>
        </w:tc>
        <w:tc>
          <w:tcPr>
            <w:tcW w:w="16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(2,885)</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3,266</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27,383</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25,758</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7,416</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3,220</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w:t>
            </w:r>
          </w:p>
        </w:tc>
        <w:tc>
          <w:tcPr>
            <w:tcW w:w="109"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(9,334)</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29,844</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26,098</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22,910</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29,292</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26,098</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22,910</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405" w:type="dxa"/>
            <w:tcBorders/>
            <w:vAlign w:val="center"/>
          </w:tcPr>
          <w:p>
            <w:pPr>
              <w:pStyle w:val="TableContents"/>
              <w:bidi w:val="0"/>
              <w:spacing w:before="0" w:after="1"/>
              <w:ind w:left="0" w:right="0" w:hanging="0"/>
              <w:jc w:val="right"/>
              <w:rPr/>
            </w:pPr>
            <w:r>
              <w:rPr/>
              <w:t>​</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left"/>
              <w:rPr/>
            </w:pPr>
            <w:r>
              <w:rPr/>
              <w:t>​</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left"/>
              <w:rPr/>
            </w:pPr>
            <w:r>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109"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29,373</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26,185</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23,211</w:t>
            </w:r>
          </w:p>
        </w:tc>
      </w:tr>
      <w:tr>
        <w:trPr/>
        <w:tc>
          <w:tcPr>
            <w:tcW w:w="5045"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right"/>
              <w:rPr/>
            </w:pPr>
            <w:r>
              <w:rPr/>
              <w:t>​</w:t>
            </w:r>
          </w:p>
        </w:tc>
        <w:tc>
          <w:tcPr>
            <w:tcW w:w="13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right"/>
              <w:rPr/>
            </w:pPr>
            <w:r>
              <w:rPr/>
              <w:t>​</w:t>
            </w:r>
          </w:p>
        </w:tc>
        <w:tc>
          <w:tcPr>
            <w:tcW w:w="13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right"/>
              <w:rPr/>
            </w:pPr>
            <w:r>
              <w:rPr/>
              <w:t>​</w:t>
            </w:r>
          </w:p>
        </w:tc>
        <w:tc>
          <w:tcPr>
            <w:tcW w:w="1405" w:type="dxa"/>
            <w:tcBorders/>
            <w:vAlign w:val="center"/>
          </w:tcPr>
          <w:p>
            <w:pPr>
              <w:pStyle w:val="TableContents"/>
              <w:bidi w:val="0"/>
              <w:spacing w:before="0" w:after="1"/>
              <w:ind w:left="0" w:right="0" w:hanging="0"/>
              <w:jc w:val="left"/>
              <w:rPr/>
            </w:pPr>
            <w:r>
              <w:rPr/>
              <w:t>​</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275" w:type="dxa"/>
            <w:tcBorders/>
            <w:shd w:fill="CCEEFF" w:val="clear"/>
            <w:vAlign w:val="center"/>
          </w:tcPr>
          <w:p>
            <w:pPr>
              <w:pStyle w:val="TableContents"/>
              <w:bidi w:val="0"/>
              <w:spacing w:before="0" w:after="1"/>
              <w:ind w:left="0" w:right="0" w:hanging="0"/>
              <w:jc w:val="right"/>
              <w:rPr/>
            </w:pPr>
            <w:r>
              <w:rPr/>
              <w:t>​</w:t>
            </w:r>
          </w:p>
        </w:tc>
        <w:tc>
          <w:tcPr>
            <w:tcW w:w="13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right"/>
              <w:rPr/>
            </w:pPr>
            <w:r>
              <w:rPr/>
              <w:t>​</w:t>
            </w:r>
          </w:p>
        </w:tc>
        <w:tc>
          <w:tcPr>
            <w:tcW w:w="13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right"/>
              <w:rPr/>
            </w:pPr>
            <w:r>
              <w:rPr/>
              <w:t>​</w:t>
            </w:r>
          </w:p>
        </w:tc>
        <w:tc>
          <w:tcPr>
            <w:tcW w:w="1405" w:type="dxa"/>
            <w:tcBorders/>
            <w:shd w:fill="CCEEFF" w:val="clear"/>
            <w:vAlign w:val="center"/>
          </w:tcPr>
          <w:p>
            <w:pPr>
              <w:pStyle w:val="TableContents"/>
              <w:bidi w:val="0"/>
              <w:spacing w:before="0" w:after="1"/>
              <w:ind w:left="0" w:right="0" w:hanging="0"/>
              <w:jc w:val="left"/>
              <w:rPr/>
            </w:pPr>
            <w:r>
              <w:rPr/>
              <w:t>​</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275" w:type="dxa"/>
            <w:tcBorders/>
            <w:vAlign w:val="center"/>
          </w:tcPr>
          <w:p>
            <w:pPr>
              <w:pStyle w:val="TableContents"/>
              <w:bidi w:val="0"/>
              <w:spacing w:before="0" w:after="1"/>
              <w:ind w:left="0" w:right="0" w:hanging="0"/>
              <w:jc w:val="righ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14,328,451</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right"/>
              <w:rPr/>
            </w:pPr>
            <w:r>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13,858,257</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right"/>
              <w:rPr/>
            </w:pPr>
            <w:r>
              <w:rPr/>
              <w:t>​</w:t>
            </w:r>
          </w:p>
        </w:tc>
        <w:tc>
          <w:tcPr>
            <w:tcW w:w="14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13,925,362</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275" w:type="dxa"/>
            <w:tcBorders/>
            <w:shd w:fill="CCEEFF" w:val="clear"/>
            <w:vAlign w:val="center"/>
          </w:tcPr>
          <w:p>
            <w:pPr>
              <w:pStyle w:val="TableContents"/>
              <w:bidi w:val="0"/>
              <w:spacing w:before="0" w:after="1"/>
              <w:ind w:left="0" w:right="0" w:hanging="0"/>
              <w:jc w:val="righ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15,552,305</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righ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15,082,111</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right"/>
              <w:rPr/>
            </w:pPr>
            <w:r>
              <w:rPr/>
              <w:t>​</w:t>
            </w:r>
          </w:p>
        </w:tc>
        <w:tc>
          <w:tcPr>
            <w:tcW w:w="14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15,560,524</w:t>
            </w:r>
          </w:p>
        </w:tc>
      </w:tr>
      <w:tr>
        <w:trPr/>
        <w:tc>
          <w:tcPr>
            <w:tcW w:w="5045"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right"/>
              <w:rPr/>
            </w:pPr>
            <w:r>
              <w:rPr/>
              <w:t>​</w:t>
            </w:r>
          </w:p>
        </w:tc>
        <w:tc>
          <w:tcPr>
            <w:tcW w:w="13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right"/>
              <w:rPr/>
            </w:pPr>
            <w:r>
              <w:rPr/>
              <w:t>​</w:t>
            </w:r>
          </w:p>
        </w:tc>
        <w:tc>
          <w:tcPr>
            <w:tcW w:w="135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3" w:type="dxa"/>
            <w:tcBorders/>
            <w:vAlign w:val="center"/>
          </w:tcPr>
          <w:p>
            <w:pPr>
              <w:pStyle w:val="TableContents"/>
              <w:bidi w:val="0"/>
              <w:spacing w:before="0" w:after="1"/>
              <w:ind w:left="0" w:right="0" w:hanging="0"/>
              <w:jc w:val="right"/>
              <w:rPr/>
            </w:pPr>
            <w:r>
              <w:rPr/>
              <w:t>​</w:t>
            </w:r>
          </w:p>
        </w:tc>
        <w:tc>
          <w:tcPr>
            <w:tcW w:w="1405" w:type="dxa"/>
            <w:tcBorders/>
            <w:vAlign w:val="center"/>
          </w:tcPr>
          <w:p>
            <w:pPr>
              <w:pStyle w:val="TableContents"/>
              <w:bidi w:val="0"/>
              <w:spacing w:before="0" w:after="1"/>
              <w:ind w:left="0" w:right="0" w:hanging="0"/>
              <w:jc w:val="left"/>
              <w:rPr/>
            </w:pPr>
            <w:r>
              <w:rPr/>
              <w:t>​</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Supplemental Disclosure: </w:t>
            </w:r>
          </w:p>
        </w:tc>
        <w:tc>
          <w:tcPr>
            <w:tcW w:w="275" w:type="dxa"/>
            <w:tcBorders/>
            <w:shd w:fill="CCEEFF" w:val="clear"/>
            <w:vAlign w:val="center"/>
          </w:tcPr>
          <w:p>
            <w:pPr>
              <w:pStyle w:val="TableContents"/>
              <w:bidi w:val="0"/>
              <w:spacing w:before="0" w:after="1"/>
              <w:ind w:left="0" w:right="0" w:hanging="0"/>
              <w:jc w:val="right"/>
              <w:rPr/>
            </w:pPr>
            <w:r>
              <w:rPr/>
              <w:t>​</w:t>
            </w:r>
          </w:p>
        </w:tc>
        <w:tc>
          <w:tcPr>
            <w:tcW w:w="13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right"/>
              <w:rPr/>
            </w:pPr>
            <w:r>
              <w:rPr/>
              <w:t>​</w:t>
            </w:r>
          </w:p>
        </w:tc>
        <w:tc>
          <w:tcPr>
            <w:tcW w:w="1357"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3" w:type="dxa"/>
            <w:tcBorders/>
            <w:shd w:fill="CCEEFF" w:val="clear"/>
            <w:vAlign w:val="center"/>
          </w:tcPr>
          <w:p>
            <w:pPr>
              <w:pStyle w:val="TableContents"/>
              <w:bidi w:val="0"/>
              <w:spacing w:before="0" w:after="1"/>
              <w:ind w:left="0" w:right="0" w:hanging="0"/>
              <w:jc w:val="right"/>
              <w:rPr/>
            </w:pPr>
            <w:r>
              <w:rPr/>
              <w:t>​</w:t>
            </w:r>
          </w:p>
        </w:tc>
        <w:tc>
          <w:tcPr>
            <w:tcW w:w="1405" w:type="dxa"/>
            <w:tcBorders/>
            <w:shd w:fill="CCEEFF" w:val="clear"/>
            <w:vAlign w:val="center"/>
          </w:tcPr>
          <w:p>
            <w:pPr>
              <w:pStyle w:val="TableContents"/>
              <w:bidi w:val="0"/>
              <w:spacing w:before="0" w:after="1"/>
              <w:ind w:left="0" w:right="0" w:hanging="0"/>
              <w:jc w:val="left"/>
              <w:rPr/>
            </w:pPr>
            <w:r>
              <w:rPr/>
              <w:t>​</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109" w:type="dxa"/>
            <w:tcBorders/>
            <w:vAlign w:val="center"/>
          </w:tcPr>
          <w:p>
            <w:pPr>
              <w:pStyle w:val="TableContents"/>
              <w:bidi w:val="0"/>
              <w:spacing w:before="0" w:after="1"/>
              <w:ind w:left="0" w:right="0" w:hanging="0"/>
              <w:jc w:val="right"/>
              <w:rPr/>
            </w:pPr>
            <w:r>
              <w:rPr/>
              <w:t>​</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vAlign w:val="center"/>
          </w:tcPr>
          <w:p>
            <w:pPr>
              <w:pStyle w:val="TableContents"/>
              <w:bidi w:val="0"/>
              <w:spacing w:before="0" w:after="1"/>
              <w:ind w:left="0" w:right="0" w:hanging="0"/>
              <w:jc w:val="right"/>
              <w:rPr/>
            </w:pPr>
            <w:r>
              <w:rPr/>
              <w:t>—</w:t>
            </w:r>
          </w:p>
        </w:tc>
      </w:tr>
      <w:tr>
        <w:trPr/>
        <w:tc>
          <w:tcPr>
            <w:tcW w:w="50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Paid</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shd w:fill="CCEEFF" w:val="clear"/>
            <w:vAlign w:val="center"/>
          </w:tcPr>
          <w:p>
            <w:pPr>
              <w:pStyle w:val="TableContents"/>
              <w:bidi w:val="0"/>
              <w:spacing w:before="0" w:after="1"/>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0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 Earned in Excess of Cash Paid</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bottom w:val="double" w:sz="6" w:space="0" w:color="000000"/>
            </w:tcBorders>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Data (in thousands, except per share data):</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897"/>
        <w:gridCol w:w="400"/>
        <w:gridCol w:w="1288"/>
        <w:gridCol w:w="109"/>
        <w:gridCol w:w="400"/>
        <w:gridCol w:w="1288"/>
        <w:gridCol w:w="109"/>
        <w:gridCol w:w="385"/>
        <w:gridCol w:w="1329"/>
      </w:tblGrid>
      <w:tr>
        <w:trPr/>
        <w:tc>
          <w:tcPr>
            <w:tcW w:w="4897"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54000" cy="175260"/>
                      <wp:effectExtent l="0" t="0" r="0" b="0"/>
                      <wp:wrapNone/>
                      <wp:docPr id="44" name="Frame44"/>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817880" cy="175260"/>
                      <wp:effectExtent l="0" t="0" r="0" b="0"/>
                      <wp:wrapNone/>
                      <wp:docPr id="45" name="Frame45"/>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54000" cy="175260"/>
                      <wp:effectExtent l="0" t="0" r="0" b="0"/>
                      <wp:wrapNone/>
                      <wp:docPr id="47" name="Frame47"/>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817880" cy="175260"/>
                      <wp:effectExtent l="0" t="0" r="0" b="0"/>
                      <wp:wrapNone/>
                      <wp:docPr id="48" name="Frame48"/>
                      <a:graphic xmlns:a="http://schemas.openxmlformats.org/drawingml/2006/main">
                        <a:graphicData uri="http://schemas.microsoft.com/office/word/2010/wordprocessingShape">
                          <wps:wsp>
                            <wps:cNvSpPr txBox="1"/>
                            <wps:spPr>
                              <a:xfrm>
                                <a:off x="0" y="0"/>
                                <a:ext cx="817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44475" cy="175260"/>
                      <wp:effectExtent l="0" t="0" r="0" b="0"/>
                      <wp:wrapNone/>
                      <wp:docPr id="50" name="Frame50"/>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843915" cy="175260"/>
                      <wp:effectExtent l="0" t="0" r="0" b="0"/>
                      <wp:wrapNone/>
                      <wp:docPr id="51" name="Frame51"/>
                      <a:graphic xmlns:a="http://schemas.openxmlformats.org/drawingml/2006/main">
                        <a:graphicData uri="http://schemas.microsoft.com/office/word/2010/wordprocessingShape">
                          <wps:wsp>
                            <wps:cNvSpPr txBox="1"/>
                            <wps:spPr>
                              <a:xfrm>
                                <a:off x="0" y="0"/>
                                <a:ext cx="843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97" w:type="dxa"/>
            <w:tcBorders/>
            <w:vAlign w:val="center"/>
          </w:tcPr>
          <w:p>
            <w:pPr>
              <w:pStyle w:val="TableContents"/>
              <w:bidi w:val="0"/>
              <w:spacing w:before="0" w:after="0"/>
              <w:ind w:left="0" w:right="0" w:hanging="0"/>
              <w:jc w:val="center"/>
              <w:rPr/>
            </w:pPr>
            <w:r>
              <w:rPr/>
              <w:t>​</w:t>
            </w:r>
          </w:p>
        </w:tc>
        <w:tc>
          <w:tcPr>
            <w:tcW w:w="530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897" w:type="dxa"/>
            <w:tcBorders/>
            <w:vAlign w:val="center"/>
          </w:tcPr>
          <w:p>
            <w:pPr>
              <w:pStyle w:val="TableContents"/>
              <w:bidi w:val="0"/>
              <w:spacing w:before="0" w:after="0"/>
              <w:ind w:left="0" w:right="0" w:hanging="0"/>
              <w:jc w:val="center"/>
              <w:rPr/>
            </w:pPr>
            <w:r>
              <w:rPr/>
              <w:t>​</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29,292</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26,098</w:t>
            </w:r>
          </w:p>
        </w:tc>
        <w:tc>
          <w:tcPr>
            <w:tcW w:w="109"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22,910</w:t>
            </w:r>
          </w:p>
        </w:tc>
      </w:tr>
      <w:tr>
        <w:trPr/>
        <w:tc>
          <w:tcPr>
            <w:tcW w:w="4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 per Diluted Share</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4897"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2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28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329" w:type="dxa"/>
            <w:tcBorders/>
            <w:shd w:fill="CCEEFF" w:val="clear"/>
            <w:vAlign w:val="center"/>
          </w:tcPr>
          <w:p>
            <w:pPr>
              <w:pStyle w:val="TableContents"/>
              <w:bidi w:val="0"/>
              <w:spacing w:before="0" w:after="0"/>
              <w:ind w:left="0" w:right="0" w:hanging="0"/>
              <w:jc w:val="left"/>
              <w:rPr/>
            </w:pPr>
            <w:r>
              <w:rPr/>
              <w:t>​</w:t>
            </w:r>
          </w:p>
        </w:tc>
      </w:tr>
      <w:tr>
        <w:trPr/>
        <w:tc>
          <w:tcPr>
            <w:tcW w:w="48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29,373</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26,185</w:t>
            </w:r>
          </w:p>
        </w:tc>
        <w:tc>
          <w:tcPr>
            <w:tcW w:w="109"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23,211</w:t>
            </w:r>
          </w:p>
        </w:tc>
      </w:tr>
      <w:tr>
        <w:trPr/>
        <w:tc>
          <w:tcPr>
            <w:tcW w:w="48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 per Diluted Share</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09"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2025 AND 2024</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year ended December 31, 2025, as compared to the year ended December 31, 2024 (in thousands):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89"/>
        <w:gridCol w:w="109"/>
        <w:gridCol w:w="352"/>
        <w:gridCol w:w="1234"/>
        <w:gridCol w:w="109"/>
        <w:gridCol w:w="352"/>
        <w:gridCol w:w="1234"/>
        <w:gridCol w:w="109"/>
        <w:gridCol w:w="259"/>
        <w:gridCol w:w="777"/>
        <w:gridCol w:w="109"/>
        <w:gridCol w:w="1172"/>
      </w:tblGrid>
      <w:tr>
        <w:trPr/>
        <w:tc>
          <w:tcPr>
            <w:tcW w:w="438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23520" cy="175260"/>
                      <wp:effectExtent l="0" t="0" r="0" b="0"/>
                      <wp:wrapNone/>
                      <wp:docPr id="53" name="Frame5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83590" cy="175260"/>
                      <wp:effectExtent l="0" t="0" r="0" b="0"/>
                      <wp:wrapNone/>
                      <wp:docPr id="54" name="Frame54"/>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23520" cy="175260"/>
                      <wp:effectExtent l="0" t="0" r="0" b="0"/>
                      <wp:wrapNone/>
                      <wp:docPr id="56" name="Frame5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83590" cy="175260"/>
                      <wp:effectExtent l="0" t="0" r="0" b="0"/>
                      <wp:wrapNone/>
                      <wp:docPr id="57" name="Frame57"/>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64465" cy="175260"/>
                      <wp:effectExtent l="0" t="0" r="0" b="0"/>
                      <wp:wrapNone/>
                      <wp:docPr id="59" name="Frame5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3395" cy="175260"/>
                      <wp:effectExtent l="0" t="0" r="0" b="0"/>
                      <wp:wrapNone/>
                      <wp:docPr id="60" name="Frame60"/>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44220" cy="175260"/>
                      <wp:effectExtent l="0" t="0" r="0" b="0"/>
                      <wp:wrapNone/>
                      <wp:docPr id="62" name="Frame62"/>
                      <a:graphic xmlns:a="http://schemas.openxmlformats.org/drawingml/2006/main">
                        <a:graphicData uri="http://schemas.microsoft.com/office/word/2010/wordprocessingShape">
                          <wps:wsp>
                            <wps:cNvSpPr txBox="1"/>
                            <wps:spPr>
                              <a:xfrm>
                                <a:off x="0" y="0"/>
                                <a:ext cx="744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1"/>
              <w:ind w:left="0" w:right="0" w:hanging="0"/>
              <w:jc w:val="center"/>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left"/>
              <w:rPr/>
            </w:pPr>
            <w:r>
              <w:rPr/>
              <w:t>​</w:t>
            </w:r>
          </w:p>
        </w:tc>
      </w:tr>
      <w:tr>
        <w:trPr/>
        <w:tc>
          <w:tcPr>
            <w:tcW w:w="438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1"/>
              <w:ind w:left="0" w:right="0" w:hanging="0"/>
              <w:jc w:val="center"/>
              <w:rPr/>
            </w:pPr>
            <w:r>
              <w:rPr/>
              <w:t>​</w:t>
            </w:r>
          </w:p>
        </w:tc>
        <w:tc>
          <w:tcPr>
            <w:tcW w:w="15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1"/>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1"/>
              <w:ind w:left="0" w:right="0" w:hanging="0"/>
              <w:jc w:val="center"/>
              <w:rPr/>
            </w:pPr>
            <w:r>
              <w:rPr/>
              <w:t>​</w:t>
            </w:r>
          </w:p>
        </w:tc>
        <w:tc>
          <w:tcPr>
            <w:tcW w:w="11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12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center"/>
              <w:rPr/>
            </w:pPr>
            <w:r>
              <w:rPr/>
              <w:t>​</w:t>
            </w:r>
          </w:p>
        </w:tc>
        <w:tc>
          <w:tcPr>
            <w:tcW w:w="12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center"/>
              <w:rPr/>
            </w:pPr>
            <w:r>
              <w:rPr/>
              <w:t>​</w:t>
            </w:r>
          </w:p>
        </w:tc>
        <w:tc>
          <w:tcPr>
            <w:tcW w:w="7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left"/>
              <w:rPr/>
            </w:pPr>
            <w:r>
              <w:rPr/>
              <w:t>​</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1"/>
              <w:ind w:left="0" w:right="0" w:hanging="0"/>
              <w:jc w:val="center"/>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48,657</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2,652</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11,350</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5,589</w:t>
            </w:r>
          </w:p>
        </w:tc>
        <w:tc>
          <w:tcPr>
            <w:tcW w:w="109"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shd w:fill="CCEEFF" w:val="clear"/>
            <w:vAlign w:val="center"/>
          </w:tcPr>
          <w:p>
            <w:pPr>
              <w:pStyle w:val="TableContents"/>
              <w:bidi w:val="0"/>
              <w:spacing w:before="0" w:after="1"/>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60,532</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52,227</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8,305</w:t>
            </w:r>
          </w:p>
        </w:tc>
        <w:tc>
          <w:tcPr>
            <w:tcW w:w="109" w:type="dxa"/>
            <w:tcBorders/>
            <w:vAlign w:val="center"/>
          </w:tcPr>
          <w:p>
            <w:pPr>
              <w:pStyle w:val="TableContents"/>
              <w:bidi w:val="0"/>
              <w:spacing w:before="0" w:after="1"/>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shd w:fill="CCEEFF" w:val="clear"/>
            <w:vAlign w:val="center"/>
          </w:tcPr>
          <w:p>
            <w:pPr>
              <w:pStyle w:val="TableContents"/>
              <w:bidi w:val="0"/>
              <w:spacing w:before="0" w:after="1"/>
              <w:ind w:left="0" w:right="0" w:hanging="0"/>
              <w:jc w:val="left"/>
              <w:rPr/>
            </w:pPr>
            <w:r>
              <w:rPr/>
              <w:t>​</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7,956</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7,793</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109"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6,709</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7,416</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5,723</w:t>
            </w:r>
          </w:p>
        </w:tc>
        <w:tc>
          <w:tcPr>
            <w:tcW w:w="109"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338.0%</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27,383</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1,789</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49,464</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41,655</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7,809</w:t>
            </w:r>
          </w:p>
        </w:tc>
        <w:tc>
          <w:tcPr>
            <w:tcW w:w="109"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2,070</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13,138</w:t>
            </w:r>
          </w:p>
        </w:tc>
        <w:tc>
          <w:tcPr>
            <w:tcW w:w="109"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12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14,015</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109" w:type="dxa"/>
            <w:tcBorders/>
            <w:vAlign w:val="center"/>
          </w:tcPr>
          <w:p>
            <w:pPr>
              <w:pStyle w:val="TableContents"/>
              <w:bidi w:val="0"/>
              <w:spacing w:before="0" w:after="1"/>
              <w:ind w:left="0" w:right="0" w:hanging="0"/>
              <w:jc w:val="left"/>
              <w:rPr/>
            </w:pPr>
            <w:r>
              <w:rPr/>
              <w:t>​</w:t>
            </w:r>
          </w:p>
        </w:tc>
        <w:tc>
          <w:tcPr>
            <w:tcW w:w="11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(16,265)</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(12,008)</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(4,257)</w:t>
            </w:r>
          </w:p>
        </w:tc>
        <w:tc>
          <w:tcPr>
            <w:tcW w:w="109" w:type="dxa"/>
            <w:tcBorders/>
            <w:vAlign w:val="center"/>
          </w:tcPr>
          <w:p>
            <w:pPr>
              <w:pStyle w:val="TableContents"/>
              <w:bidi w:val="0"/>
              <w:spacing w:before="0" w:after="1"/>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(2,885)</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(228.0)%</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109" w:type="dxa"/>
            <w:tcBorders/>
            <w:vAlign w:val="center"/>
          </w:tcPr>
          <w:p>
            <w:pPr>
              <w:pStyle w:val="TableContents"/>
              <w:bidi w:val="0"/>
              <w:spacing w:before="0" w:after="1"/>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(2,657)</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(4,723)</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w:t>
            </w:r>
          </w:p>
        </w:tc>
      </w:tr>
      <w:tr>
        <w:trPr/>
        <w:tc>
          <w:tcPr>
            <w:tcW w:w="438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Distributions to Preferred Stockholders</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vAlign w:val="center"/>
          </w:tcPr>
          <w:p>
            <w:pPr>
              <w:pStyle w:val="TableContents"/>
              <w:bidi w:val="0"/>
              <w:spacing w:before="0" w:after="1"/>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vAlign w:val="center"/>
          </w:tcPr>
          <w:p>
            <w:pPr>
              <w:pStyle w:val="TableContents"/>
              <w:bidi w:val="0"/>
              <w:spacing w:before="0" w:after="1"/>
              <w:ind w:left="0" w:right="0" w:hanging="0"/>
              <w:jc w:val="left"/>
              <w:rPr/>
            </w:pPr>
            <w:r>
              <w:rPr/>
              <w:t>​</w:t>
            </w:r>
          </w:p>
        </w:tc>
        <w:tc>
          <w:tcPr>
            <w:tcW w:w="11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(3,209)</w:t>
            </w:r>
          </w:p>
        </w:tc>
        <w:tc>
          <w:tcPr>
            <w:tcW w:w="109" w:type="dxa"/>
            <w:tcBorders/>
            <w:shd w:fill="CCEEFF" w:val="clear"/>
            <w:vAlign w:val="center"/>
          </w:tcPr>
          <w:p>
            <w:pPr>
              <w:pStyle w:val="TableContents"/>
              <w:bidi w:val="0"/>
              <w:spacing w:before="0" w:after="1"/>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(5,275)</w:t>
            </w:r>
          </w:p>
        </w:tc>
        <w:tc>
          <w:tcPr>
            <w:tcW w:w="109" w:type="dxa"/>
            <w:tcBorders/>
            <w:shd w:fill="CCEEFF" w:val="clear"/>
            <w:vAlign w:val="center"/>
          </w:tcPr>
          <w:p>
            <w:pPr>
              <w:pStyle w:val="TableContents"/>
              <w:bidi w:val="0"/>
              <w:spacing w:before="0" w:after="1"/>
              <w:ind w:left="0" w:right="0" w:hanging="0"/>
              <w:jc w:val="left"/>
              <w:rPr/>
            </w:pPr>
            <w:r>
              <w:rPr/>
              <w:t>​</w:t>
            </w:r>
          </w:p>
        </w:tc>
        <w:tc>
          <w:tcPr>
            <w:tcW w:w="11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(255.3)%</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income properties during the years ended December 31, 2025 and 2024 totaled $48.7 million and $46.0 million, respectively. The increase in lease revenue is reflective of an increase in rents due to the volume of property acquisitions, partially offset by dispositions, as well as certain one-time reduced revenues related to tenant credit loss. The direct costs of revenues for our income properties totaled $8.0 million and $7.8 million during the years ended December 31, 2025 and 2024, respectively. The increase in the direct cost of revenues is reflective of the Company’s expanded property portfolio.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$11.4 million and $5.8 million for the years ended December 31, 2025 and 2024, respectively. The increase in income is attributable to the expanded portfolio of commercial loans and investments, which as December 31, 2025, was comprised of </w:t>
      </w:r>
      <w:r>
        <w:rPr>
          <w:rFonts w:ascii="Times New Roman;Times;serif" w:hAnsi="Times New Roman;Times;serif"/>
          <w:sz w:val="20"/>
          <w:shd w:fill="FFFFFF" w:val="clear"/>
        </w:rPr>
        <w:t>nine construction loans, six mortgage notes, and three properties acquired pursuant to a sale-leaseback transaction whereby the tenant has a future repurchase right</w:t>
      </w:r>
      <w:r>
        <w:rPr>
          <w:rFonts w:ascii="Times New Roman;Times;serif" w:hAnsi="Times New Roman;Times;serif"/>
          <w:sz w:val="20"/>
        </w:rPr>
        <w:t xml:space="preserve">. As of December 31, 2024, the Company’s portfolio of commercial loans and investments was comprised of five construction loans, one mortgage note, and three properties acquired pursuant to a sale-leaseback transaction whereby the tenant has a future repurchase right.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$0.5 million for each of the years ended December 31, 2025 and 2024. The revenue is attributable to fees earned from a revenue sharing agreement the Company entered into with CTO as further described in Note 19, “Related Party Management Company” in the Notes to the Financial Statements.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year ended December 31, 2025 as compared to the year ended December 31, 2024 (in thousands):</w:t>
      </w:r>
    </w:p>
    <w:p>
      <w:pPr>
        <w:pStyle w:val="TextBody"/>
        <w:bidi w:val="0"/>
        <w:spacing w:before="0" w:after="0"/>
        <w:ind w:left="0" w:right="0" w:hanging="0"/>
        <w:jc w:val="left"/>
        <w:rPr/>
      </w:pPr>
      <w:r>
        <w:rPr/>
        <w:t>​</w:t>
      </w:r>
    </w:p>
    <w:tbl>
      <w:tblPr>
        <w:tblW w:w="10114" w:type="dxa"/>
        <w:jc w:val="left"/>
        <w:tblInd w:w="0" w:type="dxa"/>
        <w:tblLayout w:type="fixed"/>
        <w:tblCellMar>
          <w:top w:w="0" w:type="dxa"/>
          <w:left w:w="0" w:type="dxa"/>
          <w:bottom w:w="0" w:type="dxa"/>
          <w:right w:w="0" w:type="dxa"/>
        </w:tblCellMar>
      </w:tblPr>
      <w:tblGrid>
        <w:gridCol w:w="4021"/>
        <w:gridCol w:w="109"/>
        <w:gridCol w:w="465"/>
        <w:gridCol w:w="1260"/>
        <w:gridCol w:w="109"/>
        <w:gridCol w:w="465"/>
        <w:gridCol w:w="1260"/>
        <w:gridCol w:w="109"/>
        <w:gridCol w:w="315"/>
        <w:gridCol w:w="72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215" cy="175260"/>
                      <wp:effectExtent l="0" t="0" r="0" b="0"/>
                      <wp:wrapNone/>
                      <wp:docPr id="63" name="Frame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95275" cy="175260"/>
                      <wp:effectExtent l="0" t="0" r="0" b="0"/>
                      <wp:wrapNone/>
                      <wp:docPr id="64" name="Frame64"/>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00100" cy="175260"/>
                      <wp:effectExtent l="0" t="0" r="0" b="0"/>
                      <wp:wrapNone/>
                      <wp:docPr id="65" name="Frame65"/>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95275" cy="175260"/>
                      <wp:effectExtent l="0" t="0" r="0" b="0"/>
                      <wp:wrapNone/>
                      <wp:docPr id="67" name="Frame67"/>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800100" cy="175260"/>
                      <wp:effectExtent l="0" t="0" r="0" b="0"/>
                      <wp:wrapNone/>
                      <wp:docPr id="68" name="Frame68"/>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0025" cy="175260"/>
                      <wp:effectExtent l="0" t="0" r="0" b="0"/>
                      <wp:wrapNone/>
                      <wp:docPr id="70" name="Frame70"/>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57835" cy="175260"/>
                      <wp:effectExtent l="0" t="0" r="0" b="0"/>
                      <wp:wrapNone/>
                      <wp:docPr id="71" name="Frame7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43585" cy="175260"/>
                      <wp:effectExtent l="0" t="0" r="0" b="0"/>
                      <wp:wrapNone/>
                      <wp:docPr id="73" name="Frame7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4,420</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109"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w:t>
            </w:r>
          </w:p>
        </w:tc>
        <w:tc>
          <w:tcPr>
            <w:tcW w:w="109" w:type="dxa"/>
            <w:tcBorders/>
            <w:vAlign w:val="center"/>
          </w:tcPr>
          <w:p>
            <w:pPr>
              <w:pStyle w:val="TableContents"/>
              <w:bidi w:val="0"/>
              <w:spacing w:before="0" w:after="0"/>
              <w:ind w:left="0" w:right="0" w:hanging="0"/>
              <w:jc w:val="righ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6,709</w:t>
            </w:r>
          </w:p>
        </w:tc>
        <w:tc>
          <w:tcPr>
            <w:tcW w:w="109" w:type="dxa"/>
            <w:tcBorders/>
            <w:shd w:fill="CCEEFF" w:val="clear"/>
            <w:vAlign w:val="center"/>
          </w:tcPr>
          <w:p>
            <w:pPr>
              <w:pStyle w:val="TableContents"/>
              <w:bidi w:val="0"/>
              <w:spacing w:before="0" w:after="0"/>
              <w:ind w:left="0" w:right="0" w:hanging="0"/>
              <w:jc w:val="righ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totaled $6.7 million and $6.6 million during the years ended December 31, 2025 and 2024, respectively. The $0.1 million increase is primarily attributable to a $0.2 million increase in management fee expense due to an increase in the weighted average of the Company’s equity base and a $0.2 million increase in director stock compensation, partially offset by a $0.1 million decrease in corporate legal and consulting fees and a $0.2 million decrease in state tax expenses.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2025, the Company recorded a $7.4 million impairment charge of which $0.8 million represents the current expected credit losses (“CECL”) reserve related to our commercial loans and investments and $6.6 million represents the provision for losses related to our income properties as further described in Note 7, “Provision for Impairment” in the Notes to the Financial Statements. During the year ended December 31, 2024, the Company recorded a $1.7 million impairment charge of which $0.6 million represents the CECL reserve related to our commercial loans and investments and $1.1 million represents the provision for losses related to our income properties as further described in Note 7, “Provision for Impairment” in the Notes to the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 totaled $27.4 million and $25.6 million during the years ended December 31, 2025 and 2024, respectively. The $1.8 million increase in the depreciation and amortization expense is reflective of the Company’s change in portfolio as well as the timing of acquisitions versus dispositions.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sold 20 properties for an aggregate sales price of $72.8 million, generating aggregate gains on sale of $2.1 million. The aggregate 2025 gains included gains on sale totaling $6.9 million net of losses on sale totaling $4.8 million. The $4.8 million in losses were primarily attributable to the sale of four properties leased to Walgreens for an aggregate $4.3 million loss. During the year ended December 31, 2024, the Company sold 15 properties for an aggregate sales price of $62.0 million, generating aggregate gains on sale of $3.4 million. The aggregate 2024 gains included gains on sale totaling $5.1 million net of losses on sale totaling $1.7 million. The $1.7 million in losses were primarily attributable to the sale of two properties formerly leased to convenience stores and one property leased to Walgreens, for an aggregate $1.1 million loss.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Investment and Other Income</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Investment and other income totaled $0.2 million during each of the years ended December 31, 2025 and 2024.</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totaled $16.3 million and $12.0 million during the years ended December 31, 2025 and 2024, respectively. The $4.3 million increase in interest expense is attributable to the higher average outstanding balance on the Company’s Credit Facility as well as an increase in the fixed interest rate for the 2027 Term Loan effective in November of 2024. The overall increase in the Company’s long-term debt was primarily utilized to fund the acquisition of properties and commercial loans and investments during 2025.</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loss totaled $2.9 million and net income totaled $2.3 million during the years ended December 31, 2025 and 2024, respectively. The decrease in net income is attributable to the factors described above, most notably to the $5.7 million increase in provision for impairment.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YEARS ENDED DECEMBER 31, 2024 AND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presents the Company’s results of operations for the year ended December 31, 2024, as compared to the year ended December 31, 2023 (in thousands):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365"/>
        <w:gridCol w:w="109"/>
        <w:gridCol w:w="361"/>
        <w:gridCol w:w="1267"/>
        <w:gridCol w:w="109"/>
        <w:gridCol w:w="330"/>
        <w:gridCol w:w="1237"/>
        <w:gridCol w:w="109"/>
        <w:gridCol w:w="259"/>
        <w:gridCol w:w="777"/>
        <w:gridCol w:w="109"/>
        <w:gridCol w:w="1173"/>
      </w:tblGrid>
      <w:tr>
        <w:trPr/>
        <w:tc>
          <w:tcPr>
            <w:tcW w:w="4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9235" cy="175260"/>
                      <wp:effectExtent l="0" t="0" r="0" b="0"/>
                      <wp:wrapNone/>
                      <wp:docPr id="75" name="Frame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804545" cy="175260"/>
                      <wp:effectExtent l="0" t="0" r="0" b="0"/>
                      <wp:wrapNone/>
                      <wp:docPr id="76" name="Frame76"/>
                      <a:graphic xmlns:a="http://schemas.openxmlformats.org/drawingml/2006/main">
                        <a:graphicData uri="http://schemas.microsoft.com/office/word/2010/wordprocessingShape">
                          <wps:wsp>
                            <wps:cNvSpPr txBox="1"/>
                            <wps:spPr>
                              <a:xfrm>
                                <a:off x="0" y="0"/>
                                <a:ext cx="804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9550" cy="175260"/>
                      <wp:effectExtent l="0" t="0" r="0" b="0"/>
                      <wp:wrapNone/>
                      <wp:docPr id="78" name="Frame78"/>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785495" cy="175260"/>
                      <wp:effectExtent l="0" t="0" r="0" b="0"/>
                      <wp:wrapNone/>
                      <wp:docPr id="79" name="Frame79"/>
                      <a:graphic xmlns:a="http://schemas.openxmlformats.org/drawingml/2006/main">
                        <a:graphicData uri="http://schemas.microsoft.com/office/word/2010/wordprocessingShape">
                          <wps:wsp>
                            <wps:cNvSpPr txBox="1"/>
                            <wps:spPr>
                              <a:xfrm>
                                <a:off x="0" y="0"/>
                                <a:ext cx="785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64465" cy="175260"/>
                      <wp:effectExtent l="0" t="0" r="0" b="0"/>
                      <wp:wrapNone/>
                      <wp:docPr id="81" name="Frame81"/>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3395" cy="175260"/>
                      <wp:effectExtent l="0" t="0" r="0" b="0"/>
                      <wp:wrapNone/>
                      <wp:docPr id="82" name="Frame82"/>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3" name="Frame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44855" cy="175260"/>
                      <wp:effectExtent l="0" t="0" r="0" b="0"/>
                      <wp:wrapNone/>
                      <wp:docPr id="84" name="Frame84"/>
                      <a:graphic xmlns:a="http://schemas.openxmlformats.org/drawingml/2006/main">
                        <a:graphicData uri="http://schemas.microsoft.com/office/word/2010/wordprocessingShape">
                          <wps:wsp>
                            <wps:cNvSpPr txBox="1"/>
                            <wps:spPr>
                              <a:xfrm>
                                <a:off x="0" y="0"/>
                                <a:ext cx="744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109" w:type="dxa"/>
            <w:tcBorders/>
            <w:vAlign w:val="center"/>
          </w:tcPr>
          <w:p>
            <w:pPr>
              <w:pStyle w:val="TableContents"/>
              <w:bidi w:val="0"/>
              <w:spacing w:before="0" w:after="0"/>
              <w:ind w:left="0" w:right="0" w:hanging="0"/>
              <w:jc w:val="center"/>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43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5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center"/>
              <w:rPr/>
            </w:pPr>
            <w:r>
              <w:rPr/>
              <w:t>​</w:t>
            </w:r>
          </w:p>
        </w:tc>
        <w:tc>
          <w:tcPr>
            <w:tcW w:w="12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center"/>
              <w:rPr/>
            </w:pPr>
            <w:r>
              <w:rPr/>
              <w:t>​</w:t>
            </w:r>
          </w:p>
        </w:tc>
        <w:tc>
          <w:tcPr>
            <w:tcW w:w="123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center"/>
              <w:rPr/>
            </w:pPr>
            <w:r>
              <w:rPr/>
              <w:t>​</w:t>
            </w:r>
          </w:p>
        </w:tc>
        <w:tc>
          <w:tcPr>
            <w:tcW w:w="7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left"/>
              <w:rPr/>
            </w:pPr>
            <w:r>
              <w:rPr/>
              <w:t>​</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5,124</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804.4%</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0"/>
              <w:ind w:left="0" w:right="0" w:hanging="0"/>
              <w:jc w:val="center"/>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52,227</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45,644</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6,583</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2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12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2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12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(1,527)</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41,655</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41,859</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2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12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2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w:t>
            </w:r>
          </w:p>
        </w:tc>
        <w:tc>
          <w:tcPr>
            <w:tcW w:w="109"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12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c>
          <w:tcPr>
            <w:tcW w:w="109"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w:t>
            </w:r>
          </w:p>
        </w:tc>
        <w:tc>
          <w:tcPr>
            <w:tcW w:w="109"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2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shd w:fill="CCEEFF" w:val="clear"/>
            <w:vAlign w:val="center"/>
          </w:tcPr>
          <w:p>
            <w:pPr>
              <w:pStyle w:val="TableContents"/>
              <w:bidi w:val="0"/>
              <w:spacing w:before="0" w:after="0"/>
              <w:ind w:left="0" w:right="0" w:hanging="0"/>
              <w:jc w:val="left"/>
              <w:rPr/>
            </w:pPr>
            <w:r>
              <w:rPr/>
              <w:t>​</w:t>
            </w:r>
          </w:p>
        </w:tc>
        <w:tc>
          <w:tcPr>
            <w:tcW w:w="12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r>
      <w:tr>
        <w:trPr/>
        <w:tc>
          <w:tcPr>
            <w:tcW w:w="4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vAlign w:val="center"/>
          </w:tcPr>
          <w:p>
            <w:pPr>
              <w:pStyle w:val="TableContents"/>
              <w:bidi w:val="0"/>
              <w:spacing w:before="0" w:after="0"/>
              <w:ind w:left="0" w:right="0" w:hanging="0"/>
              <w:jc w:val="left"/>
              <w:rPr/>
            </w:pPr>
            <w:r>
              <w:rPr/>
              <w:t>​</w:t>
            </w:r>
          </w:p>
        </w:tc>
        <w:tc>
          <w:tcPr>
            <w:tcW w:w="3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vAlign w:val="center"/>
          </w:tcPr>
          <w:p>
            <w:pPr>
              <w:pStyle w:val="TableContents"/>
              <w:bidi w:val="0"/>
              <w:spacing w:before="0" w:after="0"/>
              <w:ind w:left="0" w:right="0" w:hanging="0"/>
              <w:jc w:val="left"/>
              <w:rPr/>
            </w:pPr>
            <w:r>
              <w:rPr/>
              <w:t>​</w:t>
            </w:r>
          </w:p>
        </w:tc>
        <w:tc>
          <w:tcPr>
            <w:tcW w:w="11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4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Alpine Income Property Trust, Inc.</w:t>
            </w:r>
          </w:p>
        </w:tc>
        <w:tc>
          <w:tcPr>
            <w:tcW w:w="109" w:type="dxa"/>
            <w:tcBorders/>
            <w:shd w:fill="CCEEFF" w:val="clear"/>
            <w:vAlign w:val="center"/>
          </w:tcPr>
          <w:p>
            <w:pPr>
              <w:pStyle w:val="TableContents"/>
              <w:bidi w:val="0"/>
              <w:spacing w:before="0" w:after="0"/>
              <w:ind w:left="0" w:right="0" w:hanging="0"/>
              <w:jc w:val="left"/>
              <w:rPr/>
            </w:pPr>
            <w:r>
              <w:rPr/>
              <w:t>​</w:t>
            </w:r>
          </w:p>
        </w:tc>
        <w:tc>
          <w:tcPr>
            <w:tcW w:w="3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0"/>
              <w:ind w:left="0" w:right="0" w:hanging="0"/>
              <w:jc w:val="left"/>
              <w:rPr/>
            </w:pPr>
            <w:r>
              <w:rPr/>
              <w:t>​</w:t>
            </w:r>
          </w:p>
        </w:tc>
        <w:tc>
          <w:tcPr>
            <w:tcW w:w="3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c>
          <w:tcPr>
            <w:tcW w:w="109"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109" w:type="dxa"/>
            <w:tcBorders/>
            <w:shd w:fill="CCEEFF" w:val="clear"/>
            <w:vAlign w:val="center"/>
          </w:tcPr>
          <w:p>
            <w:pPr>
              <w:pStyle w:val="TableContents"/>
              <w:bidi w:val="0"/>
              <w:spacing w:before="0" w:after="0"/>
              <w:ind w:left="0" w:right="0" w:hanging="0"/>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income properties during the years ended December 31, 2024 and 2023 totaled $46.0 million and $45.0 million, respectively. The increase in revenues is reflective of the Company’s volume of acquisitions, partially offset by dispositions, as well as certain one-time reduced revenues related to tenant credit loss and bankruptcy. The direct costs of revenues for our income properties totaled $7.8 million and $6.6 million during the years ended December 31, 2024 and 2023, respectively. The $1.2 million increase in the direct cost of revenues is reflective of a portion of portfolio expenses being non-recoverable pursuant to tenant leases.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$5.8 million and $0.6 million for the years ended December 31, 2024 and 2023, respectively. The increase in income is attributable to the expanded portfolio of commercial loans and investments, which as December 31, 2024, was comprised of five construction loans, one mortgage note, and three properties acquired pursuant to a sale-leaseback transaction whereby the tenant has a future repurchase right. As of December 31, 2023, the Company’s portfolio of commercial loans and investments was comprised of two construction loans and one mortgage note.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$0.5 million and less than $0.1 million for the years ended December 31, 2024 and 2023, respectively. The revenue is attributable to fees earned from a revenue sharing agreement the Company entered into with CTO as further described in Note 19, “Related Party Management Company” in the Notes to the Financial Statements. The increase is attributable to the year ended December 31, 2024 being the first full year the revenue sharing agreement was in effect.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year ended December 31, 2024 as compared to the year ended December 31, 2023 (in thousands):</w:t>
      </w:r>
    </w:p>
    <w:p>
      <w:pPr>
        <w:pStyle w:val="TextBody"/>
        <w:bidi w:val="0"/>
        <w:spacing w:before="0" w:after="0"/>
        <w:ind w:left="0" w:right="0" w:hanging="0"/>
        <w:jc w:val="left"/>
        <w:rPr/>
      </w:pPr>
      <w:r>
        <w:rPr/>
        <w:t>​</w:t>
      </w:r>
    </w:p>
    <w:tbl>
      <w:tblPr>
        <w:tblW w:w="10114" w:type="dxa"/>
        <w:jc w:val="left"/>
        <w:tblInd w:w="0" w:type="dxa"/>
        <w:tblLayout w:type="fixed"/>
        <w:tblCellMar>
          <w:top w:w="0" w:type="dxa"/>
          <w:left w:w="0" w:type="dxa"/>
          <w:bottom w:w="0" w:type="dxa"/>
          <w:right w:w="0" w:type="dxa"/>
        </w:tblCellMar>
      </w:tblPr>
      <w:tblGrid>
        <w:gridCol w:w="4021"/>
        <w:gridCol w:w="109"/>
        <w:gridCol w:w="465"/>
        <w:gridCol w:w="1260"/>
        <w:gridCol w:w="109"/>
        <w:gridCol w:w="465"/>
        <w:gridCol w:w="1260"/>
        <w:gridCol w:w="109"/>
        <w:gridCol w:w="315"/>
        <w:gridCol w:w="721"/>
        <w:gridCol w:w="109"/>
        <w:gridCol w:w="1171"/>
      </w:tblGrid>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95275" cy="175260"/>
                      <wp:effectExtent l="0" t="0" r="0" b="0"/>
                      <wp:wrapNone/>
                      <wp:docPr id="86" name="Frame86"/>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00100" cy="175260"/>
                      <wp:effectExtent l="0" t="0" r="0" b="0"/>
                      <wp:wrapNone/>
                      <wp:docPr id="87" name="Frame87"/>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95275" cy="175260"/>
                      <wp:effectExtent l="0" t="0" r="0" b="0"/>
                      <wp:wrapNone/>
                      <wp:docPr id="89" name="Frame89"/>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800100" cy="175260"/>
                      <wp:effectExtent l="0" t="0" r="0" b="0"/>
                      <wp:wrapNone/>
                      <wp:docPr id="90" name="Frame90"/>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0025" cy="175260"/>
                      <wp:effectExtent l="0" t="0" r="0" b="0"/>
                      <wp:wrapNone/>
                      <wp:docPr id="92" name="Frame9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57835" cy="175260"/>
                      <wp:effectExtent l="0" t="0" r="0" b="0"/>
                      <wp:wrapNone/>
                      <wp:docPr id="93" name="Frame9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743585" cy="175260"/>
                      <wp:effectExtent l="0" t="0" r="0" b="0"/>
                      <wp:wrapNone/>
                      <wp:docPr id="95" name="Frame9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4,356</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0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109" w:type="dxa"/>
            <w:tcBorders/>
            <w:vAlign w:val="center"/>
          </w:tcPr>
          <w:p>
            <w:pPr>
              <w:pStyle w:val="TableContents"/>
              <w:bidi w:val="0"/>
              <w:spacing w:before="0" w:after="0"/>
              <w:ind w:left="0" w:right="0" w:hanging="0"/>
              <w:jc w:val="center"/>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shd w:fill="CCEEFF" w:val="clear"/>
            <w:vAlign w:val="center"/>
          </w:tcPr>
          <w:p>
            <w:pPr>
              <w:pStyle w:val="TableContents"/>
              <w:bidi w:val="0"/>
              <w:spacing w:before="0" w:after="0"/>
              <w:ind w:left="0" w:right="0" w:hanging="0"/>
              <w:jc w:val="center"/>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109" w:type="dxa"/>
            <w:tcBorders/>
            <w:vAlign w:val="center"/>
          </w:tcPr>
          <w:p>
            <w:pPr>
              <w:pStyle w:val="TableContents"/>
              <w:bidi w:val="0"/>
              <w:spacing w:before="0" w:after="0"/>
              <w:ind w:left="0" w:right="0" w:hanging="0"/>
              <w:jc w:val="righ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shd w:fill="CCEEFF" w:val="clear"/>
            <w:vAlign w:val="center"/>
          </w:tcPr>
          <w:p>
            <w:pPr>
              <w:pStyle w:val="TableContents"/>
              <w:bidi w:val="0"/>
              <w:spacing w:before="0" w:after="0"/>
              <w:ind w:left="0" w:right="0" w:hanging="0"/>
              <w:jc w:val="righ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totaled $6.6 million and $6.3 million during the years ended December 31, 2024 and 2023, respectively. The $0.3 million increase is primarily attributable to a $0.2 million increase in corporate legal and consulting fees and a $0.1 million increase in state tax expenses, partially offset by a $0.1 million decrease in management fee expense due to a decrease in the weighted average of the Company’s equity base.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2024, the Company recorded a $1.7 million impairment charge of which $0.6 million represents the CECL reserve related to our commercial loans and investments and $1.1 million represents the provision for losses related to our income properties as further described in Note 7, “Provision for Impairment” in the Notes to the Financial Statements. During the year ended December 31, 2023, the Company recorded a $3.2 million impairment charge of which $0.3 million represents the CECL reserve related to our commercial loans and investments and $2.9 million represents the provision for losses related to our income properties as further described in Note 7, “Provision for Impairment” in the Notes to the Financial Statements.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 totaled $25.6 million and $25.8 million during the years ended December 31, 2024 and 2023, respectively. The $0.2 million decrease in the depreciation and amortization expense is reflective of the Company’s change in portfolio as well as the timing of acquisitions versus dispositions.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Gain on Disposition of Assets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 ended December 31, 2024, the Company sold 15 properties for an aggregate sales price of $62.0 million, generating aggregate gains on sale of $3.4 million. The aggregate 2024 gains included gains on sale totaling $5.1 million net of losses on sale totaling $1.7 million. The $1.7 million in losses were primarily attributable to the sale of two properties formerly leased to convenience stores and one property leased to Walgreens, for an aggregate $1.1 million loss. During the year ended December 31, 2023, the Company sold 24 properties for an aggregate sales price of $108.3 million, generating aggregate gains on sale of $9.3 million. </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Investment and Other Income</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Investment and other income totaled $0.2 million and $0.3 million during the years ended December 31, 2024 and 2023, respectively. The decrease is attributable to lower interest rates on bank deposits.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totaled $12.0 million and $10.2 million during the years ended December 31, 2024 and 2023, respectively. The $1.8 million increase in interest expense is attributable to the higher average outstanding debt balance for increased interest expense of $1.2 million as well as $0.6 million of interest expense resulting from the sale of participation interest in the Company’s $23.4 million Mortgage Note as defined and further described in Note 4, “Commercial Loans and Investments” in the Notes to the Financial Statements. The overall increase in the Company’s long-term debt was primarily utilized to fund the acquisition of properties and commercial loans and investments during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$2.3 million and $3.3 million during the years ended December 31, 2024 and 2023, respectively. The decrease in net income is attributable to the factors described above, most significantly to the $5.9 million decrease in gain on disposition of assets during the year ended December 31, 2024. The decreased gain on disposition of assets is the result of reduced disposition activity during the year ended December 31, 2024 as compared to 2023.</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Cash and Cash Equivalents and Restricted Cash. </w:t>
      </w:r>
      <w:r>
        <w:rPr>
          <w:rFonts w:ascii="Times New Roman;Times;serif" w:hAnsi="Times New Roman;Times;serif"/>
          <w:sz w:val="20"/>
        </w:rPr>
        <w:t>Cash totaled $39.0 million at December 31, 2025, including restricted cash of $34.4 million. See Note 2 “Summary of Significant Accounting Policies” under the heading Restricted Cash in the Notes to the Financial Statements for the Company’s disclosure related to its restricted cash balance at December 31, 2025.</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net cash provided by our operating activities totaled $25.8 million and $23.4 million during the years ended December 31, 2025 and 2024, respectively. The primary component of the increase in operating cash flows is due to the increase in our commercial loan investment portfolio revenue.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net cash used in investing activities totaled $103.9 million for the year ended December 31, 2025, compared to net cash used in investing activities of $55.7 million for the year ended December 31, 2024, an increase in cash outflows of $48.2 million. The increase in net cash used in investing activities of $48.2 million is primarily related to a net $25.0 million increase in acquisitions versus dispositions during the year ended December 31, 2025, in addition to a net $36.1 million increase related to investments in the Company’s commercial loans and investment portfolio. The Company also received cash totaling $15.0 million and $2.2 million during the years ended December 31, 2025 and 2024, respectively, for commercial loan reserves that are classified as restricted cash when received.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provided by financing activities totaled $109.2 million for the year ended December 31, 2025, compared to net cash provided by financing activities of $26.5 million for the year ended December 31, 2024, for an increase in cash inflows from financing activities of $82.7 million. The increase of $82.7 million is primarily related to a $50.5 million increase in net proceeds from long-term debt during the year ended December 31, 2025 as well as $48.1 million proceeds received from sales of Series A Preferred Stock, partially offset by $6.3 million less proceeds received from sales of stock under the Company’s “at-the-market” equity offering programs and an $8.0 million increase in cash used to repurchase the Company’s common stock during the year ended December 31, 2025.</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 xml:space="preserve">At December 31, 2025, the commitment level under the Credit Facility was $250.0 million and the Company had an outstanding balance of $178.0 million. The available borrowing capacity, subject to borrowing base restrictions, was $40.6 million as of December 31, 2025. The Company also had $200.0 million in term loans outstanding as of December 31, 2025. See Note 13, “Long-Term Debt” </w:t>
      </w:r>
      <w:r>
        <w:rPr>
          <w:rFonts w:ascii="Times New Roman;Times;serif" w:hAnsi="Times New Roman;Times;serif"/>
          <w:sz w:val="20"/>
          <w:shd w:fill="FFFFFF" w:val="clear"/>
        </w:rPr>
        <w:t>in the Notes to the Financial Statements </w:t>
      </w:r>
      <w:r>
        <w:rPr>
          <w:rFonts w:ascii="Times New Roman;Times;serif" w:hAnsi="Times New Roman;Times;serif"/>
          <w:sz w:val="20"/>
        </w:rPr>
        <w:t xml:space="preserve">for the Company’s disclosure related to its long-term debt balance at December 31, 2025.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Acquisitions and Investments.</w:t>
      </w:r>
      <w:r>
        <w:rPr>
          <w:rFonts w:ascii="Times New Roman;Times;serif" w:hAnsi="Times New Roman;Times;serif"/>
          <w:sz w:val="20"/>
        </w:rPr>
        <w:t xml:space="preserve"> A</w:t>
      </w:r>
      <w:r>
        <w:rPr>
          <w:rFonts w:ascii="Times New Roman;Times;serif" w:hAnsi="Times New Roman;Times;serif"/>
          <w:sz w:val="20"/>
          <w:shd w:fill="FFFFFF" w:val="clear"/>
        </w:rPr>
        <w:t>s noted previously, the Company acquired 13 properties during the year ended December 31, 2025, for an aggregate purchase price of $100.6 million, as further described in Note 3 “Property Portfolio” in the Notes to the Financial Statements. The Company also invested in 12 commercial loans with a total funding commitment of $139.3 million during the year ended December 31, 2025. Additionally, during the year ended December 31, 2025, the Company amended five existing commercial loan investments whereby certain maturity dates were extended and the total face amounts of four loan investments were upsized by an aggregate of $39.7 million. As of December 31, 2025, the Company’s commercial loan investments portfolio included nine construction loans, six mortgage notes, and three properties acquired pursuant to a sale-leaseback transaction whereby the tenant has a future repurchase right, with an aggregate carrying value of $167.6 million. See Note 4, “Commercial Loans and Investments” in the Notes to the Financial Statements for additional disclosures related to the Company’s commercial loans and investments as of December 31, 2025.</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Dispositions. </w:t>
      </w:r>
      <w:r>
        <w:rPr>
          <w:rFonts w:ascii="Times New Roman;Times;serif" w:hAnsi="Times New Roman;Times;serif"/>
          <w:sz w:val="20"/>
        </w:rPr>
        <w:t xml:space="preserve">During the year ended December 31, 2025, the Company sold 20 properties for a total sales price of $72.8 million, generating aggregate gains on sale of $2.1 million, </w:t>
      </w:r>
      <w:r>
        <w:rPr>
          <w:rFonts w:ascii="Times New Roman;Times;serif" w:hAnsi="Times New Roman;Times;serif"/>
          <w:sz w:val="20"/>
          <w:shd w:fill="FFFFFF" w:val="clear"/>
        </w:rPr>
        <w:t xml:space="preserve">as further described in Note 3 “Property Portfolio” in the Notes to the Financial Statements. Also during the year ended December 31, 2025, the Company sold a $10.0 million A-1 participation interest in the Company’s initial $29.5 million mortgage note. </w:t>
      </w:r>
      <w:r>
        <w:rPr>
          <w:rFonts w:ascii="Times New Roman;Times;serif" w:hAnsi="Times New Roman;Times;serif"/>
          <w:sz w:val="20"/>
        </w:rPr>
        <w:t xml:space="preserve">See Note 4, “Commercial Loans and Investments” in the Notes to the Financial Statements for additional disclosures related to the Company’s commercial loans and investments as of December 31, 2025.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As of December 31, 2025, the Company has committed to fund certain capital improvements related to several properties, which include tenant improvements, landlord work, leasing commissions, and other capital improvements. As of December 31, 2025, the commitments totaled $2.6 million, of which $2.2 million has been paid, leaving a remaining commitment of $0.4 million. The improvements are generally expected to be completed within 12 months of December 31, 2025. Pursuant to a certain lease agreements executed during the year ended December 31, 2025, the Company is committed to funding $0.3 million in tenant improvements.</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The Company is committed to fund nine construction loans as described in Note 4, “Commercial Loans and Investments” in the Notes to the Financial Statements. The unfunded portion of the construction loans totaled $45.7 million as of December 31, 2025.</w:t>
      </w:r>
    </w:p>
    <w:p>
      <w:pPr>
        <w:pStyle w:val="TextBody"/>
        <w:bidi w:val="0"/>
        <w:spacing w:before="4" w:after="4"/>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contractually obligated under its various long-term debt agreements. In the aggregate, the Company is obligated under such agreements to repay $278.0 million on a long-term basis, to be repaid in excess of one year, with $100.0 million due within one year.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sales of assets utilizing the reverse like-kind 1031 exchange structure, $79.9 million of availability under the 2022 ATM Program, $32.9 million of availability under the 2025 Preferred Stock ATM Program, and $40.6 million of available capacity on the existing $250.0 million Credit Facility, as of December 31, 2025.</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and commercial loans and investments by utilizing the capital we raise and available borrowing capacity from the Credit Facility to increase our portfolio of income-producing properties and commercial loan and investments portfolio, providing stabilized cash flows with strong risk-adjusted returns primarily in larger metropolitan areas and growth markets.</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As required by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13 properties for a combined purchase price of $100.6 million, or an aggregate acquisition cost of $101.3 million,</w:t>
      </w:r>
      <w:r>
        <w:rPr>
          <w:rFonts w:ascii="Times New Roman;Times;serif" w:hAnsi="Times New Roman;Times;serif"/>
          <w:color w:val="FF0000"/>
          <w:sz w:val="20"/>
        </w:rPr>
        <w:t xml:space="preserve"> </w:t>
      </w:r>
      <w:r>
        <w:rPr>
          <w:rFonts w:ascii="Times New Roman;Times;serif" w:hAnsi="Times New Roman;Times;serif"/>
          <w:sz w:val="20"/>
        </w:rPr>
        <w:t xml:space="preserve">for the year ended December 31, 2025 and 9 properties for a combined purchase price of $72.2 million for the year ended December 31, 2024.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2, “Summary of Significant Accounting Policies” in the Notes to the Financial Statements for further discussion of the Company’s accounting estimates and policies.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58" w:name="ITEM7AQUANTITATIVEANDQUALITATIVEDISCLOSU"/>
      <w:bookmarkStart w:id="59" w:name="_f721438d_f3a2_4975_addf_4902370b0360"/>
      <w:bookmarkEnd w:id="58"/>
      <w:bookmarkEnd w:id="59"/>
      <w:r>
        <w:rPr>
          <w:rFonts w:ascii="Times New Roman;Times;serif" w:hAnsi="Times New Roman;Times;serif"/>
          <w:b/>
          <w:sz w:val="20"/>
        </w:rPr>
        <w:t>ITEM 7A.</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Rule 12b-2 under the Exchange Act. As a result, pursuant to Item 305(e) of Regulation S-K, we are not required to provide the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60" w:name="ITEM8FINANCIALSTATEMENTSANDSUPPLEMENTARY"/>
      <w:bookmarkStart w:id="61" w:name="_8202c1bb_28e4_4816_a391_b8bdde026129"/>
      <w:bookmarkEnd w:id="60"/>
      <w:bookmarkEnd w:id="61"/>
      <w:r>
        <w:rPr>
          <w:rFonts w:ascii="Times New Roman;Times;serif" w:hAnsi="Times New Roman;Times;serif"/>
          <w:b/>
          <w:sz w:val="20"/>
        </w:rPr>
        <w:t>ITEM 8.</w:t>
      </w:r>
      <w:r>
        <w:rPr>
          <w:rFonts w:ascii="Times New Roman;Times;serif" w:hAnsi="Times New Roman;Times;serif"/>
          <w:sz w:val="20"/>
        </w:rPr>
        <w:t>            </w:t>
      </w:r>
      <w:r>
        <w:rPr>
          <w:rFonts w:ascii="Times New Roman;Times;serif" w:hAnsi="Times New Roman;Times;serif"/>
          <w:b/>
          <w:sz w:val="20"/>
        </w:rPr>
        <w:t>FINANCIAL STATEMENTS AND SUPPLEMENTARY DATA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Consolidated Financial Statements appear beginning on page F-1 of this report. See Item 15 of this report.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62" w:name="ITEM9CHANGESINANDDISAGREEMENTSWITHACCOUN"/>
      <w:bookmarkStart w:id="63" w:name="_17cf37b3_9b98_4912_8682_0a4a73b32d24"/>
      <w:bookmarkEnd w:id="62"/>
      <w:bookmarkEnd w:id="63"/>
      <w:r>
        <w:rPr>
          <w:rFonts w:ascii="Times New Roman;Times;serif" w:hAnsi="Times New Roman;Times;serif"/>
          <w:b/>
          <w:sz w:val="20"/>
        </w:rPr>
        <w:t>ITEM 9.</w:t>
      </w:r>
      <w:r>
        <w:rPr>
          <w:rFonts w:ascii="Times New Roman;Times;serif" w:hAnsi="Times New Roman;Times;serif"/>
          <w:sz w:val="20"/>
        </w:rPr>
        <w:t>            </w:t>
      </w:r>
      <w:r>
        <w:rPr>
          <w:rFonts w:ascii="Times New Roman;Times;serif" w:hAnsi="Times New Roman;Times;serif"/>
          <w:b/>
          <w:sz w:val="20"/>
        </w:rPr>
        <w:t>CHANGES IN AND DISAGREEMENTS WITH ACCOUNTANTS ON ACCOUNTING AND</w:t>
      </w:r>
      <w:r>
        <w:rPr>
          <w:rFonts w:ascii="Times New Roman;Times;serif" w:hAnsi="Times New Roman;Times;serif"/>
          <w:sz w:val="20"/>
        </w:rPr>
        <w:t xml:space="preserve"> </w:t>
      </w:r>
      <w:r>
        <w:rPr>
          <w:rFonts w:ascii="Times New Roman;Times;serif" w:hAnsi="Times New Roman;Times;serif"/>
          <w:b/>
          <w:sz w:val="20"/>
        </w:rPr>
        <w:t>FINANCIAL DISCLOSURE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disagreements with our accountants on accounting and financial disclosures.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4" w:name="ITEM9ACONTROLSANDPROCEDURES_752806"/>
      <w:bookmarkStart w:id="65" w:name="_7f474afb_ff08_47f4_b261_5630754d016f"/>
      <w:bookmarkEnd w:id="64"/>
      <w:bookmarkEnd w:id="65"/>
      <w:r>
        <w:rPr>
          <w:rFonts w:ascii="Times New Roman;Times;serif" w:hAnsi="Times New Roman;Times;serif"/>
          <w:b/>
          <w:sz w:val="20"/>
        </w:rPr>
        <w:t>ITEM 9A.</w:t>
      </w:r>
      <w:r>
        <w:rPr>
          <w:rFonts w:ascii="Times New Roman;Times;serif" w:hAnsi="Times New Roman;Times;serif"/>
          <w:sz w:val="20"/>
        </w:rPr>
        <w:t>          </w:t>
      </w:r>
      <w:r>
        <w:rPr>
          <w:rFonts w:ascii="Times New Roman;Times;serif" w:hAnsi="Times New Roman;Times;serif"/>
          <w:b/>
          <w:sz w:val="20"/>
        </w:rPr>
        <w:t>CONTROLS AND PROCEDURES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Under the supervision and with the participation of our management, including our CEO and our CFO, we evaluated the effectiveness of our internal control over financial reporting using the criteria set forth in the 2013 Internal Control-Integrated Framework issued by the Committee of Sponsoring Organizations of the Treadway Commission (COSO). Based on our assessment and those criteria, our management concluded that our internal control over financial reporting was effective as of December 31,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or 15d-15(f) of the Exchange Act) during the period covered by this report that have materially affected, or are reasonably likely to materially affect, the Company’s internal control over financial reporting.</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6" w:name="ITEM9BOTHERINFORMATION_64042"/>
      <w:bookmarkStart w:id="67" w:name="_7aed06c8_bdd4_4d78_bf03_3503c588b8b8"/>
      <w:bookmarkEnd w:id="66"/>
      <w:bookmarkEnd w:id="67"/>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9B.</w:t>
      </w:r>
      <w:r>
        <w:rPr>
          <w:rFonts w:ascii="Times New Roman;Times;serif" w:hAnsi="Times New Roman;Times;serif"/>
          <w:sz w:val="20"/>
        </w:rPr>
        <w:t>          </w:t>
      </w:r>
      <w:r>
        <w:rPr>
          <w:rFonts w:ascii="Times New Roman;Times;serif" w:hAnsi="Times New Roman;Times;serif"/>
          <w:b/>
          <w:sz w:val="20"/>
        </w:rPr>
        <w:t>OTHER</w:t>
      </w:r>
      <w:r>
        <w:rPr>
          <w:rFonts w:ascii="Times New Roman;Times;serif" w:hAnsi="Times New Roman;Times;serif"/>
          <w:sz w:val="20"/>
        </w:rPr>
        <w:t xml:space="preserve"> </w:t>
      </w:r>
      <w:r>
        <w:rPr>
          <w:rFonts w:ascii="Times New Roman;Times;serif" w:hAnsi="Times New Roman;Times;serif"/>
          <w:b/>
          <w:sz w:val="20"/>
        </w:rPr>
        <w:t>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previously disclosed, the Company, as parent guarantor, the Operating Partnership, as borrower (the “Borrower”), and certain subsidiaries of the Borrower, previously entered into a Credit Agreement, dated as of May 21, 2021, with Truist Bank, N.A., as administrative agent (“Truist”), and certain other lenders named therein (as amended prior to February 4, 2026, the “Original Credit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4, 2026, the Company, the Borrower, and certain subsidiaries of the Borrower entered into an Amended and Restated Credit Agreement with Truist and certain other lenders named therein to amend and restate the Original Credit Agreement in its entirety (the “Amended and Restated Credit Agreement”). The Amended and Restated Credit Agreement provides for a $250,000,000 senior unsecured revolving credit facility (the “Revolving Facility”), a $100,000,000 senior unsecured term loan credit facility maturing in 2029 (the “2029 Term Loan Facility”), and a $100,000,000 senior unsecured term loan credit facility maturing in 2031 (the “2031 Term Loan Facility” and, together with the Revolving Facility and the 2029 Term Loan Facility, the “Facilities”), subject to extensions of the maturity dates and an increase in the aggregate amount of the Facilities up to an aggregate commitment of $750,000,000 in accordance with the terms of the Amended and Restated Credit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Facilities were provided by a syndicate of banks led by Truist as administrative agent. Additional participating banks include KeyBank National Association, The Huntington National Bank, Regions Bank, Raymond James Bank, PNC Bank, National Association, Synovus Bank, and Stifel Bank &amp; Trust.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Borrowings under the Amended and Restated Credit Agreement bear interest at a rate equal to either (i) the Applicable Margin plus the Base Rate (each as defined in the Amended and Restated Credit Agreement), (ii) the Applicable Margin plus Daily Simple SOFR (as defined in the Amended and Restated Credit Agreement) or (iii) the Applicable Margin plus Term SOFR (as defined in the Amended and Restated Credit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subject to customary restrictive covenants under the Amended and Restated Credit Agreement, including, but not limited to, limitations on the Company’s ability to: (i) incur indebtedness; (ii) make certain investments; (iii) incur certain liens; (iv) engage in certain affiliate transactions; and (v) engage in certain major transactions such as mergers. In addition, the Company is subject to various financial maintenance covenants as described in the Amended and Restated Credit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foregoing description of the Amended and Restated Credit Agreement does not purport to be complete and is qualified in its entirety by reference to the text of the Amended and Restated Credit Amendment, a copy of which is filed as exhibit 10.16 to this Annual Report on Form 10-K.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4, 2026, in connection with the Borrower’s entry into the Amended and Restated Credit Agreement, the Borrower repaid all obligations outstanding under the Amended and Restated Credit Agreement, dated as of September 30, 2022, among the Company, as parent guarantor, the Borrower, certain subsidiaries of the Borrower, KeyBank National Association, as administrative agent, and certain other lenders named therein (as amended, the “Prior Credit Agreement”). As a result, the Prior Credit Agreement was terminated and the obligations thereunder were discharged.</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68" w:name="DISCLOSUREREGARDINGFOREIGNJURISDICTIONST"/>
      <w:bookmarkStart w:id="69" w:name="_f06646f6_8565_4f45_8b23_4ebeb13561de"/>
      <w:bookmarkEnd w:id="68"/>
      <w:bookmarkEnd w:id="69"/>
      <w:r>
        <w:rPr>
          <w:rFonts w:ascii="Times New Roman;Times;serif" w:hAnsi="Times New Roman;Times;serif"/>
          <w:b/>
          <w:sz w:val="20"/>
        </w:rPr>
        <w:t>ITEM 9C.</w:t>
      </w:r>
      <w:r>
        <w:rPr>
          <w:rFonts w:ascii="Times New Roman;Times;serif" w:hAnsi="Times New Roman;Times;serif"/>
          <w:sz w:val="20"/>
        </w:rPr>
        <w:t>          </w:t>
      </w:r>
      <w:r>
        <w:rPr>
          <w:rFonts w:ascii="Times New Roman;Times;serif" w:hAnsi="Times New Roman;Times;serif"/>
          <w:b/>
          <w:sz w:val="20"/>
        </w:rPr>
        <w:t>DISCLOSURE REGARDING FOREIGN JURISDICTIONS THAT PREVENT INSPECTIONS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70" w:name="PARTIII_476155"/>
      <w:bookmarkStart w:id="71" w:name="_4fe50f31_c7a6_45d0_8f28_e93233dec727"/>
      <w:bookmarkEnd w:id="70"/>
      <w:bookmarkEnd w:id="71"/>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sz w:val="20"/>
        </w:rPr>
      </w:pPr>
      <w:bookmarkStart w:id="72" w:name="ITEM10DIRECTORSEXECUTIVEOFFICERSANDCORPO"/>
      <w:bookmarkEnd w:id="72"/>
      <w:r>
        <w:rPr>
          <w:rFonts w:ascii="Times New Roman;Times;serif" w:hAnsi="Times New Roman;Times;serif"/>
          <w:b/>
          <w:sz w:val="20"/>
        </w:rPr>
        <w:t>ITEM 10.</w:t>
      </w:r>
      <w:r>
        <w:rPr>
          <w:rFonts w:ascii="Times New Roman;Times;serif" w:hAnsi="Times New Roman;Times;serif"/>
          <w:sz w:val="20"/>
        </w:rPr>
        <w:t>          </w:t>
      </w:r>
      <w:r>
        <w:rPr>
          <w:rFonts w:ascii="Times New Roman;Times;serif" w:hAnsi="Times New Roman;Times;serif"/>
          <w:b/>
          <w:sz w:val="20"/>
        </w:rPr>
        <w:t>DIRECTORS, EXECUTIVE OFFICERS, AND CORPORATE GOVERNANCE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Company’s definitive proxy statement for its 2026 annual stockholders’ meeting to be filed with the SEC within 120 days after the end of the registrant’s fiscal year ended December 31, 2025 (the “Proxy Statement”), which sections are incorporated herein by reference.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3" w:name="ITEM11EXECUTIVECOMPENSATION_918030"/>
      <w:bookmarkStart w:id="74" w:name="_92fa35ab_146c_45bf_965e_f543dac8c8a3"/>
      <w:bookmarkEnd w:id="73"/>
      <w:bookmarkEnd w:id="74"/>
      <w:r>
        <w:rPr>
          <w:rFonts w:ascii="Times New Roman;Times;serif" w:hAnsi="Times New Roman;Times;serif"/>
          <w:b/>
          <w:sz w:val="20"/>
        </w:rPr>
        <w:t>ITEM 11.</w:t>
      </w:r>
      <w:r>
        <w:rPr>
          <w:rFonts w:ascii="Times New Roman;Times;serif" w:hAnsi="Times New Roman;Times;serif"/>
          <w:sz w:val="20"/>
        </w:rPr>
        <w:t>          </w:t>
      </w:r>
      <w:r>
        <w:rPr>
          <w:rFonts w:ascii="Times New Roman;Times;serif" w:hAnsi="Times New Roman;Times;serif"/>
          <w:b/>
          <w:sz w:val="20"/>
        </w:rPr>
        <w:t>EXECUTIVE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externally managed by our Manager and as such the Company does not incur compensation costs affiliated with our executive officers. Any additional information required to be set forth herein will be included in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5" w:name="ITEM12SECURITYOWNERSHIPOFCERTAINBENEFICI"/>
      <w:bookmarkStart w:id="76" w:name="_ca8ee112_5a0d_482d_90ad_432a86c855b1"/>
      <w:bookmarkEnd w:id="75"/>
      <w:bookmarkEnd w:id="76"/>
      <w:r>
        <w:rPr>
          <w:rFonts w:ascii="Times New Roman;Times;serif" w:hAnsi="Times New Roman;Times;serif"/>
          <w:b/>
          <w:sz w:val="20"/>
        </w:rPr>
        <w:t>ITEM 12.</w:t>
      </w:r>
      <w:r>
        <w:rPr>
          <w:rFonts w:ascii="Times New Roman;Times;serif" w:hAnsi="Times New Roman;Times;serif"/>
          <w:sz w:val="20"/>
        </w:rPr>
        <w:t>          </w:t>
      </w:r>
      <w:r>
        <w:rPr>
          <w:rFonts w:ascii="Times New Roman;Times;serif" w:hAnsi="Times New Roman;Times;serif"/>
          <w:b/>
          <w:sz w:val="20"/>
        </w:rPr>
        <w:t>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STOCKHOLDER MATTERS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sections are incorporated herein by reference.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sz w:val="20"/>
        </w:rPr>
      </w:pPr>
      <w:bookmarkStart w:id="77" w:name="ITEM13CERTAINRELATIONSHIPSANDRELATEDTRAN"/>
      <w:bookmarkStart w:id="78" w:name="_152aee8d_f8e6_4846_a245_910699f23325"/>
      <w:bookmarkEnd w:id="77"/>
      <w:bookmarkEnd w:id="78"/>
      <w:r>
        <w:rPr>
          <w:rFonts w:ascii="Times New Roman;Times;serif" w:hAnsi="Times New Roman;Times;serif"/>
          <w:b/>
          <w:sz w:val="20"/>
        </w:rPr>
        <w:t>ITEM 13.</w:t>
      </w:r>
      <w:r>
        <w:rPr>
          <w:rFonts w:ascii="Times New Roman;Times;serif" w:hAnsi="Times New Roman;Times;serif"/>
          <w:sz w:val="20"/>
        </w:rPr>
        <w:t>          </w:t>
      </w:r>
      <w:r>
        <w:rPr>
          <w:rFonts w:ascii="Times New Roman;Times;serif" w:hAnsi="Times New Roman;Times;serif"/>
          <w:b/>
          <w:sz w:val="20"/>
        </w:rPr>
        <w:t>CERTAIN RELATIONSHIPS AND RELATED TRANSACTIONS, AND DIRECTOR</w:t>
      </w:r>
      <w:r>
        <w:rPr>
          <w:rFonts w:ascii="Times New Roman;Times;serif" w:hAnsi="Times New Roman;Times;serif"/>
          <w:sz w:val="20"/>
        </w:rPr>
        <w:t xml:space="preserve"> </w:t>
      </w:r>
      <w:r>
        <w:rPr>
          <w:rFonts w:ascii="Times New Roman;Times;serif" w:hAnsi="Times New Roman;Times;serif"/>
          <w:b/>
          <w:sz w:val="20"/>
        </w:rPr>
        <w:t>INDEPENDENCE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sections are incorporated herein by reference.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bookmarkStart w:id="79" w:name="ITEM14PRINCIPALACCOUNTANTFEESANDSERVICES"/>
      <w:bookmarkStart w:id="80" w:name="_abeb8588_75ab_4580_bda0_4ffad917c77f"/>
      <w:bookmarkEnd w:id="79"/>
      <w:bookmarkEnd w:id="80"/>
      <w:r>
        <w:rPr>
          <w:rFonts w:ascii="Times New Roman;Times;serif" w:hAnsi="Times New Roman;Times;serif"/>
          <w:b/>
          <w:sz w:val="20"/>
        </w:rPr>
        <w:t>ITEM 14.</w:t>
      </w:r>
      <w:r>
        <w:rPr>
          <w:rFonts w:ascii="Times New Roman;Times;serif" w:hAnsi="Times New Roman;Times;serif"/>
          <w:sz w:val="20"/>
        </w:rPr>
        <w:t>          </w:t>
      </w:r>
      <w:r>
        <w:rPr>
          <w:rFonts w:ascii="Times New Roman;Times;serif" w:hAnsi="Times New Roman;Times;serif"/>
          <w:b/>
          <w:sz w:val="20"/>
        </w:rPr>
        <w:t>PRINCIPAL ACCOUNTANT FEES AND SERVICES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information required to be set forth herein will be included in the Proxy Statement, which section is incorporated herein by reference.</w:t>
      </w:r>
    </w:p>
    <w:p>
      <w:pPr>
        <w:pStyle w:val="TextBody"/>
        <w:bidi w:val="0"/>
        <w:spacing w:before="0" w:after="240"/>
        <w:ind w:left="0" w:right="0" w:hanging="0"/>
        <w:jc w:val="center"/>
        <w:rPr>
          <w:rFonts w:ascii="Times New Roman;Times;serif" w:hAnsi="Times New Roman;Times;serif"/>
          <w:b/>
          <w:sz w:val="20"/>
        </w:rPr>
      </w:pPr>
      <w:bookmarkStart w:id="81" w:name="PARTIV_258754"/>
      <w:bookmarkStart w:id="82" w:name="_1b6e19c4_1450_40d5_9c1c_3dbe8b184978"/>
      <w:bookmarkEnd w:id="81"/>
      <w:bookmarkEnd w:id="82"/>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83" w:name="ITEM15EXHIBITSANDFINANCIALSTATEMENTSCHED"/>
      <w:bookmarkEnd w:id="83"/>
      <w:r>
        <w:rPr>
          <w:rFonts w:ascii="Times New Roman;Times;serif" w:hAnsi="Times New Roman;Times;serif"/>
          <w:b/>
          <w:sz w:val="20"/>
        </w:rPr>
        <w:t>ITEM 15.          EXHIBITS AND FINANCIAL STATEMENT SCHEDULES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 FINANCIAL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financial statements are filed as part of this report:</w:t>
      </w:r>
    </w:p>
    <w:p>
      <w:pPr>
        <w:pStyle w:val="TextBody"/>
        <w:bidi w:val="0"/>
        <w:spacing w:before="0" w:after="240"/>
        <w:ind w:left="0" w:right="0" w:hanging="0"/>
        <w:jc w:val="both"/>
        <w:rPr/>
      </w:pPr>
      <w:r>
        <w:rPr/>
        <w:t>​</w:t>
      </w:r>
    </w:p>
    <w:tbl>
      <w:tblPr>
        <w:tblW w:w="9842" w:type="dxa"/>
        <w:jc w:val="left"/>
        <w:tblInd w:w="0" w:type="dxa"/>
        <w:tblLayout w:type="fixed"/>
        <w:tblCellMar>
          <w:top w:w="0" w:type="dxa"/>
          <w:left w:w="0" w:type="dxa"/>
          <w:bottom w:w="0" w:type="dxa"/>
          <w:right w:w="0" w:type="dxa"/>
        </w:tblCellMar>
      </w:tblPr>
      <w:tblGrid>
        <w:gridCol w:w="9421"/>
        <w:gridCol w:w="421"/>
      </w:tblGrid>
      <w:tr>
        <w:trPr/>
        <w:tc>
          <w:tcPr>
            <w:tcW w:w="942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67335" cy="29210"/>
                      <wp:effectExtent l="0" t="0" r="0" b="0"/>
                      <wp:wrapNone/>
                      <wp:docPr id="96" name="Frame96"/>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2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Number 248)</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21" w:type="dxa"/>
            <w:tcBorders/>
            <w:vAlign w:val="center"/>
          </w:tcPr>
          <w:p>
            <w:pPr>
              <w:pStyle w:val="TableContents"/>
              <w:bidi w:val="0"/>
              <w:spacing w:before="0" w:after="0"/>
              <w:ind w:left="0" w:right="0" w:hanging="0"/>
              <w:jc w:val="left"/>
              <w:rPr/>
            </w:pPr>
            <w:hyperlink w:anchor="CONSOLIDATEDANDCOMBINEDBALANCESHEETS_13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21" w:type="dxa"/>
            <w:tcBorders/>
            <w:vAlign w:val="center"/>
          </w:tcPr>
          <w:p>
            <w:pPr>
              <w:pStyle w:val="TableContents"/>
              <w:pBdr/>
              <w:bidi w:val="0"/>
              <w:spacing w:before="0" w:after="0"/>
              <w:ind w:left="0" w:right="0" w:hanging="0"/>
              <w:jc w:val="left"/>
              <w:rPr/>
            </w:pPr>
            <w:hyperlink w:anchor="CONSOLIDATEDANDCOMBINEDSTATEMENTSOFOPERA">
              <w:r>
                <w:rPr>
                  <w:rStyle w:val="InternetLink"/>
                  <w:rFonts w:ascii="Times New Roman;Times;serif" w:hAnsi="Times New Roman;Times;serif"/>
                  <w:b w:val="false"/>
                  <w:i w:val="false"/>
                  <w:caps w:val="false"/>
                  <w:smallCaps w:val="false"/>
                  <w:sz w:val="20"/>
                </w:rPr>
                <w:t>Consolidated Statements of Operations for the years ended December 31, 2025, 2024, and 2023</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21" w:type="dxa"/>
            <w:tcBorders/>
            <w:vAlign w:val="center"/>
          </w:tcPr>
          <w:p>
            <w:pPr>
              <w:pStyle w:val="TableContents"/>
              <w:pBdr/>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(Loss) for the years ended December 31, 2025, 2024, and 2023</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21" w:type="dxa"/>
            <w:tcBorders/>
            <w:vAlign w:val="center"/>
          </w:tcPr>
          <w:p>
            <w:pPr>
              <w:pStyle w:val="TableContents"/>
              <w:pBdr/>
              <w:bidi w:val="0"/>
              <w:spacing w:before="0" w:after="0"/>
              <w:ind w:left="0" w:right="0" w:hanging="0"/>
              <w:jc w:val="left"/>
              <w:rPr/>
            </w:pPr>
            <w:hyperlink w:anchor="CONSOLIDATEDANDCOMBINEDSTATEMENTSOFEQUIT">
              <w:r>
                <w:rPr>
                  <w:rStyle w:val="InternetLink"/>
                  <w:rFonts w:ascii="Times New Roman;Times;serif" w:hAnsi="Times New Roman;Times;serif"/>
                  <w:b w:val="false"/>
                  <w:i w:val="false"/>
                  <w:caps w:val="false"/>
                  <w:smallCaps w:val="false"/>
                  <w:sz w:val="20"/>
                </w:rPr>
                <w:t xml:space="preserve">Consolidated Statements of Stockholders’ Equity for the years ended December 31, 2025, 2024, and 2023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21" w:type="dxa"/>
            <w:tcBorders/>
            <w:vAlign w:val="center"/>
          </w:tcPr>
          <w:p>
            <w:pPr>
              <w:pStyle w:val="TableContents"/>
              <w:pBdr/>
              <w:bidi w:val="0"/>
              <w:spacing w:before="0" w:after="0"/>
              <w:ind w:left="0" w:right="0" w:hanging="0"/>
              <w:jc w:val="left"/>
              <w:rPr/>
            </w:pPr>
            <w:hyperlink w:anchor="CONSOLIDATEDANDCOMBINEDSTATEMENTSOFCASHF">
              <w:r>
                <w:rPr>
                  <w:rStyle w:val="InternetLink"/>
                  <w:rFonts w:ascii="Times New Roman;Times;serif" w:hAnsi="Times New Roman;Times;serif"/>
                  <w:b w:val="false"/>
                  <w:i w:val="false"/>
                  <w:caps w:val="false"/>
                  <w:smallCaps w:val="false"/>
                  <w:sz w:val="20"/>
                </w:rPr>
                <w:t xml:space="preserve">Consolidated Statements of Cash Flows for the years ended December 31, 2025, 2024, and 2023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421" w:type="dxa"/>
            <w:tcBorders/>
            <w:vAlign w:val="center"/>
          </w:tcPr>
          <w:p>
            <w:pPr>
              <w:pStyle w:val="TableContents"/>
              <w:pBdr/>
              <w:bidi w:val="0"/>
              <w:spacing w:before="0" w:after="0"/>
              <w:ind w:left="0" w:right="0" w:hanging="0"/>
              <w:jc w:val="left"/>
              <w:rPr/>
            </w:pPr>
            <w:hyperlink w:anchor="NOTESTOCONSOLIDATEDANDCOMBINEDFINANCIALS">
              <w:r>
                <w:rPr>
                  <w:rStyle w:val="InternetLink"/>
                  <w:rFonts w:ascii="Times New Roman;Times;serif" w:hAnsi="Times New Roman;Times;serif"/>
                  <w:b w:val="false"/>
                  <w:i w:val="false"/>
                  <w:caps w:val="false"/>
                  <w:smallCaps w:val="false"/>
                  <w:sz w:val="20"/>
                </w:rPr>
                <w:t xml:space="preserve">Notes to Consolidated Financial Statements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FINANCIAL STATEMENT SCHEDULES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Schedules are omitted because of the absence of conditions under which they are required, materiality, or because the required information is given in the financial statements or notes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b/>
          <w:sz w:val="20"/>
        </w:rPr>
      </w:pPr>
      <w:r>
        <w:rPr>
          <w:rFonts w:ascii="Times New Roman;Times;serif" w:hAnsi="Times New Roman;Times;serif"/>
          <w:b/>
          <w:sz w:val="20"/>
        </w:rPr>
        <w:t>3. EXHIBITS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84" w:name="Tc_rGUjY6blE0moFsKfMmzgmQ_29_2"/>
      <w:bookmarkStart w:id="85" w:name="Tc_4dwqj7s1ZE-bGvWT7TJxtg_29_0"/>
      <w:bookmarkStart w:id="86" w:name="Tc_4uGCrSE_QU21WgXn0bPTIg_27_2"/>
      <w:bookmarkStart w:id="87" w:name="Tc_R0rioa8MjESLsPl07vBrZw_27_0"/>
      <w:bookmarkStart w:id="88" w:name="Tc_3UJCoZV_EEKFPXUnmF8xxA_25_2"/>
      <w:bookmarkStart w:id="89" w:name="Tc_g21u3fubq0enlOdQy19bZg_25_0"/>
      <w:bookmarkStart w:id="90" w:name="Tc_RX86iAvTCkatStJi_SBZ-Q_23_2"/>
      <w:bookmarkStart w:id="91" w:name="Tc_5xdPfYUdS0eBYnyrQqTKUQ_23_0"/>
      <w:bookmarkStart w:id="92" w:name="Tc_Qr5pLKWHMUi6w5JL07iAaQ_21_2"/>
      <w:bookmarkStart w:id="93" w:name="Tc_mjUwgs8d90OyNNra7XB9ew_21_0"/>
      <w:bookmarkStart w:id="94" w:name="Tc_XiWRlazXHkOvdnHX-qT5dA_19_2"/>
      <w:bookmarkStart w:id="95" w:name="Tc_cPEYKUnvYkGDSyzv7_6gGw_19_0"/>
      <w:bookmarkStart w:id="96" w:name="Tc_wHRuSsYhhky-8K6OVj8TmQ_17_2"/>
      <w:bookmarkStart w:id="97" w:name="Tc_RxSmQcLsEUCq68hNZDiYmA_17_0"/>
      <w:bookmarkStart w:id="98" w:name="Tc_Twki2fwDMU22CvgSqO0h3g_15_2"/>
      <w:bookmarkStart w:id="99" w:name="Tc_hPVWW_xr5E2Q9e9B80a4pQ_15_0"/>
      <w:bookmarkStart w:id="100" w:name="Tc_WY44dT9uQ0-0Qsyo7BXeGA_13_2"/>
      <w:bookmarkStart w:id="101" w:name="Tc_hd6OcIUTCk6F0IyRVWxMNQ_13_0"/>
      <w:bookmarkStart w:id="102" w:name="Tc_ZTzj37DzrUyIGJwA19RF3w_11_2"/>
      <w:bookmarkStart w:id="103" w:name="Tc_NfVuzTfowk2jLQiXDCjovQ_11_0"/>
      <w:bookmarkStart w:id="104" w:name="Tc_s6py_TeISUaEgEUNIcNBOg_9_2"/>
      <w:bookmarkStart w:id="105" w:name="Tc_5BwtDTOWUEyzn6yZCrviBg_9_0"/>
      <w:bookmarkStart w:id="106" w:name="Tc_MUJ7MG_SpE-nBcoPnEXRWA_7_2"/>
      <w:bookmarkStart w:id="107" w:name="Tc_O6imbjuDP0meg0QemghYiA_7_0"/>
      <w:bookmarkStart w:id="108" w:name="Tc_YTlZzTbLckCCc8nKRvkejw_5_2"/>
      <w:bookmarkStart w:id="109" w:name="Tc_-yy3U9XiPU-bWb_T6lQJ3Q_5_0"/>
      <w:bookmarkStart w:id="110" w:name="Tc_lS8Uyer3e0GSwkzJeLBQCw_3_2"/>
      <w:bookmarkStart w:id="111" w:name="Tc_ic-DMe7zDEWnm7qrCtHgAw_3_0"/>
      <w:bookmarkStart w:id="112" w:name="Tc_1rsAtea7sEmV7rWjsLHv3A_1_2"/>
      <w:bookmarkStart w:id="113" w:name="Tc_LZrhiwUz7Eq2Pa5WKUktyw_1_0"/>
      <w:bookmarkStart w:id="114" w:name="_87d2c83d_e897_4028_b9e5_40b0576d6739"/>
      <w:bookmarkStart w:id="115" w:name="Tc_rGUjY6blE0moFsKfMmzgmQ_29_2"/>
      <w:bookmarkStart w:id="116" w:name="Tc_4dwqj7s1ZE-bGvWT7TJxtg_29_0"/>
      <w:bookmarkStart w:id="117" w:name="Tc_4uGCrSE_QU21WgXn0bPTIg_27_2"/>
      <w:bookmarkStart w:id="118" w:name="Tc_R0rioa8MjESLsPl07vBrZw_27_0"/>
      <w:bookmarkStart w:id="119" w:name="Tc_3UJCoZV_EEKFPXUnmF8xxA_25_2"/>
      <w:bookmarkStart w:id="120" w:name="Tc_g21u3fubq0enlOdQy19bZg_25_0"/>
      <w:bookmarkStart w:id="121" w:name="Tc_RX86iAvTCkatStJi_SBZ-Q_23_2"/>
      <w:bookmarkStart w:id="122" w:name="Tc_5xdPfYUdS0eBYnyrQqTKUQ_23_0"/>
      <w:bookmarkStart w:id="123" w:name="Tc_Qr5pLKWHMUi6w5JL07iAaQ_21_2"/>
      <w:bookmarkStart w:id="124" w:name="Tc_mjUwgs8d90OyNNra7XB9ew_21_0"/>
      <w:bookmarkStart w:id="125" w:name="Tc_XiWRlazXHkOvdnHX-qT5dA_19_2"/>
      <w:bookmarkStart w:id="126" w:name="Tc_cPEYKUnvYkGDSyzv7_6gGw_19_0"/>
      <w:bookmarkStart w:id="127" w:name="Tc_wHRuSsYhhky-8K6OVj8TmQ_17_2"/>
      <w:bookmarkStart w:id="128" w:name="Tc_RxSmQcLsEUCq68hNZDiYmA_17_0"/>
      <w:bookmarkStart w:id="129" w:name="Tc_Twki2fwDMU22CvgSqO0h3g_15_2"/>
      <w:bookmarkStart w:id="130" w:name="Tc_hPVWW_xr5E2Q9e9B80a4pQ_15_0"/>
      <w:bookmarkStart w:id="131" w:name="Tc_WY44dT9uQ0-0Qsyo7BXeGA_13_2"/>
      <w:bookmarkStart w:id="132" w:name="Tc_hd6OcIUTCk6F0IyRVWxMNQ_13_0"/>
      <w:bookmarkStart w:id="133" w:name="Tc_ZTzj37DzrUyIGJwA19RF3w_11_2"/>
      <w:bookmarkStart w:id="134" w:name="Tc_NfVuzTfowk2jLQiXDCjovQ_11_0"/>
      <w:bookmarkStart w:id="135" w:name="Tc_s6py_TeISUaEgEUNIcNBOg_9_2"/>
      <w:bookmarkStart w:id="136" w:name="Tc_5BwtDTOWUEyzn6yZCrviBg_9_0"/>
      <w:bookmarkStart w:id="137" w:name="Tc_MUJ7MG_SpE-nBcoPnEXRWA_7_2"/>
      <w:bookmarkStart w:id="138" w:name="Tc_O6imbjuDP0meg0QemghYiA_7_0"/>
      <w:bookmarkStart w:id="139" w:name="Tc_YTlZzTbLckCCc8nKRvkejw_5_2"/>
      <w:bookmarkStart w:id="140" w:name="Tc_-yy3U9XiPU-bWb_T6lQJ3Q_5_0"/>
      <w:bookmarkStart w:id="141" w:name="Tc_lS8Uyer3e0GSwkzJeLBQCw_3_2"/>
      <w:bookmarkStart w:id="142" w:name="Tc_ic-DMe7zDEWnm7qrCtHgAw_3_0"/>
      <w:bookmarkStart w:id="143" w:name="Tc_1rsAtea7sEmV7rWjsLHv3A_1_2"/>
      <w:bookmarkStart w:id="144" w:name="Tc_LZrhiwUz7Eq2Pa5WKUktyw_1_0"/>
      <w:bookmarkStart w:id="145" w:name="_87d2c83d_e897_4028_b9e5_40b0576d6739"/>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06"/>
        <w:gridCol w:w="346"/>
        <w:gridCol w:w="9153"/>
      </w:tblGrid>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 </w:t>
            </w:r>
            <w:r>
              <w:rPr>
                <w:rFonts w:ascii="Times New Roman;Times;serif" w:hAnsi="Times New Roman;Times;serif"/>
                <w:sz w:val="16"/>
              </w:rPr>
              <w:br/>
            </w: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center"/>
              <w:rPr/>
            </w:pPr>
            <w:r>
              <w:rPr/>
              <w:t>  ​ ​ ​</w:t>
            </w:r>
          </w:p>
        </w:tc>
        <w:tc>
          <w:tcPr>
            <w:tcW w:w="91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center"/>
              <w:rPr/>
            </w:pPr>
            <w:r>
              <w:rPr/>
              <w:t>​</w:t>
            </w:r>
          </w:p>
        </w:tc>
        <w:tc>
          <w:tcPr>
            <w:tcW w:w="9153" w:type="dxa"/>
            <w:tcBorders>
              <w:top w:val="single" w:sz="2" w:space="0" w:color="000000"/>
            </w:tcBorders>
            <w:tcMar>
              <w:top w:w="28" w:type="dxa"/>
            </w:tcMar>
            <w:vAlign w:val="center"/>
          </w:tcPr>
          <w:p>
            <w:pPr>
              <w:pStyle w:val="TableContents"/>
              <w:bidi w:val="0"/>
              <w:spacing w:before="0" w:after="0"/>
              <w:ind w:left="0" w:right="0" w:hanging="0"/>
              <w:jc w:val="center"/>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Amendment and Restatement of Alpine Income Property Trust, Inc. (incorporated by reference to Exhibit 3.1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Third Amended and Restated Bylaws of Alpine Income Property Trust, Inc. (incorporated by reference to Exhibit 3.1 to the Company’s Current Report on Form 8-K filed on February 3, 2023).</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Articles Supplementary, designating Alpine Income Property Trust, Inc.’s 8.00% Series A Cumulative Redeemable Preferred Stock (incorporated by reference to Exhibit 3.2 to the Company’s Registration Statement on Form 8-A filed on November 10, 2025).</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Articles Supplementary, classifying and designating 1,458,334 additional shares of Alpine Income Property Trust, Inc.’s 8.00% Series A Cumulative Redeemable Preferred Stock (incorporated by reference to Exhibit 3.1 to the Company’s Current Report on Form 8-K filed on December 5, 2025).</w:t>
              </w:r>
            </w:hyperlink>
          </w:p>
        </w:tc>
      </w:tr>
      <w:tr>
        <w:trPr/>
        <w:tc>
          <w:tcPr>
            <w:tcW w:w="7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w:anchor="pine-20251231xex4d1.htm">
              <w:r>
                <w:rPr>
                  <w:rStyle w:val="InternetLink"/>
                  <w:rFonts w:ascii="Times New Roman;Times;serif" w:hAnsi="Times New Roman;Times;serif"/>
                  <w:b w:val="false"/>
                  <w:i w:val="false"/>
                  <w:caps w:val="false"/>
                  <w:smallCaps w:val="false"/>
                  <w:sz w:val="20"/>
                </w:rPr>
                <w:t>Description of the Registrant’s Securities. †</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Specimen Common Stock Certificate of Alpine Income Property Trust, Inc. (incorporated by reference to Exhibit 4.1 to the Registrant’s Registration Statement on Form S-11/A (File No. 333-234304) filed with the Commission on October 29,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Stock Purchase Agreement, dated November 21, 2019, between Alpine Income Property Trust, Inc. and Consolidated-Tomoka Land Co. (incorporated by reference to Exhibit 10.1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Registration Rights Agreement, dated November 26, 2019, between Alpine Income Property Trust, Inc. and Consolidated-Tomoka Land Co. (incorporated by reference to Exhibit 10.2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Amended and Restated Agreement of Limited Partnership, dated November 26, 2019, among Alpine Income Property GP, LLC, Alpine Income Property Trust, Inc., Consolidated-Tomoka Land Co. and Indigo Group Ltd. (incorporated by reference to Exhibit 10.3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Tax Protection Agreement, dated November 26, 2019, among Alpine Income Property Trust, Inc., Alpine Income Property OP, LP, Consolidated-Tomoka Land Co. and Indigo Group Ltd. (incorporated by reference to Exhibit 10.4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Management Agreement, dated November 26, 2019, among Alpine Income Property Trust, Inc., Alpine Income Property OP, LP and Alpine Income Property Manager, LLC (incorporated by reference to Exhibit 10.5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Exclusivity and Right of First Offer Agreement, dated November 26, 2019, between Consolidated-Tomoka Land Co. and Alpine Income Property Trust, Inc. (incorporated by reference to Exhibit 10.6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John P. Albright (incorporated by reference to Exhibit 10.8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r>
              <w:rPr/>
              <w:t> </w:t>
            </w:r>
          </w:p>
        </w:tc>
      </w:tr>
      <w:tr>
        <w:trPr/>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Steven R. Greathouse (incorporated by reference to Exhibit 10.10 to the Company’s Current Report on Form 8-K filed on December 3, 2019).*</w:t>
              </w:r>
            </w:hyperlink>
          </w:p>
        </w:tc>
      </w:tr>
      <w:tr>
        <w:trPr/>
        <w:tc>
          <w:tcPr>
            <w:tcW w:w="70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9153" w:type="dxa"/>
            <w:tcBorders/>
            <w:vAlign w:val="center"/>
          </w:tcPr>
          <w:p>
            <w:pPr>
              <w:pStyle w:val="TableContents"/>
              <w:bidi w:val="0"/>
              <w:spacing w:before="0" w:after="0"/>
              <w:ind w:left="0" w:right="0" w:hanging="0"/>
              <w:jc w:val="left"/>
              <w:rPr/>
            </w:pPr>
            <w:r>
              <w:rPr/>
              <w:t> </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46" w:name="Tc_j_sbfNyry02XrvHrNcKymA_63_2"/>
      <w:bookmarkStart w:id="147" w:name="Tc_WiDhmW8Hdk-qAwRqJlAESA_61_2"/>
      <w:bookmarkStart w:id="148" w:name="Tc_dNTZRNxhLUWFWgps9JoYGg_61_0"/>
      <w:bookmarkStart w:id="149" w:name="Tc_w-miQ8Qd_0ySvo92CvyCsg_59_2"/>
      <w:bookmarkStart w:id="150" w:name="Tc_MwB_rtGc_EKhpzvqa2UPFw_59_0"/>
      <w:bookmarkStart w:id="151" w:name="Tc_g0XUy-yQNUuxmvWNQNq7Wg_57_2"/>
      <w:bookmarkStart w:id="152" w:name="Tc_AWYbGk6jIE-DsBMusJ-7KA_57_0"/>
      <w:bookmarkStart w:id="153" w:name="Tc_mp-y5HuDEU-qTXS082Chew_55_2"/>
      <w:bookmarkStart w:id="154" w:name="Tc_4Weu33v1zES1dYEkyVi1Jw_55_0"/>
      <w:bookmarkStart w:id="155" w:name="Tc_wQlHq7NWtEmAtBo2Y7CGAw_53_2"/>
      <w:bookmarkStart w:id="156" w:name="Tc_V9RrsqQsk0OZhYzS1biz_A_53_0"/>
      <w:bookmarkStart w:id="157" w:name="Tc_semhADu_k0yzHccVntoxoA_51_2"/>
      <w:bookmarkStart w:id="158" w:name="Tc_IDPsZKXwNUG2fEQ7UZoIaw_51_0"/>
      <w:bookmarkStart w:id="159" w:name="Tc_71q1V8RsKEGMz6NhT9S2Ig_49_2"/>
      <w:bookmarkStart w:id="160" w:name="Tc_uAXQ69ihx0Gua4R5sYd9Yw_49_0"/>
      <w:bookmarkStart w:id="161" w:name="Tc_Uc_6ZKC6aUO7vB1O8ozzBQ_47_2"/>
      <w:bookmarkStart w:id="162" w:name="Tc_wGl6ymOavEuFpFDgE263RA_47_0"/>
      <w:bookmarkStart w:id="163" w:name="Tc_la66ivhR5EOrooC_swkhHw_45_2"/>
      <w:bookmarkStart w:id="164" w:name="Tc_Uw9ltyBspkmPSxwjUvloZA_45_0"/>
      <w:bookmarkStart w:id="165" w:name="Tc_r-uP8a16MkyrO63vsLz4dA_43_2"/>
      <w:bookmarkStart w:id="166" w:name="Tc_J1Dxwv8DjUSiEkBqGNvswQ_43_0"/>
      <w:bookmarkStart w:id="167" w:name="Tc_vKnmoP5Uj0mESTVrjMKN5A_41_2"/>
      <w:bookmarkStart w:id="168" w:name="Tc_X3MRMwBdnU2QPjlK-o5fRg_41_0"/>
      <w:bookmarkStart w:id="169" w:name="Tc_3v8F7AsxxUOSDL5bgVhTlQ_39_2"/>
      <w:bookmarkStart w:id="170" w:name="Tc_IticekSnUUycN1HmJmRW0Q_39_0"/>
      <w:bookmarkStart w:id="171" w:name="Tc_PviU3h5o40-x_w8jNXYobQ_37_2"/>
      <w:bookmarkStart w:id="172" w:name="Tc_4XZmMWFn0km-ZIqAftoflw_37_0"/>
      <w:bookmarkStart w:id="173" w:name="Tc_9xtNpLefTUybwyjvfmCbHQ_35_2"/>
      <w:bookmarkStart w:id="174" w:name="Tc_NWPnRnr1H0qtX48qmnRa4g_35_0"/>
      <w:bookmarkStart w:id="175" w:name="Tc_fxhiJlRIVUWC_tzHCZ5nBw_33_2"/>
      <w:bookmarkStart w:id="176" w:name="Tc_fsi3h3C0RUWVMGMNIEl2zQ_33_0"/>
      <w:bookmarkStart w:id="177" w:name="Tc_y0M5DijbeEmrOJfxtDi3wQ_31_2"/>
      <w:bookmarkStart w:id="178" w:name="Tc_oqWK-D1bgkSqaHtFagFcyg_31_0"/>
      <w:bookmarkStart w:id="179" w:name="Tc_j_sbfNyry02XrvHrNcKymA_63_2"/>
      <w:bookmarkStart w:id="180" w:name="Tc_WiDhmW8Hdk-qAwRqJlAESA_61_2"/>
      <w:bookmarkStart w:id="181" w:name="Tc_dNTZRNxhLUWFWgps9JoYGg_61_0"/>
      <w:bookmarkStart w:id="182" w:name="Tc_w-miQ8Qd_0ySvo92CvyCsg_59_2"/>
      <w:bookmarkStart w:id="183" w:name="Tc_MwB_rtGc_EKhpzvqa2UPFw_59_0"/>
      <w:bookmarkStart w:id="184" w:name="Tc_g0XUy-yQNUuxmvWNQNq7Wg_57_2"/>
      <w:bookmarkStart w:id="185" w:name="Tc_AWYbGk6jIE-DsBMusJ-7KA_57_0"/>
      <w:bookmarkStart w:id="186" w:name="Tc_mp-y5HuDEU-qTXS082Chew_55_2"/>
      <w:bookmarkStart w:id="187" w:name="Tc_4Weu33v1zES1dYEkyVi1Jw_55_0"/>
      <w:bookmarkStart w:id="188" w:name="Tc_wQlHq7NWtEmAtBo2Y7CGAw_53_2"/>
      <w:bookmarkStart w:id="189" w:name="Tc_V9RrsqQsk0OZhYzS1biz_A_53_0"/>
      <w:bookmarkStart w:id="190" w:name="Tc_semhADu_k0yzHccVntoxoA_51_2"/>
      <w:bookmarkStart w:id="191" w:name="Tc_IDPsZKXwNUG2fEQ7UZoIaw_51_0"/>
      <w:bookmarkStart w:id="192" w:name="Tc_71q1V8RsKEGMz6NhT9S2Ig_49_2"/>
      <w:bookmarkStart w:id="193" w:name="Tc_uAXQ69ihx0Gua4R5sYd9Yw_49_0"/>
      <w:bookmarkStart w:id="194" w:name="Tc_Uc_6ZKC6aUO7vB1O8ozzBQ_47_2"/>
      <w:bookmarkStart w:id="195" w:name="Tc_wGl6ymOavEuFpFDgE263RA_47_0"/>
      <w:bookmarkStart w:id="196" w:name="Tc_la66ivhR5EOrooC_swkhHw_45_2"/>
      <w:bookmarkStart w:id="197" w:name="Tc_Uw9ltyBspkmPSxwjUvloZA_45_0"/>
      <w:bookmarkStart w:id="198" w:name="Tc_r-uP8a16MkyrO63vsLz4dA_43_2"/>
      <w:bookmarkStart w:id="199" w:name="Tc_J1Dxwv8DjUSiEkBqGNvswQ_43_0"/>
      <w:bookmarkStart w:id="200" w:name="Tc_vKnmoP5Uj0mESTVrjMKN5A_41_2"/>
      <w:bookmarkStart w:id="201" w:name="Tc_X3MRMwBdnU2QPjlK-o5fRg_41_0"/>
      <w:bookmarkStart w:id="202" w:name="Tc_3v8F7AsxxUOSDL5bgVhTlQ_39_2"/>
      <w:bookmarkStart w:id="203" w:name="Tc_IticekSnUUycN1HmJmRW0Q_39_0"/>
      <w:bookmarkStart w:id="204" w:name="Tc_PviU3h5o40-x_w8jNXYobQ_37_2"/>
      <w:bookmarkStart w:id="205" w:name="Tc_4XZmMWFn0km-ZIqAftoflw_37_0"/>
      <w:bookmarkStart w:id="206" w:name="Tc_9xtNpLefTUybwyjvfmCbHQ_35_2"/>
      <w:bookmarkStart w:id="207" w:name="Tc_NWPnRnr1H0qtX48qmnRa4g_35_0"/>
      <w:bookmarkStart w:id="208" w:name="Tc_fxhiJlRIVUWC_tzHCZ5nBw_33_2"/>
      <w:bookmarkStart w:id="209" w:name="Tc_fsi3h3C0RUWVMGMNIEl2zQ_33_0"/>
      <w:bookmarkStart w:id="210" w:name="Tc_y0M5DijbeEmrOJfxtDi3wQ_31_2"/>
      <w:bookmarkStart w:id="211" w:name="Tc_oqWK-D1bgkSqaHtFagFcyg_31_0"/>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Daniel E. Smith (incorporated by reference to Exhibit 10.11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M. Carson Good (incorporated by reference to Exhibit 10.13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Indemnification Agreement, dated November 21, 2019, between Alpine Income Property Trust, Inc. and Andrew C. Richardson (incorporated by reference to Exhibit 10.14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Indemnification Agreement, dated February 10, 2021, between Alpine Income Property Trust, Inc. and Rachel E. Wein (incorporated by reference to Exhibit 10.1 to the Company’s Current Report on Form 8-K filed on February 11, 2021).*</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Alpine Income Property Trust, Inc. 2019 Individual Equity Incentive Plan (incorporated by reference to Exhibit 10.1 to the Company’s Registration Statement on Form S-8 (File No. 333-235256) filed on November 25,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Alpine Income Property Trust, Inc. 2019 Manager Equity Incentive Plan (incorporated by reference to Exhibit 10.17 to the Company’s Current Report on Form 8-K filed on December 3,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Non-Employee Director Restricted Stock Award Agreement under the Alpine Income Property Trust, Inc. 2019 Individual Equity Incentive Plan (incorporated by reference to Exhibit 10.11 to the Registrant’s Registration Statement on Form S-11/A (File No. 333-234304) filed with the Commission on November 7, 2019).*</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pine-20251231xex10d16.htm">
              <w:r>
                <w:rPr>
                  <w:rStyle w:val="InternetLink"/>
                  <w:rFonts w:ascii="Times New Roman;Times;serif" w:hAnsi="Times New Roman;Times;serif"/>
                  <w:b w:val="false"/>
                  <w:i w:val="false"/>
                  <w:caps w:val="false"/>
                  <w:smallCaps w:val="false"/>
                  <w:sz w:val="20"/>
                </w:rPr>
                <w:t>Amended and Restated Credit Agreement, dated as of February 4, 2026, among Alpine Income Property, OP, LP, Alpine Income Property Trust, Inc., the other Guarantors from time to time parties thereto, Truist Bank, N.A., and certain other lenders named therein. †</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Amendment No. 1 to Management Agreement dated July 18, 2024 (incorporated by reference to Exhibit 10.1 to the Company’s Current Report on Form 8-K filed on July 19, 2024).</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Indemnification Agreement, dated November 8, 2024, between Alpine Income Property Trust, Inc. and Brenna A. Wadleigh (incorporated by reference to Exhibit 10.1 to the Company’s Current Report on Form 8 K filed on November 13, 2024).*</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Indemnification Agreement, dated February 6, 2025, between Alpine Income Property Trust, Inc. and Philip R. Mays (incorporated by reference to Exhibit 10.24 to the Company’s Annual Report on Form 10-K filed on February 6, 2025).*</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Indemnification Agreement, dated February 6, 2025, between Alpine Income Property Trust, Inc. and Lisa M. Vorakoun (incorporated by reference to Exhibit 10.25 to the Company’s Annual Report on Form 10-K filed on February 6, 2025).*</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First Amendment to Amended and Restated Agreement of Limited Partnership of Alpine Income Property OP, LP, dated as of November 10, 2025 (incorporated by reference to Exhibit 10.1 to the Company’s Current Report on Form 8-K filed on November 10, 2025).</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Waiver Letter, dated as of November 5, 2025 (incorporated by reference to Exhibit 10.2 to the Company’s Current Report on Form 8-K filed on November 10, 2025).</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Second Amendment to Amended and Restated Agreement of Limited Partnership of Alpine Income Property OP, LP, dated as of December 5, 2025 (incorporated by reference to Exhibit 10.1 to the Company’s Current Report on Form 8-K filed on December 5, 2025).</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Waiver Letter, dated as of December 5, 2025 (incorporated by reference to Exhibit 10.2 to the Company’s Current Report on Form 8-K filed on December 5, 2025).</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hyperlink w:anchor="pine-20251231xex19d1.htm">
              <w:r>
                <w:rPr>
                  <w:rStyle w:val="InternetLink"/>
                  <w:rFonts w:ascii="Times New Roman;Times;serif" w:hAnsi="Times New Roman;Times;serif"/>
                  <w:b w:val="false"/>
                  <w:i w:val="false"/>
                  <w:caps w:val="false"/>
                  <w:smallCaps w:val="false"/>
                  <w:sz w:val="20"/>
                </w:rPr>
                <w:t>Insider Trading Policy.</w:t>
              </w:r>
            </w:hyperlink>
            <w:hyperlink w:anchor="pine-20251231xex19d1.htm">
              <w:r>
                <w:rPr>
                  <w:rStyle w:val="InternetLink"/>
                  <w:rFonts w:ascii="Times New Roman;Times;serif" w:hAnsi="Times New Roman;Times;serif"/>
                  <w:caps w:val="false"/>
                  <w:smallCaps w:val="false"/>
                  <w:sz w:val="20"/>
                </w:rPr>
                <w:t xml:space="preserve"> † </w:t>
              </w:r>
            </w:hyperlink>
          </w:p>
        </w:tc>
      </w:tr>
      <w:tr>
        <w:trPr/>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9510" w:type="dxa"/>
            <w:tcBorders/>
            <w:vAlign w:val="center"/>
          </w:tcPr>
          <w:p>
            <w:pPr>
              <w:pStyle w:val="TableContents"/>
              <w:bidi w:val="0"/>
              <w:spacing w:before="0" w:after="0"/>
              <w:ind w:left="0" w:right="0" w:hanging="0"/>
              <w:jc w:val="both"/>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12" w:name="Tc_O-OzKsvFoUeiYifeXFU3kg_81_2"/>
      <w:bookmarkStart w:id="213" w:name="Tc_srhcSTHNh0WK1hcR3YTf4Q_81_0"/>
      <w:bookmarkStart w:id="214" w:name="Tc_88CHi4ErxEqF_HRAj8zZ8g_79_2"/>
      <w:bookmarkStart w:id="215" w:name="Tc_jP75BNdsvUCARuVeOIQSmQ_79_0"/>
      <w:bookmarkStart w:id="216" w:name="Tc_pXLygkJhLkOR-xJFynUztQ_77_2"/>
      <w:bookmarkStart w:id="217" w:name="Tc_Ygmqjz6N90K_LfP7r-9UHg_77_0"/>
      <w:bookmarkStart w:id="218" w:name="Tc_v8wT_DUv7EqBEjsDB2JNuw_75_2"/>
      <w:bookmarkStart w:id="219" w:name="Tc_wGru40RyWE6TPiZ6DvfAlA_75_0"/>
      <w:bookmarkStart w:id="220" w:name="Tc_ZzQRb7RnKUSbbkyf2zwK_Q_73_2"/>
      <w:bookmarkStart w:id="221" w:name="Tc_wYD8KFrsLEK5OC3H4DlO7A_73_0"/>
      <w:bookmarkStart w:id="222" w:name="Tc_juanDfLbLEG7kLeyCUTD2g_71_2"/>
      <w:bookmarkStart w:id="223" w:name="Tc_eHuVCQjVBkq8Rr-8vDF9Vg_71_0"/>
      <w:bookmarkStart w:id="224" w:name="Tc_CqMoiRZRw06SFmko2fGQVA_69_2"/>
      <w:bookmarkStart w:id="225" w:name="Tc_STF1g2k65k2zO0mA7OVa_g_69_0"/>
      <w:bookmarkStart w:id="226" w:name="Tc_bVEtbfrcbEemGpaV2Zzpmw_67_2"/>
      <w:bookmarkStart w:id="227" w:name="Tc_VWq6UHD5n0uzKrIQQSLQcQ_67_0"/>
      <w:bookmarkStart w:id="228" w:name="Tc_g78VBas9zE-WReuazFVJVg_65_2"/>
      <w:bookmarkStart w:id="229" w:name="Tc_fsOUkK1Ao065qg6SbIK5RQ_65_0"/>
      <w:bookmarkStart w:id="230" w:name="Tc_O-OzKsvFoUeiYifeXFU3kg_81_2"/>
      <w:bookmarkStart w:id="231" w:name="Tc_srhcSTHNh0WK1hcR3YTf4Q_81_0"/>
      <w:bookmarkStart w:id="232" w:name="Tc_88CHi4ErxEqF_HRAj8zZ8g_79_2"/>
      <w:bookmarkStart w:id="233" w:name="Tc_jP75BNdsvUCARuVeOIQSmQ_79_0"/>
      <w:bookmarkStart w:id="234" w:name="Tc_pXLygkJhLkOR-xJFynUztQ_77_2"/>
      <w:bookmarkStart w:id="235" w:name="Tc_Ygmqjz6N90K_LfP7r-9UHg_77_0"/>
      <w:bookmarkStart w:id="236" w:name="Tc_v8wT_DUv7EqBEjsDB2JNuw_75_2"/>
      <w:bookmarkStart w:id="237" w:name="Tc_wGru40RyWE6TPiZ6DvfAlA_75_0"/>
      <w:bookmarkStart w:id="238" w:name="Tc_ZzQRb7RnKUSbbkyf2zwK_Q_73_2"/>
      <w:bookmarkStart w:id="239" w:name="Tc_wYD8KFrsLEK5OC3H4DlO7A_73_0"/>
      <w:bookmarkStart w:id="240" w:name="Tc_juanDfLbLEG7kLeyCUTD2g_71_2"/>
      <w:bookmarkStart w:id="241" w:name="Tc_eHuVCQjVBkq8Rr-8vDF9Vg_71_0"/>
      <w:bookmarkStart w:id="242" w:name="Tc_CqMoiRZRw06SFmko2fGQVA_69_2"/>
      <w:bookmarkStart w:id="243" w:name="Tc_STF1g2k65k2zO0mA7OVa_g_69_0"/>
      <w:bookmarkStart w:id="244" w:name="Tc_bVEtbfrcbEemGpaV2Zzpmw_67_2"/>
      <w:bookmarkStart w:id="245" w:name="Tc_VWq6UHD5n0uzKrIQQSLQcQ_67_0"/>
      <w:bookmarkStart w:id="246" w:name="Tc_g78VBas9zE-WReuazFVJVg_65_2"/>
      <w:bookmarkStart w:id="247" w:name="Tc_fsOUkK1Ao065qg6SbIK5RQ_65_0"/>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tbl>
      <w:tblPr>
        <w:tblW w:w="10205" w:type="dxa"/>
        <w:jc w:val="left"/>
        <w:tblInd w:w="0" w:type="dxa"/>
        <w:tblLayout w:type="fixed"/>
        <w:tblCellMar>
          <w:top w:w="0" w:type="dxa"/>
          <w:left w:w="0" w:type="dxa"/>
          <w:bottom w:w="0" w:type="dxa"/>
          <w:right w:w="0" w:type="dxa"/>
        </w:tblCellMar>
      </w:tblPr>
      <w:tblGrid>
        <w:gridCol w:w="481"/>
        <w:gridCol w:w="109"/>
        <w:gridCol w:w="9615"/>
      </w:tblGrid>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both"/>
              <w:rPr/>
            </w:pPr>
            <w:hyperlink w:anchor="pine-20251231xex21d1.htm">
              <w:r>
                <w:rPr>
                  <w:rStyle w:val="InternetLink"/>
                  <w:rFonts w:ascii="Times New Roman;Times;serif" w:hAnsi="Times New Roman;Times;serif"/>
                  <w:b w:val="false"/>
                  <w:i w:val="false"/>
                  <w:caps w:val="false"/>
                  <w:smallCaps w:val="false"/>
                  <w:sz w:val="20"/>
                </w:rPr>
                <w:t>List of Subsidiaries of the Registrant. †</w:t>
              </w:r>
            </w:hyperlink>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both"/>
              <w:rPr/>
            </w:pPr>
            <w:hyperlink w:anchor="pine-20251231xex23d1.htm">
              <w:r>
                <w:rPr>
                  <w:rStyle w:val="InternetLink"/>
                  <w:rFonts w:ascii="Times New Roman;Times;serif" w:hAnsi="Times New Roman;Times;serif"/>
                  <w:b w:val="false"/>
                  <w:i w:val="false"/>
                  <w:caps w:val="false"/>
                  <w:smallCaps w:val="false"/>
                  <w:sz w:val="20"/>
                </w:rPr>
                <w:t>Consent of Grant Thornton LLP. †</w:t>
              </w:r>
            </w:hyperlink>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both"/>
              <w:rPr/>
            </w:pPr>
            <w:hyperlink w:anchor="pine-20251231xex31d1.htm">
              <w:r>
                <w:rPr>
                  <w:rStyle w:val="InternetLink"/>
                  <w:rFonts w:ascii="Times New Roman;Times;serif" w:hAnsi="Times New Roman;Times;serif"/>
                  <w:b w:val="false"/>
                  <w:i w:val="false"/>
                  <w:caps w:val="false"/>
                  <w:smallCaps w:val="false"/>
                  <w:sz w:val="20"/>
                </w:rPr>
                <w:t>Certificate of John P. Albright, President and Chief Executive Officer, pursuant to Section 302 of the Sarbanes-Oxley Act of 2002. †</w:t>
              </w:r>
            </w:hyperlink>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both"/>
              <w:rPr/>
            </w:pPr>
            <w:hyperlink w:anchor="pine-20251231xex31d2.htm">
              <w:r>
                <w:rPr>
                  <w:rStyle w:val="InternetLink"/>
                  <w:rFonts w:ascii="Times New Roman;Times;serif" w:hAnsi="Times New Roman;Times;serif"/>
                  <w:b w:val="false"/>
                  <w:i w:val="false"/>
                  <w:caps w:val="false"/>
                  <w:smallCaps w:val="false"/>
                  <w:sz w:val="20"/>
                </w:rPr>
                <w:t>Certificate of Philip R. Mays, Senior Vice President, Chief Financial Officer and Treasurer, pursuant to Section 302 of the Sarbanes-Oxley Act of 2002. †</w:t>
              </w:r>
            </w:hyperlink>
          </w:p>
        </w:tc>
      </w:tr>
      <w:tr>
        <w:trPr/>
        <w:tc>
          <w:tcPr>
            <w:tcW w:w="48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9615" w:type="dxa"/>
            <w:tcBorders/>
            <w:vAlign w:val="center"/>
          </w:tcPr>
          <w:p>
            <w:pPr>
              <w:pStyle w:val="TableContents"/>
              <w:bidi w:val="0"/>
              <w:spacing w:before="0" w:after="0"/>
              <w:ind w:left="0" w:right="0" w:hanging="0"/>
              <w:jc w:val="both"/>
              <w:rPr/>
            </w:pPr>
            <w:r>
              <w:rPr/>
              <w:t> </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w:anchor="pine-20251231xex32d1.htm">
              <w:r>
                <w:rPr>
                  <w:rStyle w:val="InternetLink"/>
                  <w:rFonts w:ascii="Times New Roman;Times;serif" w:hAnsi="Times New Roman;Times;serif"/>
                  <w:b w:val="false"/>
                  <w:i w:val="false"/>
                  <w:caps w:val="false"/>
                  <w:smallCaps w:val="false"/>
                  <w:sz w:val="20"/>
                </w:rPr>
                <w:t>Certificate of John P. Albright, President and Chief Executive Officer, pursuant to 18 U.S.C. Section 1350, as adopted pursuant to Section 906 of the Sarbanes-Oxley Act of 2002. ††</w:t>
              </w:r>
            </w:hyperlink>
          </w:p>
        </w:tc>
      </w:tr>
      <w:tr>
        <w:trPr/>
        <w:tc>
          <w:tcPr>
            <w:tcW w:w="481" w:type="dxa"/>
            <w:tcBorders/>
            <w:vAlign w:val="center"/>
          </w:tcPr>
          <w:p>
            <w:pPr>
              <w:pStyle w:val="TableContents"/>
              <w:bidi w:val="0"/>
              <w:spacing w:before="0" w:after="0"/>
              <w:ind w:left="0" w:right="0" w:hanging="0"/>
              <w:jc w:val="both"/>
              <w:rPr/>
            </w:pPr>
            <w:r>
              <w:rPr/>
              <w:t> </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 </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w:anchor="pine-20251231xex32d2.htm">
              <w:r>
                <w:rPr>
                  <w:rStyle w:val="InternetLink"/>
                  <w:rFonts w:ascii="Times New Roman;Times;serif" w:hAnsi="Times New Roman;Times;serif"/>
                  <w:b w:val="false"/>
                  <w:i w:val="false"/>
                  <w:caps w:val="false"/>
                  <w:smallCaps w:val="false"/>
                  <w:sz w:val="20"/>
                </w:rPr>
                <w:t>Certificate of Philip R. Mays, Senior Vice President, Chief Financial Officer and Treasurer, pursuant to 18 U.S.C. Section 1350, as adopted pursuant to Section 906 of the Sarbanes-Oxley Act of 2002. ††</w:t>
              </w:r>
            </w:hyperlink>
          </w:p>
        </w:tc>
      </w:tr>
      <w:tr>
        <w:trPr/>
        <w:tc>
          <w:tcPr>
            <w:tcW w:w="4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Policy Relating to Recovery of Erroneously Awarded Compensation (incorporated by reference to Exhibit 97.1 to the Company’s Annual Report on Form 10-K filed on February 8, 2024). *</w:t>
              </w:r>
            </w:hyperlink>
          </w:p>
        </w:tc>
      </w:tr>
      <w:tr>
        <w:trPr/>
        <w:tc>
          <w:tcPr>
            <w:tcW w:w="4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Document Set for the consolidated financial statements and accompanying notes beginning on page F-1 of this Annual Report on Form 10-K. †</w:t>
            </w:r>
          </w:p>
        </w:tc>
      </w:tr>
      <w:tr>
        <w:trPr/>
        <w:tc>
          <w:tcPr>
            <w:tcW w:w="481"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both"/>
              <w:rPr/>
            </w:pPr>
            <w:r>
              <w:rPr/>
              <w:t>​</w:t>
            </w:r>
          </w:p>
        </w:tc>
        <w:tc>
          <w:tcPr>
            <w:tcW w:w="96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for the cover page of this Annual Report on Form 10-K, included in the Exhibit 101 Inline XBRL Document Set. †</w:t>
            </w:r>
          </w:p>
        </w:tc>
      </w:tr>
    </w:tbl>
    <w:p>
      <w:pPr>
        <w:pStyle w:val="TextBody"/>
        <w:pBdr/>
        <w:bidi w:val="0"/>
        <w:spacing w:before="0" w:after="0"/>
        <w:ind w:left="0" w:right="0" w:hanging="360"/>
        <w:jc w:val="both"/>
        <w:rPr/>
      </w:pPr>
      <w:r>
        <w:rPr/>
        <w:t>† </w:t>
      </w:r>
      <w:r>
        <w:rPr>
          <w:rFonts w:ascii="Times New Roman;Times;serif" w:hAnsi="Times New Roman;Times;serif"/>
          <w:sz w:val="20"/>
        </w:rPr>
        <w:t>Filed Herewith</w:t>
      </w:r>
    </w:p>
    <w:p>
      <w:pPr>
        <w:pStyle w:val="TextBody"/>
        <w:pBdr/>
        <w:bidi w:val="0"/>
        <w:spacing w:before="0" w:after="0"/>
        <w:ind w:left="0" w:right="0" w:hanging="360"/>
        <w:jc w:val="left"/>
        <w:rPr/>
      </w:pPr>
      <w:r>
        <w:rPr/>
        <w:t>††  </w:t>
      </w:r>
      <w:r>
        <w:rPr>
          <w:rFonts w:ascii="Times New Roman;Times;serif" w:hAnsi="Times New Roman;Times;serif"/>
          <w:sz w:val="20"/>
        </w:rPr>
        <w:t>Furnished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Management Contract or Compensatory Plan or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8" w:name="SIGNATURES_747870"/>
      <w:bookmarkStart w:id="249" w:name="_8f48c839_7669_4dfc_bf7b_6ea4b9604055"/>
      <w:bookmarkEnd w:id="248"/>
      <w:bookmarkEnd w:id="249"/>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240"/>
        <w:ind w:left="0" w:right="0" w:hanging="0"/>
        <w:jc w:val="both"/>
        <w:rPr/>
      </w:pPr>
      <w:r>
        <w:rPr/>
        <w:t>​</w:t>
      </w:r>
    </w:p>
    <w:tbl>
      <w:tblPr>
        <w:tblW w:w="5776" w:type="dxa"/>
        <w:jc w:val="left"/>
        <w:tblInd w:w="0" w:type="dxa"/>
        <w:tblLayout w:type="fixed"/>
        <w:tblCellMar>
          <w:top w:w="0" w:type="dxa"/>
          <w:left w:w="0" w:type="dxa"/>
          <w:bottom w:w="0" w:type="dxa"/>
          <w:right w:w="0" w:type="dxa"/>
        </w:tblCellMar>
      </w:tblPr>
      <w:tblGrid>
        <w:gridCol w:w="1981"/>
        <w:gridCol w:w="412"/>
        <w:gridCol w:w="3383"/>
      </w:tblGrid>
      <w:tr>
        <w:trPr/>
        <w:tc>
          <w:tcPr>
            <w:tcW w:w="1981" w:type="dxa"/>
            <w:tcBorders/>
            <w:vAlign w:val="center"/>
          </w:tcPr>
          <w:p>
            <w:pPr>
              <w:pStyle w:val="TableContents"/>
              <w:bidi w:val="0"/>
              <w:spacing w:before="0" w:after="0"/>
              <w:ind w:left="0" w:right="0" w:hanging="0"/>
              <w:jc w:val="left"/>
              <w:rPr/>
            </w:pPr>
            <w:r>
              <w:rPr/>
              <w:t> </w:t>
            </w:r>
          </w:p>
        </w:tc>
        <w:tc>
          <w:tcPr>
            <w:tcW w:w="37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ALPINE INCOME PROPERTY TRUST, INC.</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5, 2026</w:t>
            </w:r>
          </w:p>
        </w:tc>
        <w:tc>
          <w:tcPr>
            <w:tcW w:w="4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83"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981" w:type="dxa"/>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hanging="0"/>
              <w:jc w:val="left"/>
              <w:rPr/>
            </w:pPr>
            <w:r>
              <w:rPr/>
              <w:t> </w:t>
            </w:r>
          </w:p>
        </w:tc>
        <w:tc>
          <w:tcPr>
            <w:tcW w:w="338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354"/>
        <w:gridCol w:w="146"/>
        <w:gridCol w:w="6089"/>
        <w:gridCol w:w="146"/>
        <w:gridCol w:w="2470"/>
      </w:tblGrid>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 and 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and Treasurer (Principal Financial Officer)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pBdr/>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pBdr/>
              <w:bidi w:val="0"/>
              <w:spacing w:before="0" w:after="0"/>
              <w:ind w:left="0" w:right="0" w:hanging="0"/>
              <w:jc w:val="left"/>
              <w:rPr/>
            </w:pPr>
            <w:r>
              <w:rPr/>
              <w:t>​</w:t>
            </w:r>
          </w:p>
        </w:tc>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Accounting Officer (Principal Accounting Officer)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Lisa M. Vorakoun</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bidi w:val="0"/>
              <w:spacing w:before="0" w:after="0"/>
              <w:ind w:left="0" w:right="0" w:hanging="0"/>
              <w:jc w:val="left"/>
              <w:rPr/>
            </w:pPr>
            <w:r>
              <w:rPr/>
              <w:t> </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Director</w:t>
            </w:r>
          </w:p>
        </w:tc>
        <w:tc>
          <w:tcPr>
            <w:tcW w:w="146" w:type="dxa"/>
            <w:tcBorders/>
            <w:vAlign w:val="center"/>
          </w:tcPr>
          <w:p>
            <w:pPr>
              <w:pStyle w:val="TableContents"/>
              <w:bidi w:val="0"/>
              <w:spacing w:before="0" w:after="0"/>
              <w:ind w:left="0" w:right="0" w:hanging="0"/>
              <w:jc w:val="left"/>
              <w:rPr/>
            </w:pPr>
            <w:r>
              <w:rPr/>
              <w:t> </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C. RICHARDSON</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Andrew C. Richardson</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 CARSON GOOD</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 Carson Good</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BRENNA A. WADLEIGH</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Brenna A. Wadleigh</w:t>
            </w:r>
          </w:p>
          <w:p>
            <w:pPr>
              <w:pStyle w:val="TableContents"/>
              <w:bidi w:val="0"/>
              <w:spacing w:before="0" w:after="0"/>
              <w:ind w:left="0" w:right="0" w:hanging="0"/>
              <w:jc w:val="left"/>
              <w:rPr/>
            </w:pPr>
            <w:r>
              <w:rPr/>
              <w:t>​</w:t>
            </w:r>
          </w:p>
        </w:tc>
      </w:tr>
      <w:tr>
        <w:trPr/>
        <w:tc>
          <w:tcPr>
            <w:tcW w:w="1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146" w:type="dxa"/>
            <w:tcBorders/>
            <w:vAlign w:val="center"/>
          </w:tcPr>
          <w:p>
            <w:pPr>
              <w:pStyle w:val="TableContents"/>
              <w:bidi w:val="0"/>
              <w:spacing w:before="0" w:after="0"/>
              <w:ind w:left="0" w:right="0" w:hanging="0"/>
              <w:jc w:val="left"/>
              <w:rPr/>
            </w:pPr>
            <w:r>
              <w:rPr/>
              <w:t>​</w:t>
            </w:r>
          </w:p>
        </w:tc>
        <w:tc>
          <w:tcPr>
            <w:tcW w:w="24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RACHEL E. WEIN</w:t>
            </w:r>
          </w:p>
        </w:tc>
      </w:tr>
      <w:tr>
        <w:trPr/>
        <w:tc>
          <w:tcPr>
            <w:tcW w:w="135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608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7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Rachel E. Wein</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0" w:name="_099893ce_1775_4226_9349_4c8450101edd"/>
      <w:bookmarkEnd w:id="250"/>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p>
      <w:pPr>
        <w:pStyle w:val="TextBody"/>
        <w:bidi w:val="0"/>
        <w:spacing w:before="0" w:after="240"/>
        <w:ind w:left="0" w:right="0" w:hanging="0"/>
        <w:jc w:val="both"/>
        <w:rPr/>
      </w:pPr>
      <w:r>
        <w:rPr/>
        <w:t>​</w:t>
      </w:r>
    </w:p>
    <w:tbl>
      <w:tblPr>
        <w:tblW w:w="9842" w:type="dxa"/>
        <w:jc w:val="left"/>
        <w:tblInd w:w="0" w:type="dxa"/>
        <w:tblLayout w:type="fixed"/>
        <w:tblCellMar>
          <w:top w:w="0" w:type="dxa"/>
          <w:left w:w="0" w:type="dxa"/>
          <w:bottom w:w="0" w:type="dxa"/>
          <w:right w:w="0" w:type="dxa"/>
        </w:tblCellMar>
      </w:tblPr>
      <w:tblGrid>
        <w:gridCol w:w="9421"/>
        <w:gridCol w:w="421"/>
      </w:tblGrid>
      <w:tr>
        <w:trPr/>
        <w:tc>
          <w:tcPr>
            <w:tcW w:w="942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7335" cy="29210"/>
                      <wp:effectExtent l="0" t="0" r="0" b="0"/>
                      <wp:wrapNone/>
                      <wp:docPr id="97" name="Frame97"/>
                      <a:graphic xmlns:a="http://schemas.openxmlformats.org/drawingml/2006/main">
                        <a:graphicData uri="http://schemas.microsoft.com/office/word/2010/wordprocessingShape">
                          <wps:wsp>
                            <wps:cNvSpPr txBox="1"/>
                            <wps:spPr>
                              <a:xfrm>
                                <a:off x="0" y="0"/>
                                <a:ext cx="267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21" w:type="dxa"/>
            <w:tcBorders/>
            <w:vAlign w:val="center"/>
          </w:tcPr>
          <w:p>
            <w:pPr>
              <w:pStyle w:val="TableContents"/>
              <w:pBdr/>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F-2</w:t>
            </w:r>
          </w:p>
        </w:tc>
      </w:tr>
      <w:tr>
        <w:trPr/>
        <w:tc>
          <w:tcPr>
            <w:tcW w:w="9421" w:type="dxa"/>
            <w:tcBorders/>
            <w:vAlign w:val="center"/>
          </w:tcPr>
          <w:p>
            <w:pPr>
              <w:pStyle w:val="TableContents"/>
              <w:bidi w:val="0"/>
              <w:spacing w:before="0" w:after="0"/>
              <w:ind w:left="0" w:right="0" w:hanging="0"/>
              <w:jc w:val="left"/>
              <w:rPr/>
            </w:pPr>
            <w:hyperlink w:anchor="CONSOLIDATEDANDCOMBINEDBALANCESHEETS_133">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F-4</w:t>
            </w:r>
          </w:p>
        </w:tc>
      </w:tr>
      <w:tr>
        <w:trPr/>
        <w:tc>
          <w:tcPr>
            <w:tcW w:w="9421" w:type="dxa"/>
            <w:tcBorders/>
            <w:vAlign w:val="center"/>
          </w:tcPr>
          <w:p>
            <w:pPr>
              <w:pStyle w:val="TableContents"/>
              <w:pBdr/>
              <w:bidi w:val="0"/>
              <w:spacing w:before="0" w:after="0"/>
              <w:ind w:left="0" w:right="0" w:hanging="0"/>
              <w:jc w:val="left"/>
              <w:rPr/>
            </w:pPr>
            <w:hyperlink w:anchor="CONSOLIDATEDANDCOMBINEDSTATEMENTSOFOPERA">
              <w:r>
                <w:rPr>
                  <w:rStyle w:val="InternetLink"/>
                  <w:rFonts w:ascii="Times New Roman;Times;serif" w:hAnsi="Times New Roman;Times;serif"/>
                  <w:b w:val="false"/>
                  <w:i w:val="false"/>
                  <w:caps w:val="false"/>
                  <w:smallCaps w:val="false"/>
                  <w:sz w:val="20"/>
                </w:rPr>
                <w:t>Consolidated Statements of Operations for the years ended December 31, 2025, 2024, and 2023</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F-5</w:t>
            </w:r>
          </w:p>
        </w:tc>
      </w:tr>
      <w:tr>
        <w:trPr/>
        <w:tc>
          <w:tcPr>
            <w:tcW w:w="9421" w:type="dxa"/>
            <w:tcBorders/>
            <w:vAlign w:val="center"/>
          </w:tcPr>
          <w:p>
            <w:pPr>
              <w:pStyle w:val="TableContents"/>
              <w:pBdr/>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(Loss) for the years ended December 31, 2025, 2024, and 2023</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F-6</w:t>
            </w:r>
          </w:p>
        </w:tc>
      </w:tr>
      <w:tr>
        <w:trPr/>
        <w:tc>
          <w:tcPr>
            <w:tcW w:w="9421" w:type="dxa"/>
            <w:tcBorders/>
            <w:vAlign w:val="center"/>
          </w:tcPr>
          <w:p>
            <w:pPr>
              <w:pStyle w:val="TableContents"/>
              <w:pBdr/>
              <w:bidi w:val="0"/>
              <w:spacing w:before="0" w:after="0"/>
              <w:ind w:left="0" w:right="0" w:hanging="0"/>
              <w:jc w:val="left"/>
              <w:rPr/>
            </w:pPr>
            <w:hyperlink w:anchor="CONSOLIDATEDANDCOMBINEDSTATEMENTSOFEQUIT">
              <w:r>
                <w:rPr>
                  <w:rStyle w:val="InternetLink"/>
                  <w:rFonts w:ascii="Times New Roman;Times;serif" w:hAnsi="Times New Roman;Times;serif"/>
                  <w:b w:val="false"/>
                  <w:i w:val="false"/>
                  <w:caps w:val="false"/>
                  <w:smallCaps w:val="false"/>
                  <w:sz w:val="20"/>
                </w:rPr>
                <w:t xml:space="preserve">Consolidated Statements of Stockholders’ Equity for the years ended December 31, 2025, 2024, and 2023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F-7</w:t>
            </w:r>
          </w:p>
        </w:tc>
      </w:tr>
      <w:tr>
        <w:trPr/>
        <w:tc>
          <w:tcPr>
            <w:tcW w:w="9421" w:type="dxa"/>
            <w:tcBorders/>
            <w:vAlign w:val="center"/>
          </w:tcPr>
          <w:p>
            <w:pPr>
              <w:pStyle w:val="TableContents"/>
              <w:pBdr/>
              <w:bidi w:val="0"/>
              <w:spacing w:before="0" w:after="0"/>
              <w:ind w:left="0" w:right="0" w:hanging="0"/>
              <w:jc w:val="left"/>
              <w:rPr/>
            </w:pPr>
            <w:hyperlink w:anchor="CONSOLIDATEDANDCOMBINEDSTATEMENTSOFCASHF">
              <w:r>
                <w:rPr>
                  <w:rStyle w:val="InternetLink"/>
                  <w:rFonts w:ascii="Times New Roman;Times;serif" w:hAnsi="Times New Roman;Times;serif"/>
                  <w:b w:val="false"/>
                  <w:i w:val="false"/>
                  <w:caps w:val="false"/>
                  <w:smallCaps w:val="false"/>
                  <w:sz w:val="20"/>
                </w:rPr>
                <w:t xml:space="preserve">Consolidated Statements of Cash Flows for the years ended December 31, 2025, 2024, and 2023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F-8</w:t>
            </w:r>
          </w:p>
        </w:tc>
      </w:tr>
      <w:tr>
        <w:trPr/>
        <w:tc>
          <w:tcPr>
            <w:tcW w:w="9421" w:type="dxa"/>
            <w:tcBorders/>
            <w:vAlign w:val="center"/>
          </w:tcPr>
          <w:p>
            <w:pPr>
              <w:pStyle w:val="TableContents"/>
              <w:pBdr/>
              <w:bidi w:val="0"/>
              <w:spacing w:before="0" w:after="0"/>
              <w:ind w:left="0" w:right="0" w:hanging="0"/>
              <w:jc w:val="left"/>
              <w:rPr/>
            </w:pPr>
            <w:hyperlink w:anchor="NOTESTOCONSOLIDATEDANDCOMBINEDFINANCIALS">
              <w:r>
                <w:rPr>
                  <w:rStyle w:val="InternetLink"/>
                  <w:rFonts w:ascii="Times New Roman;Times;serif" w:hAnsi="Times New Roman;Times;serif"/>
                  <w:b w:val="false"/>
                  <w:i w:val="false"/>
                  <w:caps w:val="false"/>
                  <w:smallCaps w:val="false"/>
                  <w:sz w:val="20"/>
                </w:rPr>
                <w:t xml:space="preserve">Notes to Consolidated Financial Statements </w:t>
              </w:r>
            </w:hyperlink>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1" w:name="ReportofIndependentRegisteredPublicAccou"/>
      <w:bookmarkStart w:id="252" w:name="_313238e2_b772_4a9b_89bf_de973c815fbb"/>
      <w:bookmarkEnd w:id="251"/>
      <w:bookmarkEnd w:id="252"/>
      <w:r>
        <w:rPr>
          <w:rFonts w:ascii="Times New Roman;Times;serif" w:hAnsi="Times New Roman;Times;serif"/>
          <w:b/>
          <w:sz w:val="20"/>
        </w:rPr>
        <w:t>Report of Independent Registered Public Accounting Firm</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Board of Directors and Stockholders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Alpine Income Property Trust, Inc.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Opinion on the financial statements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Alpine Income Property Trust, Inc. (a Maryland corporation) and subsidiaries (the “Company”) as of December 31, 2025 and 2024, the related consolidated statements of operations, comprehensive income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24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Basis for opinion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Critical audit matter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Fair value of real estate acquired with in-place leases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described further in Note 3 to the consolidated financial statements, during the year ended December 31, 2025, the Company acquired 13 properties subject to purchase accounting for acquisitions subject to a lease, for a combined purchase price of $100.6 million, or a total cost of $101.3 million including capitalized acquisition costs. As further described in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2 to the consolidated financial statements,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We identified the evaluation of the fair value of real estate acquired with in-place leases as a critical audit matter.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principal consideration for our determination that evaluation of the fair value of real estate acquired with in-place leases is a critical audit matter is that auditing the estimates of fair values of the acquired tangible assets and identified intangible assets and liabilities is complex due to the significant assumptions being sensitive to changes, including discount rates, terminal rates, and market rent rates that can be impacted by expectations about future market or economic conditions.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audit procedures related to the evaluation of the fair value of real estate acquired with in-place leases included the following,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design of the key controls related to the Company’s process to account for real estate acquisitions with in-place leases, including those addressing the development of the significant assumptions, including discount rates, terminal rates and market rent rates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involved internal valuation professionals who assisted in comparing the discount rates, terminal rates, and market rental rates to independently developed ranges.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 Grant Thornton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2019.</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Charlotte, North Carolina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3" w:name="_1af82264_a779_4676_88c1_b9c304c67383"/>
      <w:bookmarkEnd w:id="253"/>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254" w:name="CONSOLIDATEDANDCOMBINEDBALANCESHEETS_133"/>
      <w:bookmarkEnd w:id="254"/>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255" w:name="Tc_bIRL_Bt5eEaSV5PyCJN45A_36_4"/>
      <w:bookmarkStart w:id="256" w:name="Tc_Y_OlvmoG-0mYalAGR3TOHQ_36_1"/>
      <w:bookmarkStart w:id="257" w:name="Tc_wEFAr3BHo0uAloxRo-PrVA_36_0"/>
      <w:bookmarkStart w:id="258" w:name="Tc_TiM2GTNE80GxWro_exH12w_35_0"/>
      <w:bookmarkStart w:id="259" w:name="Tc_Ziqk9sD1SE66ylXlY_PXng_34_0"/>
      <w:bookmarkStart w:id="260" w:name="Tc_vA-d0b6AE0K-eeGRhsunjA_33_0"/>
      <w:bookmarkStart w:id="261" w:name="Tc_fzdwMJXkC06N967OTwuoxA_32_0"/>
      <w:bookmarkStart w:id="262" w:name="Tc_mlT2BEHS5kqs0fmpYKOoKA_31_0"/>
      <w:bookmarkStart w:id="263" w:name="Tc_lNTN9hVynE63_WPDC3sCRw_30_0"/>
      <w:bookmarkStart w:id="264" w:name="Tc_wHgfj6Kxr0yHbKnqQzDfDg_29_0"/>
      <w:bookmarkStart w:id="265" w:name="Tc_u01TbLhS9kaLYfZ2T1c0EQ_28_5"/>
      <w:bookmarkStart w:id="266" w:name="Tc_eXbZBjz8A0u0htqoNK9uLg_28_0"/>
      <w:bookmarkStart w:id="267" w:name="Tc_kl0r1hXKDEOwQAc1G_G23g_27_0"/>
      <w:bookmarkStart w:id="268" w:name="Tc_o0cWJI_NrUi_PfgYewY3ag_26_0"/>
      <w:bookmarkStart w:id="269" w:name="Tc_7F2ulmjsb0uIaD2eoEu5BA_25_0"/>
      <w:bookmarkStart w:id="270" w:name="Tc_c8JX-gVDtUyaE6LI9pHPww_24_0"/>
      <w:bookmarkStart w:id="271" w:name="Tc__VpGQW7TFk-KnsDu4lfLdw_23_0"/>
      <w:bookmarkStart w:id="272" w:name="Tc_ok-QFTW1tEyv7ic6HFs-Hg_22_0"/>
      <w:bookmarkStart w:id="273" w:name="Tc_v7u2P8Mi8U21t9vxFlkd7A_21_0"/>
      <w:bookmarkStart w:id="274" w:name="Tc_QPQu_ioYnk6toXMfyyXE4A_20_4"/>
      <w:bookmarkStart w:id="275" w:name="Tc_HVojML2tFEyEMn9KvadrXg_20_1"/>
      <w:bookmarkStart w:id="276" w:name="Tc_CP_4ap3n50O6jNwwbwBakg_20_0"/>
      <w:bookmarkStart w:id="277" w:name="Tc_PFhJ0H0VVk-R4lpOltwc3Q_19_0"/>
      <w:bookmarkStart w:id="278" w:name="Tc_MS52m4WLSU2gzmNLxKFlAw_18_0"/>
      <w:bookmarkStart w:id="279" w:name="Tc_K4ISMdwHbEakI13rWKNxMQ_17_4"/>
      <w:bookmarkStart w:id="280" w:name="Tc_qQE-sDHZOk22kPEjmvVEYQ_17_1"/>
      <w:bookmarkStart w:id="281" w:name="Tc_J3SJIyoQcUOORuzPCwaTsg_17_0"/>
      <w:bookmarkStart w:id="282" w:name="Tc_L5cLbG6FbEenhUlJlQf_CA_16_0"/>
      <w:bookmarkStart w:id="283" w:name="Tc_zUlTbh4qR0K72W-8rR-kJg_15_0"/>
      <w:bookmarkStart w:id="284" w:name="Tc_1tr0wOI_skOZ-ZnD4xJ_nQ_14_0"/>
      <w:bookmarkStart w:id="285" w:name="Tc_PkgD7AAZeUqrzMBFpfgTfw_13_0"/>
      <w:bookmarkStart w:id="286" w:name="Tc_6KgTUiddJ021vODYAzlOyw_12_0"/>
      <w:bookmarkStart w:id="287" w:name="Tc_7aaabXwg5EOk9M-HumwpBw_11_0"/>
      <w:bookmarkStart w:id="288" w:name="Tc_pT3hMCOg2ESVLY2U3nhaVQ_10_0"/>
      <w:bookmarkStart w:id="289" w:name="Tc__2kThNXeoE2r2Q-7WyldyA_9_0"/>
      <w:bookmarkStart w:id="290" w:name="Tc_ui9mSavl50SDJwAkpx_8NA_8_0"/>
      <w:bookmarkStart w:id="291" w:name="Tc__OU7FxXD-k6GO33QeQmnfA_7_0"/>
      <w:bookmarkStart w:id="292" w:name="Tc_O0IMMcrCfEWJsSvFzvjUCw_6_0"/>
      <w:bookmarkStart w:id="293" w:name="Tc_2I2g9mtXCkC5qAYb-eNKOg_5_4"/>
      <w:bookmarkStart w:id="294" w:name="Tc_1DP-cVW8qkuDA5K601jVdg_5_1"/>
      <w:bookmarkStart w:id="295" w:name="Tc_9s5bYs6z0U63t6jD8wKnlQ_5_0"/>
      <w:bookmarkStart w:id="296" w:name="Tc_wNQhAmFoR0WtZ3W9inhnuA_4_0"/>
      <w:bookmarkStart w:id="297" w:name="Tc_8NQg4tRnekKrd1GGNIctKg_3_0"/>
      <w:bookmarkStart w:id="298" w:name="Tc_Pb22H1sGa0GKMskvZqdGpA_2_4"/>
      <w:bookmarkStart w:id="299" w:name="Tc_hO9Ag2ukZUKUl-OO34YadA_2_1"/>
      <w:bookmarkStart w:id="300" w:name="Tc_USz1TDlm5UmdGyJGm9NUXQ_1_1"/>
      <w:bookmarkStart w:id="301" w:name="_dbcbcf84_611e_40f1_9d78_2d37c11bed79"/>
      <w:bookmarkStart w:id="302" w:name="Tc_bIRL_Bt5eEaSV5PyCJN45A_36_4"/>
      <w:bookmarkStart w:id="303" w:name="Tc_Y_OlvmoG-0mYalAGR3TOHQ_36_1"/>
      <w:bookmarkStart w:id="304" w:name="Tc_wEFAr3BHo0uAloxRo-PrVA_36_0"/>
      <w:bookmarkStart w:id="305" w:name="Tc_TiM2GTNE80GxWro_exH12w_35_0"/>
      <w:bookmarkStart w:id="306" w:name="Tc_Ziqk9sD1SE66ylXlY_PXng_34_0"/>
      <w:bookmarkStart w:id="307" w:name="Tc_vA-d0b6AE0K-eeGRhsunjA_33_0"/>
      <w:bookmarkStart w:id="308" w:name="Tc_fzdwMJXkC06N967OTwuoxA_32_0"/>
      <w:bookmarkStart w:id="309" w:name="Tc_mlT2BEHS5kqs0fmpYKOoKA_31_0"/>
      <w:bookmarkStart w:id="310" w:name="Tc_lNTN9hVynE63_WPDC3sCRw_30_0"/>
      <w:bookmarkStart w:id="311" w:name="Tc_wHgfj6Kxr0yHbKnqQzDfDg_29_0"/>
      <w:bookmarkStart w:id="312" w:name="Tc_u01TbLhS9kaLYfZ2T1c0EQ_28_5"/>
      <w:bookmarkStart w:id="313" w:name="Tc_eXbZBjz8A0u0htqoNK9uLg_28_0"/>
      <w:bookmarkStart w:id="314" w:name="Tc_kl0r1hXKDEOwQAc1G_G23g_27_0"/>
      <w:bookmarkStart w:id="315" w:name="Tc_o0cWJI_NrUi_PfgYewY3ag_26_0"/>
      <w:bookmarkStart w:id="316" w:name="Tc_7F2ulmjsb0uIaD2eoEu5BA_25_0"/>
      <w:bookmarkStart w:id="317" w:name="Tc_c8JX-gVDtUyaE6LI9pHPww_24_0"/>
      <w:bookmarkStart w:id="318" w:name="Tc__VpGQW7TFk-KnsDu4lfLdw_23_0"/>
      <w:bookmarkStart w:id="319" w:name="Tc_ok-QFTW1tEyv7ic6HFs-Hg_22_0"/>
      <w:bookmarkStart w:id="320" w:name="Tc_v7u2P8Mi8U21t9vxFlkd7A_21_0"/>
      <w:bookmarkStart w:id="321" w:name="Tc_QPQu_ioYnk6toXMfyyXE4A_20_4"/>
      <w:bookmarkStart w:id="322" w:name="Tc_HVojML2tFEyEMn9KvadrXg_20_1"/>
      <w:bookmarkStart w:id="323" w:name="Tc_CP_4ap3n50O6jNwwbwBakg_20_0"/>
      <w:bookmarkStart w:id="324" w:name="Tc_PFhJ0H0VVk-R4lpOltwc3Q_19_0"/>
      <w:bookmarkStart w:id="325" w:name="Tc_MS52m4WLSU2gzmNLxKFlAw_18_0"/>
      <w:bookmarkStart w:id="326" w:name="Tc_K4ISMdwHbEakI13rWKNxMQ_17_4"/>
      <w:bookmarkStart w:id="327" w:name="Tc_qQE-sDHZOk22kPEjmvVEYQ_17_1"/>
      <w:bookmarkStart w:id="328" w:name="Tc_J3SJIyoQcUOORuzPCwaTsg_17_0"/>
      <w:bookmarkStart w:id="329" w:name="Tc_L5cLbG6FbEenhUlJlQf_CA_16_0"/>
      <w:bookmarkStart w:id="330" w:name="Tc_zUlTbh4qR0K72W-8rR-kJg_15_0"/>
      <w:bookmarkStart w:id="331" w:name="Tc_1tr0wOI_skOZ-ZnD4xJ_nQ_14_0"/>
      <w:bookmarkStart w:id="332" w:name="Tc_PkgD7AAZeUqrzMBFpfgTfw_13_0"/>
      <w:bookmarkStart w:id="333" w:name="Tc_6KgTUiddJ021vODYAzlOyw_12_0"/>
      <w:bookmarkStart w:id="334" w:name="Tc_7aaabXwg5EOk9M-HumwpBw_11_0"/>
      <w:bookmarkStart w:id="335" w:name="Tc_pT3hMCOg2ESVLY2U3nhaVQ_10_0"/>
      <w:bookmarkStart w:id="336" w:name="Tc__2kThNXeoE2r2Q-7WyldyA_9_0"/>
      <w:bookmarkStart w:id="337" w:name="Tc_ui9mSavl50SDJwAkpx_8NA_8_0"/>
      <w:bookmarkStart w:id="338" w:name="Tc__OU7FxXD-k6GO33QeQmnfA_7_0"/>
      <w:bookmarkStart w:id="339" w:name="Tc_O0IMMcrCfEWJsSvFzvjUCw_6_0"/>
      <w:bookmarkStart w:id="340" w:name="Tc_2I2g9mtXCkC5qAYb-eNKOg_5_4"/>
      <w:bookmarkStart w:id="341" w:name="Tc_1DP-cVW8qkuDA5K601jVdg_5_1"/>
      <w:bookmarkStart w:id="342" w:name="Tc_9s5bYs6z0U63t6jD8wKnlQ_5_0"/>
      <w:bookmarkStart w:id="343" w:name="Tc_wNQhAmFoR0WtZ3W9inhnuA_4_0"/>
      <w:bookmarkStart w:id="344" w:name="Tc_8NQg4tRnekKrd1GGNIctKg_3_0"/>
      <w:bookmarkStart w:id="345" w:name="Tc_Pb22H1sGa0GKMskvZqdGpA_2_4"/>
      <w:bookmarkStart w:id="346" w:name="Tc_hO9Ag2ukZUKUl-OO34YadA_2_1"/>
      <w:bookmarkStart w:id="347" w:name="Tc_USz1TDlm5UmdGyJGm9NUXQ_1_1"/>
      <w:bookmarkStart w:id="348" w:name="_dbcbcf84_611e_40f1_9d78_2d37c11bed79"/>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tbl>
      <w:tblPr>
        <w:tblW w:w="10205" w:type="dxa"/>
        <w:jc w:val="left"/>
        <w:tblInd w:w="0" w:type="dxa"/>
        <w:tblLayout w:type="fixed"/>
        <w:tblCellMar>
          <w:top w:w="0" w:type="dxa"/>
          <w:left w:w="0" w:type="dxa"/>
          <w:bottom w:w="0" w:type="dxa"/>
          <w:right w:w="0" w:type="dxa"/>
        </w:tblCellMar>
      </w:tblPr>
      <w:tblGrid>
        <w:gridCol w:w="7079"/>
        <w:gridCol w:w="290"/>
        <w:gridCol w:w="1076"/>
        <w:gridCol w:w="346"/>
        <w:gridCol w:w="268"/>
        <w:gridCol w:w="1146"/>
      </w:tblGrid>
      <w:tr>
        <w:trPr/>
        <w:tc>
          <w:tcPr>
            <w:tcW w:w="707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84150" cy="175260"/>
                      <wp:effectExtent l="0" t="0" r="0" b="0"/>
                      <wp:wrapNone/>
                      <wp:docPr id="98" name="Frame9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83260" cy="175260"/>
                      <wp:effectExtent l="0" t="0" r="0" b="0"/>
                      <wp:wrapNone/>
                      <wp:docPr id="99" name="Frame99"/>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70180" cy="175260"/>
                      <wp:effectExtent l="0" t="0" r="0" b="0"/>
                      <wp:wrapNone/>
                      <wp:docPr id="101" name="Frame10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27710" cy="175260"/>
                      <wp:effectExtent l="0" t="0" r="0" b="0"/>
                      <wp:wrapNone/>
                      <wp:docPr id="102" name="Frame102"/>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79" w:type="dxa"/>
            <w:tcBorders/>
            <w:vAlign w:val="center"/>
          </w:tcPr>
          <w:p>
            <w:pPr>
              <w:pStyle w:val="TableContents"/>
              <w:bidi w:val="0"/>
              <w:spacing w:before="0" w:after="0"/>
              <w:ind w:left="0" w:right="0" w:hanging="0"/>
              <w:jc w:val="left"/>
              <w:rPr/>
            </w:pPr>
            <w:r>
              <w:rPr/>
              <w:t>​</w:t>
            </w:r>
          </w:p>
        </w:tc>
        <w:tc>
          <w:tcPr>
            <w:tcW w:w="31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7079"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center"/>
              <w:rPr/>
            </w:pPr>
            <w:r>
              <w:rPr/>
              <w:t>  ​ ​ ​</w:t>
            </w:r>
          </w:p>
        </w:tc>
        <w:tc>
          <w:tcPr>
            <w:tcW w:w="14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7079"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366" w:type="dxa"/>
            <w:gridSpan w:val="2"/>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414" w:type="dxa"/>
            <w:gridSpan w:val="2"/>
            <w:tcBorders/>
            <w:shd w:fill="CCEEFF" w:val="clear"/>
            <w:vAlign w:val="center"/>
          </w:tcPr>
          <w:p>
            <w:pPr>
              <w:pStyle w:val="TableContents"/>
              <w:bidi w:val="0"/>
              <w:spacing w:before="0" w:after="0"/>
              <w:ind w:left="0" w:right="0" w:hanging="0"/>
              <w:jc w:val="center"/>
              <w:rPr/>
            </w:pPr>
            <w:r>
              <w:rPr/>
              <w:t>​</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pPr>
            <w:r>
              <w:rPr/>
              <w:t>​</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151,628</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147,912</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344,138</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341,955</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495,766</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489,867</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(54,446)</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(45,850)</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441,320</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444,017</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8,077</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89,629</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48,925</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43,925</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8,908</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15,734</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715,874</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604,995</w:t>
            </w:r>
          </w:p>
        </w:tc>
      </w:tr>
      <w:tr>
        <w:trPr/>
        <w:tc>
          <w:tcPr>
            <w:tcW w:w="707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pPr>
            <w:r>
              <w:rPr/>
              <w:t>​</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pPr>
            <w:r>
              <w:rPr/>
              <w:t>​</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2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7,877</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8,445</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14,031</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2,412</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4,774</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11,403</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301,466</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414,618</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328,500</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Contingencies—See Note 20</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pPr>
            <w:r>
              <w:rPr/>
              <w:t>​</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pPr>
            <w:r>
              <w:rPr/>
              <w:t>​</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per share, 100 million shares authorized, $0.01 par value, 8.00% Series A Cumulative Redeemable Preferred Stock, $25.00 Per Share Liquidation Preference, 2,083,328 shares issued and outstanding as of December 31, 2025 and no shares issued and outstanding as of December 31, 2024</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pPr>
            <w:r>
              <w:rPr/>
              <w:t>—</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14,783,419 shares issued and outstanding as of December 31, 2025 and 14,691,982 shares issued and outstanding as of December 31, 2024</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290" w:type="dxa"/>
            <w:tcBorders/>
            <w:vAlign w:val="center"/>
          </w:tcPr>
          <w:p>
            <w:pPr>
              <w:pStyle w:val="TableContents"/>
              <w:bidi w:val="0"/>
              <w:spacing w:before="0" w:after="0"/>
              <w:ind w:left="0" w:right="0" w:hanging="0"/>
              <w:jc w:val="left"/>
              <w:rPr/>
            </w:pPr>
            <w:r>
              <w:rPr/>
              <w:t>​</w:t>
            </w:r>
          </w:p>
        </w:tc>
        <w:tc>
          <w:tcPr>
            <w:tcW w:w="10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313,690</w:t>
            </w:r>
          </w:p>
        </w:tc>
        <w:tc>
          <w:tcPr>
            <w:tcW w:w="34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261,831</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(35,276)</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(15,722)</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290" w:type="dxa"/>
            <w:tcBorders/>
            <w:shd w:fill="CCEEFF" w:val="clear"/>
            <w:vAlign w:val="center"/>
          </w:tcPr>
          <w:p>
            <w:pPr>
              <w:pStyle w:val="TableContents"/>
              <w:bidi w:val="0"/>
              <w:spacing w:before="0" w:after="0"/>
              <w:ind w:left="0" w:right="0" w:hanging="0"/>
              <w:jc w:val="left"/>
              <w:rPr/>
            </w:pPr>
            <w:r>
              <w:rPr/>
              <w:t>​</w:t>
            </w:r>
          </w:p>
        </w:tc>
        <w:tc>
          <w:tcPr>
            <w:tcW w:w="10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279,876</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253,027</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21,380</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23,468</w:t>
            </w:r>
          </w:p>
        </w:tc>
      </w:tr>
      <w:tr>
        <w:trPr/>
        <w:tc>
          <w:tcPr>
            <w:tcW w:w="70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301,256</w:t>
            </w:r>
          </w:p>
        </w:tc>
        <w:tc>
          <w:tcPr>
            <w:tcW w:w="34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276,495</w:t>
            </w:r>
          </w:p>
        </w:tc>
      </w:tr>
      <w:tr>
        <w:trPr/>
        <w:tc>
          <w:tcPr>
            <w:tcW w:w="70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715,874</w:t>
            </w:r>
          </w:p>
        </w:tc>
        <w:tc>
          <w:tcPr>
            <w:tcW w:w="34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604,995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9" w:name="_308d267a_6d3b_4712_838c_1c0366b876d2"/>
      <w:bookmarkEnd w:id="349"/>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350" w:name="CONSOLIDATEDANDCOMBINEDSTATEMENTSOFOPERA"/>
      <w:bookmarkEnd w:id="350"/>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351" w:name="Tc_-1-qG9yiTEKL2P4ljFYQyg_32_0"/>
      <w:bookmarkStart w:id="352" w:name="Tc_PVg18bJ1K06RESNFJDr-1w_31_0"/>
      <w:bookmarkStart w:id="353" w:name="Tc_jfx40d5BtESlgtkq6sBw5Q_30_0"/>
      <w:bookmarkStart w:id="354" w:name="Tc_9D3Ee8UIm0iKA8DMtpex5w_28_7"/>
      <w:bookmarkStart w:id="355" w:name="Tc_2G7QxKbr7kGwnwULLP6XnQ_28_4"/>
      <w:bookmarkStart w:id="356" w:name="Tc_TPhG12rY30ivbphuisr85Q_28_1"/>
      <w:bookmarkStart w:id="357" w:name="Tc_6fp_iVgRz0O6CE-5WiBGjA_28_0"/>
      <w:bookmarkStart w:id="358" w:name="Tc_fTi23UHva06U4tCEeIYpbg_27_7"/>
      <w:bookmarkStart w:id="359" w:name="Tc_PbcuulpblEy7JlKIO0JGjA_27_4"/>
      <w:bookmarkStart w:id="360" w:name="Tc_WrsTYyjIgEy7l4svhGB2ow_27_1"/>
      <w:bookmarkStart w:id="361" w:name="Tc_Zx6_4ZJA-ESqsBSQF6JIKQ_27_0"/>
      <w:bookmarkStart w:id="362" w:name="Tc_qHhbPRcyPkypKlbR5exnWw_26_0"/>
      <w:bookmarkStart w:id="363" w:name="Tc_e_9A59KqMkmW8ky1PArANQ_25_0"/>
      <w:bookmarkStart w:id="364" w:name="Tc_CSIuVZI2tkGFd2_cqsaHSQ_23_7"/>
      <w:bookmarkStart w:id="365" w:name="Tc_da0MtS-dJ06UxI9tWlG-xg_23_4"/>
      <w:bookmarkStart w:id="366" w:name="Tc_qSGkOdyznEOLTM3_vCjfmQ_23_1"/>
      <w:bookmarkStart w:id="367" w:name="Tc_FUfjPBrcs0mtVepb_hBvew_23_0"/>
      <w:bookmarkStart w:id="368" w:name="Tc_J-NuBeG6XkWFOHyQPgoDRQ_22_8"/>
      <w:bookmarkStart w:id="369" w:name="Tc_yCE2YFtuO0Ci7s65n-X2ng_22_5"/>
      <w:bookmarkStart w:id="370" w:name="Tc_tNx_VfI4QE29cjoIpyrDQA_22_0"/>
      <w:bookmarkStart w:id="371" w:name="Tc_M2AbAN5v5UeluWLnHF_DiQ_21_0"/>
      <w:bookmarkStart w:id="372" w:name="Tc_GVDNGmyb0Uaj2ogapFi8Pg_20_0"/>
      <w:bookmarkStart w:id="373" w:name="Tc_sfZgFt_Hi0eIrpXs2AF4Pg_19_0"/>
      <w:bookmarkStart w:id="374" w:name="Tc_r8r9tvKTnEqrA5z4jGaa1g_18_0"/>
      <w:bookmarkStart w:id="375" w:name="Tc_OpJgwm2mx0GTwPOCxHhSsw_17_0"/>
      <w:bookmarkStart w:id="376" w:name="Tc_rBW_fTcXOESDR9OSYJt7xA_16_0"/>
      <w:bookmarkStart w:id="377" w:name="Tc_KHf-4-QspkC3IzLzWlx8NQ_15_5"/>
      <w:bookmarkStart w:id="378" w:name="Tc_R3c_dJCbB0yKq3m-ATRFoQ_15_2"/>
      <w:bookmarkStart w:id="379" w:name="Tc_R4ZUTCad9Um2nrnp99X1JQ_15_0"/>
      <w:bookmarkStart w:id="380" w:name="Tc_35xY6ifLykyZlgNgbONNYQ_14_0"/>
      <w:bookmarkStart w:id="381" w:name="Tc_ab5fpL_cC0ipMJgiZrGROA_13_0"/>
      <w:bookmarkStart w:id="382" w:name="Tc_9NbsHLkOrk-T1iYRc9c3Ug_12_0"/>
      <w:bookmarkStart w:id="383" w:name="Tc_i63tsvvSYEaEyfzHd67vig_11_0"/>
      <w:bookmarkStart w:id="384" w:name="Tc_PqHoz3IpDku5weoRDb0haA_10_0"/>
      <w:bookmarkStart w:id="385" w:name="Tc_dwYN3FFJ0E-PihRByQBuHg_9_0"/>
      <w:bookmarkStart w:id="386" w:name="Tc_rXfTCIK_B0u0479m7pPIug_8_0"/>
      <w:bookmarkStart w:id="387" w:name="Tc_LRtiPevcu0y_HUPvTyna2Q_7_0"/>
      <w:bookmarkStart w:id="388" w:name="Tc_okWFV20dGkCxj4GUClqWrw_6_0"/>
      <w:bookmarkStart w:id="389" w:name="Tc_fK-5GTug30eEm-HVz7hirA_5_0"/>
      <w:bookmarkStart w:id="390" w:name="Tc_D5UehEav00SAAQ4V0sxrVQ_4_7"/>
      <w:bookmarkStart w:id="391" w:name="Tc_B7jkksQNm0e4sOUww8f0wg_4_4"/>
      <w:bookmarkStart w:id="392" w:name="Tc_QF7IsNZmJkeUKCdkODC1ug_4_1"/>
      <w:bookmarkStart w:id="393" w:name="Tc_5I69SM5OhUm-DAkN3ybhPw_4_0"/>
      <w:bookmarkStart w:id="394" w:name="Tc__UyYC_jJe06QlDlZK9PWoA_3_0"/>
      <w:bookmarkStart w:id="395" w:name="Tc_7uqQGrIJ9kqjqEd-LDv5jg_2_7"/>
      <w:bookmarkStart w:id="396" w:name="Tc_K_p64v4lW0KS1Qdr_VGxvw_2_4"/>
      <w:bookmarkStart w:id="397" w:name="Tc_IXm-r--w4UeONIPD58k89Q_2_1"/>
      <w:bookmarkStart w:id="398" w:name="Tc_0tQATAA9b0-Ln5LXQQ3_wQ_1_1"/>
      <w:bookmarkStart w:id="399" w:name="_2b4acae7_a989_407c_815f_9e4734cec68d"/>
      <w:bookmarkStart w:id="400" w:name="Tc_-1-qG9yiTEKL2P4ljFYQyg_32_0"/>
      <w:bookmarkStart w:id="401" w:name="Tc_PVg18bJ1K06RESNFJDr-1w_31_0"/>
      <w:bookmarkStart w:id="402" w:name="Tc_jfx40d5BtESlgtkq6sBw5Q_30_0"/>
      <w:bookmarkStart w:id="403" w:name="Tc_9D3Ee8UIm0iKA8DMtpex5w_28_7"/>
      <w:bookmarkStart w:id="404" w:name="Tc_2G7QxKbr7kGwnwULLP6XnQ_28_4"/>
      <w:bookmarkStart w:id="405" w:name="Tc_TPhG12rY30ivbphuisr85Q_28_1"/>
      <w:bookmarkStart w:id="406" w:name="Tc_6fp_iVgRz0O6CE-5WiBGjA_28_0"/>
      <w:bookmarkStart w:id="407" w:name="Tc_fTi23UHva06U4tCEeIYpbg_27_7"/>
      <w:bookmarkStart w:id="408" w:name="Tc_PbcuulpblEy7JlKIO0JGjA_27_4"/>
      <w:bookmarkStart w:id="409" w:name="Tc_WrsTYyjIgEy7l4svhGB2ow_27_1"/>
      <w:bookmarkStart w:id="410" w:name="Tc_Zx6_4ZJA-ESqsBSQF6JIKQ_27_0"/>
      <w:bookmarkStart w:id="411" w:name="Tc_qHhbPRcyPkypKlbR5exnWw_26_0"/>
      <w:bookmarkStart w:id="412" w:name="Tc_e_9A59KqMkmW8ky1PArANQ_25_0"/>
      <w:bookmarkStart w:id="413" w:name="Tc_CSIuVZI2tkGFd2_cqsaHSQ_23_7"/>
      <w:bookmarkStart w:id="414" w:name="Tc_da0MtS-dJ06UxI9tWlG-xg_23_4"/>
      <w:bookmarkStart w:id="415" w:name="Tc_qSGkOdyznEOLTM3_vCjfmQ_23_1"/>
      <w:bookmarkStart w:id="416" w:name="Tc_FUfjPBrcs0mtVepb_hBvew_23_0"/>
      <w:bookmarkStart w:id="417" w:name="Tc_J-NuBeG6XkWFOHyQPgoDRQ_22_8"/>
      <w:bookmarkStart w:id="418" w:name="Tc_yCE2YFtuO0Ci7s65n-X2ng_22_5"/>
      <w:bookmarkStart w:id="419" w:name="Tc_tNx_VfI4QE29cjoIpyrDQA_22_0"/>
      <w:bookmarkStart w:id="420" w:name="Tc_M2AbAN5v5UeluWLnHF_DiQ_21_0"/>
      <w:bookmarkStart w:id="421" w:name="Tc_GVDNGmyb0Uaj2ogapFi8Pg_20_0"/>
      <w:bookmarkStart w:id="422" w:name="Tc_sfZgFt_Hi0eIrpXs2AF4Pg_19_0"/>
      <w:bookmarkStart w:id="423" w:name="Tc_r8r9tvKTnEqrA5z4jGaa1g_18_0"/>
      <w:bookmarkStart w:id="424" w:name="Tc_OpJgwm2mx0GTwPOCxHhSsw_17_0"/>
      <w:bookmarkStart w:id="425" w:name="Tc_rBW_fTcXOESDR9OSYJt7xA_16_0"/>
      <w:bookmarkStart w:id="426" w:name="Tc_KHf-4-QspkC3IzLzWlx8NQ_15_5"/>
      <w:bookmarkStart w:id="427" w:name="Tc_R3c_dJCbB0yKq3m-ATRFoQ_15_2"/>
      <w:bookmarkStart w:id="428" w:name="Tc_R4ZUTCad9Um2nrnp99X1JQ_15_0"/>
      <w:bookmarkStart w:id="429" w:name="Tc_35xY6ifLykyZlgNgbONNYQ_14_0"/>
      <w:bookmarkStart w:id="430" w:name="Tc_ab5fpL_cC0ipMJgiZrGROA_13_0"/>
      <w:bookmarkStart w:id="431" w:name="Tc_9NbsHLkOrk-T1iYRc9c3Ug_12_0"/>
      <w:bookmarkStart w:id="432" w:name="Tc_i63tsvvSYEaEyfzHd67vig_11_0"/>
      <w:bookmarkStart w:id="433" w:name="Tc_PqHoz3IpDku5weoRDb0haA_10_0"/>
      <w:bookmarkStart w:id="434" w:name="Tc_dwYN3FFJ0E-PihRByQBuHg_9_0"/>
      <w:bookmarkStart w:id="435" w:name="Tc_rXfTCIK_B0u0479m7pPIug_8_0"/>
      <w:bookmarkStart w:id="436" w:name="Tc_LRtiPevcu0y_HUPvTyna2Q_7_0"/>
      <w:bookmarkStart w:id="437" w:name="Tc_okWFV20dGkCxj4GUClqWrw_6_0"/>
      <w:bookmarkStart w:id="438" w:name="Tc_fK-5GTug30eEm-HVz7hirA_5_0"/>
      <w:bookmarkStart w:id="439" w:name="Tc_D5UehEav00SAAQ4V0sxrVQ_4_7"/>
      <w:bookmarkStart w:id="440" w:name="Tc_B7jkksQNm0e4sOUww8f0wg_4_4"/>
      <w:bookmarkStart w:id="441" w:name="Tc_QF7IsNZmJkeUKCdkODC1ug_4_1"/>
      <w:bookmarkStart w:id="442" w:name="Tc_5I69SM5OhUm-DAkN3ybhPw_4_0"/>
      <w:bookmarkStart w:id="443" w:name="Tc__UyYC_jJe06QlDlZK9PWoA_3_0"/>
      <w:bookmarkStart w:id="444" w:name="Tc_7uqQGrIJ9kqjqEd-LDv5jg_2_7"/>
      <w:bookmarkStart w:id="445" w:name="Tc_K_p64v4lW0KS1Qdr_VGxvw_2_4"/>
      <w:bookmarkStart w:id="446" w:name="Tc_IXm-r--w4UeONIPD58k89Q_2_1"/>
      <w:bookmarkStart w:id="447" w:name="Tc_0tQATAA9b0-Ln5LXQQ3_wQ_1_1"/>
      <w:bookmarkStart w:id="448" w:name="_2b4acae7_a989_407c_815f_9e4734cec68d"/>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tbl>
      <w:tblPr>
        <w:tblW w:w="10205" w:type="dxa"/>
        <w:jc w:val="left"/>
        <w:tblInd w:w="0" w:type="dxa"/>
        <w:tblLayout w:type="fixed"/>
        <w:tblCellMar>
          <w:top w:w="0" w:type="dxa"/>
          <w:left w:w="0" w:type="dxa"/>
          <w:bottom w:w="0" w:type="dxa"/>
          <w:right w:w="0" w:type="dxa"/>
        </w:tblCellMar>
      </w:tblPr>
      <w:tblGrid>
        <w:gridCol w:w="4983"/>
        <w:gridCol w:w="278"/>
        <w:gridCol w:w="1371"/>
        <w:gridCol w:w="109"/>
        <w:gridCol w:w="278"/>
        <w:gridCol w:w="1371"/>
        <w:gridCol w:w="109"/>
        <w:gridCol w:w="262"/>
        <w:gridCol w:w="1444"/>
      </w:tblGrid>
      <w:tr>
        <w:trPr/>
        <w:tc>
          <w:tcPr>
            <w:tcW w:w="4983"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6530" cy="175260"/>
                      <wp:effectExtent l="0" t="0" r="0" b="0"/>
                      <wp:wrapNone/>
                      <wp:docPr id="103" name="Frame103"/>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870585" cy="175260"/>
                      <wp:effectExtent l="0" t="0" r="0" b="0"/>
                      <wp:wrapNone/>
                      <wp:docPr id="104" name="Frame104"/>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6530" cy="175260"/>
                      <wp:effectExtent l="0" t="0" r="0" b="0"/>
                      <wp:wrapNone/>
                      <wp:docPr id="106" name="Frame106"/>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70585" cy="175260"/>
                      <wp:effectExtent l="0" t="0" r="0" b="0"/>
                      <wp:wrapNone/>
                      <wp:docPr id="107" name="Frame107"/>
                      <a:graphic xmlns:a="http://schemas.openxmlformats.org/drawingml/2006/main">
                        <a:graphicData uri="http://schemas.microsoft.com/office/word/2010/wordprocessingShape">
                          <wps:wsp>
                            <wps:cNvSpPr txBox="1"/>
                            <wps:spPr>
                              <a:xfrm>
                                <a:off x="0" y="0"/>
                                <a:ext cx="870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66370" cy="175260"/>
                      <wp:effectExtent l="0" t="0" r="0" b="0"/>
                      <wp:wrapNone/>
                      <wp:docPr id="109" name="Frame10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16940" cy="175260"/>
                      <wp:effectExtent l="0" t="0" r="0" b="0"/>
                      <wp:wrapNone/>
                      <wp:docPr id="110" name="Frame110"/>
                      <a:graphic xmlns:a="http://schemas.openxmlformats.org/drawingml/2006/main">
                        <a:graphicData uri="http://schemas.microsoft.com/office/word/2010/wordprocessingShape">
                          <wps:wsp>
                            <wps:cNvSpPr txBox="1"/>
                            <wps:spPr>
                              <a:xfrm>
                                <a:off x="0" y="0"/>
                                <a:ext cx="916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3" w:type="dxa"/>
            <w:tcBorders/>
            <w:vAlign w:val="center"/>
          </w:tcPr>
          <w:p>
            <w:pPr>
              <w:pStyle w:val="TableContents"/>
              <w:bidi w:val="0"/>
              <w:spacing w:before="0" w:after="0"/>
              <w:ind w:left="0" w:right="0" w:hanging="0"/>
              <w:jc w:val="left"/>
              <w:rPr>
                <w:color w:val="FF0000"/>
              </w:rPr>
            </w:pPr>
            <w:r>
              <w:rPr>
                <w:color w:val="FF0000"/>
              </w:rPr>
              <w:t>​</w:t>
            </w:r>
          </w:p>
        </w:tc>
        <w:tc>
          <w:tcPr>
            <w:tcW w:w="52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983" w:type="dxa"/>
            <w:tcBorders/>
            <w:vAlign w:val="center"/>
          </w:tcPr>
          <w:p>
            <w:pPr>
              <w:pStyle w:val="TableContents"/>
              <w:bidi w:val="0"/>
              <w:spacing w:before="0" w:after="0"/>
              <w:ind w:left="0" w:right="0" w:hanging="0"/>
              <w:jc w:val="left"/>
              <w:rPr/>
            </w:pPr>
            <w:r>
              <w:rPr/>
              <w:t>​</w:t>
            </w:r>
          </w:p>
        </w:tc>
        <w:tc>
          <w:tcPr>
            <w:tcW w:w="1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278" w:type="dxa"/>
            <w:tcBorders/>
            <w:shd w:fill="CCEEFF" w:val="clear"/>
            <w:vAlign w:val="center"/>
          </w:tcPr>
          <w:p>
            <w:pPr>
              <w:pStyle w:val="TableContents"/>
              <w:bidi w:val="0"/>
              <w:spacing w:before="0" w:after="0"/>
              <w:ind w:left="0" w:right="0" w:hanging="0"/>
              <w:jc w:val="center"/>
              <w:rPr/>
            </w:pPr>
            <w:r>
              <w:rPr/>
              <w:t>​</w:t>
            </w:r>
          </w:p>
        </w:tc>
        <w:tc>
          <w:tcPr>
            <w:tcW w:w="137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center"/>
              <w:rPr/>
            </w:pPr>
            <w:r>
              <w:rPr/>
              <w:t>​</w:t>
            </w:r>
          </w:p>
        </w:tc>
        <w:tc>
          <w:tcPr>
            <w:tcW w:w="137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center"/>
              <w:rPr/>
            </w:pPr>
            <w:r>
              <w:rPr/>
              <w:t>​</w:t>
            </w:r>
          </w:p>
        </w:tc>
        <w:tc>
          <w:tcPr>
            <w:tcW w:w="1444" w:type="dxa"/>
            <w:tcBorders/>
            <w:shd w:fill="CCEEFF" w:val="clear"/>
            <w:vAlign w:val="center"/>
          </w:tcPr>
          <w:p>
            <w:pPr>
              <w:pStyle w:val="TableContents"/>
              <w:bidi w:val="0"/>
              <w:spacing w:before="0" w:after="0"/>
              <w:ind w:left="0" w:right="0" w:hanging="0"/>
              <w:jc w:val="center"/>
              <w:rPr/>
            </w:pPr>
            <w:r>
              <w:rPr/>
              <w:t>​</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48,657</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11,350</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52,227</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45,644</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pPr>
            <w:r>
              <w:rPr/>
              <w:t>​</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7,416</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27,383</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49,464</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41,655</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41,859</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14,015</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(16,265)</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3,266</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Distributions to Preferred Stockholders</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2,917</w:t>
            </w:r>
          </w:p>
        </w:tc>
      </w:tr>
      <w:tr>
        <w:trPr/>
        <w:tc>
          <w:tcPr>
            <w:tcW w:w="4983"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pPr>
            <w:r>
              <w:rPr/>
              <w:t>​</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pPr>
            <w:r>
              <w:rPr/>
              <w:t>​</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pPr>
            <w:r>
              <w:rPr/>
              <w:t>​</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r>
      <w:tr>
        <w:trPr/>
        <w:tc>
          <w:tcPr>
            <w:tcW w:w="4983"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left"/>
              <w:rPr/>
            </w:pPr>
            <w:r>
              <w:rPr/>
              <w:t>​</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0" w:hanging="0"/>
              <w:jc w:val="right"/>
              <w:rPr/>
            </w:pPr>
            <w:r>
              <w:rPr/>
              <w:t>​</w:t>
            </w:r>
          </w:p>
        </w:tc>
      </w:tr>
      <w:tr>
        <w:trPr/>
        <w:tc>
          <w:tcPr>
            <w:tcW w:w="49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14,328,451</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13,858,257</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4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13,925,362</w:t>
            </w:r>
          </w:p>
        </w:tc>
      </w:tr>
      <w:tr>
        <w:trPr/>
        <w:tc>
          <w:tcPr>
            <w:tcW w:w="49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15,552,305</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15,082,111</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1444"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15,560,524</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49" w:name="_c44e9a22_a7a0_4e2a_9457_81e1b770f636"/>
      <w:bookmarkStart w:id="450" w:name="CONSOLIDATEDSTATEMENTSOFCOMPINCOME"/>
      <w:bookmarkEnd w:id="449"/>
      <w:bookmarkEnd w:id="450"/>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firstLine="360"/>
        <w:jc w:val="both"/>
        <w:rPr/>
      </w:pPr>
      <w:r>
        <w:rPr/>
        <w:t>​</w:t>
      </w:r>
    </w:p>
    <w:p>
      <w:pPr>
        <w:pStyle w:val="Normal"/>
        <w:bidi w:val="0"/>
        <w:spacing w:before="0" w:after="0"/>
        <w:jc w:val="left"/>
        <w:rPr>
          <w:sz w:val="4"/>
          <w:szCs w:val="4"/>
        </w:rPr>
      </w:pPr>
      <w:r>
        <w:rPr>
          <w:sz w:val="4"/>
          <w:szCs w:val="4"/>
        </w:rPr>
      </w:r>
      <w:bookmarkStart w:id="451" w:name="Tc_4nTR5J_dyEefu6RhnRzIrQ_12_7"/>
      <w:bookmarkStart w:id="452" w:name="Tc_qKpx75-ZNkm32d3FdSE_LQ_12_4"/>
      <w:bookmarkStart w:id="453" w:name="Tc_bRl_kiIPbESRhqJTdBMMUQ_12_1"/>
      <w:bookmarkStart w:id="454" w:name="Tc_Hzjmg6g5iEW36uDxyatPrw_12_0"/>
      <w:bookmarkStart w:id="455" w:name="Tc_gsIiakbblkKAC3C_kmJseg_11_0"/>
      <w:bookmarkStart w:id="456" w:name="Tc__tlaYILRfkyy7lvLfaAFQA_10_0"/>
      <w:bookmarkStart w:id="457" w:name="Tc_IyB2mlZ-4EKfp0e9j9BjEQ_9_0"/>
      <w:bookmarkStart w:id="458" w:name="Tc_EqHHLbZyJ0Shd3ObtEmyHg_8_0"/>
      <w:bookmarkStart w:id="459" w:name="Tc_C36dChOMr027C0DTje6MLw_7_0"/>
      <w:bookmarkStart w:id="460" w:name="Tc__nlBPlRslkSRrZRgSJyoDw_6_0"/>
      <w:bookmarkStart w:id="461" w:name="Tc_u0qiCrZcJEy9LuPEd81jAw_5_0"/>
      <w:bookmarkStart w:id="462" w:name="Tc_ea1yZeQjGUOEb-UtIGln2g_4_0"/>
      <w:bookmarkStart w:id="463" w:name="Tc_hGWpkJeC80uS0QbzQv54bg_3_7"/>
      <w:bookmarkStart w:id="464" w:name="Tc_30W5HhYuxEqoVVphbxyhAQ_3_4"/>
      <w:bookmarkStart w:id="465" w:name="Tc_nzbNNnIUlkitDEoRXiOnTQ_3_1"/>
      <w:bookmarkStart w:id="466" w:name="Tc_SAq7NmuhLUSiEE4uUSHctw_3_0"/>
      <w:bookmarkStart w:id="467" w:name="Tc_tZpaGL76O0KVmb1hNsDwLw_2_7"/>
      <w:bookmarkStart w:id="468" w:name="Tc_yTmgsSp7VUGd0RCC_5a7Jw_2_4"/>
      <w:bookmarkStart w:id="469" w:name="Tc_TrPN0VIG8U-cdIcBxE98-Q_2_1"/>
      <w:bookmarkStart w:id="470" w:name="Tc_jnB--II7wkeqwAgnPuE6mg_1_1"/>
      <w:bookmarkStart w:id="471" w:name="_7102ad09_2f1a_45f8_b3a6_e09025e8de78"/>
      <w:bookmarkStart w:id="472" w:name="Tc_4nTR5J_dyEefu6RhnRzIrQ_12_7"/>
      <w:bookmarkStart w:id="473" w:name="Tc_qKpx75-ZNkm32d3FdSE_LQ_12_4"/>
      <w:bookmarkStart w:id="474" w:name="Tc_bRl_kiIPbESRhqJTdBMMUQ_12_1"/>
      <w:bookmarkStart w:id="475" w:name="Tc_Hzjmg6g5iEW36uDxyatPrw_12_0"/>
      <w:bookmarkStart w:id="476" w:name="Tc_gsIiakbblkKAC3C_kmJseg_11_0"/>
      <w:bookmarkStart w:id="477" w:name="Tc__tlaYILRfkyy7lvLfaAFQA_10_0"/>
      <w:bookmarkStart w:id="478" w:name="Tc_IyB2mlZ-4EKfp0e9j9BjEQ_9_0"/>
      <w:bookmarkStart w:id="479" w:name="Tc_EqHHLbZyJ0Shd3ObtEmyHg_8_0"/>
      <w:bookmarkStart w:id="480" w:name="Tc_C36dChOMr027C0DTje6MLw_7_0"/>
      <w:bookmarkStart w:id="481" w:name="Tc__nlBPlRslkSRrZRgSJyoDw_6_0"/>
      <w:bookmarkStart w:id="482" w:name="Tc_u0qiCrZcJEy9LuPEd81jAw_5_0"/>
      <w:bookmarkStart w:id="483" w:name="Tc_ea1yZeQjGUOEb-UtIGln2g_4_0"/>
      <w:bookmarkStart w:id="484" w:name="Tc_hGWpkJeC80uS0QbzQv54bg_3_7"/>
      <w:bookmarkStart w:id="485" w:name="Tc_30W5HhYuxEqoVVphbxyhAQ_3_4"/>
      <w:bookmarkStart w:id="486" w:name="Tc_nzbNNnIUlkitDEoRXiOnTQ_3_1"/>
      <w:bookmarkStart w:id="487" w:name="Tc_SAq7NmuhLUSiEE4uUSHctw_3_0"/>
      <w:bookmarkStart w:id="488" w:name="Tc_tZpaGL76O0KVmb1hNsDwLw_2_7"/>
      <w:bookmarkStart w:id="489" w:name="Tc_yTmgsSp7VUGd0RCC_5a7Jw_2_4"/>
      <w:bookmarkStart w:id="490" w:name="Tc_TrPN0VIG8U-cdIcBxE98-Q_2_1"/>
      <w:bookmarkStart w:id="491" w:name="Tc_jnB--II7wkeqwAgnPuE6mg_1_1"/>
      <w:bookmarkStart w:id="492" w:name="_7102ad09_2f1a_45f8_b3a6_e09025e8de78"/>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tbl>
      <w:tblPr>
        <w:tblW w:w="10205" w:type="dxa"/>
        <w:jc w:val="left"/>
        <w:tblInd w:w="0" w:type="dxa"/>
        <w:tblLayout w:type="fixed"/>
        <w:tblCellMar>
          <w:top w:w="0" w:type="dxa"/>
          <w:left w:w="0" w:type="dxa"/>
          <w:bottom w:w="0" w:type="dxa"/>
          <w:right w:w="0" w:type="dxa"/>
        </w:tblCellMar>
      </w:tblPr>
      <w:tblGrid>
        <w:gridCol w:w="5194"/>
        <w:gridCol w:w="401"/>
        <w:gridCol w:w="1205"/>
        <w:gridCol w:w="109"/>
        <w:gridCol w:w="401"/>
        <w:gridCol w:w="1205"/>
        <w:gridCol w:w="109"/>
        <w:gridCol w:w="374"/>
        <w:gridCol w:w="1207"/>
      </w:tblGrid>
      <w:tr>
        <w:trPr/>
        <w:tc>
          <w:tcPr>
            <w:tcW w:w="5194"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54635" cy="175260"/>
                      <wp:effectExtent l="0" t="0" r="0" b="0"/>
                      <wp:wrapNone/>
                      <wp:docPr id="111" name="Frame111"/>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65175" cy="175260"/>
                      <wp:effectExtent l="0" t="0" r="0" b="0"/>
                      <wp:wrapNone/>
                      <wp:docPr id="112" name="Frame112"/>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54635" cy="175260"/>
                      <wp:effectExtent l="0" t="0" r="0" b="0"/>
                      <wp:wrapNone/>
                      <wp:docPr id="114" name="Frame114"/>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765175" cy="175260"/>
                      <wp:effectExtent l="0" t="0" r="0" b="0"/>
                      <wp:wrapNone/>
                      <wp:docPr id="115" name="Frame115"/>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37490" cy="175260"/>
                      <wp:effectExtent l="0" t="0" r="0" b="0"/>
                      <wp:wrapNone/>
                      <wp:docPr id="117" name="Frame117"/>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66445" cy="175260"/>
                      <wp:effectExtent l="0" t="0" r="0" b="0"/>
                      <wp:wrapNone/>
                      <wp:docPr id="118" name="Frame118"/>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94" w:type="dxa"/>
            <w:tcBorders/>
            <w:vAlign w:val="center"/>
          </w:tcPr>
          <w:p>
            <w:pPr>
              <w:pStyle w:val="TableContents"/>
              <w:bidi w:val="0"/>
              <w:spacing w:before="0" w:after="0"/>
              <w:ind w:left="0" w:right="0" w:hanging="0"/>
              <w:jc w:val="left"/>
              <w:rPr>
                <w:color w:val="0000FF"/>
              </w:rPr>
            </w:pPr>
            <w:r>
              <w:rPr>
                <w:color w:val="0000FF"/>
              </w:rPr>
              <w:t>​</w:t>
            </w:r>
          </w:p>
        </w:tc>
        <w:tc>
          <w:tcPr>
            <w:tcW w:w="501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5194" w:type="dxa"/>
            <w:tcBorders/>
            <w:vAlign w:val="center"/>
          </w:tcPr>
          <w:p>
            <w:pPr>
              <w:pStyle w:val="TableContents"/>
              <w:bidi w:val="0"/>
              <w:spacing w:before="0" w:after="0"/>
              <w:ind w:left="0" w:right="0" w:hanging="0"/>
              <w:jc w:val="center"/>
              <w:rPr/>
            </w:pPr>
            <w:r>
              <w:rPr/>
              <w:t>​</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5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1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(2,885)</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2,254</w:t>
            </w:r>
          </w:p>
        </w:tc>
        <w:tc>
          <w:tcPr>
            <w:tcW w:w="109"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3,266</w:t>
            </w:r>
          </w:p>
        </w:tc>
      </w:tr>
      <w:tr>
        <w:trPr/>
        <w:tc>
          <w:tcPr>
            <w:tcW w:w="5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401"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r>
      <w:tr>
        <w:trPr/>
        <w:tc>
          <w:tcPr>
            <w:tcW w:w="51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(5,944)</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(2,736)</w:t>
            </w:r>
          </w:p>
        </w:tc>
        <w:tc>
          <w:tcPr>
            <w:tcW w:w="109"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(3,778)</w:t>
            </w:r>
          </w:p>
        </w:tc>
      </w:tr>
      <w:tr>
        <w:trPr/>
        <w:tc>
          <w:tcPr>
            <w:tcW w:w="5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(5,944)</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(2,736)</w:t>
            </w:r>
          </w:p>
        </w:tc>
        <w:tc>
          <w:tcPr>
            <w:tcW w:w="109"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(3,778)</w:t>
            </w:r>
          </w:p>
        </w:tc>
      </w:tr>
      <w:tr>
        <w:trPr/>
        <w:tc>
          <w:tcPr>
            <w:tcW w:w="51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(8,829)</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(482)</w:t>
            </w:r>
          </w:p>
        </w:tc>
        <w:tc>
          <w:tcPr>
            <w:tcW w:w="109"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(512)</w:t>
            </w:r>
          </w:p>
        </w:tc>
      </w:tr>
      <w:tr>
        <w:trPr/>
        <w:tc>
          <w:tcPr>
            <w:tcW w:w="5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Loss Attributable to Noncontrolling Interest</w:t>
            </w:r>
          </w:p>
        </w:tc>
        <w:tc>
          <w:tcPr>
            <w:tcW w:w="401"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left"/>
              <w:rPr/>
            </w:pPr>
            <w:r>
              <w:rPr/>
              <w:t>​</w:t>
            </w:r>
          </w:p>
        </w:tc>
      </w:tr>
      <w:tr>
        <w:trPr/>
        <w:tc>
          <w:tcPr>
            <w:tcW w:w="51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Noncontrolling Interest</w:t>
            </w:r>
          </w:p>
        </w:tc>
        <w:tc>
          <w:tcPr>
            <w:tcW w:w="401" w:type="dxa"/>
            <w:tcBorders/>
            <w:shd w:fill="CCEEFF" w:val="clear"/>
            <w:vAlign w:val="center"/>
          </w:tcPr>
          <w:p>
            <w:pPr>
              <w:pStyle w:val="TableContents"/>
              <w:bidi w:val="0"/>
              <w:spacing w:before="0" w:after="0"/>
              <w:ind w:left="0" w:right="0" w:hanging="0"/>
              <w:jc w:val="left"/>
              <w:rPr/>
            </w:pPr>
            <w:r>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228</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w:t>
            </w:r>
          </w:p>
        </w:tc>
        <w:tc>
          <w:tcPr>
            <w:tcW w:w="109"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(349)</w:t>
            </w:r>
          </w:p>
        </w:tc>
      </w:tr>
      <w:tr>
        <w:trPr/>
        <w:tc>
          <w:tcPr>
            <w:tcW w:w="5194"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Comprehensive Loss (Income) Attributable to Noncontrolling Interest </w:t>
            </w:r>
            <w:r>
              <w:rPr>
                <w:rFonts w:ascii="Times New Roman;Times;serif" w:hAnsi="Times New Roman;Times;serif"/>
                <w:sz w:val="15"/>
              </w:rPr>
              <w:t>(1)</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466</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232</w:t>
            </w:r>
          </w:p>
        </w:tc>
        <w:tc>
          <w:tcPr>
            <w:tcW w:w="109"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(1,548)</w:t>
            </w:r>
          </w:p>
        </w:tc>
      </w:tr>
      <w:tr>
        <w:trPr/>
        <w:tc>
          <w:tcPr>
            <w:tcW w:w="51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(Income) Attributable to Noncontrolling Interest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694</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(1,897)</w:t>
            </w:r>
          </w:p>
        </w:tc>
      </w:tr>
      <w:tr>
        <w:trPr/>
        <w:tc>
          <w:tcPr>
            <w:tcW w:w="51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 Attributable to Alpine Income Property Trust, Inc.</w:t>
            </w:r>
          </w:p>
        </w:tc>
        <w:tc>
          <w:tcPr>
            <w:tcW w:w="4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(8,135)</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(438)</w:t>
            </w:r>
          </w:p>
        </w:tc>
        <w:tc>
          <w:tcPr>
            <w:tcW w:w="109" w:type="dxa"/>
            <w:tcBorders/>
            <w:vAlign w:val="center"/>
          </w:tcPr>
          <w:p>
            <w:pPr>
              <w:pStyle w:val="TableContents"/>
              <w:bidi w:val="0"/>
              <w:spacing w:before="0" w:after="0"/>
              <w:ind w:left="0" w:right="0" w:hanging="0"/>
              <w:jc w:val="left"/>
              <w:rPr/>
            </w:pPr>
            <w:r>
              <w:rPr/>
              <w:t>​</w:t>
            </w:r>
          </w:p>
        </w:tc>
        <w:tc>
          <w:tcPr>
            <w:tcW w:w="3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12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(2,409)</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For the year ended December 31, 2023, the $1.5</w:t>
            </w:r>
            <w:r>
              <w:rPr>
                <w:caps w:val="false"/>
                <w:smallCaps w:val="false"/>
              </w:rPr>
              <w:t xml:space="preserve"> </w:t>
            </w:r>
            <w:r>
              <w:rPr>
                <w:rFonts w:ascii="Times New Roman;Times;serif" w:hAnsi="Times New Roman;Times;serif"/>
                <w:b w:val="false"/>
                <w:i w:val="false"/>
                <w:caps w:val="false"/>
                <w:smallCaps w:val="false"/>
                <w:sz w:val="16"/>
              </w:rPr>
              <w:t>million of other comprehensive income attributable to the noncontrolling interest includes approximately $1.8</w:t>
            </w:r>
            <w:r>
              <w:rPr>
                <w:caps w:val="false"/>
                <w:smallCaps w:val="false"/>
              </w:rPr>
              <w:t xml:space="preserve"> </w:t>
            </w:r>
            <w:r>
              <w:rPr>
                <w:rFonts w:ascii="Times New Roman;Times;serif" w:hAnsi="Times New Roman;Times;serif"/>
                <w:b w:val="false"/>
                <w:i w:val="false"/>
                <w:caps w:val="false"/>
                <w:smallCaps w:val="false"/>
                <w:sz w:val="16"/>
              </w:rPr>
              <w:t>million of other comprehensive income which represents the cumulative amount that should have been attributed to the noncontrolling interest through December 31, 2022.</w:t>
            </w:r>
          </w:p>
        </w:tc>
      </w:tr>
    </w:tbl>
    <w:p>
      <w:pPr>
        <w:pStyle w:val="TextBody"/>
        <w:bidi w:val="0"/>
        <w:spacing w:before="24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493" w:name="_92e0f0c4_fb84_450e_b96a_b282d3d94241"/>
      <w:bookmarkEnd w:id="493"/>
      <w:r>
        <w:rPr>
          <w:rFonts w:ascii="Times New Roman;Times;serif" w:hAnsi="Times New Roman;Times;serif"/>
          <w:b/>
          <w:sz w:val="16"/>
        </w:rPr>
        <w:t>ALPINE INCOME PROPERTY TRUST, INC.</w:t>
      </w:r>
    </w:p>
    <w:p>
      <w:pPr>
        <w:pStyle w:val="TextBody"/>
        <w:bidi w:val="0"/>
        <w:spacing w:before="0" w:after="0"/>
        <w:ind w:left="0" w:right="0" w:hanging="0"/>
        <w:jc w:val="center"/>
        <w:rPr>
          <w:rFonts w:ascii="Times New Roman;Times;serif" w:hAnsi="Times New Roman;Times;serif"/>
          <w:b/>
          <w:sz w:val="16"/>
        </w:rPr>
      </w:pPr>
      <w:bookmarkStart w:id="494" w:name="CONSOLIDATEDANDCOMBINEDSTATEMENTSOFEQUIT"/>
      <w:bookmarkEnd w:id="494"/>
      <w:r>
        <w:rPr>
          <w:rFonts w:ascii="Times New Roman;Times;serif" w:hAnsi="Times New Roman;Times;serif"/>
          <w:b/>
          <w:sz w:val="16"/>
        </w:rPr>
        <w:t>CONSOLIDATED STATEMENTS OF STOCKHOLDERS’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95" w:name="Tc_Dkq_ArODk0aKO3yta4xg2Q_26_23"/>
      <w:bookmarkStart w:id="496" w:name="Tc_quSqv73piEmtaxoHILqicg_26_20"/>
      <w:bookmarkStart w:id="497" w:name="Tc_QgR2CcNZZ0SE7tjGSX3BXA_26_17"/>
      <w:bookmarkStart w:id="498" w:name="Tc_KIIvMlo6o0Cfu-VmPMyqhQ_26_14"/>
      <w:bookmarkStart w:id="499" w:name="Tc_KwIeAWygHU2NfqBBz768DA_26_11"/>
      <w:bookmarkStart w:id="500" w:name="Tc_xOPSQnqChUurOGdwWB_z3A_26_8"/>
      <w:bookmarkStart w:id="501" w:name="Tc_SYiXH1mN_kGkp6PQ1WLtKQ_26_5"/>
      <w:bookmarkStart w:id="502" w:name="Tc_19jTIuHVrEy30cIKskM3Cw_26_2"/>
      <w:bookmarkStart w:id="503" w:name="Tc_uSrJfJlZIkeAW6RSvLafhg_26_0"/>
      <w:bookmarkStart w:id="504" w:name="Tc_E-eGIYkmOUq7-4J6XeKcFA_25_12"/>
      <w:bookmarkStart w:id="505" w:name="Tc_FybZC8iegkSTLtLusMtI_Q_25_9"/>
      <w:bookmarkStart w:id="506" w:name="Tc_5nQsGa_q6UyonVtJIrIkvw_25_6"/>
      <w:bookmarkStart w:id="507" w:name="Tc_q3lM0qVFs0qOwLOQqs8mTA_25_3"/>
      <w:bookmarkStart w:id="508" w:name="Tc_H8hF2KFQ-0qNRufwMz0q1g_25_0"/>
      <w:bookmarkStart w:id="509" w:name="Tc_T6PnTIEMQ069KUjA7vjtiw_24_15"/>
      <w:bookmarkStart w:id="510" w:name="Tc_DJM9VnJBeEC-w04QfItkDQ_24_9"/>
      <w:bookmarkStart w:id="511" w:name="Tc_kcVh1AJNgUeQzniMP_cXIg_24_6"/>
      <w:bookmarkStart w:id="512" w:name="Tc_cVo8elYVI0K7qZmmDbHqVQ_24_3"/>
      <w:bookmarkStart w:id="513" w:name="Tc_5efFLrqyHk6tmyiL0glkCw_24_0"/>
      <w:bookmarkStart w:id="514" w:name="Tc_lpN3z53ZYUiXRB4at1fsHg_23_21"/>
      <w:bookmarkStart w:id="515" w:name="Tc_nIc9QHh9P0WSZNBuBU4VYQ_23_15"/>
      <w:bookmarkStart w:id="516" w:name="Tc_zL0KpwEDqEGnHAQwqsKt0Q_23_9"/>
      <w:bookmarkStart w:id="517" w:name="Tc_MISBeeDSYkG5Ej8kQG7gaQ_23_6"/>
      <w:bookmarkStart w:id="518" w:name="Tc_PvSKR2ArSkC-0a42ESjtgA_23_3"/>
      <w:bookmarkStart w:id="519" w:name="Tc_otDBStH9EEC0IRYi88P1tg_23_0"/>
      <w:bookmarkStart w:id="520" w:name="Tc_aO6TM3hws0yx3XEc0q-LHw_22_21"/>
      <w:bookmarkStart w:id="521" w:name="Tc___r0E8mDxE6P_5yKIW7maQ_22_15"/>
      <w:bookmarkStart w:id="522" w:name="Tc_mFScXCbTGUWQCUhwtSacgw_22_12"/>
      <w:bookmarkStart w:id="523" w:name="Tc_9nJvJIXd7Uac9BX1SlS8gA_22_0"/>
      <w:bookmarkStart w:id="524" w:name="Tc_orfaZtX8Mkir8pia5VDGyw_21_21"/>
      <w:bookmarkStart w:id="525" w:name="Tc_wnE5Oq05u0CLxARdgfuO9A_21_15"/>
      <w:bookmarkStart w:id="526" w:name="Tc_KCNZ0PNgPUOjnlKlVCUz-w_21_12"/>
      <w:bookmarkStart w:id="527" w:name="Tc_aEvR9b7wLUCPHXfB-weQnw_21_6"/>
      <w:bookmarkStart w:id="528" w:name="Tc_HzEvkvWwYk6MwQ_cnTrVxw_21_0"/>
      <w:bookmarkStart w:id="529" w:name="Tc_DKWwNSiLc0qGS99Tr94SeQ_20_21"/>
      <w:bookmarkStart w:id="530" w:name="Tc_ZdSGzkoGUkK0Q9RCm_44DA_20_15"/>
      <w:bookmarkStart w:id="531" w:name="Tc_1IPkkMqi3UCv9yGe5z6VEA_20_12"/>
      <w:bookmarkStart w:id="532" w:name="Tc_fg9rtrK8SECVFlxsQrVLxQ_20_6"/>
      <w:bookmarkStart w:id="533" w:name="Tc_p6PV9M4l-k22RyMBVRpdgQ_20_3"/>
      <w:bookmarkStart w:id="534" w:name="Tc_JZXKDjMwAU2z8KAM84KuhA_20_0"/>
      <w:bookmarkStart w:id="535" w:name="Tc_fVxAgs-BWEmvIsDkcrgY0A_19_21"/>
      <w:bookmarkStart w:id="536" w:name="Tc_f-5aDFfKM0mgBcYClvg9qA_19_15"/>
      <w:bookmarkStart w:id="537" w:name="Tc_yPw84iqZKUCp6sJP_M2xug_19_12"/>
      <w:bookmarkStart w:id="538" w:name="Tc_c1JtVVd8rUGryx9ISF8VbA_19_3"/>
      <w:bookmarkStart w:id="539" w:name="Tc_ARjEj4uOEU-BCmnibZyWAQ_19_0"/>
      <w:bookmarkStart w:id="540" w:name="Tc_00yetXOAoUSKPENuPdAnuA_18_15"/>
      <w:bookmarkStart w:id="541" w:name="Tc_LOUM6TFOT02hYSkE7AmNLg_18_9"/>
      <w:bookmarkStart w:id="542" w:name="Tc_7ZcVUh-WWU6d6dC1ncpuWw_18_6"/>
      <w:bookmarkStart w:id="543" w:name="Tc_qKEOOxmUyE--6tM4eWZ3Uw_18_3"/>
      <w:bookmarkStart w:id="544" w:name="Tc_FTb12M_bIUOVuwr9I0qLHw_18_0"/>
      <w:bookmarkStart w:id="545" w:name="Tc_nW36dpO00E6cI1iMGU1ITw_17_3"/>
      <w:bookmarkStart w:id="546" w:name="Tc_dQ8Lras_lkSmnRLxaION0g_17_0"/>
      <w:bookmarkStart w:id="547" w:name="Tc_BIi7djLKkUqW-AnXCXcZtQ_16_12"/>
      <w:bookmarkStart w:id="548" w:name="Tc_W7ceNv_9t0y36q3yIPvE5Q_16_9"/>
      <w:bookmarkStart w:id="549" w:name="Tc_cxbNYwETY0ShqAlgvbfnbQ_16_6"/>
      <w:bookmarkStart w:id="550" w:name="Tc_W1_7YrsaF0iXY9OuuCJmig_16_3"/>
      <w:bookmarkStart w:id="551" w:name="Tc_yVPfYYcqKEuGsDP8hsmAhg_16_0"/>
      <w:bookmarkStart w:id="552" w:name="Tc_e4j7-qDlvE6GiYhadwzndQ_15_15"/>
      <w:bookmarkStart w:id="553" w:name="Tc_umz0mAMPpUGMutoSP9DdnQ_15_9"/>
      <w:bookmarkStart w:id="554" w:name="Tc_Gp9MUWM-xUuOBwNyT0d4ug_15_6"/>
      <w:bookmarkStart w:id="555" w:name="Tc_OHRAWZ16mE6tW4nRXxaNbQ_15_3"/>
      <w:bookmarkStart w:id="556" w:name="Tc_CAaO8A8U5kyv55hqYsD0DA_15_0"/>
      <w:bookmarkStart w:id="557" w:name="Tc__Y-hq_vljU2JWn9LW6-JcQ_14_21"/>
      <w:bookmarkStart w:id="558" w:name="Tc_L4Ey7ui4XEC8boV_WlYh5w_14_15"/>
      <w:bookmarkStart w:id="559" w:name="Tc_kZPZep8y8U22iQ3CfJNrmw_14_12"/>
      <w:bookmarkStart w:id="560" w:name="Tc_cIPnoG4lw0OpGCS0zB4o-Q_14_3"/>
      <w:bookmarkStart w:id="561" w:name="Tc_GRhW9o70AEukka-WEiPHug_14_0"/>
      <w:bookmarkStart w:id="562" w:name="Tc_eG-dwS0fZ0KB0-7df844gg_13_21"/>
      <w:bookmarkStart w:id="563" w:name="Tc_gXq5uZRcHU61_XD0gw5DMg_13_15"/>
      <w:bookmarkStart w:id="564" w:name="Tc_sIYaSLDIxk6MwcqTFIcpDw_13_12"/>
      <w:bookmarkStart w:id="565" w:name="Tc_mJF2EFr27EuASoIDwZ-QTA_13_6"/>
      <w:bookmarkStart w:id="566" w:name="Tc_ZcZjiH_RRUG_A8Wjmb-yng_13_3"/>
      <w:bookmarkStart w:id="567" w:name="Tc_0xexgUYaEUCwJlPQo1uRZg_13_0"/>
      <w:bookmarkStart w:id="568" w:name="Tc_eHXgKye1tUK3DHj1wa1WIA_12_21"/>
      <w:bookmarkStart w:id="569" w:name="Tc_CFB9OtB9E0qaZmGYNbrwYQ_12_15"/>
      <w:bookmarkStart w:id="570" w:name="Tc_jx9b3WEbNEiqzZoL597tog_12_12"/>
      <w:bookmarkStart w:id="571" w:name="Tc_KykLL1mXLU-8PLh4ZNv6hQ_12_3"/>
      <w:bookmarkStart w:id="572" w:name="Tc_Yg81vZgre0axCwTMFt0Tww_12_0"/>
      <w:bookmarkStart w:id="573" w:name="Tc_ysTB6EUIQEGQr6PDg8zUvA_11_15"/>
      <w:bookmarkStart w:id="574" w:name="Tc_m6WkzycpWEyL6-NubgHSjQ_11_9"/>
      <w:bookmarkStart w:id="575" w:name="Tc_MGh1eEBgZE61SwOM1UJ_sQ_11_6"/>
      <w:bookmarkStart w:id="576" w:name="Tc_UAseF4_EIUyLNq6DHitviw_11_3"/>
      <w:bookmarkStart w:id="577" w:name="Tc_y7WxUgo2ikulqOfIuV9KFw_11_0"/>
      <w:bookmarkStart w:id="578" w:name="Tc_rkTQ8780cUCPQYXjTAqQxQ_10_3"/>
      <w:bookmarkStart w:id="579" w:name="Tc_-zrdpvA840Kflk0cJvwDTw_10_0"/>
      <w:bookmarkStart w:id="580" w:name="Tc_GI7kLRepVEewfVU6urlJfw_9_12"/>
      <w:bookmarkStart w:id="581" w:name="Tc__uCGk5174EeBjx9juloN_w_9_9"/>
      <w:bookmarkStart w:id="582" w:name="Tc_DUnviY_sDkO3EtsX6xTW4A_9_6"/>
      <w:bookmarkStart w:id="583" w:name="Tc_IIIHos02SEW9P7mq8D46Vw_9_3"/>
      <w:bookmarkStart w:id="584" w:name="Tc_WerkoiPlgESYVvOI8CPIVg_9_0"/>
      <w:bookmarkStart w:id="585" w:name="Tc_c7k1SUmgzUq1mb7yaiTtJA_8_15"/>
      <w:bookmarkStart w:id="586" w:name="Tc_qRA-5toQj0Odl30TWR6BYQ_8_9"/>
      <w:bookmarkStart w:id="587" w:name="Tc_UsB5IB5lvECcSq-Akokg7g_8_6"/>
      <w:bookmarkStart w:id="588" w:name="Tc_z6JnjSyON0eUuf8MREYotA_8_3"/>
      <w:bookmarkStart w:id="589" w:name="Tc_07ZcZctrg0qcxieHoTzAZg_8_0"/>
      <w:bookmarkStart w:id="590" w:name="Tc_dGTBZtm26EuqpuokI6RQsw_7_21"/>
      <w:bookmarkStart w:id="591" w:name="Tc_NB7pjpH340-xSHJTBPL2ew_7_15"/>
      <w:bookmarkStart w:id="592" w:name="Tc_gL8P3sqNMEe7ZcaMzfq28Q_7_12"/>
      <w:bookmarkStart w:id="593" w:name="Tc_lerjG8SjpEmf0sIUcXdKLw_7_3"/>
      <w:bookmarkStart w:id="594" w:name="Tc_tZSf8BAWFUCXpexcbU0aNw_7_0"/>
      <w:bookmarkStart w:id="595" w:name="Tc_5Q5o4BqU2UuwXgCjfTY8Bw_6_21"/>
      <w:bookmarkStart w:id="596" w:name="Tc_ivp3FzcaD0uYXZv_dMBS1g_6_15"/>
      <w:bookmarkStart w:id="597" w:name="Tc_cMNGuuzTSkmGBxa2s_3MZQ_6_12"/>
      <w:bookmarkStart w:id="598" w:name="Tc_7s7VCm3l40OY6C3UvpB_fw_6_6"/>
      <w:bookmarkStart w:id="599" w:name="Tc_FP7yUdu7n0uCkvkLb5iglw_6_3"/>
      <w:bookmarkStart w:id="600" w:name="Tc_zzXXiovxLUSugiIKh4XYBg_6_0"/>
      <w:bookmarkStart w:id="601" w:name="Tc_vozTCuTvDkGXdhHOtFK4Ug_5_21"/>
      <w:bookmarkStart w:id="602" w:name="Tc_VHQwcvsxhUeyTij5VzggJA_5_15"/>
      <w:bookmarkStart w:id="603" w:name="Tc_3kq79Dc390StHsDXdYOhfw_5_12"/>
      <w:bookmarkStart w:id="604" w:name="Tc_vSGVmX9huEeWLt66REWaNw_5_3"/>
      <w:bookmarkStart w:id="605" w:name="Tc_SOac8FI2PUym4MwAkcco2A_5_0"/>
      <w:bookmarkStart w:id="606" w:name="Tc__5vtKd2D2kyKAHGm6c-Qdg_4_24"/>
      <w:bookmarkStart w:id="607" w:name="Tc_F8Tv0yB59EGeSbl-nV7obA_4_15"/>
      <w:bookmarkStart w:id="608" w:name="Tc_MDfwYG9yEE6JP5MDRkujGA_4_12"/>
      <w:bookmarkStart w:id="609" w:name="Tc_H60M7DTLIEObTO59lNgI3A_4_3"/>
      <w:bookmarkStart w:id="610" w:name="Tc_HfDhlxFf80KKhu0BB6ROJA_4_0"/>
      <w:bookmarkStart w:id="611" w:name="Tc_1upnfTZy3ku47_oawSd1jA_3_15"/>
      <w:bookmarkStart w:id="612" w:name="Tc_1MmMP-sd-0SrxD5jDzl1wA_3_9"/>
      <w:bookmarkStart w:id="613" w:name="Tc_GfCZsDMHTEmf4cCjJhGF7Q_3_6"/>
      <w:bookmarkStart w:id="614" w:name="Tc_oClBzhP24EWrUNWQgDMxBg_3_3"/>
      <w:bookmarkStart w:id="615" w:name="Tc_njhmkj39C0KHGI8-2asUgg_3_0"/>
      <w:bookmarkStart w:id="616" w:name="Tc_bXBht-FWf0K6X37OhYML1A_2_23"/>
      <w:bookmarkStart w:id="617" w:name="Tc_maIzX68KnEaqoWetN8MtHA_2_20"/>
      <w:bookmarkStart w:id="618" w:name="Tc_uJcHaYsR4kenz-DFrG1nmg_2_17"/>
      <w:bookmarkStart w:id="619" w:name="Tc_aO6uNvxtfEep4EDtC6377A_2_14"/>
      <w:bookmarkStart w:id="620" w:name="Tc_aWj7MVkpPEuc1Q0VDS3XNw_2_11"/>
      <w:bookmarkStart w:id="621" w:name="Tc_dCh6wX1qTkaY4F1JQvdOBQ_2_8"/>
      <w:bookmarkStart w:id="622" w:name="Tc_siPhUll2jUaAWTatPy_sjQ_2_5"/>
      <w:bookmarkStart w:id="623" w:name="Tc_jQsKo6siJUyNLlPICjvO7Q_2_3"/>
      <w:bookmarkStart w:id="624" w:name="Tc_haIDSOw8vEiWH5wtAsGObA_2_2"/>
      <w:bookmarkStart w:id="625" w:name="Tc_hMeGXQ5Kek2VsSF-kVKsDw_2_0"/>
      <w:bookmarkStart w:id="626" w:name="Tc_lA-UysIP_k-5w9ya1bg4ow_1_23"/>
      <w:bookmarkStart w:id="627" w:name="Tc_5_NaHY9RFkWu3rTucUbh_A_1_20"/>
      <w:bookmarkStart w:id="628" w:name="Tc_hGQRPFJpeUSTMkmzsRd4TA_1_17"/>
      <w:bookmarkStart w:id="629" w:name="Tc_si1sbEj24Eu68EUYGa9Oiw_1_14"/>
      <w:bookmarkStart w:id="630" w:name="Tc_0vBbCx70h0yEGehJYllIAg_1_11"/>
      <w:bookmarkStart w:id="631" w:name="Tc_54Rg28F54Ua0Qeoqdb4hZA_1_8"/>
      <w:bookmarkStart w:id="632" w:name="Tc_57sFGCwG3ki9pNjHQgFXcw_1_5"/>
      <w:bookmarkStart w:id="633" w:name="Tc_bgBakWdyq023NWlkMEPmcA_1_2"/>
      <w:bookmarkStart w:id="634" w:name="_5ab3e7a7_29fd_4fd3_9b3c_4fafad889d0d"/>
      <w:bookmarkStart w:id="635" w:name="Tc_Dkq_ArODk0aKO3yta4xg2Q_26_23"/>
      <w:bookmarkStart w:id="636" w:name="Tc_quSqv73piEmtaxoHILqicg_26_20"/>
      <w:bookmarkStart w:id="637" w:name="Tc_QgR2CcNZZ0SE7tjGSX3BXA_26_17"/>
      <w:bookmarkStart w:id="638" w:name="Tc_KIIvMlo6o0Cfu-VmPMyqhQ_26_14"/>
      <w:bookmarkStart w:id="639" w:name="Tc_KwIeAWygHU2NfqBBz768DA_26_11"/>
      <w:bookmarkStart w:id="640" w:name="Tc_xOPSQnqChUurOGdwWB_z3A_26_8"/>
      <w:bookmarkStart w:id="641" w:name="Tc_SYiXH1mN_kGkp6PQ1WLtKQ_26_5"/>
      <w:bookmarkStart w:id="642" w:name="Tc_19jTIuHVrEy30cIKskM3Cw_26_2"/>
      <w:bookmarkStart w:id="643" w:name="Tc_uSrJfJlZIkeAW6RSvLafhg_26_0"/>
      <w:bookmarkStart w:id="644" w:name="Tc_E-eGIYkmOUq7-4J6XeKcFA_25_12"/>
      <w:bookmarkStart w:id="645" w:name="Tc_FybZC8iegkSTLtLusMtI_Q_25_9"/>
      <w:bookmarkStart w:id="646" w:name="Tc_5nQsGa_q6UyonVtJIrIkvw_25_6"/>
      <w:bookmarkStart w:id="647" w:name="Tc_q3lM0qVFs0qOwLOQqs8mTA_25_3"/>
      <w:bookmarkStart w:id="648" w:name="Tc_H8hF2KFQ-0qNRufwMz0q1g_25_0"/>
      <w:bookmarkStart w:id="649" w:name="Tc_T6PnTIEMQ069KUjA7vjtiw_24_15"/>
      <w:bookmarkStart w:id="650" w:name="Tc_DJM9VnJBeEC-w04QfItkDQ_24_9"/>
      <w:bookmarkStart w:id="651" w:name="Tc_kcVh1AJNgUeQzniMP_cXIg_24_6"/>
      <w:bookmarkStart w:id="652" w:name="Tc_cVo8elYVI0K7qZmmDbHqVQ_24_3"/>
      <w:bookmarkStart w:id="653" w:name="Tc_5efFLrqyHk6tmyiL0glkCw_24_0"/>
      <w:bookmarkStart w:id="654" w:name="Tc_lpN3z53ZYUiXRB4at1fsHg_23_21"/>
      <w:bookmarkStart w:id="655" w:name="Tc_nIc9QHh9P0WSZNBuBU4VYQ_23_15"/>
      <w:bookmarkStart w:id="656" w:name="Tc_zL0KpwEDqEGnHAQwqsKt0Q_23_9"/>
      <w:bookmarkStart w:id="657" w:name="Tc_MISBeeDSYkG5Ej8kQG7gaQ_23_6"/>
      <w:bookmarkStart w:id="658" w:name="Tc_PvSKR2ArSkC-0a42ESjtgA_23_3"/>
      <w:bookmarkStart w:id="659" w:name="Tc_otDBStH9EEC0IRYi88P1tg_23_0"/>
      <w:bookmarkStart w:id="660" w:name="Tc_aO6TM3hws0yx3XEc0q-LHw_22_21"/>
      <w:bookmarkStart w:id="661" w:name="Tc___r0E8mDxE6P_5yKIW7maQ_22_15"/>
      <w:bookmarkStart w:id="662" w:name="Tc_mFScXCbTGUWQCUhwtSacgw_22_12"/>
      <w:bookmarkStart w:id="663" w:name="Tc_9nJvJIXd7Uac9BX1SlS8gA_22_0"/>
      <w:bookmarkStart w:id="664" w:name="Tc_orfaZtX8Mkir8pia5VDGyw_21_21"/>
      <w:bookmarkStart w:id="665" w:name="Tc_wnE5Oq05u0CLxARdgfuO9A_21_15"/>
      <w:bookmarkStart w:id="666" w:name="Tc_KCNZ0PNgPUOjnlKlVCUz-w_21_12"/>
      <w:bookmarkStart w:id="667" w:name="Tc_aEvR9b7wLUCPHXfB-weQnw_21_6"/>
      <w:bookmarkStart w:id="668" w:name="Tc_HzEvkvWwYk6MwQ_cnTrVxw_21_0"/>
      <w:bookmarkStart w:id="669" w:name="Tc_DKWwNSiLc0qGS99Tr94SeQ_20_21"/>
      <w:bookmarkStart w:id="670" w:name="Tc_ZdSGzkoGUkK0Q9RCm_44DA_20_15"/>
      <w:bookmarkStart w:id="671" w:name="Tc_1IPkkMqi3UCv9yGe5z6VEA_20_12"/>
      <w:bookmarkStart w:id="672" w:name="Tc_fg9rtrK8SECVFlxsQrVLxQ_20_6"/>
      <w:bookmarkStart w:id="673" w:name="Tc_p6PV9M4l-k22RyMBVRpdgQ_20_3"/>
      <w:bookmarkStart w:id="674" w:name="Tc_JZXKDjMwAU2z8KAM84KuhA_20_0"/>
      <w:bookmarkStart w:id="675" w:name="Tc_fVxAgs-BWEmvIsDkcrgY0A_19_21"/>
      <w:bookmarkStart w:id="676" w:name="Tc_f-5aDFfKM0mgBcYClvg9qA_19_15"/>
      <w:bookmarkStart w:id="677" w:name="Tc_yPw84iqZKUCp6sJP_M2xug_19_12"/>
      <w:bookmarkStart w:id="678" w:name="Tc_c1JtVVd8rUGryx9ISF8VbA_19_3"/>
      <w:bookmarkStart w:id="679" w:name="Tc_ARjEj4uOEU-BCmnibZyWAQ_19_0"/>
      <w:bookmarkStart w:id="680" w:name="Tc_00yetXOAoUSKPENuPdAnuA_18_15"/>
      <w:bookmarkStart w:id="681" w:name="Tc_LOUM6TFOT02hYSkE7AmNLg_18_9"/>
      <w:bookmarkStart w:id="682" w:name="Tc_7ZcVUh-WWU6d6dC1ncpuWw_18_6"/>
      <w:bookmarkStart w:id="683" w:name="Tc_qKEOOxmUyE--6tM4eWZ3Uw_18_3"/>
      <w:bookmarkStart w:id="684" w:name="Tc_FTb12M_bIUOVuwr9I0qLHw_18_0"/>
      <w:bookmarkStart w:id="685" w:name="Tc_nW36dpO00E6cI1iMGU1ITw_17_3"/>
      <w:bookmarkStart w:id="686" w:name="Tc_dQ8Lras_lkSmnRLxaION0g_17_0"/>
      <w:bookmarkStart w:id="687" w:name="Tc_BIi7djLKkUqW-AnXCXcZtQ_16_12"/>
      <w:bookmarkStart w:id="688" w:name="Tc_W7ceNv_9t0y36q3yIPvE5Q_16_9"/>
      <w:bookmarkStart w:id="689" w:name="Tc_cxbNYwETY0ShqAlgvbfnbQ_16_6"/>
      <w:bookmarkStart w:id="690" w:name="Tc_W1_7YrsaF0iXY9OuuCJmig_16_3"/>
      <w:bookmarkStart w:id="691" w:name="Tc_yVPfYYcqKEuGsDP8hsmAhg_16_0"/>
      <w:bookmarkStart w:id="692" w:name="Tc_e4j7-qDlvE6GiYhadwzndQ_15_15"/>
      <w:bookmarkStart w:id="693" w:name="Tc_umz0mAMPpUGMutoSP9DdnQ_15_9"/>
      <w:bookmarkStart w:id="694" w:name="Tc_Gp9MUWM-xUuOBwNyT0d4ug_15_6"/>
      <w:bookmarkStart w:id="695" w:name="Tc_OHRAWZ16mE6tW4nRXxaNbQ_15_3"/>
      <w:bookmarkStart w:id="696" w:name="Tc_CAaO8A8U5kyv55hqYsD0DA_15_0"/>
      <w:bookmarkStart w:id="697" w:name="Tc__Y-hq_vljU2JWn9LW6-JcQ_14_21"/>
      <w:bookmarkStart w:id="698" w:name="Tc_L4Ey7ui4XEC8boV_WlYh5w_14_15"/>
      <w:bookmarkStart w:id="699" w:name="Tc_kZPZep8y8U22iQ3CfJNrmw_14_12"/>
      <w:bookmarkStart w:id="700" w:name="Tc_cIPnoG4lw0OpGCS0zB4o-Q_14_3"/>
      <w:bookmarkStart w:id="701" w:name="Tc_GRhW9o70AEukka-WEiPHug_14_0"/>
      <w:bookmarkStart w:id="702" w:name="Tc_eG-dwS0fZ0KB0-7df844gg_13_21"/>
      <w:bookmarkStart w:id="703" w:name="Tc_gXq5uZRcHU61_XD0gw5DMg_13_15"/>
      <w:bookmarkStart w:id="704" w:name="Tc_sIYaSLDIxk6MwcqTFIcpDw_13_12"/>
      <w:bookmarkStart w:id="705" w:name="Tc_mJF2EFr27EuASoIDwZ-QTA_13_6"/>
      <w:bookmarkStart w:id="706" w:name="Tc_ZcZjiH_RRUG_A8Wjmb-yng_13_3"/>
      <w:bookmarkStart w:id="707" w:name="Tc_0xexgUYaEUCwJlPQo1uRZg_13_0"/>
      <w:bookmarkStart w:id="708" w:name="Tc_eHXgKye1tUK3DHj1wa1WIA_12_21"/>
      <w:bookmarkStart w:id="709" w:name="Tc_CFB9OtB9E0qaZmGYNbrwYQ_12_15"/>
      <w:bookmarkStart w:id="710" w:name="Tc_jx9b3WEbNEiqzZoL597tog_12_12"/>
      <w:bookmarkStart w:id="711" w:name="Tc_KykLL1mXLU-8PLh4ZNv6hQ_12_3"/>
      <w:bookmarkStart w:id="712" w:name="Tc_Yg81vZgre0axCwTMFt0Tww_12_0"/>
      <w:bookmarkStart w:id="713" w:name="Tc_ysTB6EUIQEGQr6PDg8zUvA_11_15"/>
      <w:bookmarkStart w:id="714" w:name="Tc_m6WkzycpWEyL6-NubgHSjQ_11_9"/>
      <w:bookmarkStart w:id="715" w:name="Tc_MGh1eEBgZE61SwOM1UJ_sQ_11_6"/>
      <w:bookmarkStart w:id="716" w:name="Tc_UAseF4_EIUyLNq6DHitviw_11_3"/>
      <w:bookmarkStart w:id="717" w:name="Tc_y7WxUgo2ikulqOfIuV9KFw_11_0"/>
      <w:bookmarkStart w:id="718" w:name="Tc_rkTQ8780cUCPQYXjTAqQxQ_10_3"/>
      <w:bookmarkStart w:id="719" w:name="Tc_-zrdpvA840Kflk0cJvwDTw_10_0"/>
      <w:bookmarkStart w:id="720" w:name="Tc_GI7kLRepVEewfVU6urlJfw_9_12"/>
      <w:bookmarkStart w:id="721" w:name="Tc__uCGk5174EeBjx9juloN_w_9_9"/>
      <w:bookmarkStart w:id="722" w:name="Tc_DUnviY_sDkO3EtsX6xTW4A_9_6"/>
      <w:bookmarkStart w:id="723" w:name="Tc_IIIHos02SEW9P7mq8D46Vw_9_3"/>
      <w:bookmarkStart w:id="724" w:name="Tc_WerkoiPlgESYVvOI8CPIVg_9_0"/>
      <w:bookmarkStart w:id="725" w:name="Tc_c7k1SUmgzUq1mb7yaiTtJA_8_15"/>
      <w:bookmarkStart w:id="726" w:name="Tc_qRA-5toQj0Odl30TWR6BYQ_8_9"/>
      <w:bookmarkStart w:id="727" w:name="Tc_UsB5IB5lvECcSq-Akokg7g_8_6"/>
      <w:bookmarkStart w:id="728" w:name="Tc_z6JnjSyON0eUuf8MREYotA_8_3"/>
      <w:bookmarkStart w:id="729" w:name="Tc_07ZcZctrg0qcxieHoTzAZg_8_0"/>
      <w:bookmarkStart w:id="730" w:name="Tc_dGTBZtm26EuqpuokI6RQsw_7_21"/>
      <w:bookmarkStart w:id="731" w:name="Tc_NB7pjpH340-xSHJTBPL2ew_7_15"/>
      <w:bookmarkStart w:id="732" w:name="Tc_gL8P3sqNMEe7ZcaMzfq28Q_7_12"/>
      <w:bookmarkStart w:id="733" w:name="Tc_lerjG8SjpEmf0sIUcXdKLw_7_3"/>
      <w:bookmarkStart w:id="734" w:name="Tc_tZSf8BAWFUCXpexcbU0aNw_7_0"/>
      <w:bookmarkStart w:id="735" w:name="Tc_5Q5o4BqU2UuwXgCjfTY8Bw_6_21"/>
      <w:bookmarkStart w:id="736" w:name="Tc_ivp3FzcaD0uYXZv_dMBS1g_6_15"/>
      <w:bookmarkStart w:id="737" w:name="Tc_cMNGuuzTSkmGBxa2s_3MZQ_6_12"/>
      <w:bookmarkStart w:id="738" w:name="Tc_7s7VCm3l40OY6C3UvpB_fw_6_6"/>
      <w:bookmarkStart w:id="739" w:name="Tc_FP7yUdu7n0uCkvkLb5iglw_6_3"/>
      <w:bookmarkStart w:id="740" w:name="Tc_zzXXiovxLUSugiIKh4XYBg_6_0"/>
      <w:bookmarkStart w:id="741" w:name="Tc_vozTCuTvDkGXdhHOtFK4Ug_5_21"/>
      <w:bookmarkStart w:id="742" w:name="Tc_VHQwcvsxhUeyTij5VzggJA_5_15"/>
      <w:bookmarkStart w:id="743" w:name="Tc_3kq79Dc390StHsDXdYOhfw_5_12"/>
      <w:bookmarkStart w:id="744" w:name="Tc_vSGVmX9huEeWLt66REWaNw_5_3"/>
      <w:bookmarkStart w:id="745" w:name="Tc_SOac8FI2PUym4MwAkcco2A_5_0"/>
      <w:bookmarkStart w:id="746" w:name="Tc__5vtKd2D2kyKAHGm6c-Qdg_4_24"/>
      <w:bookmarkStart w:id="747" w:name="Tc_F8Tv0yB59EGeSbl-nV7obA_4_15"/>
      <w:bookmarkStart w:id="748" w:name="Tc_MDfwYG9yEE6JP5MDRkujGA_4_12"/>
      <w:bookmarkStart w:id="749" w:name="Tc_H60M7DTLIEObTO59lNgI3A_4_3"/>
      <w:bookmarkStart w:id="750" w:name="Tc_HfDhlxFf80KKhu0BB6ROJA_4_0"/>
      <w:bookmarkStart w:id="751" w:name="Tc_1upnfTZy3ku47_oawSd1jA_3_15"/>
      <w:bookmarkStart w:id="752" w:name="Tc_1MmMP-sd-0SrxD5jDzl1wA_3_9"/>
      <w:bookmarkStart w:id="753" w:name="Tc_GfCZsDMHTEmf4cCjJhGF7Q_3_6"/>
      <w:bookmarkStart w:id="754" w:name="Tc_oClBzhP24EWrUNWQgDMxBg_3_3"/>
      <w:bookmarkStart w:id="755" w:name="Tc_njhmkj39C0KHGI8-2asUgg_3_0"/>
      <w:bookmarkStart w:id="756" w:name="Tc_bXBht-FWf0K6X37OhYML1A_2_23"/>
      <w:bookmarkStart w:id="757" w:name="Tc_maIzX68KnEaqoWetN8MtHA_2_20"/>
      <w:bookmarkStart w:id="758" w:name="Tc_uJcHaYsR4kenz-DFrG1nmg_2_17"/>
      <w:bookmarkStart w:id="759" w:name="Tc_aO6uNvxtfEep4EDtC6377A_2_14"/>
      <w:bookmarkStart w:id="760" w:name="Tc_aWj7MVkpPEuc1Q0VDS3XNw_2_11"/>
      <w:bookmarkStart w:id="761" w:name="Tc_dCh6wX1qTkaY4F1JQvdOBQ_2_8"/>
      <w:bookmarkStart w:id="762" w:name="Tc_siPhUll2jUaAWTatPy_sjQ_2_5"/>
      <w:bookmarkStart w:id="763" w:name="Tc_jQsKo6siJUyNLlPICjvO7Q_2_3"/>
      <w:bookmarkStart w:id="764" w:name="Tc_haIDSOw8vEiWH5wtAsGObA_2_2"/>
      <w:bookmarkStart w:id="765" w:name="Tc_hMeGXQ5Kek2VsSF-kVKsDw_2_0"/>
      <w:bookmarkStart w:id="766" w:name="Tc_lA-UysIP_k-5w9ya1bg4ow_1_23"/>
      <w:bookmarkStart w:id="767" w:name="Tc_5_NaHY9RFkWu3rTucUbh_A_1_20"/>
      <w:bookmarkStart w:id="768" w:name="Tc_hGQRPFJpeUSTMkmzsRd4TA_1_17"/>
      <w:bookmarkStart w:id="769" w:name="Tc_si1sbEj24Eu68EUYGa9Oiw_1_14"/>
      <w:bookmarkStart w:id="770" w:name="Tc_0vBbCx70h0yEGehJYllIAg_1_11"/>
      <w:bookmarkStart w:id="771" w:name="Tc_54Rg28F54Ua0Qeoqdb4hZA_1_8"/>
      <w:bookmarkStart w:id="772" w:name="Tc_57sFGCwG3ki9pNjHQgFXcw_1_5"/>
      <w:bookmarkStart w:id="773" w:name="Tc_bgBakWdyq023NWlkMEPmcA_1_2"/>
      <w:bookmarkStart w:id="774" w:name="_5ab3e7a7_29fd_4fd3_9b3c_4fafad889d0d"/>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tbl>
      <w:tblPr>
        <w:tblW w:w="11569" w:type="dxa"/>
        <w:jc w:val="left"/>
        <w:tblInd w:w="0" w:type="dxa"/>
        <w:tblLayout w:type="fixed"/>
        <w:tblCellMar>
          <w:top w:w="0" w:type="dxa"/>
          <w:left w:w="0" w:type="dxa"/>
          <w:bottom w:w="0" w:type="dxa"/>
          <w:right w:w="0" w:type="dxa"/>
        </w:tblCellMar>
      </w:tblPr>
      <w:tblGrid>
        <w:gridCol w:w="1201"/>
        <w:gridCol w:w="109"/>
        <w:gridCol w:w="293"/>
        <w:gridCol w:w="518"/>
        <w:gridCol w:w="346"/>
        <w:gridCol w:w="262"/>
        <w:gridCol w:w="504"/>
        <w:gridCol w:w="346"/>
        <w:gridCol w:w="196"/>
        <w:gridCol w:w="691"/>
        <w:gridCol w:w="346"/>
        <w:gridCol w:w="196"/>
        <w:gridCol w:w="675"/>
        <w:gridCol w:w="346"/>
        <w:gridCol w:w="299"/>
        <w:gridCol w:w="917"/>
        <w:gridCol w:w="346"/>
        <w:gridCol w:w="238"/>
        <w:gridCol w:w="843"/>
        <w:gridCol w:w="346"/>
        <w:gridCol w:w="295"/>
        <w:gridCol w:w="906"/>
        <w:gridCol w:w="346"/>
        <w:gridCol w:w="196"/>
        <w:gridCol w:w="808"/>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62635" cy="175260"/>
                      <wp:effectExtent l="0" t="0" r="0" b="0"/>
                      <wp:wrapNone/>
                      <wp:docPr id="119" name="Frame11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6055" cy="175260"/>
                      <wp:effectExtent l="0" t="0" r="0" b="0"/>
                      <wp:wrapNone/>
                      <wp:docPr id="121" name="Frame121"/>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28930" cy="175260"/>
                      <wp:effectExtent l="0" t="0" r="0" b="0"/>
                      <wp:wrapNone/>
                      <wp:docPr id="122" name="Frame122"/>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6370" cy="175260"/>
                      <wp:effectExtent l="0" t="0" r="0" b="0"/>
                      <wp:wrapNone/>
                      <wp:docPr id="124" name="Frame124"/>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20040" cy="175260"/>
                      <wp:effectExtent l="0" t="0" r="0" b="0"/>
                      <wp:wrapNone/>
                      <wp:docPr id="125" name="Frame125"/>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24460" cy="175260"/>
                      <wp:effectExtent l="0" t="0" r="0" b="0"/>
                      <wp:wrapNone/>
                      <wp:docPr id="127" name="Frame1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8785" cy="175260"/>
                      <wp:effectExtent l="0" t="0" r="0" b="0"/>
                      <wp:wrapNone/>
                      <wp:docPr id="128" name="Frame1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24460" cy="175260"/>
                      <wp:effectExtent l="0" t="0" r="0" b="0"/>
                      <wp:wrapNone/>
                      <wp:docPr id="130" name="Frame1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8625" cy="175260"/>
                      <wp:effectExtent l="0" t="0" r="0" b="0"/>
                      <wp:wrapNone/>
                      <wp:docPr id="131" name="Frame131"/>
                      <a:graphic xmlns:a="http://schemas.openxmlformats.org/drawingml/2006/main">
                        <a:graphicData uri="http://schemas.microsoft.com/office/word/2010/wordprocessingShape">
                          <wps:wsp>
                            <wps:cNvSpPr txBox="1"/>
                            <wps:spPr>
                              <a:xfrm>
                                <a:off x="0" y="0"/>
                                <a:ext cx="428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9865" cy="175260"/>
                      <wp:effectExtent l="0" t="0" r="0" b="0"/>
                      <wp:wrapNone/>
                      <wp:docPr id="133" name="Frame13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82295" cy="175260"/>
                      <wp:effectExtent l="0" t="0" r="0" b="0"/>
                      <wp:wrapNone/>
                      <wp:docPr id="134" name="Frame134"/>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51130" cy="175260"/>
                      <wp:effectExtent l="0" t="0" r="0" b="0"/>
                      <wp:wrapNone/>
                      <wp:docPr id="136" name="Frame13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35305" cy="175260"/>
                      <wp:effectExtent l="0" t="0" r="0" b="0"/>
                      <wp:wrapNone/>
                      <wp:docPr id="137" name="Frame137"/>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7325" cy="175260"/>
                      <wp:effectExtent l="0" t="0" r="0" b="0"/>
                      <wp:wrapNone/>
                      <wp:docPr id="139" name="Frame13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75310" cy="175260"/>
                      <wp:effectExtent l="0" t="0" r="0" b="0"/>
                      <wp:wrapNone/>
                      <wp:docPr id="140" name="Frame140"/>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24460" cy="175260"/>
                      <wp:effectExtent l="0" t="0" r="0" b="0"/>
                      <wp:wrapNone/>
                      <wp:docPr id="142" name="Frame1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513080" cy="175260"/>
                      <wp:effectExtent l="0" t="0" r="0" b="0"/>
                      <wp:wrapNone/>
                      <wp:docPr id="143" name="Frame14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 at Par</w:t>
            </w:r>
          </w:p>
        </w:tc>
        <w:tc>
          <w:tcPr>
            <w:tcW w:w="346" w:type="dxa"/>
            <w:tcBorders/>
            <w:vAlign w:val="center"/>
          </w:tcPr>
          <w:p>
            <w:pPr>
              <w:pStyle w:val="TableContents"/>
              <w:bidi w:val="0"/>
              <w:spacing w:before="0" w:after="1"/>
              <w:ind w:left="0" w:right="0" w:hanging="0"/>
              <w:jc w:val="center"/>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at Par</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 Capital</w:t>
            </w:r>
          </w:p>
        </w:tc>
        <w:tc>
          <w:tcPr>
            <w:tcW w:w="346" w:type="dxa"/>
            <w:tcBorders/>
            <w:vAlign w:val="center"/>
          </w:tcPr>
          <w:p>
            <w:pPr>
              <w:pStyle w:val="TableContents"/>
              <w:bidi w:val="0"/>
              <w:spacing w:before="0" w:after="1"/>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 Earnings (Dividends in Excess of Net Income)</w:t>
            </w:r>
          </w:p>
        </w:tc>
        <w:tc>
          <w:tcPr>
            <w:tcW w:w="346" w:type="dxa"/>
            <w:tcBorders/>
            <w:vAlign w:val="center"/>
          </w:tcPr>
          <w:p>
            <w:pPr>
              <w:pStyle w:val="TableContents"/>
              <w:bidi w:val="0"/>
              <w:spacing w:before="0" w:after="1"/>
              <w:ind w:left="0" w:right="0" w:hanging="0"/>
              <w:jc w:val="center"/>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Other Comprehensive Income</w:t>
            </w:r>
          </w:p>
        </w:tc>
        <w:tc>
          <w:tcPr>
            <w:tcW w:w="346" w:type="dxa"/>
            <w:tcBorders/>
            <w:vAlign w:val="center"/>
          </w:tcPr>
          <w:p>
            <w:pPr>
              <w:pStyle w:val="TableContents"/>
              <w:bidi w:val="0"/>
              <w:spacing w:before="0" w:after="1"/>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Equity</w:t>
            </w:r>
          </w:p>
        </w:tc>
        <w:tc>
          <w:tcPr>
            <w:tcW w:w="346" w:type="dxa"/>
            <w:tcBorders/>
            <w:vAlign w:val="center"/>
          </w:tcPr>
          <w:p>
            <w:pPr>
              <w:pStyle w:val="TableContents"/>
              <w:bidi w:val="0"/>
              <w:spacing w:before="0" w:after="1"/>
              <w:ind w:left="0" w:right="0" w:hanging="0"/>
              <w:jc w:val="center"/>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 Interest</w:t>
            </w:r>
          </w:p>
        </w:tc>
        <w:tc>
          <w:tcPr>
            <w:tcW w:w="346" w:type="dxa"/>
            <w:tcBorders/>
            <w:vAlign w:val="center"/>
          </w:tcPr>
          <w:p>
            <w:pPr>
              <w:pStyle w:val="TableContents"/>
              <w:bidi w:val="0"/>
              <w:spacing w:before="0" w:after="1"/>
              <w:ind w:left="0" w:right="0" w:hanging="0"/>
              <w:jc w:val="center"/>
              <w:rPr/>
            </w:pPr>
            <w:r>
              <w:rPr/>
              <w:t>  ​ ​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Equity</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January 1, 2023</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236,841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10,042</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14,601</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261,618</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33,757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295,375</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2,917</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2,917</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3,266</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Partnership Unit Redemptions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9,041</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(9,041)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pPr>
            <w:r>
              <w:rPr/>
              <w:t>—</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(14,616)</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(14,616)</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Issuances to Directors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Issuances, Net of Equity Issuance Costs</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12,124</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12,124</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($1.100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(15,318)</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(15,318)</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(17,061)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w:t>
            </w:r>
          </w:p>
        </w:tc>
        <w:tc>
          <w:tcPr>
            <w:tcW w:w="109" w:type="dxa"/>
            <w:tcBorders/>
            <w:vAlign w:val="center"/>
          </w:tcPr>
          <w:p>
            <w:pPr>
              <w:pStyle w:val="TableContents"/>
              <w:bidi w:val="0"/>
              <w:spacing w:before="0" w:after="1"/>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(5,326)</w:t>
            </w:r>
          </w:p>
        </w:tc>
        <w:tc>
          <w:tcPr>
            <w:tcW w:w="34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(5,326)</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(3,778)</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243,690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(2,359)</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9,275</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250,743</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275,613</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2,066</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2,066</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2,254</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(775)</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Issuances to Directors</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Issuances, Net of Equity Issuance Costs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18,609</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18,609</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($1.110 per share)</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(15,429)</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(15,429)</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(16,787)</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(2,504)</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(2,504)</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(2,736)</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December 31, 2024</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261,831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(15,722)</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6,771</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253,027</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276,495</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(2,657)</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(2,657)</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(2,885)</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Repurchases</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(8,798)</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(8,798)</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Issuances to Directors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290</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Preferred Stock, Net of Underwriting Discount and Expenses</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48,107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48,127</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48,127</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Issuances, Net of Equity Issuance Costs</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12,262</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12,262</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Stock Dividends ($0.272 per share)</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5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7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w:t>
            </w:r>
          </w:p>
        </w:tc>
        <w:tc>
          <w:tcPr>
            <w:tcW w:w="34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0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(552)</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Dividends ($1.140 per share)</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pPr>
            <w:r>
              <w:rPr/>
              <w:t>​</w:t>
            </w:r>
          </w:p>
        </w:tc>
        <w:tc>
          <w:tcPr>
            <w:tcW w:w="51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pPr>
            <w:r>
              <w:rPr/>
              <w:t>​</w:t>
            </w:r>
          </w:p>
        </w:tc>
        <w:tc>
          <w:tcPr>
            <w:tcW w:w="5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(16,345)</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(16,345)</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0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(17,739)</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Loss</w:t>
            </w:r>
          </w:p>
        </w:tc>
        <w:tc>
          <w:tcPr>
            <w:tcW w:w="109"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(5,478)</w:t>
            </w:r>
          </w:p>
        </w:tc>
        <w:tc>
          <w:tcPr>
            <w:tcW w:w="34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(5,478)</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(5,944)</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w:t>
            </w:r>
          </w:p>
        </w:tc>
        <w:tc>
          <w:tcPr>
            <w:tcW w:w="346" w:type="dxa"/>
            <w:tcBorders/>
            <w:shd w:fill="CCEEFF" w:val="clear"/>
            <w:vAlign w:val="center"/>
          </w:tcPr>
          <w:p>
            <w:pPr>
              <w:pStyle w:val="TableContents"/>
              <w:bidi w:val="0"/>
              <w:spacing w:before="0" w:after="1"/>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313,690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(35,276)</w:t>
            </w:r>
          </w:p>
        </w:tc>
        <w:tc>
          <w:tcPr>
            <w:tcW w:w="34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1,293</w:t>
            </w:r>
          </w:p>
        </w:tc>
        <w:tc>
          <w:tcPr>
            <w:tcW w:w="34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279,876</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16"/>
              </w:rPr>
            </w:pPr>
            <w:r>
              <w:rPr>
                <w:rFonts w:ascii="Times New Roman;Times;serif" w:hAnsi="Times New Roman;Times;serif"/>
                <w:sz w:val="16"/>
              </w:rPr>
              <w:t>301,256</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75" w:name="_2a589602_9fed_4d92_aa08_2c008eb44dec"/>
      <w:bookmarkEnd w:id="775"/>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776" w:name="CONSOLIDATEDANDCOMBINEDSTATEMENTSOFCASHF"/>
      <w:bookmarkEnd w:id="776"/>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77" w:name="Tc_XFk2dG4x50up0dRw8AdIfg_47_7"/>
      <w:bookmarkStart w:id="778" w:name="Tc_hRGuAqVfN0u7jKybaifocA_47_4"/>
      <w:bookmarkStart w:id="779" w:name="Tc_VqWGAMpS0Ue7ud_eiqROPA_47_1"/>
      <w:bookmarkStart w:id="780" w:name="Tc_xcqKwZGEuEeHTvsveWXpmQ_47_0"/>
      <w:bookmarkStart w:id="781" w:name="Tc_6ACgp1b93UOua1NQ1h5grg_46_0"/>
      <w:bookmarkStart w:id="782" w:name="Tc_kSshU3qQw0GaYEqBtYdxpg_45_7"/>
      <w:bookmarkStart w:id="783" w:name="Tc_OY_gZkx7d0iiilPwZzKxqw_45_4"/>
      <w:bookmarkStart w:id="784" w:name="Tc_QdN5EjaPz0KrL4TqmcbmSA_45_1"/>
      <w:bookmarkStart w:id="785" w:name="Tc_7Q7Dr_-D80ObZUkfzICXgg_45_0"/>
      <w:bookmarkStart w:id="786" w:name="Tc_S9i3uL8sZkazOAiKt6ItdQ_44_0"/>
      <w:bookmarkStart w:id="787" w:name="Tc_t1h9CMZv2E-NkWYz9HdveQ_42_7"/>
      <w:bookmarkStart w:id="788" w:name="Tc_jkqI77dhrUGZsDfeyLjceg_42_4"/>
      <w:bookmarkStart w:id="789" w:name="Tc_6H0IVzx2L0CZBVOWcDO3vQ_42_1"/>
      <w:bookmarkStart w:id="790" w:name="Tc_gngrb0QAykidBllfNkdkKw_42_0"/>
      <w:bookmarkStart w:id="791" w:name="Tc_iuFRxYdDhUW7_Nev_p-VvQ_41_0"/>
      <w:bookmarkStart w:id="792" w:name="Tc_3nRXxf2pnkm__GL8cb9YVA_40_0"/>
      <w:bookmarkStart w:id="793" w:name="Tc_XltBI3jXIEazn6jT5m_l8A_39_0"/>
      <w:bookmarkStart w:id="794" w:name="Tc_dS8xC4eZA0i4KqUQ9TZgOg_38_0"/>
      <w:bookmarkStart w:id="795" w:name="Tc_McPcreLNzkS1eEdiZYVa_A_37_8"/>
      <w:bookmarkStart w:id="796" w:name="Tc_8K9oxmXjm0WCx2-EJwFK0Q_37_5"/>
      <w:bookmarkStart w:id="797" w:name="Tc_PODXpq6mqkCJJWXy2URzcg_37_0"/>
      <w:bookmarkStart w:id="798" w:name="Tc_cLrV5VQc902VJDesvXKD-Q_36_0"/>
      <w:bookmarkStart w:id="799" w:name="Tc_eHB0Mf40R0uQfT3By3qA6Q_35_8"/>
      <w:bookmarkStart w:id="800" w:name="Tc_En9cVncksUy-Tyit18oALQ_35_5"/>
      <w:bookmarkStart w:id="801" w:name="Tc_oMJiOftkU06vXDzJhqLBfQ_35_0"/>
      <w:bookmarkStart w:id="802" w:name="Tc_qoylJ-VmVE6yxvAm7XzE6g_34_0"/>
      <w:bookmarkStart w:id="803" w:name="Tc_1GDgFs6gQ0mdiirXT0wcww_33_0"/>
      <w:bookmarkStart w:id="804" w:name="Tc_0Q-_Q__hakuV2WTMAHacfA_32_0"/>
      <w:bookmarkStart w:id="805" w:name="Tc_pwsR4cpKFEG44yBfSpDC-Q_31_0"/>
      <w:bookmarkStart w:id="806" w:name="Tc_fkiMa0qZIk-qzIenui6ZYA_30_0"/>
      <w:bookmarkStart w:id="807" w:name="Tc_Il3Eps2sFEmF4uasHU96qQ_29_0"/>
      <w:bookmarkStart w:id="808" w:name="Tc_rgyavcNBtkyAZM65yTkapw_28_0"/>
      <w:bookmarkStart w:id="809" w:name="Tc_GnfwgPgMF06T2mYbQUwV4g_27_8"/>
      <w:bookmarkStart w:id="810" w:name="Tc_WDfKz7Au7USZJh_3kM96LQ_27_0"/>
      <w:bookmarkStart w:id="811" w:name="Tc_wVm7gXYy2EuYl5H5U7ooQg_26_8"/>
      <w:bookmarkStart w:id="812" w:name="Tc_a7KqGG7dOEW1p-VgnTnTxw_26_0"/>
      <w:bookmarkStart w:id="813" w:name="Tc_SMYatfYUzk2i271LwVxDJA_25_8"/>
      <w:bookmarkStart w:id="814" w:name="Tc_duVAPgClVU6lfV6uJgJR3w_25_0"/>
      <w:bookmarkStart w:id="815" w:name="Tc_s0Pq9aolbUWu-RxDh06I8Q_24_0"/>
      <w:bookmarkStart w:id="816" w:name="Tc_CYEfUlsorUqDqSusVHc53g_23_0"/>
      <w:bookmarkStart w:id="817" w:name="Tc_1GlxdjaoKkqMbjNZTbA4-A_22_0"/>
      <w:bookmarkStart w:id="818" w:name="Tc_CH5taGriYE-bL371novMSg_21_0"/>
      <w:bookmarkStart w:id="819" w:name="Tc_COYoblgXhUOjUxYK1ObXwQ_20_0"/>
      <w:bookmarkStart w:id="820" w:name="Tc_MebiqTzu4k2LEP-rSdsVSg_19_0"/>
      <w:bookmarkStart w:id="821" w:name="Tc_lra2h2J4SEqG84BimkJUcA_18_0"/>
      <w:bookmarkStart w:id="822" w:name="Tc_SY_sQivDSUODJ1kS94wROA_17_0"/>
      <w:bookmarkStart w:id="823" w:name="Tc_uNX96On5XkOJaOYMpEgeCA_16_0"/>
      <w:bookmarkStart w:id="824" w:name="Tc_PenWHHlM7kCm73TvQ5t9dA_15_0"/>
      <w:bookmarkStart w:id="825" w:name="Tc_FkGFaXXJjkG24i9Xij-vWw_14_0"/>
      <w:bookmarkStart w:id="826" w:name="Tc_HFhvdwfF3Em9REOg1IhVZg_13_0"/>
      <w:bookmarkStart w:id="827" w:name="Tc_TQ0WnoUGDE26v4t5HUH77A_12_0"/>
      <w:bookmarkStart w:id="828" w:name="Tc_vynqL94GjESeXaTa-NAmjA_11_0"/>
      <w:bookmarkStart w:id="829" w:name="Tc_dRDGBsKAJEmDmhCHuK5tbg_10_0"/>
      <w:bookmarkStart w:id="830" w:name="Tc_g658TP2gm0u9hlCusNCB4w_9_0"/>
      <w:bookmarkStart w:id="831" w:name="Tc_3vYnjbjr_0uEpk7yRz8ryA_8_0"/>
      <w:bookmarkStart w:id="832" w:name="Tc_fi7euSXPFUeySxIgWQRLxw_7_0"/>
      <w:bookmarkStart w:id="833" w:name="Tc__7FKhP0p0kSy2dN5REFPJA_6_0"/>
      <w:bookmarkStart w:id="834" w:name="Tc_eqdH0vZbsU6sW9nFrpc0qQ_5_0"/>
      <w:bookmarkStart w:id="835" w:name="Tc__BTpGJ9Js0CP9ulbLWq3Sg_4_7"/>
      <w:bookmarkStart w:id="836" w:name="Tc_SgFfiPFdZUCzwOEsjZLY0w_4_4"/>
      <w:bookmarkStart w:id="837" w:name="Tc_3JJe5re6SEKQtQU8gXs8Rw_4_1"/>
      <w:bookmarkStart w:id="838" w:name="Tc_2X1Hhmdqfka-E6OK3uiu7w_4_0"/>
      <w:bookmarkStart w:id="839" w:name="Tc_txDR0m3l5UGNOyDMu3n1tA_3_0"/>
      <w:bookmarkStart w:id="840" w:name="Tc_Lu6BgP0OKkWAdA1rUUcPsQ_2_7"/>
      <w:bookmarkStart w:id="841" w:name="Tc_E1G36DVlk0SDaJ7TK39OBA_2_4"/>
      <w:bookmarkStart w:id="842" w:name="Tc_C5wGXU7qtkKSmsaZQluKrw_2_1"/>
      <w:bookmarkStart w:id="843" w:name="Tc_ve6xEdT3pE2mpKdLPHoMSA_1_1"/>
      <w:bookmarkStart w:id="844" w:name="_f15c8b0c_2a6b_41a5_863d_57daa2ed4587"/>
      <w:bookmarkStart w:id="845" w:name="Tc_XFk2dG4x50up0dRw8AdIfg_47_7"/>
      <w:bookmarkStart w:id="846" w:name="Tc_hRGuAqVfN0u7jKybaifocA_47_4"/>
      <w:bookmarkStart w:id="847" w:name="Tc_VqWGAMpS0Ue7ud_eiqROPA_47_1"/>
      <w:bookmarkStart w:id="848" w:name="Tc_xcqKwZGEuEeHTvsveWXpmQ_47_0"/>
      <w:bookmarkStart w:id="849" w:name="Tc_6ACgp1b93UOua1NQ1h5grg_46_0"/>
      <w:bookmarkStart w:id="850" w:name="Tc_kSshU3qQw0GaYEqBtYdxpg_45_7"/>
      <w:bookmarkStart w:id="851" w:name="Tc_OY_gZkx7d0iiilPwZzKxqw_45_4"/>
      <w:bookmarkStart w:id="852" w:name="Tc_QdN5EjaPz0KrL4TqmcbmSA_45_1"/>
      <w:bookmarkStart w:id="853" w:name="Tc_7Q7Dr_-D80ObZUkfzICXgg_45_0"/>
      <w:bookmarkStart w:id="854" w:name="Tc_S9i3uL8sZkazOAiKt6ItdQ_44_0"/>
      <w:bookmarkStart w:id="855" w:name="Tc_t1h9CMZv2E-NkWYz9HdveQ_42_7"/>
      <w:bookmarkStart w:id="856" w:name="Tc_jkqI77dhrUGZsDfeyLjceg_42_4"/>
      <w:bookmarkStart w:id="857" w:name="Tc_6H0IVzx2L0CZBVOWcDO3vQ_42_1"/>
      <w:bookmarkStart w:id="858" w:name="Tc_gngrb0QAykidBllfNkdkKw_42_0"/>
      <w:bookmarkStart w:id="859" w:name="Tc_iuFRxYdDhUW7_Nev_p-VvQ_41_0"/>
      <w:bookmarkStart w:id="860" w:name="Tc_3nRXxf2pnkm__GL8cb9YVA_40_0"/>
      <w:bookmarkStart w:id="861" w:name="Tc_XltBI3jXIEazn6jT5m_l8A_39_0"/>
      <w:bookmarkStart w:id="862" w:name="Tc_dS8xC4eZA0i4KqUQ9TZgOg_38_0"/>
      <w:bookmarkStart w:id="863" w:name="Tc_McPcreLNzkS1eEdiZYVa_A_37_8"/>
      <w:bookmarkStart w:id="864" w:name="Tc_8K9oxmXjm0WCx2-EJwFK0Q_37_5"/>
      <w:bookmarkStart w:id="865" w:name="Tc_PODXpq6mqkCJJWXy2URzcg_37_0"/>
      <w:bookmarkStart w:id="866" w:name="Tc_cLrV5VQc902VJDesvXKD-Q_36_0"/>
      <w:bookmarkStart w:id="867" w:name="Tc_eHB0Mf40R0uQfT3By3qA6Q_35_8"/>
      <w:bookmarkStart w:id="868" w:name="Tc_En9cVncksUy-Tyit18oALQ_35_5"/>
      <w:bookmarkStart w:id="869" w:name="Tc_oMJiOftkU06vXDzJhqLBfQ_35_0"/>
      <w:bookmarkStart w:id="870" w:name="Tc_qoylJ-VmVE6yxvAm7XzE6g_34_0"/>
      <w:bookmarkStart w:id="871" w:name="Tc_1GDgFs6gQ0mdiirXT0wcww_33_0"/>
      <w:bookmarkStart w:id="872" w:name="Tc_0Q-_Q__hakuV2WTMAHacfA_32_0"/>
      <w:bookmarkStart w:id="873" w:name="Tc_pwsR4cpKFEG44yBfSpDC-Q_31_0"/>
      <w:bookmarkStart w:id="874" w:name="Tc_fkiMa0qZIk-qzIenui6ZYA_30_0"/>
      <w:bookmarkStart w:id="875" w:name="Tc_Il3Eps2sFEmF4uasHU96qQ_29_0"/>
      <w:bookmarkStart w:id="876" w:name="Tc_rgyavcNBtkyAZM65yTkapw_28_0"/>
      <w:bookmarkStart w:id="877" w:name="Tc_GnfwgPgMF06T2mYbQUwV4g_27_8"/>
      <w:bookmarkStart w:id="878" w:name="Tc_WDfKz7Au7USZJh_3kM96LQ_27_0"/>
      <w:bookmarkStart w:id="879" w:name="Tc_wVm7gXYy2EuYl5H5U7ooQg_26_8"/>
      <w:bookmarkStart w:id="880" w:name="Tc_a7KqGG7dOEW1p-VgnTnTxw_26_0"/>
      <w:bookmarkStart w:id="881" w:name="Tc_SMYatfYUzk2i271LwVxDJA_25_8"/>
      <w:bookmarkStart w:id="882" w:name="Tc_duVAPgClVU6lfV6uJgJR3w_25_0"/>
      <w:bookmarkStart w:id="883" w:name="Tc_s0Pq9aolbUWu-RxDh06I8Q_24_0"/>
      <w:bookmarkStart w:id="884" w:name="Tc_CYEfUlsorUqDqSusVHc53g_23_0"/>
      <w:bookmarkStart w:id="885" w:name="Tc_1GlxdjaoKkqMbjNZTbA4-A_22_0"/>
      <w:bookmarkStart w:id="886" w:name="Tc_CH5taGriYE-bL371novMSg_21_0"/>
      <w:bookmarkStart w:id="887" w:name="Tc_COYoblgXhUOjUxYK1ObXwQ_20_0"/>
      <w:bookmarkStart w:id="888" w:name="Tc_MebiqTzu4k2LEP-rSdsVSg_19_0"/>
      <w:bookmarkStart w:id="889" w:name="Tc_lra2h2J4SEqG84BimkJUcA_18_0"/>
      <w:bookmarkStart w:id="890" w:name="Tc_SY_sQivDSUODJ1kS94wROA_17_0"/>
      <w:bookmarkStart w:id="891" w:name="Tc_uNX96On5XkOJaOYMpEgeCA_16_0"/>
      <w:bookmarkStart w:id="892" w:name="Tc_PenWHHlM7kCm73TvQ5t9dA_15_0"/>
      <w:bookmarkStart w:id="893" w:name="Tc_FkGFaXXJjkG24i9Xij-vWw_14_0"/>
      <w:bookmarkStart w:id="894" w:name="Tc_HFhvdwfF3Em9REOg1IhVZg_13_0"/>
      <w:bookmarkStart w:id="895" w:name="Tc_TQ0WnoUGDE26v4t5HUH77A_12_0"/>
      <w:bookmarkStart w:id="896" w:name="Tc_vynqL94GjESeXaTa-NAmjA_11_0"/>
      <w:bookmarkStart w:id="897" w:name="Tc_dRDGBsKAJEmDmhCHuK5tbg_10_0"/>
      <w:bookmarkStart w:id="898" w:name="Tc_g658TP2gm0u9hlCusNCB4w_9_0"/>
      <w:bookmarkStart w:id="899" w:name="Tc_3vYnjbjr_0uEpk7yRz8ryA_8_0"/>
      <w:bookmarkStart w:id="900" w:name="Tc_fi7euSXPFUeySxIgWQRLxw_7_0"/>
      <w:bookmarkStart w:id="901" w:name="Tc__7FKhP0p0kSy2dN5REFPJA_6_0"/>
      <w:bookmarkStart w:id="902" w:name="Tc_eqdH0vZbsU6sW9nFrpc0qQ_5_0"/>
      <w:bookmarkStart w:id="903" w:name="Tc__BTpGJ9Js0CP9ulbLWq3Sg_4_7"/>
      <w:bookmarkStart w:id="904" w:name="Tc_SgFfiPFdZUCzwOEsjZLY0w_4_4"/>
      <w:bookmarkStart w:id="905" w:name="Tc_3JJe5re6SEKQtQU8gXs8Rw_4_1"/>
      <w:bookmarkStart w:id="906" w:name="Tc_2X1Hhmdqfka-E6OK3uiu7w_4_0"/>
      <w:bookmarkStart w:id="907" w:name="Tc_txDR0m3l5UGNOyDMu3n1tA_3_0"/>
      <w:bookmarkStart w:id="908" w:name="Tc_Lu6BgP0OKkWAdA1rUUcPsQ_2_7"/>
      <w:bookmarkStart w:id="909" w:name="Tc_E1G36DVlk0SDaJ7TK39OBA_2_4"/>
      <w:bookmarkStart w:id="910" w:name="Tc_C5wGXU7qtkKSmsaZQluKrw_2_1"/>
      <w:bookmarkStart w:id="911" w:name="Tc_ve6xEdT3pE2mpKdLPHoMSA_1_1"/>
      <w:bookmarkStart w:id="912" w:name="_f15c8b0c_2a6b_41a5_863d_57daa2ed4587"/>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tbl>
      <w:tblPr>
        <w:tblW w:w="9894" w:type="dxa"/>
        <w:jc w:val="left"/>
        <w:tblInd w:w="0" w:type="dxa"/>
        <w:tblLayout w:type="fixed"/>
        <w:tblCellMar>
          <w:top w:w="0" w:type="dxa"/>
          <w:left w:w="0" w:type="dxa"/>
          <w:bottom w:w="0" w:type="dxa"/>
          <w:right w:w="0" w:type="dxa"/>
        </w:tblCellMar>
      </w:tblPr>
      <w:tblGrid>
        <w:gridCol w:w="5716"/>
        <w:gridCol w:w="285"/>
        <w:gridCol w:w="1020"/>
        <w:gridCol w:w="109"/>
        <w:gridCol w:w="301"/>
        <w:gridCol w:w="1004"/>
        <w:gridCol w:w="109"/>
        <w:gridCol w:w="290"/>
        <w:gridCol w:w="1060"/>
      </w:tblGrid>
      <w:tr>
        <w:trPr/>
        <w:tc>
          <w:tcPr>
            <w:tcW w:w="571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0975" cy="175260"/>
                      <wp:effectExtent l="0" t="0" r="0" b="0"/>
                      <wp:wrapNone/>
                      <wp:docPr id="144" name="Frame144"/>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7700" cy="175260"/>
                      <wp:effectExtent l="0" t="0" r="0" b="0"/>
                      <wp:wrapNone/>
                      <wp:docPr id="145" name="Frame145"/>
                      <a:graphic xmlns:a="http://schemas.openxmlformats.org/drawingml/2006/main">
                        <a:graphicData uri="http://schemas.microsoft.com/office/word/2010/wordprocessingShape">
                          <wps:wsp>
                            <wps:cNvSpPr txBox="1"/>
                            <wps:spPr>
                              <a:xfrm>
                                <a:off x="0" y="0"/>
                                <a:ext cx="647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91135" cy="175260"/>
                      <wp:effectExtent l="0" t="0" r="0" b="0"/>
                      <wp:wrapNone/>
                      <wp:docPr id="147" name="Frame14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37540" cy="175260"/>
                      <wp:effectExtent l="0" t="0" r="0" b="0"/>
                      <wp:wrapNone/>
                      <wp:docPr id="148" name="Frame148"/>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9" name="Frame1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4150" cy="175260"/>
                      <wp:effectExtent l="0" t="0" r="0" b="0"/>
                      <wp:wrapNone/>
                      <wp:docPr id="150" name="Frame150"/>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73100" cy="175260"/>
                      <wp:effectExtent l="0" t="0" r="0" b="0"/>
                      <wp:wrapNone/>
                      <wp:docPr id="151" name="Frame151"/>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1"/>
              <w:ind w:left="0" w:right="0" w:hanging="0"/>
              <w:jc w:val="center"/>
              <w:rPr/>
            </w:pPr>
            <w:r>
              <w:rPr/>
              <w:t>​</w:t>
            </w:r>
          </w:p>
        </w:tc>
        <w:tc>
          <w:tcPr>
            <w:tcW w:w="41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 Ended</w:t>
            </w:r>
          </w:p>
        </w:tc>
      </w:tr>
      <w:tr>
        <w:trPr/>
        <w:tc>
          <w:tcPr>
            <w:tcW w:w="5716" w:type="dxa"/>
            <w:tcBorders/>
            <w:vAlign w:val="center"/>
          </w:tcPr>
          <w:p>
            <w:pPr>
              <w:pStyle w:val="TableContents"/>
              <w:bidi w:val="0"/>
              <w:spacing w:before="0" w:after="1"/>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2025</w:t>
            </w:r>
          </w:p>
        </w:tc>
        <w:tc>
          <w:tcPr>
            <w:tcW w:w="109"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2024</w:t>
            </w:r>
          </w:p>
        </w:tc>
        <w:tc>
          <w:tcPr>
            <w:tcW w:w="109" w:type="dxa"/>
            <w:tcBorders/>
            <w:vAlign w:val="center"/>
          </w:tcPr>
          <w:p>
            <w:pPr>
              <w:pStyle w:val="TableContents"/>
              <w:bidi w:val="0"/>
              <w:spacing w:before="0" w:after="1"/>
              <w:ind w:left="0" w:right="0" w:hanging="0"/>
              <w:jc w:val="center"/>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2023</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 From Operating Activities:</w:t>
            </w:r>
          </w:p>
        </w:tc>
        <w:tc>
          <w:tcPr>
            <w:tcW w:w="285" w:type="dxa"/>
            <w:tcBorders/>
            <w:vAlign w:val="center"/>
          </w:tcPr>
          <w:p>
            <w:pPr>
              <w:pStyle w:val="TableContents"/>
              <w:bidi w:val="0"/>
              <w:spacing w:before="0" w:after="1"/>
              <w:ind w:left="0" w:right="0" w:hanging="0"/>
              <w:jc w:val="right"/>
              <w:rPr/>
            </w:pPr>
            <w:r>
              <w:rPr/>
              <w:t>​</w:t>
            </w:r>
          </w:p>
        </w:tc>
        <w:tc>
          <w:tcPr>
            <w:tcW w:w="102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right"/>
              <w:rPr/>
            </w:pPr>
            <w:r>
              <w:rPr/>
              <w:t>​</w:t>
            </w:r>
          </w:p>
        </w:tc>
        <w:tc>
          <w:tcPr>
            <w:tcW w:w="10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right"/>
              <w:rPr/>
            </w:pPr>
            <w:r>
              <w:rPr/>
              <w:t>​</w:t>
            </w:r>
          </w:p>
        </w:tc>
        <w:tc>
          <w:tcPr>
            <w:tcW w:w="1060" w:type="dxa"/>
            <w:tcBorders/>
            <w:vAlign w:val="center"/>
          </w:tcPr>
          <w:p>
            <w:pPr>
              <w:pStyle w:val="TableContents"/>
              <w:bidi w:val="0"/>
              <w:spacing w:before="0" w:after="1"/>
              <w:ind w:left="0" w:right="0" w:hanging="0"/>
              <w:jc w:val="lef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(2,885)</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2,254</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3,266</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Income (Loss) to Net Cash Provided By Operating Activities: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lef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27,383</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25,594</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25,758</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Intangible Lease Assets and Liabilities to Lease Income</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(613)</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(517)</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(417)</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Amortization of Deferred Financing Costs to Interest Expense </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795</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720</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710</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Commercial Loans and Investments Origination Fees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(524)</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(179)</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Gain on Disposition of Assets</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(2,070)</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(3,443)</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(9,334)</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Provision for Impairment</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7,416</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1,693</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3,220</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Non-Cash Compensation</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380</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247</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318</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Decrease (Increase) in Assets: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lef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Straight-Line Rent Adjustment</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(703)</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(515)</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(402)</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Assets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374</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(973)</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Increase (Decrease) in Liabilities:</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left"/>
              <w:rPr/>
            </w:pPr>
            <w:r>
              <w:rPr/>
              <w:t>​</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 Accrued Expenses, and Other Liabilities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(1,028)</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877</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Rent and Deferred Revenue</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(2,773)</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(2,334)</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(252)</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Operating Activities</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25,752</w:t>
            </w:r>
          </w:p>
        </w:tc>
        <w:tc>
          <w:tcPr>
            <w:tcW w:w="109"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23,424</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23,167</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 From Investing Activities:</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left"/>
              <w:rPr/>
            </w:pPr>
            <w:r>
              <w:rPr/>
              <w:t>​</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 of Real Estate Including Intangible Lease Assets and Liabilities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(101,316)</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(73,734)</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(84,138)</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Investments in and Improvements to Real Estate</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(7,232)</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(790)</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(327)</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Disposition of Assets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69,245</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60,199</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106,303</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 of Commercial Loans and Investments</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(135,913)</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(57,851)</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(35,419)</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Principal Payments Received on Commercial Loans and Investments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57,711</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2,930</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Sale of Participation Interest</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10,000</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13,632</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pPr>
            <w:r>
              <w:rPr/>
              <w:t>—</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on Participation Obligation</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(11,403)</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(2,230)</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Received for Commercial Loan Reserves</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15,045</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2,184</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2,477</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Used In Investing Activities</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(103,863)</w:t>
            </w:r>
          </w:p>
        </w:tc>
        <w:tc>
          <w:tcPr>
            <w:tcW w:w="109"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(55,660)</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(11,104)</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Flow from Financing Activities:</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left"/>
              <w:rPr/>
            </w:pPr>
            <w:r>
              <w:rPr/>
              <w:t>​</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Long-Term Debt</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216,000</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122,400</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31,750</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Payments on Long-Term Debt</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(140,000)</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(96,900)</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(23,500)</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Loan Fees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(73)</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Repurchases of Common Stock</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(8,798)</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(775)</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(14,616)</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Issuance of Preferred Stock, Net of Underwriting Discount and Expenses</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48,127</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Stock Issuances, Net</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12,262</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18,609</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12,124</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Dividends Paid - Preferred Stock</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(552)</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righ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Dividends Paid - Common Stock</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(17,739)</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(16,787)</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(17,061)</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Cash Provided By (Used In) Financing Activities</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109,159</w:t>
            </w:r>
          </w:p>
        </w:tc>
        <w:tc>
          <w:tcPr>
            <w:tcW w:w="109"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26,456</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(11,376)</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Increase (Decrease) in Cash and Cash Equivalents and Restricted Cash</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31,048</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(5,780)</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687</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 and Restricted Cash, Beginning of Period</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7,951</w:t>
            </w:r>
          </w:p>
        </w:tc>
        <w:tc>
          <w:tcPr>
            <w:tcW w:w="109"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13,731</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13,044</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 and Restricted Cash, End of Period</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38,999</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7,951</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13,731</w:t>
            </w:r>
          </w:p>
        </w:tc>
      </w:tr>
      <w:tr>
        <w:trPr/>
        <w:tc>
          <w:tcPr>
            <w:tcW w:w="571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2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left"/>
              <w:rPr/>
            </w:pPr>
            <w:r>
              <w:rPr/>
              <w:t>​</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Reconciliation of Cash to the Consolidated Balance Sheets: </w:t>
            </w:r>
          </w:p>
        </w:tc>
        <w:tc>
          <w:tcPr>
            <w:tcW w:w="285" w:type="dxa"/>
            <w:tcBorders/>
            <w:shd w:fill="CCEEFF" w:val="clear"/>
            <w:vAlign w:val="center"/>
          </w:tcPr>
          <w:p>
            <w:pPr>
              <w:pStyle w:val="TableContents"/>
              <w:bidi w:val="0"/>
              <w:spacing w:before="0" w:after="1"/>
              <w:ind w:left="0" w:right="0" w:hanging="0"/>
              <w:jc w:val="left"/>
              <w:rPr/>
            </w:pPr>
            <w:r>
              <w:rPr/>
              <w:t>​</w:t>
            </w:r>
          </w:p>
        </w:tc>
        <w:tc>
          <w:tcPr>
            <w:tcW w:w="102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left"/>
              <w:rPr/>
            </w:pPr>
            <w:r>
              <w:rPr/>
              <w:t>​</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285"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2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4,589</w:t>
            </w:r>
          </w:p>
        </w:tc>
        <w:tc>
          <w:tcPr>
            <w:tcW w:w="109"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1,578</w:t>
            </w:r>
          </w:p>
        </w:tc>
        <w:tc>
          <w:tcPr>
            <w:tcW w:w="109"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4,019</w:t>
            </w:r>
          </w:p>
        </w:tc>
      </w:tr>
      <w:tr>
        <w:trPr/>
        <w:tc>
          <w:tcPr>
            <w:tcW w:w="57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34,410</w:t>
            </w:r>
          </w:p>
        </w:tc>
        <w:tc>
          <w:tcPr>
            <w:tcW w:w="109"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6,373</w:t>
            </w:r>
          </w:p>
        </w:tc>
        <w:tc>
          <w:tcPr>
            <w:tcW w:w="109"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9,712</w:t>
            </w:r>
          </w:p>
        </w:tc>
      </w:tr>
      <w:tr>
        <w:trPr/>
        <w:tc>
          <w:tcPr>
            <w:tcW w:w="571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Cash</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38,999</w:t>
            </w:r>
          </w:p>
        </w:tc>
        <w:tc>
          <w:tcPr>
            <w:tcW w:w="109" w:type="dxa"/>
            <w:tcBorders/>
            <w:vAlign w:val="center"/>
          </w:tcPr>
          <w:p>
            <w:pPr>
              <w:pStyle w:val="TableContents"/>
              <w:bidi w:val="0"/>
              <w:spacing w:before="0" w:after="1"/>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7,951</w:t>
            </w:r>
          </w:p>
        </w:tc>
        <w:tc>
          <w:tcPr>
            <w:tcW w:w="109"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0"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sz w:val="15"/>
              </w:rPr>
            </w:pPr>
            <w:r>
              <w:rPr>
                <w:rFonts w:ascii="Times New Roman;Times;serif" w:hAnsi="Times New Roman;Times;serif"/>
                <w:sz w:val="15"/>
              </w:rPr>
              <w:t>13,731</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13" w:name="Tc_gby-QmWvVU2xj-mdMJgpeA_10_8"/>
      <w:bookmarkStart w:id="914" w:name="Tc_v3RgQppOB0q-jjhSsorhzA_10_5"/>
      <w:bookmarkStart w:id="915" w:name="Tc_3SkMxnwUOE64XcEveMQC4g_10_0"/>
      <w:bookmarkStart w:id="916" w:name="Tc_qy893qXISUqTwLh1l_vnjA_9_8"/>
      <w:bookmarkStart w:id="917" w:name="Tc_gL9RVlyC3EG0I3zLEvhVDw_9_2"/>
      <w:bookmarkStart w:id="918" w:name="Tc_ZBKl7l-tHkyCfL9wx8S6PQ_9_0"/>
      <w:bookmarkStart w:id="919" w:name="Tc_93MRke09gUuEtaQpPFVI_g_8_5"/>
      <w:bookmarkStart w:id="920" w:name="Tc_D_PbNIDZQ0KPjZtz7Lxzdg_8_2"/>
      <w:bookmarkStart w:id="921" w:name="Tc_SHH7VhppBU2UKAmcAqMe2A_8_0"/>
      <w:bookmarkStart w:id="922" w:name="Tc_Ig20jElQLU6VrsA0UrRHTQ_7_7"/>
      <w:bookmarkStart w:id="923" w:name="Tc_h_z06pO09Uin0Sr48M6XKg_7_4"/>
      <w:bookmarkStart w:id="924" w:name="Tc_8K2Y3m3TfUSWCXHSJ91GRw_7_1"/>
      <w:bookmarkStart w:id="925" w:name="Tc_1XnmHW70_0uQhctUVzFK9Q_6_0"/>
      <w:bookmarkStart w:id="926" w:name="Tc_WeEjEXUzHkSoWc3tyijLpw_4_7"/>
      <w:bookmarkStart w:id="927" w:name="Tc_DsCn-jVyZEmBZo4w9bWKCw_4_4"/>
      <w:bookmarkStart w:id="928" w:name="Tc_NLfKMBHvM0GBhIp0yKYbAA_4_1"/>
      <w:bookmarkStart w:id="929" w:name="Tc_FyRLIjKYg027oUOhjndxGw_4_0"/>
      <w:bookmarkStart w:id="930" w:name="Tc_h3kBoU2ZaEWrqM_RWC1gMQ_3_0"/>
      <w:bookmarkStart w:id="931" w:name="Tc_DUQjay62QUGDJrsLnnFw3g_2_7"/>
      <w:bookmarkStart w:id="932" w:name="Tc_voNw_LXo_0qMkMJZQB5Ixg_2_4"/>
      <w:bookmarkStart w:id="933" w:name="Tc_997KAne9bEG6sbJigtXXHQ_2_1"/>
      <w:bookmarkStart w:id="934" w:name="Tc_YWiyWNr2e0OufKv72IgKZQ_1_1"/>
      <w:bookmarkStart w:id="935" w:name="_81738e30_dd1d_48a1_b8ce_5cebc7d1c1b6"/>
      <w:bookmarkStart w:id="936" w:name="Tc_gby-QmWvVU2xj-mdMJgpeA_10_8"/>
      <w:bookmarkStart w:id="937" w:name="Tc_v3RgQppOB0q-jjhSsorhzA_10_5"/>
      <w:bookmarkStart w:id="938" w:name="Tc_3SkMxnwUOE64XcEveMQC4g_10_0"/>
      <w:bookmarkStart w:id="939" w:name="Tc_qy893qXISUqTwLh1l_vnjA_9_8"/>
      <w:bookmarkStart w:id="940" w:name="Tc_gL9RVlyC3EG0I3zLEvhVDw_9_2"/>
      <w:bookmarkStart w:id="941" w:name="Tc_ZBKl7l-tHkyCfL9wx8S6PQ_9_0"/>
      <w:bookmarkStart w:id="942" w:name="Tc_93MRke09gUuEtaQpPFVI_g_8_5"/>
      <w:bookmarkStart w:id="943" w:name="Tc_D_PbNIDZQ0KPjZtz7Lxzdg_8_2"/>
      <w:bookmarkStart w:id="944" w:name="Tc_SHH7VhppBU2UKAmcAqMe2A_8_0"/>
      <w:bookmarkStart w:id="945" w:name="Tc_Ig20jElQLU6VrsA0UrRHTQ_7_7"/>
      <w:bookmarkStart w:id="946" w:name="Tc_h_z06pO09Uin0Sr48M6XKg_7_4"/>
      <w:bookmarkStart w:id="947" w:name="Tc_8K2Y3m3TfUSWCXHSJ91GRw_7_1"/>
      <w:bookmarkStart w:id="948" w:name="Tc_1XnmHW70_0uQhctUVzFK9Q_6_0"/>
      <w:bookmarkStart w:id="949" w:name="Tc_WeEjEXUzHkSoWc3tyijLpw_4_7"/>
      <w:bookmarkStart w:id="950" w:name="Tc_DsCn-jVyZEmBZo4w9bWKCw_4_4"/>
      <w:bookmarkStart w:id="951" w:name="Tc_NLfKMBHvM0GBhIp0yKYbAA_4_1"/>
      <w:bookmarkStart w:id="952" w:name="Tc_FyRLIjKYg027oUOhjndxGw_4_0"/>
      <w:bookmarkStart w:id="953" w:name="Tc_h3kBoU2ZaEWrqM_RWC1gMQ_3_0"/>
      <w:bookmarkStart w:id="954" w:name="Tc_DUQjay62QUGDJrsLnnFw3g_2_7"/>
      <w:bookmarkStart w:id="955" w:name="Tc_voNw_LXo_0qMkMJZQB5Ixg_2_4"/>
      <w:bookmarkStart w:id="956" w:name="Tc_997KAne9bEG6sbJigtXXHQ_2_1"/>
      <w:bookmarkStart w:id="957" w:name="Tc_YWiyWNr2e0OufKv72IgKZQ_1_1"/>
      <w:bookmarkStart w:id="958" w:name="_81738e30_dd1d_48a1_b8ce_5cebc7d1c1b6"/>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p>
    <w:tbl>
      <w:tblPr>
        <w:tblW w:w="8829" w:type="dxa"/>
        <w:jc w:val="left"/>
        <w:tblInd w:w="0" w:type="dxa"/>
        <w:tblLayout w:type="fixed"/>
        <w:tblCellMar>
          <w:top w:w="0" w:type="dxa"/>
          <w:left w:w="0" w:type="dxa"/>
          <w:bottom w:w="0" w:type="dxa"/>
          <w:right w:w="0" w:type="dxa"/>
        </w:tblCellMar>
      </w:tblPr>
      <w:tblGrid>
        <w:gridCol w:w="4651"/>
        <w:gridCol w:w="334"/>
        <w:gridCol w:w="971"/>
        <w:gridCol w:w="109"/>
        <w:gridCol w:w="334"/>
        <w:gridCol w:w="971"/>
        <w:gridCol w:w="109"/>
        <w:gridCol w:w="318"/>
        <w:gridCol w:w="1032"/>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953385" cy="175260"/>
                      <wp:effectExtent l="0" t="0" r="0" b="0"/>
                      <wp:wrapNone/>
                      <wp:docPr id="152" name="Frame152"/>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2090" cy="175260"/>
                      <wp:effectExtent l="0" t="0" r="0" b="0"/>
                      <wp:wrapNone/>
                      <wp:docPr id="153" name="Frame153"/>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16585" cy="175260"/>
                      <wp:effectExtent l="0" t="0" r="0" b="0"/>
                      <wp:wrapNone/>
                      <wp:docPr id="154" name="Frame154"/>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2090" cy="175260"/>
                      <wp:effectExtent l="0" t="0" r="0" b="0"/>
                      <wp:wrapNone/>
                      <wp:docPr id="156" name="Frame156"/>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16585" cy="175260"/>
                      <wp:effectExtent l="0" t="0" r="0" b="0"/>
                      <wp:wrapNone/>
                      <wp:docPr id="157" name="Frame157"/>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1930" cy="175260"/>
                      <wp:effectExtent l="0" t="0" r="0" b="0"/>
                      <wp:wrapNone/>
                      <wp:docPr id="159" name="Frame15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55320" cy="175260"/>
                      <wp:effectExtent l="0" t="0" r="0" b="0"/>
                      <wp:wrapNone/>
                      <wp:docPr id="160" name="Frame160"/>
                      <a:graphic xmlns:a="http://schemas.openxmlformats.org/drawingml/2006/main">
                        <a:graphicData uri="http://schemas.microsoft.com/office/word/2010/wordprocessingShape">
                          <wps:wsp>
                            <wps:cNvSpPr txBox="1"/>
                            <wps:spPr>
                              <a:xfrm>
                                <a:off x="0" y="0"/>
                                <a:ext cx="655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417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Year Ended</w:t>
            </w:r>
          </w:p>
        </w:tc>
      </w:tr>
      <w:tr>
        <w:trPr/>
        <w:tc>
          <w:tcPr>
            <w:tcW w:w="4651" w:type="dxa"/>
            <w:tcBorders/>
            <w:vAlign w:val="center"/>
          </w:tcPr>
          <w:p>
            <w:pPr>
              <w:pStyle w:val="TableContents"/>
              <w:bidi w:val="0"/>
              <w:spacing w:before="0" w:after="1"/>
              <w:ind w:left="0" w:right="0" w:hanging="0"/>
              <w:jc w:val="left"/>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2025</w:t>
            </w:r>
          </w:p>
        </w:tc>
        <w:tc>
          <w:tcPr>
            <w:tcW w:w="109"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2024</w:t>
            </w:r>
          </w:p>
        </w:tc>
        <w:tc>
          <w:tcPr>
            <w:tcW w:w="109" w:type="dxa"/>
            <w:tcBorders/>
            <w:vAlign w:val="center"/>
          </w:tcPr>
          <w:p>
            <w:pPr>
              <w:pStyle w:val="TableContents"/>
              <w:bidi w:val="0"/>
              <w:spacing w:before="0" w:after="1"/>
              <w:ind w:left="0" w:right="0" w:hanging="0"/>
              <w:jc w:val="center"/>
              <w:rPr/>
            </w:pPr>
            <w:r>
              <w:rPr/>
              <w:t>​</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2023</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Supplemental Disclosure of Cash Flow Information: </w:t>
            </w:r>
          </w:p>
        </w:tc>
        <w:tc>
          <w:tcPr>
            <w:tcW w:w="334" w:type="dxa"/>
            <w:tcBorders/>
            <w:shd w:fill="CCEEFF" w:val="clear"/>
            <w:vAlign w:val="center"/>
          </w:tcPr>
          <w:p>
            <w:pPr>
              <w:pStyle w:val="TableContents"/>
              <w:bidi w:val="0"/>
              <w:spacing w:before="0" w:after="1"/>
              <w:ind w:left="0" w:right="0" w:hanging="0"/>
              <w:jc w:val="right"/>
              <w:rPr/>
            </w:pPr>
            <w:r>
              <w:rPr/>
              <w:t>​</w:t>
            </w:r>
          </w:p>
        </w:tc>
        <w:tc>
          <w:tcPr>
            <w:tcW w:w="9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right"/>
              <w:rPr/>
            </w:pPr>
            <w:r>
              <w:rPr/>
              <w:t>​</w:t>
            </w:r>
          </w:p>
        </w:tc>
        <w:tc>
          <w:tcPr>
            <w:tcW w:w="9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right"/>
              <w:rPr/>
            </w:pPr>
            <w:r>
              <w:rPr/>
              <w:t>​</w:t>
            </w:r>
          </w:p>
        </w:tc>
        <w:tc>
          <w:tcPr>
            <w:tcW w:w="1032" w:type="dxa"/>
            <w:tcBorders/>
            <w:shd w:fill="CCEEFF" w:val="clear"/>
            <w:vAlign w:val="center"/>
          </w:tcPr>
          <w:p>
            <w:pPr>
              <w:pStyle w:val="TableContents"/>
              <w:bidi w:val="0"/>
              <w:spacing w:before="0" w:after="1"/>
              <w:ind w:left="0" w:right="0" w:hanging="0"/>
              <w:jc w:val="lef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for Interest</w:t>
            </w:r>
          </w:p>
        </w:tc>
        <w:tc>
          <w:tcPr>
            <w:tcW w:w="33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15,062</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11,969</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9,245</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right"/>
              <w:rPr/>
            </w:pPr>
            <w:r>
              <w:rPr/>
              <w:t>​</w:t>
            </w:r>
          </w:p>
        </w:tc>
        <w:tc>
          <w:tcPr>
            <w:tcW w:w="9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right"/>
              <w:rPr/>
            </w:pPr>
            <w:r>
              <w:rPr/>
              <w:t>​</w:t>
            </w:r>
          </w:p>
        </w:tc>
        <w:tc>
          <w:tcPr>
            <w:tcW w:w="9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righ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Supplemental Disclosure of Non-Cash Investing and Financing Activities: </w:t>
            </w:r>
          </w:p>
        </w:tc>
        <w:tc>
          <w:tcPr>
            <w:tcW w:w="334" w:type="dxa"/>
            <w:tcBorders/>
            <w:vAlign w:val="center"/>
          </w:tcPr>
          <w:p>
            <w:pPr>
              <w:pStyle w:val="TableContents"/>
              <w:bidi w:val="0"/>
              <w:spacing w:before="0" w:after="1"/>
              <w:ind w:left="0" w:right="0" w:hanging="0"/>
              <w:jc w:val="right"/>
              <w:rPr/>
            </w:pPr>
            <w:r>
              <w:rPr/>
              <w:t>​</w:t>
            </w:r>
          </w:p>
        </w:tc>
        <w:tc>
          <w:tcPr>
            <w:tcW w:w="9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right"/>
              <w:rPr/>
            </w:pPr>
            <w:r>
              <w:rPr/>
              <w:t>​</w:t>
            </w:r>
          </w:p>
        </w:tc>
        <w:tc>
          <w:tcPr>
            <w:tcW w:w="9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right"/>
              <w:rPr/>
            </w:pPr>
            <w:r>
              <w:rPr/>
              <w:t>​</w:t>
            </w:r>
          </w:p>
        </w:tc>
        <w:tc>
          <w:tcPr>
            <w:tcW w:w="1032"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5"/>
              </w:rPr>
            </w:pPr>
            <w:r>
              <w:rPr>
                <w:rFonts w:ascii="Times New Roman;Times;serif" w:hAnsi="Times New Roman;Times;serif"/>
                <w:b w:val="false"/>
                <w:i w:val="false"/>
                <w:caps w:val="false"/>
                <w:smallCaps w:val="false"/>
                <w:sz w:val="15"/>
              </w:rPr>
              <w:t>Unrealized Loss on Cash Flow Hedge</w:t>
            </w:r>
          </w:p>
        </w:tc>
        <w:tc>
          <w:tcPr>
            <w:tcW w:w="3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(5,944)</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(2,736)</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w:t>
            </w:r>
          </w:p>
        </w:tc>
        <w:tc>
          <w:tcPr>
            <w:tcW w:w="103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(3,778)</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Partnership Unit Redemptions</w:t>
            </w:r>
          </w:p>
        </w:tc>
        <w:tc>
          <w:tcPr>
            <w:tcW w:w="334"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9,041 </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Right-of-Use Assets and Operating Lease Liability—See Note 9</w:t>
            </w:r>
          </w:p>
        </w:tc>
        <w:tc>
          <w:tcPr>
            <w:tcW w:w="334" w:type="dxa"/>
            <w:tcBorders/>
            <w:shd w:fill="CCEEFF" w:val="clear"/>
            <w:vAlign w:val="center"/>
          </w:tcPr>
          <w:p>
            <w:pPr>
              <w:pStyle w:val="TableContents"/>
              <w:bidi w:val="0"/>
              <w:spacing w:before="0" w:after="1"/>
              <w:ind w:left="0" w:right="0" w:hanging="0"/>
              <w:jc w:val="left"/>
              <w:rPr/>
            </w:pPr>
            <w:r>
              <w:rPr/>
              <w:t>​</w:t>
            </w:r>
          </w:p>
        </w:tc>
        <w:tc>
          <w:tcPr>
            <w:tcW w:w="9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9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1,987</w:t>
            </w:r>
          </w:p>
        </w:tc>
        <w:tc>
          <w:tcPr>
            <w:tcW w:w="109" w:type="dxa"/>
            <w:tcBorders/>
            <w:shd w:fill="CCEEFF" w:val="clear"/>
            <w:vAlign w:val="center"/>
          </w:tcPr>
          <w:p>
            <w:pPr>
              <w:pStyle w:val="TableContents"/>
              <w:bidi w:val="0"/>
              <w:spacing w:before="0" w:after="1"/>
              <w:ind w:left="0" w:right="0" w:hanging="0"/>
              <w:jc w:val="left"/>
              <w:rPr/>
            </w:pPr>
            <w:r>
              <w:rPr/>
              <w:t>​</w:t>
            </w:r>
          </w:p>
        </w:tc>
        <w:tc>
          <w:tcPr>
            <w:tcW w:w="318" w:type="dxa"/>
            <w:tcBorders/>
            <w:shd w:fill="CCEEFF" w:val="clear"/>
            <w:vAlign w:val="center"/>
          </w:tcPr>
          <w:p>
            <w:pPr>
              <w:pStyle w:val="TableContents"/>
              <w:bidi w:val="0"/>
              <w:spacing w:before="0" w:after="1"/>
              <w:ind w:left="0" w:right="0" w:hanging="0"/>
              <w:jc w:val="left"/>
              <w:rPr/>
            </w:pPr>
            <w:r>
              <w:rPr/>
              <w:t>​</w:t>
            </w:r>
          </w:p>
        </w:tc>
        <w:tc>
          <w:tcPr>
            <w:tcW w:w="1032"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Unpaid Portion of Interest Paid In Kind</w:t>
            </w:r>
          </w:p>
        </w:tc>
        <w:tc>
          <w:tcPr>
            <w:tcW w:w="334"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 xml:space="preserve">43 </w:t>
            </w:r>
          </w:p>
        </w:tc>
        <w:tc>
          <w:tcPr>
            <w:tcW w:w="109"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18" w:type="dxa"/>
            <w:tcBorders/>
            <w:vAlign w:val="center"/>
          </w:tcPr>
          <w:p>
            <w:pPr>
              <w:pStyle w:val="TableContents"/>
              <w:bidi w:val="0"/>
              <w:spacing w:before="0" w:after="1"/>
              <w:ind w:left="0" w:right="0" w:hanging="0"/>
              <w:jc w:val="left"/>
              <w:rPr/>
            </w:pPr>
            <w:r>
              <w:rPr/>
              <w:t>​</w:t>
            </w:r>
          </w:p>
        </w:tc>
        <w:tc>
          <w:tcPr>
            <w:tcW w:w="1032" w:type="dxa"/>
            <w:tcBorders/>
            <w:vAlign w:val="center"/>
          </w:tcPr>
          <w:p>
            <w:pPr>
              <w:pStyle w:val="TableContents"/>
              <w:bidi w:val="0"/>
              <w:spacing w:before="0" w:after="1"/>
              <w:ind w:left="0" w:right="48"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59" w:name="_3bb8829f_afca_4e6c_8fd7_cc54008697dc"/>
      <w:bookmarkEnd w:id="959"/>
      <w:r>
        <w:rPr>
          <w:rFonts w:ascii="Times New Roman;Times;serif" w:hAnsi="Times New Roman;Times;serif"/>
          <w:b/>
          <w:sz w:val="20"/>
        </w:rPr>
        <w:t>ALPINE INCOME PROPERTY TRUST, INC.</w:t>
      </w:r>
    </w:p>
    <w:p>
      <w:pPr>
        <w:pStyle w:val="TextBody"/>
        <w:bidi w:val="0"/>
        <w:spacing w:before="0" w:after="0"/>
        <w:ind w:left="0" w:right="0" w:hanging="0"/>
        <w:jc w:val="center"/>
        <w:rPr>
          <w:rFonts w:ascii="Times New Roman;Times;serif" w:hAnsi="Times New Roman;Times;serif"/>
          <w:b/>
          <w:sz w:val="20"/>
        </w:rPr>
      </w:pPr>
      <w:bookmarkStart w:id="960" w:name="NOTESTOCONSOLIDATEDANDCOMBINEDFINANCIALS"/>
      <w:bookmarkEnd w:id="960"/>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December 31, 2025, 2024 and 2023</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BUSINESS AND ORGANIZATION</w:t>
      </w:r>
    </w:p>
    <w:p>
      <w:pPr>
        <w:pStyle w:val="TextBody"/>
        <w:bidi w:val="0"/>
        <w:spacing w:lineRule="auto" w:line="271" w:before="0" w:after="200"/>
        <w:ind w:left="0" w:right="0" w:hanging="0"/>
        <w:jc w:val="both"/>
        <w:rPr>
          <w:rFonts w:ascii="Times New Roman;Times;serif" w:hAnsi="Times New Roman;Times;serif"/>
          <w:i/>
          <w:sz w:val="20"/>
        </w:rPr>
      </w:pPr>
      <w:r>
        <w:rPr>
          <w:rFonts w:ascii="Times New Roman;Times;serif" w:hAnsi="Times New Roman;Times;serif"/>
          <w:i/>
          <w:sz w:val="20"/>
        </w:rPr>
        <w:t>BUSINESS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Alpine Income Property Trust, Inc. (the “Company” or “PINE”) is a real estate investment trust (“REIT”) that owns and operates a high-quality portfolio of commercial net lease properties complemented by a portfolio of commercial loan investments. The terms “us,” “we,” “our,” and “the Company” as used in this report refer to Alpine Income Property Trust, Inc. together with our consolidated subsidiaries.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Our income property portfolio consists of 127 net leased properties located in 32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also acquires and originates commercial loans and investments. Our investments in commercial loans are generally secured by real estate or the borrower’s pledge of its ownership interest in an entity that owns real estate. As more fully described in Note 4, “Commercial Loans and Investments,” the three Sale-Leaseback Properties (defined in Note 4 below), which were purchased during the year ended December 31, 2024 through a sale-leaseback transaction that includes a tenant repurchase option are, for GAAP purposes, accounted for as a financing arrangement. However, as the Sale-Leaseback Properties constitute real estate assets for both legal and tax purposes, we include the Sale-Leaseback Properties in the property portfolio when describing our property portfolio and for purposes of providing statistics related thereto.</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pStyle w:val="TextBody"/>
        <w:bidi w:val="0"/>
        <w:spacing w:lineRule="auto" w:line="271" w:before="0" w:after="200"/>
        <w:ind w:left="0" w:right="0" w:hanging="0"/>
        <w:jc w:val="both"/>
        <w:rPr>
          <w:rFonts w:ascii="Times New Roman;Times;serif" w:hAnsi="Times New Roman;Times;serif"/>
          <w:i/>
          <w:sz w:val="20"/>
        </w:rPr>
      </w:pPr>
      <w:r>
        <w:rPr>
          <w:rFonts w:ascii="Times New Roman;Times;serif" w:hAnsi="Times New Roman;Times;serif"/>
          <w:i/>
          <w:sz w:val="20"/>
        </w:rPr>
        <w:t>ORGANIZATION</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The Company is a Maryland corporation that was formed on August 19, 2019. On November 26, 2019, the Company closed its initial public offering (“IPO”). We are externally managed by our Manager and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December 31, 2025, we have a total common ownership interest in the Operating Partnership of 92.4%, with CTO holding, directly and indirectly, a 7.6% common ownership interest in the Operating Partnership. We also own 100% of the Series A Preferred units of the Operating Partnership underlying the Series A Preferred Stock (hereinafter defined).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pStyle w:val="TextBody"/>
        <w:bidi w:val="0"/>
        <w:spacing w:lineRule="auto" w:line="271" w:before="0" w:after="200"/>
        <w:ind w:left="0" w:right="0" w:firstLine="360"/>
        <w:jc w:val="both"/>
        <w:rPr>
          <w:rFonts w:ascii="Times New Roman;Times;serif" w:hAnsi="Times New Roman;Times;serif"/>
          <w:sz w:val="20"/>
        </w:rPr>
      </w:pPr>
      <w:r>
        <w:rPr>
          <w:rFonts w:ascii="Times New Roman;Times;serif" w:hAnsi="Times New Roman;Times;serif"/>
          <w:sz w:val="20"/>
        </w:rPr>
        <w:t>Each limited partner of the Operating Partnership has the right to require the Operating Partnership to redeem part or all of its common units of the Operating Partnership (“OP Units”) for cash, based upon the value of an equivalent number of shares of our common stock at the time of the redemption, or, at our election, shares of our common stock on a one-for-one basis, beginning on and after the date that is 12 months after issuance of such OP Units, subject to certain adjustments and the restrictions on ownership and transfer of our stock set forth in our charter. Each redemption of OP Units will increase our percentage ownership interest in the Operating Partnership and our share of its cash distributions and profits and losses.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pStyle w:val="TextBody"/>
        <w:bidi w:val="0"/>
        <w:spacing w:before="0" w:after="0"/>
        <w:ind w:left="0" w:right="0" w:hanging="0"/>
        <w:jc w:val="both"/>
        <w:rPr/>
      </w:pPr>
      <w:r>
        <w:rPr/>
        <w:t> </w:t>
      </w:r>
    </w:p>
    <w:p>
      <w:pPr>
        <w:pStyle w:val="TextBody"/>
        <w:bidi w:val="0"/>
        <w:spacing w:before="0" w:after="240"/>
        <w:ind w:left="0" w:right="0" w:hanging="0"/>
        <w:jc w:val="both"/>
        <w:rPr>
          <w:rFonts w:ascii="Times New Roman;Times;serif" w:hAnsi="Times New Roman;Times;serif"/>
          <w:b/>
          <w:sz w:val="20"/>
        </w:rPr>
      </w:pPr>
      <w:bookmarkStart w:id="961" w:name="_40890617_72ad_4040_a3c5_6ee53deb086b_4"/>
      <w:bookmarkStart w:id="962" w:name="_40890617_72ad_4040_a3c5_6ee53deb086b_3"/>
      <w:bookmarkStart w:id="963" w:name="_40890617_72ad_4040_a3c5_6ee53deb086b_2"/>
      <w:bookmarkStart w:id="964" w:name="_40890617_72ad_4040_a3c5_6ee53deb086b"/>
      <w:bookmarkEnd w:id="961"/>
      <w:bookmarkEnd w:id="962"/>
      <w:bookmarkEnd w:id="963"/>
      <w:bookmarkEnd w:id="964"/>
      <w:r>
        <w:rPr>
          <w:rFonts w:ascii="Times New Roman;Times;serif" w:hAnsi="Times New Roman;Times;serif"/>
          <w:b/>
          <w:sz w:val="20"/>
        </w:rPr>
        <w:t>NOTE 2.      SUMMARY OF SIGNIFICANT ACCOUNTING POLICIES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PRINCIPLES OF CONSOLIDATION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All inter-company balances and transactions have been eliminated in the consolidated financial statements.</w:t>
      </w:r>
    </w:p>
    <w:p>
      <w:pPr>
        <w:pStyle w:val="TextBody"/>
        <w:bidi w:val="0"/>
        <w:spacing w:before="24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SEGMENT REPORTING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Accounting Standards Board </w:t>
      </w:r>
      <w:r>
        <w:rPr>
          <w:rFonts w:ascii="Times New Roman;Times;serif" w:hAnsi="Times New Roman;Times;serif"/>
          <w:i/>
          <w:sz w:val="20"/>
        </w:rPr>
        <w:t>Accounting Standards Codification</w:t>
      </w:r>
      <w:r>
        <w:rPr>
          <w:rFonts w:ascii="Times New Roman;Times;serif" w:hAnsi="Times New Roman;Times;serif"/>
          <w:sz w:val="20"/>
        </w:rPr>
        <w:t xml:space="preserve"> (“FASB ASC”) Topic 280, </w:t>
      </w:r>
      <w:r>
        <w:rPr>
          <w:rFonts w:ascii="Times New Roman;Times;serif" w:hAnsi="Times New Roman;Times;serif"/>
          <w:i/>
          <w:sz w:val="20"/>
        </w:rPr>
        <w:t>Segment Reporting</w:t>
      </w:r>
      <w:r>
        <w:rPr>
          <w:rFonts w:ascii="Times New Roman;Times;serif" w:hAnsi="Times New Roman;Times;serif"/>
          <w:sz w:val="20"/>
        </w:rPr>
        <w:t>, establishes standards related to the manner in which enterprises report operating segment information. The 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USE OF ESTIMATES IN THE PREPARATION OF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comprised of the properties in its portfolio, and are carried at cost, less accumulated depreciation, amortization, and impairment losses, if any.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years ended December 31, 2025, 2024, and 2023, was $18.5 million, $16.9 million, and $16.8 million, respectively.</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LONG-LIVED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the difference of carrying value and fair value less cost to sell.</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PURCHASE ACCOUNTING FOR ACQUISITIONS OF REAL ESTATE SUBJECT TO A LEASE</w:t>
      </w:r>
    </w:p>
    <w:p>
      <w:pPr>
        <w:pStyle w:val="TextBody"/>
        <w:bidi w:val="0"/>
        <w:spacing w:before="120" w:after="0"/>
        <w:ind w:left="0" w:right="0" w:firstLine="556"/>
        <w:jc w:val="both"/>
        <w:rPr>
          <w:rFonts w:ascii="Times New Roman;Times;serif" w:hAnsi="Times New Roman;Times;serif"/>
          <w:sz w:val="20"/>
        </w:rPr>
      </w:pPr>
      <w:r>
        <w:rPr>
          <w:rFonts w:ascii="Times New Roman;Times;serif" w:hAnsi="Times New Roman;Times;serif"/>
          <w:sz w:val="20"/>
        </w:rPr>
        <w:t>Investments in real estate are carried at cost less accumulated depreciation, amortization,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w:t>
      </w:r>
      <w:r>
        <w:rPr>
          <w:rFonts w:ascii="Times New Roman;Times;serif" w:hAnsi="Times New Roman;Times;serif"/>
          <w:i/>
          <w:sz w:val="20"/>
        </w:rPr>
        <w:t>Business Combinations (Topic 805): 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0" w:after="0"/>
        <w:ind w:left="0" w:right="0" w:firstLine="556"/>
        <w:jc w:val="both"/>
        <w:rPr/>
      </w:pPr>
      <w:r>
        <w:rPr/>
        <w:t>​</w:t>
      </w:r>
    </w:p>
    <w:p>
      <w:pPr>
        <w:pStyle w:val="TextBody"/>
        <w:bidi w:val="0"/>
        <w:spacing w:before="0" w:after="0"/>
        <w:ind w:left="0" w:right="0" w:firstLine="556"/>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NewRomanPS-ItalicMT" w:hAnsi="TimesNewRomanPS-ItalicMT"/>
          <w:i/>
          <w:sz w:val="20"/>
        </w:rPr>
      </w:pPr>
      <w:r>
        <w:rPr>
          <w:rFonts w:ascii="TimesNewRomanPS-ItalicMT" w:hAnsi="TimesNewRomanPS-ItalicMT"/>
          <w:i/>
          <w:sz w:val="20"/>
        </w:rPr>
        <w:t>ASSETS HELD FOR SALE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real estate which are determined to be “held for sale” pursuant to FASB Topic 360-10, </w:t>
      </w:r>
      <w:r>
        <w:rPr>
          <w:rFonts w:ascii="Times New Roman;Times;serif" w:hAnsi="Times New Roman;Times;serif"/>
          <w:i/>
          <w:sz w:val="20"/>
        </w:rPr>
        <w:t xml:space="preserve">Property, Plant, and Equipment </w:t>
      </w:r>
      <w:r>
        <w:rPr>
          <w:rFonts w:ascii="Times New Roman;Times;serif" w:hAnsi="Times New Roman;Times;serif"/>
          <w:sz w:val="20"/>
        </w:rPr>
        <w:t>are reported separately on the consolidated balance sheets at the lesser of carrying value or fair value, less costs to sell. Real estate investments classified as held for sale are not depreciated.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SALES OF REAL ESTATE</w:t>
      </w:r>
    </w:p>
    <w:p>
      <w:pPr>
        <w:pStyle w:val="TextBody"/>
        <w:bidi w:val="0"/>
        <w:spacing w:before="0" w:after="0"/>
        <w:ind w:left="0" w:right="0" w:firstLine="556"/>
        <w:jc w:val="both"/>
        <w:rPr/>
      </w:pPr>
      <w:r>
        <w:rPr/>
        <w:t>​</w:t>
      </w:r>
    </w:p>
    <w:p>
      <w:pPr>
        <w:pStyle w:val="TextBody"/>
        <w:bidi w:val="0"/>
        <w:spacing w:before="0" w:after="0"/>
        <w:ind w:left="0" w:right="0" w:firstLine="556"/>
        <w:jc w:val="both"/>
        <w:rPr>
          <w:rFonts w:ascii="Times New Roman;Times;serif" w:hAnsi="Times New Roman;Times;serif"/>
          <w:sz w:val="20"/>
        </w:rPr>
      </w:pPr>
      <w:r>
        <w:rPr>
          <w:rFonts w:ascii="Times New Roman;Times;serif" w:hAnsi="Times New Roman;Times;serif"/>
          <w:sz w:val="20"/>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PROPERTY LEASE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December 31, 2025 and 2024, the Company’s allowance for doubtful accounts totaled $0.2 million and $0.3 million, respectively.</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commercial loans and investments held for investment are recorded at historical cost, net of unaccreted origination costs and current expected credit losses (“CECL”) 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Sales of participations in commercial loans and investments are evaluated for achievement of the characteristics of participating interest pursuant to ASC 860, </w:t>
      </w:r>
      <w:r>
        <w:rPr>
          <w:rFonts w:ascii="Times New Roman;Times;serif" w:hAnsi="Times New Roman;Times;serif"/>
          <w:i/>
          <w:sz w:val="20"/>
        </w:rPr>
        <w:t>Transfers and Servicing</w:t>
      </w:r>
      <w:r>
        <w:rPr>
          <w:rFonts w:ascii="Times New Roman;Times;serif" w:hAnsi="Times New Roman;Times;serif"/>
          <w:sz w:val="20"/>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December 31, 2025 and 2024, the Company’s participation in commercial loans and investments purchased by a third-party did not achieve sale accounting and has been presented as an Obligation under Participation Agreement within the liabilities portion of the Company’s consolidated balance sheets.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RECOGNITION OF INTEREST INCOME FROM 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OPERATING LAND LEASE EXPENSE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which leases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The corresponding lease expense is recognized on a straight-line basis over the term of the lease and is included in real estate expenses in the accompanying consolidated statements of operations.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SALES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tax collected on lease payments is recognized as a liability in the accompanying consolidated balance sheets when collected. The liability is reduced at the time payment is remitted to the applicable taxing authority.</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CASH AND CASH EQUIVALENTS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 hand, bank demand accounts, and money market accounts having original maturities of 90 days or less. The Company’s bank balances as of December 31, 2025 and 2024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Restricted cash totaled $34.4 million at December 31, 2025, of which $20.7 million is being held in an escrow account to be reinvested through the like-kind exchange structure into other income properties and $13.7 million is being held in interest, real estate tax, insurance and/or capital expenditure reserve accounts related to the Company’s portfolio of commercial loans and investments.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DERIVATIVE FINANCIAL INSTRUMENTS AND HEDGING ACTIVITY </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FAIR VALUE OF FINANCIAL INSTRUMENTS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included in other assets, accounts payable, and accrued expenses and other liabilities at December 31, 2025 and 2024,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0"/>
        <w:ind w:left="0" w:right="0" w:hanging="0"/>
        <w:jc w:val="both"/>
        <w:rPr>
          <w:rFonts w:ascii="Times New Roman;Times;serif" w:hAnsi="Times New Roman;Times;serif"/>
          <w:sz w:val="20"/>
        </w:rPr>
      </w:pPr>
      <w:r>
        <w:rPr>
          <w:rFonts w:ascii="Times New Roman;Times;serif" w:hAnsi="Times New Roman;Times;serif"/>
          <w:i/>
          <w:sz w:val="20"/>
        </w:rPr>
        <w:t>FAIR VALUE MEASUREMENTS</w:t>
      </w:r>
      <w:r>
        <w:rPr>
          <w:rFonts w:ascii="Times New Roman;Times;serif" w:hAnsi="Times New Roman;Times;serif"/>
          <w:sz w:val="20"/>
        </w:rPr>
        <w:t xml:space="preserve"> </w:t>
      </w:r>
    </w:p>
    <w:p>
      <w:pPr>
        <w:pStyle w:val="TextBody"/>
        <w:bidi w:val="0"/>
        <w:spacing w:lineRule="auto" w:line="271"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pStyle w:val="TextBody"/>
        <w:bidi w:val="0"/>
        <w:spacing w:lineRule="auto" w:line="271" w:before="0" w:after="0"/>
        <w:ind w:left="0" w:right="0" w:hanging="0"/>
        <w:jc w:val="both"/>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p>
      <w:pPr>
        <w:pStyle w:val="TextBody"/>
        <w:bidi w:val="0"/>
        <w:spacing w:lineRule="auto" w:line="271"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bidi w:val="0"/>
        <w:spacing w:lineRule="auto" w:line="271"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EARNINGS PER COMMON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issued are redeemed for shares of our common stock on a one-for-one basis.</w:t>
      </w:r>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Certain individual tenants in the Company’s portfolio of properties accounted for more than 10% of lease income from the Company’s income properties during the years ended December 31, 2025, 2024, and 2023.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 ended December 31, 2025, Dick’s Sporting Goods and Lowe’s accounted for 11% and 10% of lease income revenues, respectively. For each of the years ended December 31, 2024 and 2023, Walgreens represented 11% of lease income from the Company’s income properties.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2025, 14% of the Company’s income property portfolio, based on square footage, was located in the state of Texas. As of December 31, 2024, 11% of the Company’s </w:t>
      </w:r>
      <w:r>
        <w:rPr>
          <w:rFonts w:ascii="Times New Roman;Times;serif" w:hAnsi="Times New Roman;Times;serif"/>
          <w:b w:val="false"/>
          <w:i w:val="false"/>
          <w:caps w:val="false"/>
          <w:smallCaps w:val="false"/>
          <w:sz w:val="20"/>
        </w:rPr>
        <w:t>income</w:t>
      </w:r>
      <w:r>
        <w:rPr>
          <w:rFonts w:ascii="Times New Roman;Times;serif" w:hAnsi="Times New Roman;Times;serif"/>
          <w:sz w:val="20"/>
        </w:rPr>
        <w:t xml:space="preserve"> property portfolio, based on square footage, was located in each of the states of New Jersey and Michigan. </w:t>
      </w:r>
    </w:p>
    <w:p>
      <w:pPr>
        <w:pStyle w:val="TextBody"/>
        <w:bidi w:val="0"/>
        <w:spacing w:before="0" w:after="0"/>
        <w:ind w:left="0" w:right="0" w:hanging="0"/>
        <w:jc w:val="left"/>
        <w:rPr>
          <w:rFonts w:ascii="TimesNewRomanPS-ItalicMT" w:hAnsi="TimesNewRomanPS-ItalicMT"/>
          <w:i/>
          <w:sz w:val="20"/>
        </w:rPr>
      </w:pPr>
      <w:r>
        <w:rPr>
          <w:rFonts w:ascii="TimesNewRomanPS-ItalicMT" w:hAnsi="TimesNewRomanPS-ItalicMT"/>
          <w:i/>
          <w:sz w:val="20"/>
        </w:rPr>
        <w:t>RECLASSIFICATIONS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Beginning on January 1, 2025 the Company classifies cash received for commercial loan reserves as a separate line item within cash used by investing activities on the accompanying consolidated statements of cash flows. Accordingly, $2.2 million and $2.5 million of cash received for commercial loan reserves were reclassified from cash provided by operating activities to cash provided investing activities on the accompanying consolidated statements of cash flows, for the years ended December 31, 2024 and 2023,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Also beginning on January 1, 2025 the Company classifies cash used for investments in and improvements to real estate as a separate line item within cash used by investing activities on the accompanying consolidated statements of cash flows. Accordingly, $0.8 million and $0.3 million of cash used for investments in and improvements to real estate were reclassified from cash used for the acquisition of real estate including intangible lease assets and liabilities for the years ended December 31, 2024 and 2023, respectively, to conform to the current presentation.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RECENTLY ISSUED ACCOUNTING STANDARDS ADOPTED</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Interim Reporting</w:t>
      </w:r>
      <w:r>
        <w:rPr>
          <w:rFonts w:ascii="Times New Roman;Times;serif" w:hAnsi="Times New Roman;Times;serif"/>
          <w:sz w:val="20"/>
        </w:rPr>
        <w:t xml:space="preserve">. In December 2025, the FASB issued ASU 2025-11 to provide clarity and enhance the navigability of interim reporting disclosures in accordance with FASB ASC 270, </w:t>
      </w:r>
      <w:r>
        <w:rPr>
          <w:rFonts w:ascii="Times New Roman;Times;serif" w:hAnsi="Times New Roman;Times;serif"/>
          <w:i/>
          <w:sz w:val="20"/>
        </w:rPr>
        <w:t>Interim Reporting</w:t>
      </w:r>
      <w:r>
        <w:rPr>
          <w:rFonts w:ascii="Times New Roman;Times;serif" w:hAnsi="Times New Roman;Times;serif"/>
          <w:sz w:val="20"/>
        </w:rPr>
        <w:t xml:space="preserve">. The update focuses on improving the guidance for disclosure requirements for interim reporting periods by (i) listing interim disclosures required under ASC 270 as well as all other ASC topics and (ii) requiring disclosure of events or transactions since the prior annual reporting period that are expected to have a material impact on the reporting entity. The update is effective for interim reporting periods within annual reporting periods beginning after December 15, 2027.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Financial Instruments-Credit Losses</w:t>
      </w:r>
      <w:r>
        <w:rPr>
          <w:rFonts w:ascii="Times New Roman;Times;serif" w:hAnsi="Times New Roman;Times;serif"/>
          <w:sz w:val="20"/>
        </w:rPr>
        <w:t>. In July 2025, the FASB issued ASU 2025-05, Financial Instruments-Credit Losses (Topic 326): Measurement of Credit Losses for Accounts Receivable and Contract Assets (“ASU 2025-05”). ASU 2025-05 allows for a practical expedient as it relates to assuming that current conditions as of the balance sheet date do not change for the remaining life of the asset. ASU 2025-05 is effective for annual periods beginning after December 15, 2025, on a prospective basis, however early adoption is permitted. Although the Company is still evaluating the impact of ASU 2025-05, the Company does not expect the implementation of the practical expedient to have a significant impact on our CECL reserve.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3.      PROPERTY PORTFOLIO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2025, the Company’s property portfolio consisted of 127 properties with total square footage of 4.3 million.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965" w:name="Tc_-2qajfcf-0mfUwYtg5TmKA_8_2"/>
      <w:bookmarkStart w:id="966" w:name="Tc_3rZDNwnMPUGzuT6ijDI1qg_8_0"/>
      <w:bookmarkStart w:id="967" w:name="Tc_bYdo-KDdbUGR5URecyvFVw_7_0"/>
      <w:bookmarkStart w:id="968" w:name="Tc_KFgYVpIIb0WTCrMi9SBlFg_6_0"/>
      <w:bookmarkStart w:id="969" w:name="Tc_N-5xmEXfsUmOMxMVBaIlYg_5_0"/>
      <w:bookmarkStart w:id="970" w:name="Tc_uvnmccc-TEe_-Mi1-tithg_4_0"/>
      <w:bookmarkStart w:id="971" w:name="Tc_fkY5H01eH0ikNKZ2I-yg-g_3_0"/>
      <w:bookmarkStart w:id="972" w:name="Tc_ic_PMD-gcUSYnBbFqw3oWA_2_2"/>
      <w:bookmarkStart w:id="973" w:name="Tc_3gJ-YmBC7kSkVpg7wzS3xA_2_0"/>
      <w:bookmarkStart w:id="974" w:name="Tc_8C-8DLP3PEetdGS69dgUhw_1_2"/>
      <w:bookmarkStart w:id="975" w:name="Tc_9-8ztz_e6EWnS0yb1sA2cg_1_0"/>
      <w:bookmarkStart w:id="976" w:name="_f09406f7_2fe0_4253_8a62_5e41e50f8d44"/>
      <w:bookmarkStart w:id="977" w:name="Tc_wdhbFCwaLkWcosKzvtKubw_6_7"/>
      <w:bookmarkStart w:id="978" w:name="Tc_X-4UpCY2KUOeCtPbVQ4yaA_6_4"/>
      <w:bookmarkStart w:id="979" w:name="Tc_VGZ6ETJ740OnFJTrOd-Kxw_6_1"/>
      <w:bookmarkStart w:id="980" w:name="Tc_8XcnnYFitUON7RBMeZ38Sw_6_0"/>
      <w:bookmarkStart w:id="981" w:name="Tc_InhypZrjQEOh2oDwUdSw0w_5_0"/>
      <w:bookmarkStart w:id="982" w:name="Tc_2prp22DmL0uCh3LsKrESUQ_4_7"/>
      <w:bookmarkStart w:id="983" w:name="Tc_bvAyf8xtYEynrdDvOrJbGg_4_4"/>
      <w:bookmarkStart w:id="984" w:name="Tc_uJvbqmnKS0CyJaDLO5s9qg_4_1"/>
      <w:bookmarkStart w:id="985" w:name="Tc_QG9p-_Q6uEmR0DQn0_VQQA_4_0"/>
      <w:bookmarkStart w:id="986" w:name="Tc_N9LzTdbUHUmFS1K2syo7rg_3_0"/>
      <w:bookmarkStart w:id="987" w:name="Tc_ugmUX6iDr02LQCUVVqXyaw_2_7"/>
      <w:bookmarkStart w:id="988" w:name="Tc_bfeyB21NwEK9Vhcp7IQ98Q_2_4"/>
      <w:bookmarkStart w:id="989" w:name="Tc_yL7HvdylxkKxMI7Img-OLg_2_1"/>
      <w:bookmarkStart w:id="990" w:name="Tc_jA77-TvrJUKKaDrsfhSXEg_1_1"/>
      <w:bookmarkStart w:id="991" w:name="_70dc6884_fa9c_4dd9_8f68_02cbedf8e600"/>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Times New Roman;Times;serif" w:hAnsi="Times New Roman;Times;serif"/>
          <w:sz w:val="20"/>
        </w:rPr>
        <w:t>The components of leasing revenue are as follows (in thousands):</w:t>
      </w:r>
    </w:p>
    <w:p>
      <w:pPr>
        <w:pStyle w:val="TextBody"/>
        <w:bidi w:val="0"/>
        <w:spacing w:before="0" w:after="0"/>
        <w:ind w:left="0" w:right="0" w:firstLine="360"/>
        <w:jc w:val="both"/>
        <w:rPr/>
      </w:pPr>
      <w:r>
        <w:rPr/>
        <w:t>​</w:t>
      </w:r>
    </w:p>
    <w:tbl>
      <w:tblPr>
        <w:tblW w:w="6804" w:type="dxa"/>
        <w:jc w:val="left"/>
        <w:tblInd w:w="0" w:type="dxa"/>
        <w:tblLayout w:type="fixed"/>
        <w:tblCellMar>
          <w:top w:w="0" w:type="dxa"/>
          <w:left w:w="0" w:type="dxa"/>
          <w:bottom w:w="0" w:type="dxa"/>
          <w:right w:w="0" w:type="dxa"/>
        </w:tblCellMar>
      </w:tblPr>
      <w:tblGrid>
        <w:gridCol w:w="1906"/>
        <w:gridCol w:w="379"/>
        <w:gridCol w:w="1166"/>
        <w:gridCol w:w="109"/>
        <w:gridCol w:w="379"/>
        <w:gridCol w:w="1166"/>
        <w:gridCol w:w="109"/>
        <w:gridCol w:w="340"/>
        <w:gridCol w:w="1250"/>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10310" cy="175260"/>
                      <wp:effectExtent l="0" t="0" r="0" b="0"/>
                      <wp:wrapNone/>
                      <wp:docPr id="161" name="Frame16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40665" cy="175260"/>
                      <wp:effectExtent l="0" t="0" r="0" b="0"/>
                      <wp:wrapNone/>
                      <wp:docPr id="162" name="Frame162"/>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740410" cy="175260"/>
                      <wp:effectExtent l="0" t="0" r="0" b="0"/>
                      <wp:wrapNone/>
                      <wp:docPr id="163" name="Frame163"/>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4"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0665" cy="175260"/>
                      <wp:effectExtent l="0" t="0" r="0" b="0"/>
                      <wp:wrapNone/>
                      <wp:docPr id="165" name="Frame165"/>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740410" cy="175260"/>
                      <wp:effectExtent l="0" t="0" r="0" b="0"/>
                      <wp:wrapNone/>
                      <wp:docPr id="166" name="Frame166"/>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5900" cy="175260"/>
                      <wp:effectExtent l="0" t="0" r="0" b="0"/>
                      <wp:wrapNone/>
                      <wp:docPr id="168" name="Frame168"/>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93750" cy="175260"/>
                      <wp:effectExtent l="0" t="0" r="0" b="0"/>
                      <wp:wrapNone/>
                      <wp:docPr id="169" name="Frame169"/>
                      <a:graphic xmlns:a="http://schemas.openxmlformats.org/drawingml/2006/main">
                        <a:graphicData uri="http://schemas.microsoft.com/office/word/2010/wordprocessingShape">
                          <wps:wsp>
                            <wps:cNvSpPr txBox="1"/>
                            <wps:spPr>
                              <a:xfrm>
                                <a:off x="0" y="0"/>
                                <a:ext cx="793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0"/>
              <w:ind w:left="0" w:right="0" w:hanging="0"/>
              <w:jc w:val="left"/>
              <w:rPr/>
            </w:pPr>
            <w:r>
              <w:rPr/>
              <w:t>​</w:t>
            </w:r>
          </w:p>
        </w:tc>
        <w:tc>
          <w:tcPr>
            <w:tcW w:w="489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w:t>
            </w:r>
          </w:p>
        </w:tc>
      </w:tr>
      <w:tr>
        <w:trPr/>
        <w:tc>
          <w:tcPr>
            <w:tcW w:w="1906"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109" w:type="dxa"/>
            <w:tcBorders/>
            <w:vAlign w:val="center"/>
          </w:tcPr>
          <w:p>
            <w:pPr>
              <w:pStyle w:val="TableContents"/>
              <w:bidi w:val="0"/>
              <w:spacing w:before="0" w:after="0"/>
              <w:ind w:left="0" w:right="0" w:hanging="0"/>
              <w:jc w:val="center"/>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c>
          <w:tcPr>
            <w:tcW w:w="109" w:type="dxa"/>
            <w:tcBorders/>
            <w:vAlign w:val="center"/>
          </w:tcPr>
          <w:p>
            <w:pPr>
              <w:pStyle w:val="TableContents"/>
              <w:bidi w:val="0"/>
              <w:spacing w:before="0" w:after="0"/>
              <w:ind w:left="0" w:right="0" w:hanging="0"/>
              <w:jc w:val="center"/>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Income</w:t>
            </w:r>
          </w:p>
        </w:tc>
        <w:tc>
          <w:tcPr>
            <w:tcW w:w="379" w:type="dxa"/>
            <w:tcBorders/>
            <w:shd w:fill="CCEEFF" w:val="clear"/>
            <w:vAlign w:val="center"/>
          </w:tcPr>
          <w:p>
            <w:pPr>
              <w:pStyle w:val="TableContents"/>
              <w:bidi w:val="0"/>
              <w:spacing w:before="0" w:after="0"/>
              <w:ind w:left="0" w:right="0" w:hanging="0"/>
              <w:jc w:val="left"/>
              <w:rPr/>
            </w:pPr>
            <w:r>
              <w:rPr/>
              <w:t>​</w:t>
            </w:r>
          </w:p>
        </w:tc>
        <w:tc>
          <w:tcPr>
            <w:tcW w:w="1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w:t>
            </w:r>
          </w:p>
        </w:tc>
        <w:tc>
          <w:tcPr>
            <w:tcW w:w="11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250" w:type="dxa"/>
            <w:tcBorders/>
            <w:shd w:fill="CCEEFF" w:val="clear"/>
            <w:vAlign w:val="center"/>
          </w:tcPr>
          <w:p>
            <w:pPr>
              <w:pStyle w:val="TableContents"/>
              <w:bidi w:val="0"/>
              <w:spacing w:before="0" w:after="0"/>
              <w:ind w:left="0" w:right="0" w:hanging="0"/>
              <w:jc w:val="left"/>
              <w:rPr/>
            </w:pPr>
            <w:r>
              <w:rPr/>
              <w:t>​</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Payments</w:t>
            </w:r>
          </w:p>
        </w:tc>
        <w:tc>
          <w:tcPr>
            <w:tcW w:w="3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42,549</w:t>
            </w:r>
          </w:p>
        </w:tc>
        <w:tc>
          <w:tcPr>
            <w:tcW w:w="109" w:type="dxa"/>
            <w:tcBorders/>
            <w:vAlign w:val="center"/>
          </w:tcPr>
          <w:p>
            <w:pPr>
              <w:pStyle w:val="TableContents"/>
              <w:bidi w:val="0"/>
              <w:spacing w:before="0" w:after="0"/>
              <w:ind w:left="0" w:right="0" w:hanging="0"/>
              <w:jc w:val="righ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39,570</w:t>
            </w:r>
          </w:p>
        </w:tc>
        <w:tc>
          <w:tcPr>
            <w:tcW w:w="10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40,141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Variable Lease Payments</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6,108</w:t>
            </w:r>
          </w:p>
        </w:tc>
        <w:tc>
          <w:tcPr>
            <w:tcW w:w="109" w:type="dxa"/>
            <w:tcBorders/>
            <w:shd w:fill="CCEEFF" w:val="clear"/>
            <w:vAlign w:val="center"/>
          </w:tcPr>
          <w:p>
            <w:pPr>
              <w:pStyle w:val="TableContents"/>
              <w:bidi w:val="0"/>
              <w:spacing w:before="0" w:after="0"/>
              <w:ind w:left="0" w:right="0" w:hanging="0"/>
              <w:jc w:val="righ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6,435</w:t>
            </w:r>
          </w:p>
        </w:tc>
        <w:tc>
          <w:tcPr>
            <w:tcW w:w="109" w:type="dxa"/>
            <w:tcBorders/>
            <w:shd w:fill="CCEEFF" w:val="clear"/>
            <w:vAlign w:val="center"/>
          </w:tcPr>
          <w:p>
            <w:pPr>
              <w:pStyle w:val="TableContents"/>
              <w:bidi w:val="0"/>
              <w:spacing w:before="0" w:after="0"/>
              <w:ind w:left="0" w:right="0" w:hanging="0"/>
              <w:jc w:val="righ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4,826</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Lease Income</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48,657</w:t>
            </w:r>
          </w:p>
        </w:tc>
        <w:tc>
          <w:tcPr>
            <w:tcW w:w="109" w:type="dxa"/>
            <w:tcBorders/>
            <w:vAlign w:val="center"/>
          </w:tcPr>
          <w:p>
            <w:pPr>
              <w:pStyle w:val="TableContents"/>
              <w:bidi w:val="0"/>
              <w:spacing w:before="0" w:after="0"/>
              <w:ind w:left="0" w:right="0" w:hanging="0"/>
              <w:jc w:val="righ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46,005</w:t>
            </w:r>
          </w:p>
        </w:tc>
        <w:tc>
          <w:tcPr>
            <w:tcW w:w="109" w:type="dxa"/>
            <w:tcBorders/>
            <w:vAlign w:val="center"/>
          </w:tcPr>
          <w:p>
            <w:pPr>
              <w:pStyle w:val="TableContents"/>
              <w:bidi w:val="0"/>
              <w:spacing w:before="0" w:after="0"/>
              <w:ind w:left="0" w:right="0" w:hanging="0"/>
              <w:jc w:val="righ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5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18"/>
              </w:rPr>
            </w:pPr>
            <w:r>
              <w:rPr>
                <w:rFonts w:ascii="Times New Roman;Times;serif" w:hAnsi="Times New Roman;Times;serif"/>
                <w:sz w:val="18"/>
              </w:rPr>
              <w:t>44,967</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Minimum Future Rental Receipts.</w:t>
      </w:r>
      <w:r>
        <w:rPr>
          <w:rFonts w:ascii="Times New Roman;Times;serif" w:hAnsi="Times New Roman;Times;serif"/>
          <w:sz w:val="20"/>
        </w:rPr>
        <w:t xml:space="preserve"> Minimum future rental receipts under non-cancelable operating leases, excluding percentage rent and other lease payments that are not fixed and determinable, having remaining terms in excess of one year subsequent to December 31, 2025, are summarized as follows (in thousands). Certain of our tenant leases include tenant renewal options which could be exercised at the tenant’s election and are not included in the amounts in the table below.</w:t>
      </w:r>
    </w:p>
    <w:p>
      <w:pPr>
        <w:pStyle w:val="TextBody"/>
        <w:bidi w:val="0"/>
        <w:spacing w:before="0" w:after="0"/>
        <w:ind w:left="0" w:right="0" w:hanging="0"/>
        <w:jc w:val="left"/>
        <w:rPr/>
      </w:pPr>
      <w:r>
        <w:rPr/>
        <w:t>​</w:t>
      </w:r>
    </w:p>
    <w:tbl>
      <w:tblPr>
        <w:tblW w:w="4336" w:type="dxa"/>
        <w:jc w:val="left"/>
        <w:tblInd w:w="0" w:type="dxa"/>
        <w:tblLayout w:type="fixed"/>
        <w:tblCellMar>
          <w:top w:w="0" w:type="dxa"/>
          <w:left w:w="0" w:type="dxa"/>
          <w:bottom w:w="0" w:type="dxa"/>
          <w:right w:w="0" w:type="dxa"/>
        </w:tblCellMar>
      </w:tblPr>
      <w:tblGrid>
        <w:gridCol w:w="2881"/>
        <w:gridCol w:w="346"/>
        <w:gridCol w:w="211"/>
        <w:gridCol w:w="898"/>
      </w:tblGrid>
      <w:tr>
        <w:trPr/>
        <w:tc>
          <w:tcPr>
            <w:tcW w:w="28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70230" cy="175260"/>
                      <wp:effectExtent l="0" t="0" r="0" b="0"/>
                      <wp:wrapNone/>
                      <wp:docPr id="170" name="Frame17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41,832</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38,524</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34,140</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29,132</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25,221</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 (Cumulative)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110,983</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279,832</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2025 Activity. </w:t>
      </w:r>
      <w:r>
        <w:rPr>
          <w:rFonts w:ascii="Times New Roman;Times;serif" w:hAnsi="Times New Roman;Times;serif"/>
          <w:sz w:val="20"/>
        </w:rPr>
        <w:t xml:space="preserve">During the year ended December 31, 2025, the Company acquired 13 properties for a combined purchase price of $100.6 million, or a total cost of $101.3 million including capitalized acquisition costs. Of the total acquisition cost, $36.6 million was allocated to land, $46.2 million was allocated to buildings and improvements, $20.2 million was allocated to intangible assets pertaining to the in-place lease value, leasing fees, and above market lease value, and $1.7 million was allocated to intangible liabilities for the below market lease value. The weighted average amortization period for the intangible assets and liabilities was 8.8 years at acquisition.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sold 20 properties for an aggregate sales price of $72.8 million, generating aggregate gains on sale of $2.1 million. The aggregate 2025 gains included gains on sale totaling $6.9 million net of losses on sale totaling $4.8 million. The $4.8 million in losses were primarily attributable to the sale of four properties leased to Walgreens for an aggregate $4.3 million loss.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2024 Activity.</w:t>
      </w:r>
      <w:r>
        <w:rPr>
          <w:rFonts w:ascii="Times New Roman;Times;serif" w:hAnsi="Times New Roman;Times;serif"/>
          <w:sz w:val="20"/>
        </w:rPr>
        <w:t xml:space="preserve"> During the year ended December 31, 2024, the Company acquired 12 properties for a combined purchase price of $103.6 million, or a total cost of $104.1 million including capitalized acquisition costs. Of the total acquisitions, nine acquired properties for a combined purchase price of $72.2 million, or total cost of $72.7 million were subject to purchase accounting for acquisitions subject to a lease, of which $23.5 million was allocated to land, $42.7 million was allocated to buildings and improvements, $8.0 million was allocated to intangible assets pertaining to the in-place lease value, leasing fees, and above market lease value, and $1.5 million was allocated to intangible liabilities for the below market lease value. The weighted average amortization period for the intangible assets and liabilities was 7.6 years at acquisition. The remaining $31.4 million of acquisition costs is attributable to the three Sale-Leaseback Properties (defined in Note 4 below), which were purchased during the year ended December 31, 2024 through a sale-leaseback transaction that includes a tenant repurchase option. Due to the existence of the tenant repurchase option, and pursuant to FASB ASC Topic 842, </w:t>
      </w:r>
      <w:r>
        <w:rPr>
          <w:rFonts w:ascii="Times New Roman;Times;serif" w:hAnsi="Times New Roman;Times;serif"/>
          <w:i/>
          <w:sz w:val="20"/>
        </w:rPr>
        <w:t>Leases</w:t>
      </w:r>
      <w:r>
        <w:rPr>
          <w:rFonts w:ascii="Times New Roman;Times;serif" w:hAnsi="Times New Roman;Times;serif"/>
          <w:sz w:val="20"/>
        </w:rPr>
        <w:t>, GAAP requires that the $31.4 million investment be accounted for as a financing arrangement, and accordingly the related assets and corresponding revenue are included in the Company’s commercial loans and investments in the accompanying consolidated balance sheets and consolidated statement of operations. However, as the Sale-Leaseback Properties constitute real estate assets for both legal and tax purposes, we include the Sale-Leaseback Properties in the property portfolio when describing our property portfolio and for purposes of providing statistics related thereto.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2024, the Company sold 15 properties for an aggregate sales price of $62.0 million, generating aggregate gains on sale of $3.4 million. The aggregate 2024 gains included gains on sale totaling $5.1 million net of losses on sale totaling $1.7 million. The $1.7 million in losses were primarily attributable to the sale of two properties formerly leased to convenience stores and one property leased to Walgreens, for an aggregate $1.1 million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During the year ended December 31, 2023, the Company acquired 14 properties for a combined purchase price of $82.9 million, or a total cost of $84.2 million including capitalized acquisition costs. Of the total acquisition cost, $21.5 million was allocated to land, $55.2 million was allocated to buildings and improvements, $8.4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9.6 years at acquisition.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sold 24 properties for an aggregate sales price of $108.3 million, generating aggregate gains on sale of $9.3 million.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0" w:after="240"/>
        <w:ind w:left="0" w:right="0" w:firstLine="36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2025 Activity</w:t>
      </w:r>
      <w:r>
        <w:rPr>
          <w:rFonts w:ascii="Times New Roman;Times;serif" w:hAnsi="Times New Roman;Times;serif"/>
          <w:sz w:val="20"/>
        </w:rPr>
        <w:t>. During the year ended December 31, 2025, the Company originated (i) 11 commercial loans for an aggregate investment volume of $137.3 million at a weighted average initial cash yield of 12.4% and (ii) one $2.0 million short-term mortgage note with an initial cash yield of 16.5%, that was originated on June 5, 2025 and repaid in full on July 2, 2025. Additionally, during the year ended December 31, 2025, the Company amended five existing commercial loan investments whereby certain maturity dates were extended and the total face amounts of four loan investments were upsized by an aggregate of $39.7 million. In the aggregate, during the year ended December 31, 2025, commercial loan and investment volume for new loan originations totaled $177.0 million, of which $122.5 million was funded and $2.0 million of origination fees were received during the same period. Additionally, the Company funded $15.4 million for existing construction loans and received $57.7 million of principal repayments from borrowers during the year ended December 31, 2025.</w:t>
      </w:r>
      <w:r>
        <w:rPr>
          <w:rFonts w:ascii="Times New Roman;Times;serif" w:hAnsi="Times New Roman;Times;serif"/>
          <w:sz w:val="20"/>
          <w:shd w:fill="FFFFFF" w:val="clear"/>
        </w:rPr>
        <w:t xml:space="preserve"> </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year ended December 31, 2025, the Company originated a $29.5 million first mortgage secured by a portfolio of assets and related improvements (the “2025 Mortgage Note”). The 2025 Mortgage Note is being repaid by the borrower as the underlying assets within the portfolio are sold. During the year ended December 31, 2025, the Company sold a $10.0 million A-1 participation interest (the “2025 Loan Participation Sale”) in its 2025 Mortgage Note, which is entitled to a 10.0% yield on its respective portion of the outstanding principal balance and has priority preference with respect to all principal and interest payments of the 2025 Mortgage Note. This sale did not achieve sale accounting pursuant to ASC 860, Transfers and Servicing, and accordingly, is treated as a secured borrowing. See Note 12, “Obligations Under Participation Agreement” for further information. As of December 31, 2025, after adjusting for the 2025 Loan Participation Sale, the Company’s remaining investment in the 2025 Mortgage Note is $19.5 million.</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2024 Activity</w:t>
      </w:r>
      <w:r>
        <w:rPr>
          <w:rFonts w:ascii="Times New Roman;Times;serif" w:hAnsi="Times New Roman;Times;serif"/>
          <w:sz w:val="20"/>
        </w:rPr>
        <w:t xml:space="preserve">. During the year ended December 31, 2024, the Company originated three commercial loans for an investment volume of $31.1 million at a weighted average initial cash yield of 10.7%. During the year ended December 31, 2024, the Company funded a total of $58.1 million to borrowers (inclusive of the $31.4 million investment in the Sale-Leaseback Properties, hereinafter defined) and received $0.2 million of origination fees. Additionally, during the year ended December 31, 2024, the Company received $16.5 million of principal repayments from borrowers. </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Other Activity</w:t>
      </w:r>
      <w:r>
        <w:rPr>
          <w:rFonts w:ascii="Times New Roman;Times;serif" w:hAnsi="Times New Roman;Times;serif"/>
          <w:sz w:val="20"/>
        </w:rPr>
        <w:t xml:space="preserve">. During the year ended December 31, 2024, the Company acquired three single-tenant income properties (the “Sale-Leaseback Properties”) in the greater Tampa Bay, Florida area, which acquisition was structured as a sale-leaseback transaction whereby the Company entered into three new 30-year lease agreements which include annual base rent escalations and a repurchase right by the tenant upon completion of the fifth lease year, i.e., on August 1, 2029. Pursuant to FASB ASC Topic 842, Leases, the future repurchase rights present in the lease agreements preclude the transaction from being accounted for as a real estate acquisition. Accordingly, for GAAP purposes, the acquisition of the Sale-Leaseback Properties is accounted for as a financing arrangement, and the related assets and corresponding revenue are included in the Company’s commercial loans and investments on its consolidated balance sheets and consolidated statements of operations. The Company has imputed interest on the 30-year leases which is recognized as interest income from commercial loans and investments on the accompanying consolidated statements of operations.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992" w:name="Tc_46QY288Zg0-MTpXwkmf5Ww_22_12"/>
      <w:bookmarkStart w:id="993" w:name="Tc_lDDNkPzeOU2t2xketaRFsw_22_0"/>
      <w:bookmarkStart w:id="994" w:name="Tc_d3lh8DWvr0OdEvO9Nx9PyQ_21_0"/>
      <w:bookmarkStart w:id="995" w:name="Tc_p8meyX25dk2CTTyBXB21iA_20_12"/>
      <w:bookmarkStart w:id="996" w:name="Tc_nKDGZ1D48kW_gDBR81lqlQ_20_9"/>
      <w:bookmarkStart w:id="997" w:name="Tc_SPwts-LtEEOClkZjWyuXwg_20_6"/>
      <w:bookmarkStart w:id="998" w:name="Tc_jpvqHTE3u0igcS4GWJVR6A_19_16"/>
      <w:bookmarkStart w:id="999" w:name="Tc_dvlFPYYy1kK9Bt8n-Icy2Q_19_4"/>
      <w:bookmarkStart w:id="1000" w:name="Tc_QiUOHDDLxEWzJObTmKIJ5A_19_2"/>
      <w:bookmarkStart w:id="1001" w:name="Tc_lDoJpq2fdUeVyyhV0IrAjw_19_0"/>
      <w:bookmarkStart w:id="1002" w:name="Tc_FZUrkCa6mUe_q2KZD8WlEg_18_16"/>
      <w:bookmarkStart w:id="1003" w:name="Tc_PzEeWYCwJEyiycQCwDtogQ_18_4"/>
      <w:bookmarkStart w:id="1004" w:name="Tc_xEvhs6qJokOcckauYdGWKg_18_2"/>
      <w:bookmarkStart w:id="1005" w:name="Tc_0FhwYi4-Ckujln_G4ezEig_18_0"/>
      <w:bookmarkStart w:id="1006" w:name="Tc_Fd3NbMnRJEWVNEtp4lAByQ_17_4"/>
      <w:bookmarkStart w:id="1007" w:name="Tc_QdLMKzBa1kSV9nZ5ZGjjRA_17_2"/>
      <w:bookmarkStart w:id="1008" w:name="Tc_8itltgaNnUe2x5oDiLidpA_17_0"/>
      <w:bookmarkStart w:id="1009" w:name="Tc_Sk6n_iBUlUqypgpiuboxlA_16_16"/>
      <w:bookmarkStart w:id="1010" w:name="Tc_-Mni731bX0C5JDN__nRmKQ_16_4"/>
      <w:bookmarkStart w:id="1011" w:name="Tc_OPVqDakrgkmWnuchnbQ96w_16_2"/>
      <w:bookmarkStart w:id="1012" w:name="Tc_VXykie2JW0SlOGHSzBQ9Vg_16_0"/>
      <w:bookmarkStart w:id="1013" w:name="Tc_2Qv-i6d2qUqEs8SuvSyX4Q_15_16"/>
      <w:bookmarkStart w:id="1014" w:name="Tc_CgbZLgxwJkmYnWGoTY6HaA_15_4"/>
      <w:bookmarkStart w:id="1015" w:name="Tc_gxOK9nZ770GA1eWJr4__Yg_15_2"/>
      <w:bookmarkStart w:id="1016" w:name="Tc_XOerwbQrm0qphYSvObaP0g_15_0"/>
      <w:bookmarkStart w:id="1017" w:name="Tc_30ruEhU-eUyzRUgISzVgLg_14_4"/>
      <w:bookmarkStart w:id="1018" w:name="Tc_ky7MSHGNhU6QOsVZH_-x8A_14_2"/>
      <w:bookmarkStart w:id="1019" w:name="Tc_Sj-POLDjHkKbcIgrpCV92w_14_0"/>
      <w:bookmarkStart w:id="1020" w:name="Tc_T7hUOZVcjkmejcgpwL2XlQ_13_4"/>
      <w:bookmarkStart w:id="1021" w:name="Tc_iV0WrV12oUiLw6S-aYgvNQ_13_2"/>
      <w:bookmarkStart w:id="1022" w:name="Tc_jwfPv7QpEUGtuCYPM38K7A_13_0"/>
      <w:bookmarkStart w:id="1023" w:name="Tc_wiXYtFv_NEuIIvJn90TZ2Q_12_4"/>
      <w:bookmarkStart w:id="1024" w:name="Tc_dRcSJUrRu0Sz0KOctWUXPQ_12_2"/>
      <w:bookmarkStart w:id="1025" w:name="Tc_xBnNTmv-2Ue3RE7rIOx0GA_12_0"/>
      <w:bookmarkStart w:id="1026" w:name="Tc_dsF0zxOLZEqYg0mk4yORlA_11_4"/>
      <w:bookmarkStart w:id="1027" w:name="Tc_l86T9xSq00CfL-c21KN-Bw_11_2"/>
      <w:bookmarkStart w:id="1028" w:name="Tc_BU0Am__q5kOzI7J_a8o5dw_11_0"/>
      <w:bookmarkStart w:id="1029" w:name="Tc_UH4ih600wUWVE7F9XJGC6g_10_4"/>
      <w:bookmarkStart w:id="1030" w:name="Tc_h6E4Op16Okm9VDFjSvmohA_10_2"/>
      <w:bookmarkStart w:id="1031" w:name="Tc_s6hLBGHNhUiFguWx7c1qgw_10_0"/>
      <w:bookmarkStart w:id="1032" w:name="Tc_BuxUcgkVCEmLQh34BXjtAA_9_4"/>
      <w:bookmarkStart w:id="1033" w:name="Tc_PT6ektzsMkiqP-OtTP91kQ_9_2"/>
      <w:bookmarkStart w:id="1034" w:name="Tc_00dJzoG_EkmNrPV7tqJ5qg_9_0"/>
      <w:bookmarkStart w:id="1035" w:name="Tc_u9QmHNPii0C2x5qSEjpQPA_8_4"/>
      <w:bookmarkStart w:id="1036" w:name="Tc_M2oiNOqhEEKzK6tz-oceDg_8_2"/>
      <w:bookmarkStart w:id="1037" w:name="Tc_AVOmdDduik-dyNa8P7uTXg_8_0"/>
      <w:bookmarkStart w:id="1038" w:name="Tc_T77wH7NZF0OgzIcE17sdVA_7_4"/>
      <w:bookmarkStart w:id="1039" w:name="Tc_Su5tvjsEQUuncOirijuh9w_7_2"/>
      <w:bookmarkStart w:id="1040" w:name="Tc_c58DuO2Wfkuo9rCnuLL1lg_7_0"/>
      <w:bookmarkStart w:id="1041" w:name="Tc_wZLI6B4-e0-wgji3vRWkug_6_4"/>
      <w:bookmarkStart w:id="1042" w:name="Tc_GfUJs2301k65_f6_5rMSFg_6_2"/>
      <w:bookmarkStart w:id="1043" w:name="Tc_V1L65WT_GUGrdzzVWbV_DQ_6_0"/>
      <w:bookmarkStart w:id="1044" w:name="Tc_9yEKD9KHN0OBLMt2BrljMg_5_4"/>
      <w:bookmarkStart w:id="1045" w:name="Tc_5rKvSl4RoUy8J_qBVt3tHg_5_2"/>
      <w:bookmarkStart w:id="1046" w:name="Tc_vJ8i55OWYUO7Sy3ur1h97g_5_0"/>
      <w:bookmarkStart w:id="1047" w:name="Tc_ocwAQW9Xl0-MHnk82Jl_og_4_4"/>
      <w:bookmarkStart w:id="1048" w:name="Tc_ZsAoPD5rZ0mJvO61w2nfQA_4_2"/>
      <w:bookmarkStart w:id="1049" w:name="Tc_sG9w5dwbFEGEbekmfdCoPA_4_0"/>
      <w:bookmarkStart w:id="1050" w:name="Tc_N2RtSgDTd06pkWQx4c-yOw_3_4"/>
      <w:bookmarkStart w:id="1051" w:name="Tc_xHknUOg8aE-rphUfTZWFrg_3_2"/>
      <w:bookmarkStart w:id="1052" w:name="Tc_RcRcBjMg1UGLV5uzRDdTvg_3_0"/>
      <w:bookmarkStart w:id="1053" w:name="Tc_vUCi3SOIU0Gneut79DoEpg_2_12"/>
      <w:bookmarkStart w:id="1054" w:name="Tc_MHRpLoJ-sk2fErBmLSTjHg_2_9"/>
      <w:bookmarkStart w:id="1055" w:name="Tc_pnpHcEWeKEetMTPMBnjGyg_2_6"/>
      <w:bookmarkStart w:id="1056" w:name="Tc_OQWE2A6RuUqE32KSOcwM2g_2_4"/>
      <w:bookmarkStart w:id="1057" w:name="Tc_5EP5sIpA5UuFkMcld1BI7Q_2_2"/>
      <w:bookmarkStart w:id="1058" w:name="Tc_UYu4H2BwDkOVs_In9Ujd4A_2_0"/>
      <w:bookmarkStart w:id="1059" w:name="Tc_p1vwjsxZfEuz0XB8JJElyQ_1_15"/>
      <w:bookmarkStart w:id="1060" w:name="Tc_Aqaufnz2M0anvMyBjocohQ_1_12"/>
      <w:bookmarkStart w:id="1061" w:name="Tc_bOlvnCN2K0OGgT9kEj_Fpw_1_9"/>
      <w:bookmarkStart w:id="1062" w:name="Tc_uY8UxB3P206oxj0hyTwuYg_1_6"/>
      <w:bookmarkStart w:id="1063" w:name="Tc_qWRPY0yF30S8PbNIMWG2bA_1_4"/>
      <w:bookmarkStart w:id="1064" w:name="Tc_iqdorGoxVk-lpHsVnybAVA_1_2"/>
      <w:bookmarkStart w:id="1065" w:name="Tc_PPDgN0saV0me5KZCeKsMVg_1_0"/>
      <w:bookmarkStart w:id="1066" w:name="_80d8ac6e_8adf_47a1_b423_10d918fea332"/>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rFonts w:ascii="Times New Roman;Times;serif" w:hAnsi="Times New Roman;Times;serif"/>
          <w:sz w:val="20"/>
        </w:rPr>
        <w:t>During the year ended December 31, 2023, the Company originated a $24.0 million first mortgage secured by a portfolio of assets and related improvements (the “Mortgage Note”). The Mortgage Note is being repaid by the borrower as the underlying assets within the portfolio are sold. During the year ended December 31, 2024, the Company sold a $13.6 million A-1 participation interest (the “2024 Loan Participation Sale”) in its Mortgage Note, which is entitled to an 8.0% yield on its respective portion of the outstanding principal balance and has priority preference with respect to all principal and interest payments of the Mortgage Note. This sale did not achieve sale accounting pursuant to ASC 860, Transfers and Servicing, and accordingly, is treated as a secured borrowing. See Note 12, “Obligations Under Participation Agreement” for further information. As of December 31, 2025, the obligation under participation agreement had been fully repaid and the Company had no remaining investment in the Mortgage Note.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December 31, 2025 (in thousands):</w:t>
      </w:r>
    </w:p>
    <w:tbl>
      <w:tblPr>
        <w:tblW w:w="10205" w:type="dxa"/>
        <w:jc w:val="left"/>
        <w:tblInd w:w="0" w:type="dxa"/>
        <w:tblLayout w:type="fixed"/>
        <w:tblCellMar>
          <w:top w:w="0" w:type="dxa"/>
          <w:left w:w="0" w:type="dxa"/>
          <w:bottom w:w="0" w:type="dxa"/>
          <w:right w:w="0" w:type="dxa"/>
        </w:tblCellMar>
      </w:tblPr>
      <w:tblGrid>
        <w:gridCol w:w="2053"/>
        <w:gridCol w:w="346"/>
        <w:gridCol w:w="1026"/>
        <w:gridCol w:w="346"/>
        <w:gridCol w:w="927"/>
        <w:gridCol w:w="346"/>
        <w:gridCol w:w="236"/>
        <w:gridCol w:w="833"/>
        <w:gridCol w:w="346"/>
        <w:gridCol w:w="234"/>
        <w:gridCol w:w="828"/>
        <w:gridCol w:w="346"/>
        <w:gridCol w:w="212"/>
        <w:gridCol w:w="750"/>
        <w:gridCol w:w="346"/>
        <w:gridCol w:w="759"/>
        <w:gridCol w:w="271"/>
      </w:tblGrid>
      <w:tr>
        <w:trPr/>
        <w:tc>
          <w:tcPr>
            <w:tcW w:w="20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51510" cy="175260"/>
                      <wp:effectExtent l="0" t="0" r="0" b="0"/>
                      <wp:wrapNone/>
                      <wp:docPr id="171" name="Frame171"/>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88645" cy="175260"/>
                      <wp:effectExtent l="0" t="0" r="0" b="0"/>
                      <wp:wrapNone/>
                      <wp:docPr id="173" name="Frame173"/>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9860" cy="175260"/>
                      <wp:effectExtent l="0" t="0" r="0" b="0"/>
                      <wp:wrapNone/>
                      <wp:docPr id="175" name="Frame17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28955" cy="175260"/>
                      <wp:effectExtent l="0" t="0" r="0" b="0"/>
                      <wp:wrapNone/>
                      <wp:docPr id="176" name="Frame17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48590" cy="175260"/>
                      <wp:effectExtent l="0" t="0" r="0" b="0"/>
                      <wp:wrapNone/>
                      <wp:docPr id="178" name="Frame17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25780" cy="175260"/>
                      <wp:effectExtent l="0" t="0" r="0" b="0"/>
                      <wp:wrapNone/>
                      <wp:docPr id="179" name="Frame179"/>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4620" cy="175260"/>
                      <wp:effectExtent l="0" t="0" r="0" b="0"/>
                      <wp:wrapNone/>
                      <wp:docPr id="181" name="Frame18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76250" cy="175260"/>
                      <wp:effectExtent l="0" t="0" r="0" b="0"/>
                      <wp:wrapNone/>
                      <wp:docPr id="182" name="Frame182"/>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81965" cy="175260"/>
                      <wp:effectExtent l="0" t="0" r="0" b="0"/>
                      <wp:wrapNone/>
                      <wp:docPr id="184" name="Frame184"/>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2085" cy="175260"/>
                      <wp:effectExtent l="0" t="0" r="0" b="0"/>
                      <wp:wrapNone/>
                      <wp:docPr id="185" name="Frame18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75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14,800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9,144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9,165</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9.50%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7,425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6,309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6,317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10.25%</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Outparcels – Lawrenceville, GA</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1,095</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11.25%</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Mount Carmel, OH</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2026</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9,519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9,519</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16,256</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5,358</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At Home Plaza - North Canton, OH</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6,200</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8.65%</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Land Development – Stuart,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March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7,084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6,987</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Cornerstone Exchange – Daytona Beach, FL</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May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April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23,905</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6,886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6,747</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10.00%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Old Time Pottery – Orange Park, FL</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Industrial – Fremont, CA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23,751</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Commercial Building – Reno, NV</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4,000</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8.00%</w:t>
            </w:r>
          </w:p>
        </w:tc>
        <w:tc>
          <w:tcPr>
            <w:tcW w:w="271" w:type="dxa"/>
            <w:tcBorders/>
            <w:shd w:fill="CCEEFF" w:val="clear"/>
            <w:vAlign w:val="center"/>
          </w:tcPr>
          <w:p>
            <w:pPr>
              <w:pStyle w:val="TableContents"/>
              <w:bidi w:val="0"/>
              <w:spacing w:before="0" w:after="0"/>
              <w:ind w:left="0" w:right="0" w:hanging="0"/>
              <w:jc w:val="center"/>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Luxury Residential Development – Austin, TX</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2028</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29,500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28,627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28,070</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17.00%</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(2)</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Mixed-Use Development – Lake Toxaway, NC</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2027</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6,938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6,813</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16.00%</w:t>
            </w:r>
          </w:p>
        </w:tc>
        <w:tc>
          <w:tcPr>
            <w:tcW w:w="2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(3)</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Costco Mixed-Use Development – Atlanta, GA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2027</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4,500</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838</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c>
          <w:tcPr>
            <w:tcW w:w="271" w:type="dxa"/>
            <w:tcBorders/>
            <w:vAlign w:val="center"/>
          </w:tcPr>
          <w:p>
            <w:pPr>
              <w:pStyle w:val="TableContents"/>
              <w:bidi w:val="0"/>
              <w:spacing w:before="0" w:after="0"/>
              <w:ind w:left="0" w:right="0" w:hanging="0"/>
              <w:jc w:val="left"/>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Redevelopment Loan – Mixed-Use Redevelopment – Denver, CO</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2028</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13,500</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8,519</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8,317</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(4)</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Mixed-Use Development – Herndon, VA</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December 2025</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2028</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20,000</w:t>
            </w:r>
          </w:p>
        </w:tc>
        <w:tc>
          <w:tcPr>
            <w:tcW w:w="3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20,001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19,702</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12.00%</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3"/>
              </w:rPr>
            </w:pPr>
            <w:r>
              <w:rPr>
                <w:rFonts w:ascii="Times New Roman;Times;serif" w:hAnsi="Times New Roman;Times;serif"/>
                <w:sz w:val="13"/>
              </w:rPr>
              <w:t>(5)</w:t>
            </w:r>
          </w:p>
        </w:tc>
      </w:tr>
      <w:tr>
        <w:trPr/>
        <w:tc>
          <w:tcPr>
            <w:tcW w:w="205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225,581</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170,946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169,262</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left"/>
              <w:rPr/>
            </w:pPr>
            <w:r>
              <w:rPr/>
              <w:t>​</w:t>
            </w:r>
          </w:p>
        </w:tc>
      </w:tr>
      <w:tr>
        <w:trPr/>
        <w:tc>
          <w:tcPr>
            <w:tcW w:w="2053"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(1,709)</w:t>
            </w:r>
          </w:p>
        </w:tc>
        <w:tc>
          <w:tcPr>
            <w:tcW w:w="346"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r>
      <w:tr>
        <w:trPr/>
        <w:tc>
          <w:tcPr>
            <w:tcW w:w="2053"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2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2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167,553</w:t>
            </w:r>
          </w:p>
        </w:tc>
        <w:tc>
          <w:tcPr>
            <w:tcW w:w="346"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maturity date reflects the date the tenant’s repurchase right first becomes exercisable pursuant to the lease agreement.</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4.00%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13.00%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837" w:type="dxa"/>
        <w:jc w:val="left"/>
        <w:tblInd w:w="0" w:type="dxa"/>
        <w:tblLayout w:type="fixed"/>
        <w:tblCellMar>
          <w:top w:w="0" w:type="dxa"/>
          <w:left w:w="0" w:type="dxa"/>
          <w:bottom w:w="0" w:type="dxa"/>
          <w:right w:w="0" w:type="dxa"/>
        </w:tblCellMar>
      </w:tblPr>
      <w:tblGrid>
        <w:gridCol w:w="271"/>
        <w:gridCol w:w="556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55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9.00%</w:t>
            </w:r>
            <w:r>
              <w:rPr>
                <w:caps w:val="false"/>
                <w:smallCaps w:val="false"/>
              </w:rPr>
              <w:t xml:space="preserve"> </w:t>
            </w:r>
            <w:r>
              <w:rPr>
                <w:rFonts w:ascii="Times New Roman;Times;serif" w:hAnsi="Times New Roman;Times;serif"/>
                <w:b w:val="false"/>
                <w:i w:val="false"/>
                <w:caps w:val="false"/>
                <w:smallCaps w:val="false"/>
                <w:sz w:val="16"/>
              </w:rPr>
              <w:t>cash interest and 3.00%</w:t>
            </w:r>
            <w:r>
              <w:rPr>
                <w:caps w:val="false"/>
                <w:smallCaps w:val="false"/>
              </w:rPr>
              <w:t xml:space="preserve"> </w:t>
            </w:r>
            <w:r>
              <w:rPr>
                <w:rFonts w:ascii="Times New Roman;Times;serif" w:hAnsi="Times New Roman;Times;serif"/>
                <w:b w:val="false"/>
                <w:i w:val="false"/>
                <w:caps w:val="false"/>
                <w:smallCaps w:val="false"/>
                <w:sz w:val="16"/>
              </w:rPr>
              <w:t>paid-in-kind.</w:t>
            </w:r>
          </w:p>
        </w:tc>
      </w:tr>
    </w:tbl>
    <w:tbl>
      <w:tblPr>
        <w:tblW w:w="5927" w:type="dxa"/>
        <w:jc w:val="left"/>
        <w:tblInd w:w="0" w:type="dxa"/>
        <w:tblLayout w:type="fixed"/>
        <w:tblCellMar>
          <w:top w:w="0" w:type="dxa"/>
          <w:left w:w="0" w:type="dxa"/>
          <w:bottom w:w="0" w:type="dxa"/>
          <w:right w:w="0" w:type="dxa"/>
        </w:tblCellMar>
      </w:tblPr>
      <w:tblGrid>
        <w:gridCol w:w="271"/>
        <w:gridCol w:w="56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56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coupon rate is comprised of 10.00%</w:t>
            </w:r>
            <w:r>
              <w:rPr>
                <w:caps w:val="false"/>
                <w:smallCaps w:val="false"/>
              </w:rPr>
              <w:t xml:space="preserve"> </w:t>
            </w:r>
            <w:r>
              <w:rPr>
                <w:rFonts w:ascii="Times New Roman;Times;serif" w:hAnsi="Times New Roman;Times;serif"/>
                <w:b w:val="false"/>
                <w:i w:val="false"/>
                <w:caps w:val="false"/>
                <w:smallCaps w:val="false"/>
                <w:sz w:val="16"/>
              </w:rPr>
              <w:t>cash interest and 2.00%</w:t>
            </w:r>
            <w:r>
              <w:rPr>
                <w:caps w:val="false"/>
                <w:smallCaps w:val="false"/>
              </w:rPr>
              <w:t xml:space="preserve"> </w:t>
            </w:r>
            <w:r>
              <w:rPr>
                <w:rFonts w:ascii="Times New Roman;Times;serif" w:hAnsi="Times New Roman;Times;serif"/>
                <w:b w:val="false"/>
                <w:i w:val="false"/>
                <w:caps w:val="false"/>
                <w:smallCaps w:val="false"/>
                <w:sz w:val="16"/>
              </w:rPr>
              <w:t>paid-in-kind.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bookmarkStart w:id="1067" w:name="Tc_vDnKasOxT06CULJqnOfO3w_6_5"/>
      <w:bookmarkStart w:id="1068" w:name="Tc_NUagVWp8EEq9aFrpdxNbNA_6_2"/>
      <w:bookmarkStart w:id="1069" w:name="Tc_VXntLcN0DUW9Tlf8nhoNsw_6_0"/>
      <w:bookmarkStart w:id="1070" w:name="Tc_jTeR-7QxJk6srfiVvUM38Q_5_0"/>
      <w:bookmarkStart w:id="1071" w:name="Tc_c3WTlPWahU-6AG6SvetnBg_4_0"/>
      <w:bookmarkStart w:id="1072" w:name="Tc_cyC1xtUJukSnszma-9MC3A_3_5"/>
      <w:bookmarkStart w:id="1073" w:name="Tc_EhSWgVFSu0WO0SpTSdlN2Q_3_2"/>
      <w:bookmarkStart w:id="1074" w:name="Tc_SGY0sY8rHEi1qeNEZhHETA_3_0"/>
      <w:bookmarkStart w:id="1075" w:name="Tc_PkQbenXqJUW_QrHka_gk0g_2_5"/>
      <w:bookmarkStart w:id="1076" w:name="Tc_tYlSVALLgkuc-6QW0B8WZg_2_2"/>
      <w:bookmarkStart w:id="1077" w:name="Tc_OB-LzGRdjEGdZ7pDaKBr0g_1_2"/>
      <w:bookmarkStart w:id="1078" w:name="_4f0f6f6d_88b0_43a7_9a55_ff61ce84d556"/>
      <w:bookmarkStart w:id="1079" w:name="Tc_apHlGvt4akSZQucdSzjxjg_13_12"/>
      <w:bookmarkStart w:id="1080" w:name="Tc_XvE12KZzcECNIEMsIOZ4Hg_13_0"/>
      <w:bookmarkStart w:id="1081" w:name="Tc_TI7GVY2ysUKDDQm0h1LhkQ_12_0"/>
      <w:bookmarkStart w:id="1082" w:name="Tc_2C4HDwXsq0ibPTiLmRMsaw_11_12"/>
      <w:bookmarkStart w:id="1083" w:name="Tc_vpcq2Htehk6MDDkRj2Pqng_11_9"/>
      <w:bookmarkStart w:id="1084" w:name="Tc_YXAM79oBTEqIGNqfYMIL6g_11_6"/>
      <w:bookmarkStart w:id="1085" w:name="Tc_H4-_6VaLGUWM8uDpwOKL5g_10_4"/>
      <w:bookmarkStart w:id="1086" w:name="Tc_Lo4fqkCqz063Zr-gnc2kDA_10_2"/>
      <w:bookmarkStart w:id="1087" w:name="Tc_5VGJZYVxT02bJVQk69quQQ_10_0"/>
      <w:bookmarkStart w:id="1088" w:name="Tc_bWr7rUi9ZUSPfdOpA1rCEQ_9_4"/>
      <w:bookmarkStart w:id="1089" w:name="Tc_dxz7Nms7NUC-9EEmPakhwQ_9_2"/>
      <w:bookmarkStart w:id="1090" w:name="Tc_S8pM-l0xKEKRowPnjjFqhQ_9_0"/>
      <w:bookmarkStart w:id="1091" w:name="Tc_FnYN7dME40WT65K4EU73qA_8_4"/>
      <w:bookmarkStart w:id="1092" w:name="Tc_skeftIUUW0i3qVGsTuTWtQ_8_2"/>
      <w:bookmarkStart w:id="1093" w:name="Tc_PtB_KYbq0EW_VYXg3vRCfw_8_0"/>
      <w:bookmarkStart w:id="1094" w:name="Tc_dLN-LlYTUECUceSt6_HFkQ_7_4"/>
      <w:bookmarkStart w:id="1095" w:name="Tc_oz0FdDBriUCVG7e3-GsAkg_7_2"/>
      <w:bookmarkStart w:id="1096" w:name="Tc_0qCmC6WbSkusIJhS2JUcwg_7_0"/>
      <w:bookmarkStart w:id="1097" w:name="Tc_Upaaxcr5eUqQiXeia8u6Tg_6_4"/>
      <w:bookmarkStart w:id="1098" w:name="Tc_5IT-aCmWnEKDVSTZ0Ic6nA_6_2"/>
      <w:bookmarkStart w:id="1099" w:name="Tc_N54dOxw9TEuNg_9N8l7GzA_6_0"/>
      <w:bookmarkStart w:id="1100" w:name="Tc_ngrP1G45vEGuoOY7WiB8SQ_5_4"/>
      <w:bookmarkStart w:id="1101" w:name="Tc_5Rf_sZzbEk22Qu7Rp8DF6A_5_2"/>
      <w:bookmarkStart w:id="1102" w:name="Tc_Wb3STgl4-0qgykcpmigU0w_5_0"/>
      <w:bookmarkStart w:id="1103" w:name="Tc_yFluFUJJS0eRVinQ46RtDg_4_4"/>
      <w:bookmarkStart w:id="1104" w:name="Tc_jCO5G9CqGkGIF7-iONST2w_4_2"/>
      <w:bookmarkStart w:id="1105" w:name="Tc_us2wvpP6BEi1rfs0NC0Jhw_4_0"/>
      <w:bookmarkStart w:id="1106" w:name="Tc_Vu7EXxZ9wUek3Pok8Km2rQ_3_4"/>
      <w:bookmarkStart w:id="1107" w:name="Tc_EkDeTxtKcEqmCoE4V4sghg_3_2"/>
      <w:bookmarkStart w:id="1108" w:name="Tc_qryWmSWuOESyFSfAFSeK5Q_3_0"/>
      <w:bookmarkStart w:id="1109" w:name="Tc_zv_9m4i5IkyBNZ7mUZeJ6A_2_12"/>
      <w:bookmarkStart w:id="1110" w:name="Tc_4sPPXBRWbk22GpDowx1KHg_2_9"/>
      <w:bookmarkStart w:id="1111" w:name="Tc_tpw2gAE2dkSIjEKFcElFQw_2_6"/>
      <w:bookmarkStart w:id="1112" w:name="Tc_MH6IP-XpB0O1lwv4MBPV7A_2_4"/>
      <w:bookmarkStart w:id="1113" w:name="Tc_R6q2TvmC6kuNO8p2pgAaHg_2_2"/>
      <w:bookmarkStart w:id="1114" w:name="Tc_ZUmHAadKHkKRjG_qpZk1ew_2_0"/>
      <w:bookmarkStart w:id="1115" w:name="Tc_nRs3YR9HiUa-ybBGdZGwiQ_1_15"/>
      <w:bookmarkStart w:id="1116" w:name="Tc_-K56p-rOhEWvwJBVc7CjQQ_1_12"/>
      <w:bookmarkStart w:id="1117" w:name="Tc_yn1kQK-VIEmlaM7nrZvfGg_1_9"/>
      <w:bookmarkStart w:id="1118" w:name="Tc_pAmcgNyM7ESw43P5MSLzzQ_1_6"/>
      <w:bookmarkStart w:id="1119" w:name="Tc_m_bLXDuUREShiBctU_OI5A_1_4"/>
      <w:bookmarkStart w:id="1120" w:name="Tc_37RUfR5T4EOPPN4DS1ENeg_1_2"/>
      <w:bookmarkStart w:id="1121" w:name="Tc_za-HF4xKtU6JwkeTOnh19A_1_0"/>
      <w:bookmarkStart w:id="1122" w:name="_59cf2629_0d53_49fe_9053_bd3b1127ceb4"/>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rPr>
          <w:rFonts w:ascii="Times New Roman;Times;serif" w:hAnsi="Times New Roman;Times;serif"/>
          <w:sz w:val="20"/>
        </w:rPr>
        <w:t>The Company’s commercial loans and investments were comprised of the following at December 31, 2024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35"/>
        <w:gridCol w:w="346"/>
        <w:gridCol w:w="1055"/>
        <w:gridCol w:w="346"/>
        <w:gridCol w:w="948"/>
        <w:gridCol w:w="346"/>
        <w:gridCol w:w="245"/>
        <w:gridCol w:w="866"/>
        <w:gridCol w:w="346"/>
        <w:gridCol w:w="255"/>
        <w:gridCol w:w="783"/>
        <w:gridCol w:w="346"/>
        <w:gridCol w:w="225"/>
        <w:gridCol w:w="690"/>
        <w:gridCol w:w="346"/>
        <w:gridCol w:w="827"/>
      </w:tblGrid>
      <w:tr>
        <w:trPr/>
        <w:tc>
          <w:tcPr>
            <w:tcW w:w="22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9925" cy="175260"/>
                      <wp:effectExtent l="0" t="0" r="0" b="0"/>
                      <wp:wrapNone/>
                      <wp:docPr id="186" name="Frame186"/>
                      <a:graphic xmlns:a="http://schemas.openxmlformats.org/drawingml/2006/main">
                        <a:graphicData uri="http://schemas.microsoft.com/office/word/2010/wordprocessingShape">
                          <wps:wsp>
                            <wps:cNvSpPr txBox="1"/>
                            <wps:spPr>
                              <a:xfrm>
                                <a:off x="0" y="0"/>
                                <a:ext cx="66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01980" cy="175260"/>
                      <wp:effectExtent l="0" t="0" r="0" b="0"/>
                      <wp:wrapNone/>
                      <wp:docPr id="188" name="Frame188"/>
                      <a:graphic xmlns:a="http://schemas.openxmlformats.org/drawingml/2006/main">
                        <a:graphicData uri="http://schemas.microsoft.com/office/word/2010/wordprocessingShape">
                          <wps:wsp>
                            <wps:cNvSpPr txBox="1"/>
                            <wps:spPr>
                              <a:xfrm>
                                <a:off x="0" y="0"/>
                                <a:ext cx="601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5575" cy="175260"/>
                      <wp:effectExtent l="0" t="0" r="0" b="0"/>
                      <wp:wrapNone/>
                      <wp:docPr id="190" name="Frame19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49910" cy="175260"/>
                      <wp:effectExtent l="0" t="0" r="0" b="0"/>
                      <wp:wrapNone/>
                      <wp:docPr id="191" name="Frame191"/>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61925" cy="175260"/>
                      <wp:effectExtent l="0" t="0" r="0" b="0"/>
                      <wp:wrapNone/>
                      <wp:docPr id="193" name="Frame193"/>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7205" cy="175260"/>
                      <wp:effectExtent l="0" t="0" r="0" b="0"/>
                      <wp:wrapNone/>
                      <wp:docPr id="194" name="Frame19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2875" cy="175260"/>
                      <wp:effectExtent l="0" t="0" r="0" b="0"/>
                      <wp:wrapNone/>
                      <wp:docPr id="196" name="Frame19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150" cy="175260"/>
                      <wp:effectExtent l="0" t="0" r="0" b="0"/>
                      <wp:wrapNone/>
                      <wp:docPr id="197" name="Frame19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25145" cy="175260"/>
                      <wp:effectExtent l="0" t="0" r="0" b="0"/>
                      <wp:wrapNone/>
                      <wp:docPr id="199" name="Frame199"/>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46" w:type="dxa"/>
            <w:tcBorders/>
            <w:vAlign w:val="center"/>
          </w:tcPr>
          <w:p>
            <w:pPr>
              <w:pStyle w:val="TableContents"/>
              <w:bidi w:val="0"/>
              <w:spacing w:before="0" w:after="0"/>
              <w:ind w:left="0" w:right="0" w:hanging="0"/>
              <w:jc w:val="left"/>
              <w:rPr/>
            </w:pPr>
            <w:r>
              <w:rPr/>
              <w:t>  ​ ​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46" w:type="dxa"/>
            <w:tcBorders/>
            <w:vAlign w:val="center"/>
          </w:tcPr>
          <w:p>
            <w:pPr>
              <w:pStyle w:val="TableContents"/>
              <w:bidi w:val="0"/>
              <w:spacing w:before="0" w:after="0"/>
              <w:ind w:left="0" w:right="0" w:hanging="0"/>
              <w:jc w:val="left"/>
              <w:rPr/>
            </w:pPr>
            <w:r>
              <w:rPr/>
              <w:t>  ​ ​ ​</w:t>
            </w:r>
          </w:p>
        </w:tc>
        <w:tc>
          <w:tcPr>
            <w:tcW w:w="9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46" w:type="dxa"/>
            <w:tcBorders/>
            <w:vAlign w:val="center"/>
          </w:tcPr>
          <w:p>
            <w:pPr>
              <w:pStyle w:val="TableContents"/>
              <w:bidi w:val="0"/>
              <w:spacing w:before="0" w:after="0"/>
              <w:ind w:left="0" w:right="0" w:hanging="0"/>
              <w:jc w:val="left"/>
              <w:rPr/>
            </w:pPr>
            <w:r>
              <w:rPr/>
              <w:t>  ​ ​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46" w:type="dxa"/>
            <w:tcBorders/>
            <w:vAlign w:val="center"/>
          </w:tcPr>
          <w:p>
            <w:pPr>
              <w:pStyle w:val="TableContents"/>
              <w:bidi w:val="0"/>
              <w:spacing w:before="0" w:after="0"/>
              <w:ind w:left="0" w:right="0" w:hanging="0"/>
              <w:jc w:val="left"/>
              <w:rPr/>
            </w:pPr>
            <w:r>
              <w:rPr/>
              <w:t>  ​ ​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46" w:type="dxa"/>
            <w:tcBorders/>
            <w:vAlign w:val="center"/>
          </w:tcPr>
          <w:p>
            <w:pPr>
              <w:pStyle w:val="TableContents"/>
              <w:bidi w:val="0"/>
              <w:spacing w:before="0" w:after="0"/>
              <w:ind w:left="0" w:right="0" w:hanging="0"/>
              <w:jc w:val="left"/>
              <w:rPr/>
            </w:pPr>
            <w:r>
              <w:rPr/>
              <w:t>  ​ ​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3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46"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7,800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7,149</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7,138</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9.25%</w:t>
            </w:r>
          </w:p>
        </w:tc>
      </w:tr>
      <w:tr>
        <w:trPr/>
        <w:tc>
          <w:tcPr>
            <w:tcW w:w="223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46"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6,825</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4,694</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4,673</w:t>
            </w:r>
          </w:p>
        </w:tc>
        <w:tc>
          <w:tcPr>
            <w:tcW w:w="34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9.50%</w:t>
            </w:r>
          </w:p>
        </w:tc>
      </w:tr>
      <w:tr>
        <w:trPr/>
        <w:tc>
          <w:tcPr>
            <w:tcW w:w="223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46"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21,140</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21,066</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9.00%</w:t>
            </w:r>
          </w:p>
        </w:tc>
      </w:tr>
      <w:tr>
        <w:trPr/>
        <w:tc>
          <w:tcPr>
            <w:tcW w:w="223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Outparcels – Lawrenceville, GA</w:t>
            </w:r>
          </w:p>
        </w:tc>
        <w:tc>
          <w:tcPr>
            <w:tcW w:w="346"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7,200</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6,618</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6,569</w:t>
            </w:r>
          </w:p>
        </w:tc>
        <w:tc>
          <w:tcPr>
            <w:tcW w:w="34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11.25%</w:t>
            </w:r>
          </w:p>
        </w:tc>
      </w:tr>
      <w:tr>
        <w:trPr/>
        <w:tc>
          <w:tcPr>
            <w:tcW w:w="223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Mount Carmel, OH</w:t>
            </w:r>
          </w:p>
        </w:tc>
        <w:tc>
          <w:tcPr>
            <w:tcW w:w="346"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5,196</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5,162</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11.50%</w:t>
            </w:r>
          </w:p>
        </w:tc>
      </w:tr>
      <w:tr>
        <w:trPr/>
        <w:tc>
          <w:tcPr>
            <w:tcW w:w="223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46"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August 2029</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9,586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9,586</w:t>
            </w:r>
          </w:p>
        </w:tc>
        <w:tc>
          <w:tcPr>
            <w:tcW w:w="34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8.30%</w:t>
            </w:r>
          </w:p>
        </w:tc>
      </w:tr>
      <w:tr>
        <w:trPr/>
        <w:tc>
          <w:tcPr>
            <w:tcW w:w="223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46"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August 2029</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16,371</w:t>
            </w:r>
          </w:p>
        </w:tc>
        <w:tc>
          <w:tcPr>
            <w:tcW w:w="34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16,371</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8.30%</w:t>
            </w:r>
          </w:p>
        </w:tc>
      </w:tr>
      <w:tr>
        <w:trPr/>
        <w:tc>
          <w:tcPr>
            <w:tcW w:w="223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46"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August 2029</w:t>
            </w:r>
            <w:r>
              <w:rPr>
                <w:rFonts w:ascii="Times New Roman;Times;serif" w:hAnsi="Times New Roman;Times;serif"/>
                <w:sz w:val="16"/>
              </w:rPr>
              <w:t xml:space="preserve"> </w:t>
            </w:r>
            <w:r>
              <w:rPr>
                <w:rFonts w:ascii="Times New Roman;Times;serif" w:hAnsi="Times New Roman;Times;serif"/>
                <w:sz w:val="13"/>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5,396</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5,396</w:t>
            </w:r>
          </w:p>
        </w:tc>
        <w:tc>
          <w:tcPr>
            <w:tcW w:w="34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8.30%</w:t>
            </w:r>
          </w:p>
        </w:tc>
      </w:tr>
      <w:tr>
        <w:trPr/>
        <w:tc>
          <w:tcPr>
            <w:tcW w:w="223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Publix Land Development – Charlotte, NC</w:t>
            </w:r>
          </w:p>
        </w:tc>
        <w:tc>
          <w:tcPr>
            <w:tcW w:w="346"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17,760</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14,640</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14,576</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9.50%</w:t>
            </w:r>
          </w:p>
        </w:tc>
      </w:tr>
      <w:tr>
        <w:trPr/>
        <w:tc>
          <w:tcPr>
            <w:tcW w:w="223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101,136</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90,790</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90,537</w:t>
            </w:r>
          </w:p>
        </w:tc>
        <w:tc>
          <w:tcPr>
            <w:tcW w:w="34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center"/>
              <w:rPr/>
            </w:pPr>
            <w:r>
              <w:rPr/>
              <w:t>​</w:t>
            </w:r>
          </w:p>
        </w:tc>
      </w:tr>
      <w:tr>
        <w:trPr/>
        <w:tc>
          <w:tcPr>
            <w:tcW w:w="223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46"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(908)</w:t>
            </w:r>
          </w:p>
        </w:tc>
        <w:tc>
          <w:tcPr>
            <w:tcW w:w="346"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left"/>
              <w:rPr/>
            </w:pPr>
            <w:r>
              <w:rPr/>
              <w:t>​</w:t>
            </w:r>
          </w:p>
        </w:tc>
      </w:tr>
      <w:tr>
        <w:trPr/>
        <w:tc>
          <w:tcPr>
            <w:tcW w:w="223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055"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4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89,629</w:t>
            </w:r>
          </w:p>
        </w:tc>
        <w:tc>
          <w:tcPr>
            <w:tcW w:w="346"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carrying value of the commercial loans and investments at December 31, 2025 and 2024 consisted of the following (in thousands):</w:t>
      </w:r>
    </w:p>
    <w:p>
      <w:pPr>
        <w:pStyle w:val="TextBody"/>
        <w:bidi w:val="0"/>
        <w:spacing w:before="0" w:after="240"/>
        <w:ind w:left="0" w:right="0" w:firstLine="432"/>
        <w:jc w:val="both"/>
        <w:rPr/>
      </w:pPr>
      <w:r>
        <w:rPr/>
        <w:t>​</w:t>
      </w:r>
    </w:p>
    <w:tbl>
      <w:tblPr>
        <w:tblW w:w="7683" w:type="dxa"/>
        <w:jc w:val="left"/>
        <w:tblInd w:w="0" w:type="dxa"/>
        <w:tblLayout w:type="fixed"/>
        <w:tblCellMar>
          <w:top w:w="0" w:type="dxa"/>
          <w:left w:w="0" w:type="dxa"/>
          <w:bottom w:w="0" w:type="dxa"/>
          <w:right w:w="0" w:type="dxa"/>
        </w:tblCellMar>
      </w:tblPr>
      <w:tblGrid>
        <w:gridCol w:w="3496"/>
        <w:gridCol w:w="346"/>
        <w:gridCol w:w="366"/>
        <w:gridCol w:w="1359"/>
        <w:gridCol w:w="346"/>
        <w:gridCol w:w="371"/>
        <w:gridCol w:w="1399"/>
      </w:tblGrid>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170,946</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90,790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4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46" w:type="dxa"/>
            <w:tcBorders/>
            <w:shd w:fill="CCEEFF" w:val="clear"/>
            <w:vAlign w:val="center"/>
          </w:tcPr>
          <w:p>
            <w:pPr>
              <w:pStyle w:val="TableContents"/>
              <w:bidi w:val="0"/>
              <w:spacing w:before="0" w:after="0"/>
              <w:ind w:left="0" w:right="0" w:hanging="0"/>
              <w:jc w:val="lef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46" w:type="dxa"/>
            <w:tcBorders/>
            <w:vAlign w:val="center"/>
          </w:tcPr>
          <w:p>
            <w:pPr>
              <w:pStyle w:val="TableContents"/>
              <w:bidi w:val="0"/>
              <w:spacing w:before="0" w:after="0"/>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c>
          <w:tcPr>
            <w:tcW w:w="346" w:type="dxa"/>
            <w:tcBorders/>
            <w:vAlign w:val="center"/>
          </w:tcPr>
          <w:p>
            <w:pPr>
              <w:pStyle w:val="TableContents"/>
              <w:bidi w:val="0"/>
              <w:spacing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89,629</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123" w:name="Tc_MWCQZP4Pw0WPkEzhaCZuaw_7_11"/>
      <w:bookmarkStart w:id="1124" w:name="Tc_wPVjLFlo8UiFEqq7EXa9mw_7_8"/>
      <w:bookmarkStart w:id="1125" w:name="Tc_Q_OPFVCznE-sJoQ7bKDlHQ_7_5"/>
      <w:bookmarkStart w:id="1126" w:name="Tc_hTia4sU0FU-9SiXAhHP2vA_7_2"/>
      <w:bookmarkStart w:id="1127" w:name="Tc_xzEAjRZGnEqEQvjkVr0fnQ_7_0"/>
      <w:bookmarkStart w:id="1128" w:name="Tc_MQqn1bRcM0iCnfi-k63f_g_6_11"/>
      <w:bookmarkStart w:id="1129" w:name="Tc_KqoMATeM30mWd0aYRoTieg_6_8"/>
      <w:bookmarkStart w:id="1130" w:name="Tc_Lhzkz9Aa1U6bdPbP0NfPTA_6_5"/>
      <w:bookmarkStart w:id="1131" w:name="Tc_Umeuv5FREkK8WrbkT_aLaw_6_2"/>
      <w:bookmarkStart w:id="1132" w:name="Tc_21f8ovlmk0yx2PisOQB50A_6_0"/>
      <w:bookmarkStart w:id="1133" w:name="Tc_ehZKex4inUK_Apop21HKMQ_5_11"/>
      <w:bookmarkStart w:id="1134" w:name="Tc_Cygp_pVFsEuftnFdphE0hg_5_8"/>
      <w:bookmarkStart w:id="1135" w:name="Tc_x9gvF_g52EOq4yvn9Adfrw_5_5"/>
      <w:bookmarkStart w:id="1136" w:name="Tc_Y5bMwurbikOiqb7ayKgbeg_5_2"/>
      <w:bookmarkStart w:id="1137" w:name="Tc_fdL7IABi4UidjlVA2eOaRg_5_0"/>
      <w:bookmarkStart w:id="1138" w:name="Tc_1aXxaXJ69UWCtyGCer2bVQ_4_11"/>
      <w:bookmarkStart w:id="1139" w:name="Tc_2LSTLP0Xl06S2ITOJDxPkQ_4_8"/>
      <w:bookmarkStart w:id="1140" w:name="Tc_u4xMrIzxTEGnlLYLNh6cXw_4_5"/>
      <w:bookmarkStart w:id="1141" w:name="Tc_n2OIcFocrk22-qZETsJKSQ_4_2"/>
      <w:bookmarkStart w:id="1142" w:name="Tc_WATn-ZFVtUePAZGobwe7cA_4_0"/>
      <w:bookmarkStart w:id="1143" w:name="Tc_nI45cW0dvUicJmiYQMHGXA_3_11"/>
      <w:bookmarkStart w:id="1144" w:name="Tc_W-E4CB5XpEeRhslRYOf9lg_3_8"/>
      <w:bookmarkStart w:id="1145" w:name="Tc_Ayo54GxNNEW50iJ60qXh-w_3_5"/>
      <w:bookmarkStart w:id="1146" w:name="Tc_M8C7-JpHv0OwFutUI1lNIQ_3_2"/>
      <w:bookmarkStart w:id="1147" w:name="Tc_yAEgNzDHWEeO5F-1K9ycJg_3_0"/>
      <w:bookmarkStart w:id="1148" w:name="Tc_wClmLCo14k6At76ju7NaQQ_2_11"/>
      <w:bookmarkStart w:id="1149" w:name="Tc_4H7NMTWCkEq1DbOr0yzUXw_2_8"/>
      <w:bookmarkStart w:id="1150" w:name="Tc_jhcRcl5MLk2rbx-KbNhXAA_2_5"/>
      <w:bookmarkStart w:id="1151" w:name="Tc_sMI-51l5FUijg88vd12bNg_2_2"/>
      <w:bookmarkStart w:id="1152" w:name="Tc_9HqrUKG8kESH7IWxGKQwvQ_1_8"/>
      <w:bookmarkStart w:id="1153" w:name="Tc_ycgulYvSeEyNKrNxbPILfA_1_2"/>
      <w:bookmarkStart w:id="1154" w:name="_0aac2f07_7969_4bfe_a5d3_549fb1a48890"/>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r>
        <w:rPr>
          <w:rFonts w:ascii="Times New Roman;Times;serif" w:hAnsi="Times New Roman;Times;serif"/>
          <w:b/>
          <w:sz w:val="20"/>
        </w:rPr>
        <w:t>NOTE 5.      FAIR VALUE OF FINANCIAL INSTRUMENTS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as of December 31, 2025 and 2024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054"/>
        <w:gridCol w:w="346"/>
        <w:gridCol w:w="273"/>
        <w:gridCol w:w="1011"/>
        <w:gridCol w:w="346"/>
        <w:gridCol w:w="336"/>
        <w:gridCol w:w="1246"/>
        <w:gridCol w:w="346"/>
        <w:gridCol w:w="273"/>
        <w:gridCol w:w="1011"/>
        <w:gridCol w:w="346"/>
        <w:gridCol w:w="310"/>
        <w:gridCol w:w="1307"/>
      </w:tblGrid>
      <w:tr>
        <w:trPr/>
        <w:tc>
          <w:tcPr>
            <w:tcW w:w="30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73355" cy="175260"/>
                      <wp:effectExtent l="0" t="0" r="0" b="0"/>
                      <wp:wrapNone/>
                      <wp:docPr id="201" name="Frame20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1985" cy="175260"/>
                      <wp:effectExtent l="0" t="0" r="0" b="0"/>
                      <wp:wrapNone/>
                      <wp:docPr id="202" name="Frame202"/>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3360" cy="175260"/>
                      <wp:effectExtent l="0" t="0" r="0" b="0"/>
                      <wp:wrapNone/>
                      <wp:docPr id="204" name="Frame204"/>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91210" cy="175260"/>
                      <wp:effectExtent l="0" t="0" r="0" b="0"/>
                      <wp:wrapNone/>
                      <wp:docPr id="205" name="Frame20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73355" cy="175260"/>
                      <wp:effectExtent l="0" t="0" r="0" b="0"/>
                      <wp:wrapNone/>
                      <wp:docPr id="207" name="Frame207"/>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1985" cy="175260"/>
                      <wp:effectExtent l="0" t="0" r="0" b="0"/>
                      <wp:wrapNone/>
                      <wp:docPr id="208" name="Frame208"/>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6850" cy="175260"/>
                      <wp:effectExtent l="0" t="0" r="0" b="0"/>
                      <wp:wrapNone/>
                      <wp:docPr id="210" name="Frame21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829945" cy="175260"/>
                      <wp:effectExtent l="0" t="0" r="0" b="0"/>
                      <wp:wrapNone/>
                      <wp:docPr id="211" name="Frame211"/>
                      <a:graphic xmlns:a="http://schemas.openxmlformats.org/drawingml/2006/main">
                        <a:graphicData uri="http://schemas.microsoft.com/office/word/2010/wordprocessingShape">
                          <wps:wsp>
                            <wps:cNvSpPr txBox="1"/>
                            <wps:spPr>
                              <a:xfrm>
                                <a:off x="0" y="0"/>
                                <a:ext cx="829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left"/>
              <w:rPr/>
            </w:pPr>
            <w:r>
              <w:rPr/>
              <w:t>​</w:t>
            </w:r>
          </w:p>
        </w:tc>
        <w:tc>
          <w:tcPr>
            <w:tcW w:w="32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0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46" w:type="dxa"/>
            <w:tcBorders/>
            <w:vAlign w:val="center"/>
          </w:tcPr>
          <w:p>
            <w:pPr>
              <w:pStyle w:val="TableContents"/>
              <w:bidi w:val="0"/>
              <w:spacing w:before="0" w:after="0"/>
              <w:ind w:left="0" w:right="0" w:hanging="0"/>
              <w:jc w:val="left"/>
              <w:rPr/>
            </w:pPr>
            <w:r>
              <w:rPr/>
              <w:t>  ​ ​ ​</w:t>
            </w:r>
          </w:p>
        </w:tc>
        <w:tc>
          <w:tcPr>
            <w:tcW w:w="15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Estimated Fair Value </w:t>
            </w:r>
          </w:p>
        </w:tc>
        <w:tc>
          <w:tcPr>
            <w:tcW w:w="346" w:type="dxa"/>
            <w:tcBorders/>
            <w:vAlign w:val="center"/>
          </w:tcPr>
          <w:p>
            <w:pPr>
              <w:pStyle w:val="TableContents"/>
              <w:bidi w:val="0"/>
              <w:spacing w:before="0" w:after="0"/>
              <w:ind w:left="0" w:right="0" w:hanging="0"/>
              <w:jc w:val="left"/>
              <w:rPr/>
            </w:pPr>
            <w:r>
              <w:rPr/>
              <w:t>  ​ ​ ​</w:t>
            </w:r>
          </w:p>
        </w:tc>
        <w:tc>
          <w:tcPr>
            <w:tcW w:w="12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46" w:type="dxa"/>
            <w:tcBorders/>
            <w:vAlign w:val="center"/>
          </w:tcPr>
          <w:p>
            <w:pPr>
              <w:pStyle w:val="TableContents"/>
              <w:bidi w:val="0"/>
              <w:spacing w:before="0" w:after="0"/>
              <w:ind w:left="0" w:right="0" w:hanging="0"/>
              <w:jc w:val="left"/>
              <w:rPr/>
            </w:pPr>
            <w:r>
              <w:rPr/>
              <w:t>  ​ ​ ​</w:t>
            </w:r>
          </w:p>
        </w:tc>
        <w:tc>
          <w:tcPr>
            <w:tcW w:w="1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3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w:t>
            </w:r>
          </w:p>
        </w:tc>
      </w:tr>
      <w:tr>
        <w:trPr/>
        <w:tc>
          <w:tcPr>
            <w:tcW w:w="30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6,373</w:t>
            </w:r>
          </w:p>
        </w:tc>
      </w:tr>
      <w:tr>
        <w:trPr/>
        <w:tc>
          <w:tcPr>
            <w:tcW w:w="3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179,214</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89,629</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98,830</w:t>
            </w:r>
          </w:p>
        </w:tc>
      </w:tr>
      <w:tr>
        <w:trPr/>
        <w:tc>
          <w:tcPr>
            <w:tcW w:w="30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 - Level 2</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10,222</w:t>
            </w:r>
          </w:p>
        </w:tc>
        <w:tc>
          <w:tcPr>
            <w:tcW w:w="34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11,403</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11,558</w:t>
            </w:r>
          </w:p>
        </w:tc>
      </w:tr>
      <w:tr>
        <w:trPr/>
        <w:tc>
          <w:tcPr>
            <w:tcW w:w="30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376,286</w:t>
            </w:r>
          </w:p>
        </w:tc>
        <w:tc>
          <w:tcPr>
            <w:tcW w:w="34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301,466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294,808</w:t>
            </w:r>
          </w:p>
        </w:tc>
      </w:tr>
    </w:tbl>
    <w:p>
      <w:pPr>
        <w:pStyle w:val="TextBody"/>
        <w:bidi w:val="0"/>
        <w:spacing w:before="0" w:after="0"/>
        <w:ind w:left="0" w:right="0" w:hanging="0"/>
        <w:jc w:val="left"/>
        <w:rPr/>
      </w:pPr>
      <w:r>
        <w:rPr/>
        <w:t>​</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155" w:name="Tc_60I4QLo_gkK-Sua5H0Kqlw_10_12"/>
      <w:bookmarkStart w:id="1156" w:name="Tc_mK_NLmDyIUiYXpqeUoE0oQ_10_11"/>
      <w:bookmarkStart w:id="1157" w:name="Tc_e8qON8E_20mIPoUgiEcqnQ_10_8"/>
      <w:bookmarkStart w:id="1158" w:name="Tc_o-uKRrQRFEqZoyzB0ueOEw_10_6"/>
      <w:bookmarkStart w:id="1159" w:name="Tc_yAjpFmJkTkCQBYDYtbLZFg_10_5"/>
      <w:bookmarkStart w:id="1160" w:name="Tc_fn-ABnqHF0a_HNi439Fmsg_10_2"/>
      <w:bookmarkStart w:id="1161" w:name="Tc_Ljb2QVHEMUaMf_jsYWhZmw_10_0"/>
      <w:bookmarkStart w:id="1162" w:name="Tc_vhp7IiG1UEC7oDgrxDv5ZQ_9_12"/>
      <w:bookmarkStart w:id="1163" w:name="Tc_ttuLfeXK-0WZxSWcDcM4yA_9_11"/>
      <w:bookmarkStart w:id="1164" w:name="Tc_kdzdmCn2dkiVMBYq8n35zA_9_8"/>
      <w:bookmarkStart w:id="1165" w:name="Tc_H-hyNNacCUWUxXSKK4LR-A_9_6"/>
      <w:bookmarkStart w:id="1166" w:name="Tc_bLL08cslAU6drQXZOLNcZg_9_5"/>
      <w:bookmarkStart w:id="1167" w:name="Tc_3QrpByO-4EWf-Ng3WYcagA_9_2"/>
      <w:bookmarkStart w:id="1168" w:name="Tc_8UUAdgqljkW_PcUqqNd0eQ_9_0"/>
      <w:bookmarkStart w:id="1169" w:name="Tc_rg5yYcGtA0GyimAZ-x4GfA_8_12"/>
      <w:bookmarkStart w:id="1170" w:name="Tc_s0lj2EL080u-jTh34iZ0mg_8_11"/>
      <w:bookmarkStart w:id="1171" w:name="Tc_00NIR375-kyLSQRLIxvUzg_8_8"/>
      <w:bookmarkStart w:id="1172" w:name="Tc_pkNE-grJX0ad_FYyjp5NMA_8_6"/>
      <w:bookmarkStart w:id="1173" w:name="Tc_2KBEgtFTzUSoeHeh-B__nw_8_5"/>
      <w:bookmarkStart w:id="1174" w:name="Tc_H9FLmDw7I0ehhjGnTiEEzw_8_2"/>
      <w:bookmarkStart w:id="1175" w:name="Tc_uwfbPJ3sE0q2tJ95kgoZDw_8_0"/>
      <w:bookmarkStart w:id="1176" w:name="Tc_HcBb4ILX8EmtuF4l_9PTfw_7_0"/>
      <w:bookmarkStart w:id="1177" w:name="Tc_AoyqhRo1YUCd3TSxiw3odg_6_12"/>
      <w:bookmarkStart w:id="1178" w:name="Tc_BBn2Fb7id0-oL7YwoGKHLA_6_11"/>
      <w:bookmarkStart w:id="1179" w:name="Tc_v_KBQbNiVUyncLu-1L8x8A_6_8"/>
      <w:bookmarkStart w:id="1180" w:name="Tc_QtYMKi3V9EucJ3t030ndnw_6_6"/>
      <w:bookmarkStart w:id="1181" w:name="Tc_tvhfTPXd70a-RTJUlWhI2w_6_5"/>
      <w:bookmarkStart w:id="1182" w:name="Tc_cTr3iMsRcEebT7IOLGcd3w_6_2"/>
      <w:bookmarkStart w:id="1183" w:name="Tc_HMFisbAnkE6pxuFUtI7gbQ_6_0"/>
      <w:bookmarkStart w:id="1184" w:name="Tc_BYsA8lKV3kSHir5HIZVsqQ_5_12"/>
      <w:bookmarkStart w:id="1185" w:name="Tc_U1ovZ9XepUGw6kkp0Jy8Jw_5_11"/>
      <w:bookmarkStart w:id="1186" w:name="Tc_exeVqqvirk-1NldAcYVDAA_5_8"/>
      <w:bookmarkStart w:id="1187" w:name="Tc_i2FSdTtJEEKdKmKRour-eg_5_6"/>
      <w:bookmarkStart w:id="1188" w:name="Tc_RHSpOMzNgEOgWlhgeGkYhw_5_5"/>
      <w:bookmarkStart w:id="1189" w:name="Tc_0-yt25NMcEClfY-gDdwSUw_5_2"/>
      <w:bookmarkStart w:id="1190" w:name="Tc_chdIHrSMYEmduF25gY_VSw_5_0"/>
      <w:bookmarkStart w:id="1191" w:name="Tc_Da5x46QZkkK6Mqi24nv2HA_4_12"/>
      <w:bookmarkStart w:id="1192" w:name="Tc_F697mIqqOk6RvZKohAoAYw_4_11"/>
      <w:bookmarkStart w:id="1193" w:name="Tc_iJNysmi0r0eCqqHKWUorzg_4_8"/>
      <w:bookmarkStart w:id="1194" w:name="Tc_GQLCjStUukeEch2QMfRFFw_4_6"/>
      <w:bookmarkStart w:id="1195" w:name="Tc_zfQ2QPGODkWjDdY8qSh8ug_4_5"/>
      <w:bookmarkStart w:id="1196" w:name="Tc_d8StizsRZk--T6YRUuWQbg_4_2"/>
      <w:bookmarkStart w:id="1197" w:name="Tc_m1R56XAODUG7aZdQKZPeVg_4_0"/>
      <w:bookmarkStart w:id="1198" w:name="Tc_oxfZxGI5DkCXuz9rmt4rcQ_3_0"/>
      <w:bookmarkStart w:id="1199" w:name="Tc_SKip8uWiW0SpClT6w_2Ffw_2_11"/>
      <w:bookmarkStart w:id="1200" w:name="Tc_6-TI-tSu8UiirNzMa8whpw_2_8"/>
      <w:bookmarkStart w:id="1201" w:name="Tc_rsUQJe-vMESNMD_syQA-cg_2_5"/>
      <w:bookmarkStart w:id="1202" w:name="Tc_ozfD1pOnO0SBZVhm8pcVHA_2_2"/>
      <w:bookmarkStart w:id="1203" w:name="Tc_E9cN9-sNv0uYw-UIP_0dcA_1_5"/>
      <w:bookmarkStart w:id="1204" w:name="_5d02db74_28ac_46b8_a644_bd4badea5501"/>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r>
        <w:rPr>
          <w:rFonts w:ascii="Times New Roman;Times;serif" w:hAnsi="Times New Roman;Times;serif"/>
          <w:sz w:val="20"/>
        </w:rPr>
        <w:t>The following tables present the fair value of assets (liabilities) measured on a recurring basis by Level as of December 31, 2025 and 2024 (in thousands). See Note 14, “Interest Rate Swaps” for further disclosure related to the Company’s interest rate swaps.</w:t>
      </w:r>
    </w:p>
    <w:tbl>
      <w:tblPr>
        <w:tblW w:w="10205" w:type="dxa"/>
        <w:jc w:val="left"/>
        <w:tblInd w:w="0" w:type="dxa"/>
        <w:tblLayout w:type="fixed"/>
        <w:tblCellMar>
          <w:top w:w="0" w:type="dxa"/>
          <w:left w:w="0" w:type="dxa"/>
          <w:bottom w:w="0" w:type="dxa"/>
          <w:right w:w="0" w:type="dxa"/>
        </w:tblCellMar>
      </w:tblPr>
      <w:tblGrid>
        <w:gridCol w:w="1849"/>
        <w:gridCol w:w="346"/>
        <w:gridCol w:w="229"/>
        <w:gridCol w:w="622"/>
        <w:gridCol w:w="346"/>
        <w:gridCol w:w="816"/>
        <w:gridCol w:w="1341"/>
        <w:gridCol w:w="362"/>
        <w:gridCol w:w="517"/>
        <w:gridCol w:w="1405"/>
        <w:gridCol w:w="362"/>
        <w:gridCol w:w="626"/>
        <w:gridCol w:w="1384"/>
      </w:tblGrid>
      <w:tr>
        <w:trPr/>
        <w:tc>
          <w:tcPr>
            <w:tcW w:w="1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74115" cy="175260"/>
                      <wp:effectExtent l="0" t="0" r="0" b="0"/>
                      <wp:wrapNone/>
                      <wp:docPr id="212" name="Frame212"/>
                      <a:graphic xmlns:a="http://schemas.openxmlformats.org/drawingml/2006/main">
                        <a:graphicData uri="http://schemas.microsoft.com/office/word/2010/wordprocessingShape">
                          <wps:wsp>
                            <wps:cNvSpPr txBox="1"/>
                            <wps:spPr>
                              <a:xfrm>
                                <a:off x="0" y="0"/>
                                <a:ext cx="1174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5415" cy="175260"/>
                      <wp:effectExtent l="0" t="0" r="0" b="0"/>
                      <wp:wrapNone/>
                      <wp:docPr id="214" name="Frame214"/>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94970" cy="175260"/>
                      <wp:effectExtent l="0" t="0" r="0" b="0"/>
                      <wp:wrapNone/>
                      <wp:docPr id="215" name="Frame215"/>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6"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18160" cy="175260"/>
                      <wp:effectExtent l="0" t="0" r="0" b="0"/>
                      <wp:wrapNone/>
                      <wp:docPr id="217" name="Frame217"/>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51535" cy="175260"/>
                      <wp:effectExtent l="0" t="0" r="0" b="0"/>
                      <wp:wrapNone/>
                      <wp:docPr id="218" name="Frame218"/>
                      <a:graphic xmlns:a="http://schemas.openxmlformats.org/drawingml/2006/main">
                        <a:graphicData uri="http://schemas.microsoft.com/office/word/2010/wordprocessingShape">
                          <wps:wsp>
                            <wps:cNvSpPr txBox="1"/>
                            <wps:spPr>
                              <a:xfrm>
                                <a:off x="0" y="0"/>
                                <a:ext cx="851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9870" cy="175260"/>
                      <wp:effectExtent l="0" t="0" r="0" b="0"/>
                      <wp:wrapNone/>
                      <wp:docPr id="219" name="Frame21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28295" cy="175260"/>
                      <wp:effectExtent l="0" t="0" r="0" b="0"/>
                      <wp:wrapNone/>
                      <wp:docPr id="220" name="Frame220"/>
                      <a:graphic xmlns:a="http://schemas.openxmlformats.org/drawingml/2006/main">
                        <a:graphicData uri="http://schemas.microsoft.com/office/word/2010/wordprocessingShape">
                          <wps:wsp>
                            <wps:cNvSpPr txBox="1"/>
                            <wps:spPr>
                              <a:xfrm>
                                <a:off x="0" y="0"/>
                                <a:ext cx="328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892175" cy="175260"/>
                      <wp:effectExtent l="0" t="0" r="0" b="0"/>
                      <wp:wrapNone/>
                      <wp:docPr id="221" name="Frame221"/>
                      <a:graphic xmlns:a="http://schemas.openxmlformats.org/drawingml/2006/main">
                        <a:graphicData uri="http://schemas.microsoft.com/office/word/2010/wordprocessingShape">
                          <wps:wsp>
                            <wps:cNvSpPr txBox="1"/>
                            <wps:spPr>
                              <a:xfrm>
                                <a:off x="0" y="0"/>
                                <a:ext cx="892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9870" cy="175260"/>
                      <wp:effectExtent l="0" t="0" r="0" b="0"/>
                      <wp:wrapNone/>
                      <wp:docPr id="222" name="Frame222"/>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97510" cy="175260"/>
                      <wp:effectExtent l="0" t="0" r="0" b="0"/>
                      <wp:wrapNone/>
                      <wp:docPr id="223" name="Frame22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878840" cy="175260"/>
                      <wp:effectExtent l="0" t="0" r="0" b="0"/>
                      <wp:wrapNone/>
                      <wp:docPr id="224" name="Frame224"/>
                      <a:graphic xmlns:a="http://schemas.openxmlformats.org/drawingml/2006/main">
                        <a:graphicData uri="http://schemas.microsoft.com/office/word/2010/wordprocessingShape">
                          <wps:wsp>
                            <wps:cNvSpPr txBox="1"/>
                            <wps:spPr>
                              <a:xfrm>
                                <a:off x="0" y="0"/>
                                <a:ext cx="878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 Reporting Date Using</w:t>
            </w:r>
          </w:p>
        </w:tc>
      </w:tr>
      <w:tr>
        <w:trPr/>
        <w:tc>
          <w:tcPr>
            <w:tcW w:w="18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46" w:type="dxa"/>
            <w:tcBorders/>
            <w:vAlign w:val="center"/>
          </w:tcPr>
          <w:p>
            <w:pPr>
              <w:pStyle w:val="TableContents"/>
              <w:bidi w:val="0"/>
              <w:spacing w:before="0" w:after="0"/>
              <w:ind w:left="0" w:right="0" w:hanging="0"/>
              <w:jc w:val="left"/>
              <w:rPr/>
            </w:pPr>
            <w:r>
              <w:rPr/>
              <w:t>  ​ ​ ​</w:t>
            </w:r>
          </w:p>
        </w:tc>
        <w:tc>
          <w:tcPr>
            <w:tcW w:w="2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for Identical Assets (Level 1)</w:t>
            </w:r>
          </w:p>
        </w:tc>
        <w:tc>
          <w:tcPr>
            <w:tcW w:w="362" w:type="dxa"/>
            <w:tcBorders/>
            <w:vAlign w:val="center"/>
          </w:tcPr>
          <w:p>
            <w:pPr>
              <w:pStyle w:val="TableContents"/>
              <w:bidi w:val="0"/>
              <w:spacing w:before="0" w:after="0"/>
              <w:ind w:left="0" w:right="0" w:hanging="0"/>
              <w:jc w:val="left"/>
              <w:rPr/>
            </w:pPr>
            <w:r>
              <w:rPr/>
              <w:t>  ​ ​ ​</w:t>
            </w:r>
          </w:p>
        </w:tc>
        <w:tc>
          <w:tcPr>
            <w:tcW w:w="19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362" w:type="dxa"/>
            <w:tcBorders/>
            <w:vAlign w:val="center"/>
          </w:tcPr>
          <w:p>
            <w:pPr>
              <w:pStyle w:val="TableContents"/>
              <w:bidi w:val="0"/>
              <w:spacing w:before="0" w:after="0"/>
              <w:ind w:left="0" w:right="0" w:hanging="0"/>
              <w:jc w:val="left"/>
              <w:rPr/>
            </w:pPr>
            <w:r>
              <w:rPr/>
              <w:t>  ​ ​ ​</w:t>
            </w:r>
          </w:p>
        </w:tc>
        <w:tc>
          <w:tcPr>
            <w:tcW w:w="2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 (Level 3)</w:t>
            </w:r>
          </w:p>
        </w:tc>
      </w:tr>
      <w:tr>
        <w:trPr/>
        <w:tc>
          <w:tcPr>
            <w:tcW w:w="18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left"/>
              <w:rPr/>
            </w:pPr>
            <w:r>
              <w:rPr/>
              <w:t>​</w:t>
            </w:r>
          </w:p>
        </w:tc>
        <w:tc>
          <w:tcPr>
            <w:tcW w:w="1341"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1405"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right"/>
              <w:rPr/>
            </w:pPr>
            <w:r>
              <w:rPr/>
              <w:t>​</w:t>
            </w:r>
          </w:p>
        </w:tc>
      </w:tr>
      <w:tr>
        <w:trPr/>
        <w:tc>
          <w:tcPr>
            <w:tcW w:w="184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4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362"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pPr>
            <w:r>
              <w:rPr/>
              <w:t>—</w:t>
            </w:r>
          </w:p>
        </w:tc>
      </w:tr>
      <w:tr>
        <w:trPr/>
        <w:tc>
          <w:tcPr>
            <w:tcW w:w="184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4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62"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r>
      <w:tr>
        <w:trPr/>
        <w:tc>
          <w:tcPr>
            <w:tcW w:w="184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Interest Rate Swap </w:t>
            </w:r>
            <w:r>
              <w:rPr>
                <w:rFonts w:ascii="Times New Roman;Times;serif" w:hAnsi="Times New Roman;Times;serif"/>
                <w:sz w:val="15"/>
              </w:rPr>
              <w:t>(3)</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2"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pPr>
            <w:r>
              <w:rPr/>
              <w:t>—</w:t>
            </w:r>
          </w:p>
        </w:tc>
      </w:tr>
      <w:tr>
        <w:trPr/>
        <w:tc>
          <w:tcPr>
            <w:tcW w:w="18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left"/>
              <w:rPr/>
            </w:pPr>
            <w:r>
              <w:rPr/>
              <w:t>​</w:t>
            </w:r>
          </w:p>
        </w:tc>
        <w:tc>
          <w:tcPr>
            <w:tcW w:w="1341"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pPr>
            <w:r>
              <w:rPr/>
              <w:t>​</w:t>
            </w:r>
          </w:p>
        </w:tc>
        <w:tc>
          <w:tcPr>
            <w:tcW w:w="1405"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c>
          <w:tcPr>
            <w:tcW w:w="1384" w:type="dxa"/>
            <w:tcBorders/>
            <w:shd w:fill="CCEEFF" w:val="clear"/>
            <w:vAlign w:val="center"/>
          </w:tcPr>
          <w:p>
            <w:pPr>
              <w:pStyle w:val="TableContents"/>
              <w:bidi w:val="0"/>
              <w:spacing w:before="0" w:after="0"/>
              <w:ind w:left="0" w:right="0" w:hanging="0"/>
              <w:jc w:val="left"/>
              <w:rPr/>
            </w:pPr>
            <w:r>
              <w:rPr/>
              <w:t>​</w:t>
            </w:r>
          </w:p>
        </w:tc>
      </w:tr>
      <w:tr>
        <w:trPr/>
        <w:tc>
          <w:tcPr>
            <w:tcW w:w="1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34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w:t>
            </w:r>
          </w:p>
        </w:tc>
        <w:tc>
          <w:tcPr>
            <w:tcW w:w="362"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0" w:hanging="0"/>
              <w:jc w:val="right"/>
              <w:rPr/>
            </w:pPr>
            <w:r>
              <w:rPr/>
              <w:t>—</w:t>
            </w:r>
          </w:p>
        </w:tc>
      </w:tr>
      <w:tr>
        <w:trPr/>
        <w:tc>
          <w:tcPr>
            <w:tcW w:w="18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 Interest Rate Swap</w:t>
            </w:r>
          </w:p>
        </w:tc>
        <w:tc>
          <w:tcPr>
            <w:tcW w:w="34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46"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shd w:fill="CCEEFF" w:val="clear"/>
            <w:vAlign w:val="center"/>
          </w:tcPr>
          <w:p>
            <w:pPr>
              <w:pStyle w:val="TableContents"/>
              <w:bidi w:val="0"/>
              <w:spacing w:before="0" w:after="0"/>
              <w:ind w:left="0" w:right="0" w:hanging="0"/>
              <w:jc w:val="righ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5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62"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shd w:fill="CCEEFF" w:val="clear"/>
            <w:vAlign w:val="center"/>
          </w:tcPr>
          <w:p>
            <w:pPr>
              <w:pStyle w:val="TableContents"/>
              <w:bidi w:val="0"/>
              <w:spacing w:before="0" w:after="0"/>
              <w:ind w:left="0" w:right="0" w:hanging="0"/>
              <w:jc w:val="right"/>
              <w:rPr/>
            </w:pPr>
            <w:r>
              <w:rPr/>
              <w:t>—</w:t>
            </w:r>
          </w:p>
        </w:tc>
      </w:tr>
      <w:tr>
        <w:trPr/>
        <w:tc>
          <w:tcPr>
            <w:tcW w:w="1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 Interest Rate Swap</w:t>
            </w:r>
          </w:p>
        </w:tc>
        <w:tc>
          <w:tcPr>
            <w:tcW w:w="34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46"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5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62"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4" w:type="dxa"/>
            <w:tcBorders/>
            <w:vAlign w:val="center"/>
          </w:tcPr>
          <w:p>
            <w:pPr>
              <w:pStyle w:val="TableContents"/>
              <w:bidi w:val="0"/>
              <w:spacing w:before="0" w:after="0"/>
              <w:ind w:left="0" w:right="72"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interest rate swaps to fix SOFR and achieve a weighted average fixed interest rate of 3.32%</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$100.0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14, “Interest Rate Swaps” for further disclosure related to the Company's interest rate swaps.</w:t>
            </w:r>
            <w:r>
              <w:rPr>
                <w:caps w:val="false"/>
                <w:smallCaps w:val="false"/>
              </w:rPr>
              <w:t xml:space="preserve"> </w:t>
            </w:r>
          </w:p>
        </w:tc>
      </w:tr>
    </w:tbl>
    <w:p>
      <w:pPr>
        <w:pStyle w:val="TextBody"/>
        <w:bidi w:val="0"/>
        <w:spacing w:before="0" w:after="240"/>
        <w:ind w:left="0" w:right="0" w:hanging="0"/>
        <w:jc w:val="both"/>
        <w:rPr>
          <w:rFonts w:ascii="Times New Roman;Times;serif" w:hAnsi="Times New Roman;Times;serif"/>
          <w:b/>
          <w:sz w:val="20"/>
        </w:rPr>
      </w:pPr>
      <w:bookmarkStart w:id="1205" w:name="Tc_c3a9HuT5i0ywAt0D-pv_MQ_15_5"/>
      <w:bookmarkStart w:id="1206" w:name="Tc_H0U2UFcoLUOXBG5JVPQ3gg_15_2"/>
      <w:bookmarkStart w:id="1207" w:name="Tc_RRwxLw_FPEO6yrgizlGfKA_15_0"/>
      <w:bookmarkStart w:id="1208" w:name="Tc_GpXzwwdaykeG0W6KzeJ3_g_14_0"/>
      <w:bookmarkStart w:id="1209" w:name="Tc_0axx3AUnFkOQ_ETYVTao2w_13_0"/>
      <w:bookmarkStart w:id="1210" w:name="Tc_ni2Yv6ytYk-vyglk18xeJw_12_0"/>
      <w:bookmarkStart w:id="1211" w:name="Tc_5VbJyW03vEqJt1l9ejY2-Q_11_0"/>
      <w:bookmarkStart w:id="1212" w:name="Tc_ZVoOb2wQf0CgrXiYloZPCA_10_0"/>
      <w:bookmarkStart w:id="1213" w:name="Tc_Dj7ljrwvE0yTVS6CRUGsgg_9_0"/>
      <w:bookmarkStart w:id="1214" w:name="Tc_U_dEgZmpeEW6L72oof-TDg_8_0"/>
      <w:bookmarkStart w:id="1215" w:name="Tc_DHqJISCevUq4zE9j5CyCLg_7_0"/>
      <w:bookmarkStart w:id="1216" w:name="Tc_kjjdf5Yskk24CLBe1ixO9A_6_0"/>
      <w:bookmarkStart w:id="1217" w:name="Tc_TJsqqmeh50KzMTlGvamtDQ_5_0"/>
      <w:bookmarkStart w:id="1218" w:name="Tc_zq70td2DeE-u9q1XnKV_hw_4_5"/>
      <w:bookmarkStart w:id="1219" w:name="Tc_B9L-ErIAVkCk8ZTjYP-Afg_4_2"/>
      <w:bookmarkStart w:id="1220" w:name="Tc_wvD51Qm-QkK13uAdCCYh9A_4_0"/>
      <w:bookmarkStart w:id="1221" w:name="Tc_5dmBOJAOFkS1zPOjet3jLg_3_0"/>
      <w:bookmarkStart w:id="1222" w:name="Tc_J5-HfLhfS0KOkBP94KKsFQ_2_5"/>
      <w:bookmarkStart w:id="1223" w:name="Tc_7tuo-4SSOk6Z6TJlEUZ46w_2_2"/>
      <w:bookmarkStart w:id="1224" w:name="Tc_SgdUiBU1p069ckpEOcyaSA_1_2"/>
      <w:bookmarkStart w:id="1225" w:name="_6a0a9ce5_8aa9_4251_919c_ff846ea84cb5"/>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r>
        <w:rPr>
          <w:rFonts w:ascii="Times New Roman;Times;serif" w:hAnsi="Times New Roman;Times;serif"/>
          <w:b/>
          <w:sz w:val="20"/>
        </w:rPr>
        <w:t>NOTE 6.      INTANGIBLE ASSETS AND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and liabilities consist of the value of above market and below market leases, the value of in-place leases, and the value of leasing costs. Intangible assets and liabilities consisted of the following as of December 31, 2025 and 2024 (in thousands):</w:t>
      </w:r>
    </w:p>
    <w:p>
      <w:pPr>
        <w:pStyle w:val="TextBody"/>
        <w:bidi w:val="0"/>
        <w:spacing w:before="0" w:after="240"/>
        <w:ind w:left="0" w:right="0" w:hanging="0"/>
        <w:jc w:val="both"/>
        <w:rPr/>
      </w:pPr>
      <w:r>
        <w:rPr/>
        <w:t>​</w:t>
      </w:r>
    </w:p>
    <w:tbl>
      <w:tblPr>
        <w:tblW w:w="7419" w:type="dxa"/>
        <w:jc w:val="left"/>
        <w:tblInd w:w="0" w:type="dxa"/>
        <w:tblLayout w:type="fixed"/>
        <w:tblCellMar>
          <w:top w:w="0" w:type="dxa"/>
          <w:left w:w="0" w:type="dxa"/>
          <w:bottom w:w="0" w:type="dxa"/>
          <w:right w:w="0" w:type="dxa"/>
        </w:tblCellMar>
      </w:tblPr>
      <w:tblGrid>
        <w:gridCol w:w="3706"/>
        <w:gridCol w:w="109"/>
        <w:gridCol w:w="383"/>
        <w:gridCol w:w="1342"/>
        <w:gridCol w:w="109"/>
        <w:gridCol w:w="371"/>
        <w:gridCol w:w="1399"/>
      </w:tblGrid>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43205" cy="175260"/>
                      <wp:effectExtent l="0" t="0" r="0" b="0"/>
                      <wp:wrapNone/>
                      <wp:docPr id="226" name="Frame226"/>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852170" cy="175260"/>
                      <wp:effectExtent l="0" t="0" r="0" b="0"/>
                      <wp:wrapNone/>
                      <wp:docPr id="227" name="Frame227"/>
                      <a:graphic xmlns:a="http://schemas.openxmlformats.org/drawingml/2006/main">
                        <a:graphicData uri="http://schemas.microsoft.com/office/word/2010/wordprocessingShape">
                          <wps:wsp>
                            <wps:cNvSpPr txBox="1"/>
                            <wps:spPr>
                              <a:xfrm>
                                <a:off x="0" y="0"/>
                                <a:ext cx="852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35585" cy="175260"/>
                      <wp:effectExtent l="0" t="0" r="0" b="0"/>
                      <wp:wrapNone/>
                      <wp:docPr id="229" name="Frame22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888365" cy="175260"/>
                      <wp:effectExtent l="0" t="0" r="0" b="0"/>
                      <wp:wrapNone/>
                      <wp:docPr id="230" name="Frame230"/>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56,614</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19,457</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19,091</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13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77,779</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70,001</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(28,854)</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(26,076)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48,925</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43,925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3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(7,763)</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13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(7,763)</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(6,986)</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109" w:type="dxa"/>
            <w:tcBorders/>
            <w:vAlign w:val="center"/>
          </w:tcPr>
          <w:p>
            <w:pPr>
              <w:pStyle w:val="TableContents"/>
              <w:bidi w:val="0"/>
              <w:spacing w:before="0" w:after="0"/>
              <w:ind w:left="0" w:right="0" w:hanging="0"/>
              <w:jc w:val="left"/>
              <w:rPr/>
            </w:pPr>
            <w:r>
              <w:rPr/>
              <w:t>​</w:t>
            </w:r>
          </w:p>
        </w:tc>
        <w:tc>
          <w:tcPr>
            <w:tcW w:w="3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43,954</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39,151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26" w:name="Tc_S6ikR9xYvkeSCGFpeeqf2w_8_8"/>
      <w:bookmarkStart w:id="1227" w:name="Tc_bJtZJHSV5UisvjW4Fr0wUg_8_5"/>
      <w:bookmarkStart w:id="1228" w:name="Tc_qwiMoPSyikicpjxz-eiUmQ_8_2"/>
      <w:bookmarkStart w:id="1229" w:name="Tc_nGUlkAWFVEGoXyAw-7z65A_8_0"/>
      <w:bookmarkStart w:id="1230" w:name="Tc_kO9IJtlVY0ChMcyjQzO-oA_7_0"/>
      <w:bookmarkStart w:id="1231" w:name="Tc_Shnf71aFG062YtfufhSHZw_6_0"/>
      <w:bookmarkStart w:id="1232" w:name="Tc_UQBSG8GXEEOK3bawc-JScw_5_0"/>
      <w:bookmarkStart w:id="1233" w:name="Tc_IhuliY3eKE-pgQmHPpEfIg_4_0"/>
      <w:bookmarkStart w:id="1234" w:name="Tc_-a8eAqgXjk--Mr-AkADB4Q_3_0"/>
      <w:bookmarkStart w:id="1235" w:name="Tc_bdAK1xHTDUyqxDwNM2X_8w_2_0"/>
      <w:bookmarkStart w:id="1236" w:name="Tc_sOe97_QUcEiKPsozaNU1iA_1_8"/>
      <w:bookmarkStart w:id="1237" w:name="Tc_jmSVdRAdDEmhBEvlNna1iw_1_5"/>
      <w:bookmarkStart w:id="1238" w:name="Tc_RNpVF8QG7kKlOJVXNvz3WQ_1_2"/>
      <w:bookmarkStart w:id="1239" w:name="Tc_BwJiwN7I6Ua5ImV1wkU4uA_1_0"/>
      <w:bookmarkStart w:id="1240" w:name="_0ece7d0a_f22a_46ae_94d5_aa10595feb77"/>
      <w:bookmarkStart w:id="1241" w:name="Tc_IhlwMXuz10-MT0VINbOFSQ_5_7"/>
      <w:bookmarkStart w:id="1242" w:name="Tc_R3_QSQYjgkSMd6KWHqzISQ_5_4"/>
      <w:bookmarkStart w:id="1243" w:name="Tc_MI6V26FssUOqYV-zNwUWXg_5_1"/>
      <w:bookmarkStart w:id="1244" w:name="Tc_iu9Y0IB7GUykvqEBYZeBpA_5_0"/>
      <w:bookmarkStart w:id="1245" w:name="Tc_mKDDaXBXaU2aAhiyP2ToVA_4_0"/>
      <w:bookmarkStart w:id="1246" w:name="Tc_bjhs35RC30uC9ifgoN3jqA_3_7"/>
      <w:bookmarkStart w:id="1247" w:name="Tc_KLVdS862AUi8eaRLlfLshw_3_4"/>
      <w:bookmarkStart w:id="1248" w:name="Tc_6qJv3fmNnE6t8xevHcgkxQ_3_1"/>
      <w:bookmarkStart w:id="1249" w:name="Tc_dl_q7hfI7kiDpC7gs5uYAw_3_0"/>
      <w:bookmarkStart w:id="1250" w:name="Tc_6ImLS1o_BUqg1ZgtvUn_qg_2_7"/>
      <w:bookmarkStart w:id="1251" w:name="Tc_tfM2zV8wQEKJU_uGfLf_Zg_2_4"/>
      <w:bookmarkStart w:id="1252" w:name="Tc_mWc2DoDrVUCP10MCciJlkg_2_1"/>
      <w:bookmarkStart w:id="1253" w:name="Tc_vvo1om7PQU-qv8JdBqnQdA_1_1"/>
      <w:bookmarkStart w:id="1254" w:name="_a57162ea_3e12_4ed1_b8d3_28ca93f1b9cc"/>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r>
        <w:rPr>
          <w:rFonts w:ascii="Times New Roman;Times;serif" w:hAnsi="Times New Roman;Times;serif"/>
          <w:sz w:val="20"/>
        </w:rPr>
        <w:t>The following table reflects the net amortization of intangible assets and liabilities during the years ended December 31, 2025, 2024, and 2023 (in thousands):</w:t>
      </w:r>
    </w:p>
    <w:tbl>
      <w:tblPr>
        <w:tblW w:w="9849" w:type="dxa"/>
        <w:jc w:val="left"/>
        <w:tblInd w:w="0" w:type="dxa"/>
        <w:tblLayout w:type="fixed"/>
        <w:tblCellMar>
          <w:top w:w="0" w:type="dxa"/>
          <w:left w:w="0" w:type="dxa"/>
          <w:bottom w:w="0" w:type="dxa"/>
          <w:right w:w="0" w:type="dxa"/>
        </w:tblCellMar>
      </w:tblPr>
      <w:tblGrid>
        <w:gridCol w:w="4411"/>
        <w:gridCol w:w="465"/>
        <w:gridCol w:w="1260"/>
        <w:gridCol w:w="109"/>
        <w:gridCol w:w="465"/>
        <w:gridCol w:w="1260"/>
        <w:gridCol w:w="109"/>
        <w:gridCol w:w="415"/>
        <w:gridCol w:w="1355"/>
      </w:tblGrid>
      <w:tr>
        <w:trPr/>
        <w:tc>
          <w:tcPr>
            <w:tcW w:w="4411"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95275" cy="175260"/>
                      <wp:effectExtent l="0" t="0" r="0" b="0"/>
                      <wp:wrapNone/>
                      <wp:docPr id="231" name="Frame231"/>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00100" cy="175260"/>
                      <wp:effectExtent l="0" t="0" r="0" b="0"/>
                      <wp:wrapNone/>
                      <wp:docPr id="232" name="Frame232"/>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95275" cy="175260"/>
                      <wp:effectExtent l="0" t="0" r="0" b="0"/>
                      <wp:wrapNone/>
                      <wp:docPr id="234" name="Frame234"/>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800100" cy="175260"/>
                      <wp:effectExtent l="0" t="0" r="0" b="0"/>
                      <wp:wrapNone/>
                      <wp:docPr id="235" name="Frame235"/>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63525" cy="175260"/>
                      <wp:effectExtent l="0" t="0" r="0" b="0"/>
                      <wp:wrapNone/>
                      <wp:docPr id="237" name="Frame23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860425" cy="175260"/>
                      <wp:effectExtent l="0" t="0" r="0" b="0"/>
                      <wp:wrapNone/>
                      <wp:docPr id="238" name="Frame238"/>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411"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8,877</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c>
          <w:tcPr>
            <w:tcW w:w="109"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8,936</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Properties Revenue</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109"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8,264</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8,210</w:t>
            </w:r>
          </w:p>
        </w:tc>
        <w:tc>
          <w:tcPr>
            <w:tcW w:w="109"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8,519</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77"/>
        <w:gridCol w:w="109"/>
        <w:gridCol w:w="451"/>
        <w:gridCol w:w="1447"/>
        <w:gridCol w:w="109"/>
        <w:gridCol w:w="606"/>
        <w:gridCol w:w="1815"/>
        <w:gridCol w:w="109"/>
        <w:gridCol w:w="667"/>
        <w:gridCol w:w="2515"/>
      </w:tblGrid>
      <w:tr>
        <w:trPr/>
        <w:tc>
          <w:tcPr>
            <w:tcW w:w="23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918845" cy="175260"/>
                      <wp:effectExtent l="0" t="0" r="0" b="0"/>
                      <wp:wrapNone/>
                      <wp:docPr id="239" name="Frame239"/>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9215" cy="175260"/>
                      <wp:effectExtent l="0" t="0" r="0" b="0"/>
                      <wp:wrapNone/>
                      <wp:docPr id="240" name="Frame2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152525" cy="175260"/>
                      <wp:effectExtent l="0" t="0" r="0" b="0"/>
                      <wp:wrapNone/>
                      <wp:docPr id="241" name="Frame241"/>
                      <a:graphic xmlns:a="http://schemas.openxmlformats.org/drawingml/2006/main">
                        <a:graphicData uri="http://schemas.microsoft.com/office/word/2010/wordprocessingShape">
                          <wps:wsp>
                            <wps:cNvSpPr txBox="1"/>
                            <wps:spPr>
                              <a:xfrm>
                                <a:off x="0" y="0"/>
                                <a:ext cx="115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597025" cy="175260"/>
                      <wp:effectExtent l="0" t="0" r="0" b="0"/>
                      <wp:wrapNone/>
                      <wp:docPr id="243" name="Frame243"/>
                      <a:graphic xmlns:a="http://schemas.openxmlformats.org/drawingml/2006/main">
                        <a:graphicData uri="http://schemas.microsoft.com/office/word/2010/wordprocessingShape">
                          <wps:wsp>
                            <wps:cNvSpPr txBox="1"/>
                            <wps:spPr>
                              <a:xfrm>
                                <a:off x="0" y="0"/>
                                <a:ext cx="159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109" w:type="dxa"/>
            <w:tcBorders/>
            <w:vAlign w:val="center"/>
          </w:tcPr>
          <w:p>
            <w:pPr>
              <w:pStyle w:val="TableContents"/>
              <w:bidi w:val="0"/>
              <w:spacing w:before="0" w:after="0"/>
              <w:ind w:left="0" w:right="0" w:hanging="0"/>
              <w:jc w:val="left"/>
              <w:rPr/>
            </w:pPr>
            <w:r>
              <w:rPr/>
              <w:t>​</w:t>
            </w:r>
          </w:p>
        </w:tc>
        <w:tc>
          <w:tcPr>
            <w:tcW w:w="2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Future Accretion to Property Revenue </w:t>
            </w:r>
          </w:p>
        </w:tc>
        <w:tc>
          <w:tcPr>
            <w:tcW w:w="109" w:type="dxa"/>
            <w:tcBorders/>
            <w:vAlign w:val="center"/>
          </w:tcPr>
          <w:p>
            <w:pPr>
              <w:pStyle w:val="TableContents"/>
              <w:bidi w:val="0"/>
              <w:spacing w:before="0" w:after="0"/>
              <w:ind w:left="0" w:right="0" w:hanging="0"/>
              <w:jc w:val="left"/>
              <w:rPr/>
            </w:pPr>
            <w:r>
              <w:rPr/>
              <w:t>​</w:t>
            </w:r>
          </w:p>
        </w:tc>
        <w:tc>
          <w:tcPr>
            <w:tcW w:w="3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Future Amortization of Intangible Assets and Liabilities </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9,474</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8,575</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7,178</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6,925</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5,987</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109"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5,475</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5,013</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12,310</w:t>
            </w:r>
          </w:p>
        </w:tc>
        <w:tc>
          <w:tcPr>
            <w:tcW w:w="109" w:type="dxa"/>
            <w:tcBorders/>
            <w:vAlign w:val="center"/>
          </w:tcPr>
          <w:p>
            <w:pPr>
              <w:pStyle w:val="TableContents"/>
              <w:bidi w:val="0"/>
              <w:spacing w:before="0" w:after="0"/>
              <w:ind w:left="0" w:right="0" w:hanging="0"/>
              <w:jc w:val="left"/>
              <w:rPr/>
            </w:pPr>
            <w:r>
              <w:rPr/>
              <w:t>​</w:t>
            </w:r>
          </w:p>
        </w:tc>
        <w:tc>
          <w:tcPr>
            <w:tcW w:w="6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109" w:type="dxa"/>
            <w:tcBorders/>
            <w:vAlign w:val="center"/>
          </w:tcPr>
          <w:p>
            <w:pPr>
              <w:pStyle w:val="TableContents"/>
              <w:bidi w:val="0"/>
              <w:spacing w:before="0" w:after="0"/>
              <w:ind w:left="0" w:right="0" w:hanging="0"/>
              <w:jc w:val="left"/>
              <w:rPr/>
            </w:pPr>
            <w:r>
              <w:rPr/>
              <w:t>​</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11,862</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47,825</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w:t>
            </w:r>
          </w:p>
        </w:tc>
        <w:tc>
          <w:tcPr>
            <w:tcW w:w="109" w:type="dxa"/>
            <w:tcBorders/>
            <w:shd w:fill="CCEEFF" w:val="clear"/>
            <w:vAlign w:val="center"/>
          </w:tcPr>
          <w:p>
            <w:pPr>
              <w:pStyle w:val="TableContents"/>
              <w:bidi w:val="0"/>
              <w:spacing w:before="0" w:after="0"/>
              <w:ind w:left="0" w:right="0" w:hanging="0"/>
              <w:jc w:val="left"/>
              <w:rPr/>
            </w:pPr>
            <w:r>
              <w:rPr/>
              <w:t>​</w:t>
            </w:r>
          </w:p>
        </w:tc>
        <w:tc>
          <w:tcPr>
            <w:tcW w:w="6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1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43,954</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the weighted average amortization period of both the total intangible assets and liabilities was 8.9 years.</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PROVISION FOR IMPAIRMENT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2025, the Company recorded $6.6 million of impairment charges as provision for losses with respect to certain properties within the Company’s income properties segment. The impairment charges are a result of the execution of letters of intent and/or purchase and sale agreements under which the contemplated sales price, less the carrying value of the respective assets, less estimated costs to sell result in an impairment. The impairments during the year ended December 31, 2025 are related to the following properties: (i) three convenience store properties, which are classified as held for sale; (ii) a property formerly leased to Party City; (iii) a property leased to At Home; (iv) a property formerly leased to Century Theater Center; and (v) three properties leased to Walgreens. Two of the three properties leased to Walgreens were classified as held for sale as of March 31, 2025, and subsequently sold during the three months ended June 30, 2025. One of the convenience store properties classified as held for sale as of June 30, 2025 and the property formerly leased to Century Theater Center were sold during the three months ended September 30, 2025. The Company’s execution of the above-referenced letters of intent and/or purchase and sale agreements are consistent with the Company’s current intent to dispose of such properties at a price less than their carrying values to facilitate the re-investment of the proceeds therefrom into new investment opportunities.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2024, the Company recorded a $1.1 million impairment charge representing the provision for losses related to certain convenience store properties within the Company’s income properties segment, which are classified as held for sale. The impairment charge of $1.1 million is equal to the estimated sales prices for these assets pursuant to letters of intent for sale executed during the year ended December 31, 2024, less the book value of the assets, less estimated costs to sell. Our estimated costs to sell include certain property improvements, which are estimated at $0.6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year ended December 31, 2023, the Company recorded a $2.9 million impairment charge representing the provision for losses related to seven convenience store properties within our income properties segment. These seven convenience store properties were leased to one tenant that filed for bankruptcy protection during the three months ended March 31, 2023. The seven leases underlying these seven convenience store properties were rejected as a part of the bankruptcy proceedings during August of 2023. The impairment charge of $2.9 million is equal to the estimated sales prices for these seven convenience store properties (as set forth in executed letters of intent at the time the impairment was estimated), less the book value of the assets as of December 31, 2023, less estimated costs to sell.</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xml:space="preserve">. The Company evaluates the collectability of its commercial loans and 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Times;serif" w:hAnsi="Times New Roman;Times;serif"/>
          <w:i/>
          <w:sz w:val="20"/>
        </w:rPr>
        <w:t>Measurement of Credit Losses on Financial Instruments</w:t>
      </w:r>
      <w:r>
        <w:rPr>
          <w:rFonts w:ascii="Times New Roman;Times;serif" w:hAnsi="Times New Roman;Times;serif"/>
          <w:sz w:val="20"/>
        </w:rPr>
        <w:t>. Changes in the Company’s allowance for credit losses are presented within change in provision for impairment in the accompanying consolidated statements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years ended December 31, 2025, 2024, and 2023, the Company recorded impairment charges of $0.8 million, $0.6 million, and $0.3 million, respectively, representing the provision for credit losses related to our commercial loans and investments. The impairment charges were driven by the initial estimated CECL allowance based on our investment activity during the years ended December 31, 2025, 2024, and 2023, respectively.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 </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255" w:name="Tc_B2bvz2kN30m_lcRmO-LAiA_9_5"/>
      <w:bookmarkStart w:id="1256" w:name="Tc_a4PlmosSD0eVLd0zM7Q28g_9_2"/>
      <w:bookmarkStart w:id="1257" w:name="Tc_o_c3QINCFUSxGl_xSpJX7w_9_0"/>
      <w:bookmarkStart w:id="1258" w:name="Tc_SyMVPeZ6EECwKQ2YpyiWvA_8_0"/>
      <w:bookmarkStart w:id="1259" w:name="Tc_hapOyEWCr0WDijbYYsbtjg_7_0"/>
      <w:bookmarkStart w:id="1260" w:name="Tc_Y8jF_SmNP0SGxrjLDlS-wQ_6_0"/>
      <w:bookmarkStart w:id="1261" w:name="Tc_802G5qSZqkSQRiNwzmtF6w_5_0"/>
      <w:bookmarkStart w:id="1262" w:name="Tc_j69qPbAmZEayMruTzZ6EiQ_4_0"/>
      <w:bookmarkStart w:id="1263" w:name="Tc_akc8f0U7B0WnhXTTKxgHDQ_3_5"/>
      <w:bookmarkStart w:id="1264" w:name="Tc_TQicUtEjqkicRavvZjpqfQ_3_2"/>
      <w:bookmarkStart w:id="1265" w:name="Tc_sR-EyzE_ykG0WqT59DNPrg_3_0"/>
      <w:bookmarkStart w:id="1266" w:name="Tc_HmP_HXL7QEyuA6eRkKD_IA_2_5"/>
      <w:bookmarkStart w:id="1267" w:name="Tc_f5w3kpxDl0iC9-4yzfOgiw_2_2"/>
      <w:bookmarkStart w:id="1268" w:name="Tc_qe4CL7dRRkO8BnfQw7VGfw_1_2"/>
      <w:bookmarkStart w:id="1269" w:name="_024849bd_e7cf_43d4_9ae0_8f76c403ca41"/>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ascii="Times New Roman;Times;serif" w:hAnsi="Times New Roman;Times;serif"/>
          <w:b/>
          <w:sz w:val="20"/>
        </w:rPr>
        <w:t>NOTE 8.      OTHER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assets consisted of the following (in thousands):</w:t>
      </w:r>
    </w:p>
    <w:p>
      <w:pPr>
        <w:pStyle w:val="TextBody"/>
        <w:bidi w:val="0"/>
        <w:spacing w:before="0" w:after="240"/>
        <w:ind w:left="0" w:right="0" w:firstLine="360"/>
        <w:jc w:val="both"/>
        <w:rPr/>
      </w:pPr>
      <w:r>
        <w:rPr/>
        <w:t>​</w:t>
      </w:r>
    </w:p>
    <w:tbl>
      <w:tblPr>
        <w:tblW w:w="9114" w:type="dxa"/>
        <w:jc w:val="left"/>
        <w:tblInd w:w="0" w:type="dxa"/>
        <w:tblLayout w:type="fixed"/>
        <w:tblCellMar>
          <w:top w:w="0" w:type="dxa"/>
          <w:left w:w="0" w:type="dxa"/>
          <w:bottom w:w="0" w:type="dxa"/>
          <w:right w:w="0" w:type="dxa"/>
        </w:tblCellMar>
      </w:tblPr>
      <w:tblGrid>
        <w:gridCol w:w="5401"/>
        <w:gridCol w:w="109"/>
        <w:gridCol w:w="465"/>
        <w:gridCol w:w="1260"/>
        <w:gridCol w:w="109"/>
        <w:gridCol w:w="371"/>
        <w:gridCol w:w="1399"/>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429635" cy="175260"/>
                      <wp:effectExtent l="0" t="0" r="0" b="0"/>
                      <wp:wrapNone/>
                      <wp:docPr id="244" name="Frame244"/>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95275" cy="175260"/>
                      <wp:effectExtent l="0" t="0" r="0" b="0"/>
                      <wp:wrapNone/>
                      <wp:docPr id="246" name="Frame246"/>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00100" cy="175260"/>
                      <wp:effectExtent l="0" t="0" r="0" b="0"/>
                      <wp:wrapNone/>
                      <wp:docPr id="247" name="Frame247"/>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35585" cy="175260"/>
                      <wp:effectExtent l="0" t="0" r="0" b="0"/>
                      <wp:wrapNone/>
                      <wp:docPr id="249" name="Frame24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88365" cy="175260"/>
                      <wp:effectExtent l="0" t="0" r="0" b="0"/>
                      <wp:wrapNone/>
                      <wp:docPr id="250" name="Frame250"/>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Tenant Receivables—Net of Allowance for Doubtful Accounts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Insurance </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Deposits,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Costs—Net</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8,087</w:t>
            </w:r>
          </w:p>
        </w:tc>
      </w:tr>
      <w:tr>
        <w:trPr/>
        <w:tc>
          <w:tcPr>
            <w:tcW w:w="540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Right-of-Use Asset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3,025</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8,908</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15,734</w:t>
            </w:r>
          </w:p>
        </w:tc>
      </w:tr>
    </w:tbl>
    <w:tbl>
      <w:tblPr>
        <w:tblW w:w="8327" w:type="dxa"/>
        <w:jc w:val="left"/>
        <w:tblInd w:w="0" w:type="dxa"/>
        <w:tblLayout w:type="fixed"/>
        <w:tblCellMar>
          <w:top w:w="0" w:type="dxa"/>
          <w:left w:w="0" w:type="dxa"/>
          <w:bottom w:w="0" w:type="dxa"/>
          <w:right w:w="0" w:type="dxa"/>
        </w:tblCellMar>
      </w:tblPr>
      <w:tblGrid>
        <w:gridCol w:w="271"/>
        <w:gridCol w:w="805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0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$0.2</w:t>
            </w:r>
            <w:r>
              <w:rPr>
                <w:caps w:val="false"/>
                <w:smallCaps w:val="false"/>
              </w:rPr>
              <w:t xml:space="preserve"> </w:t>
            </w:r>
            <w:r>
              <w:rPr>
                <w:rFonts w:ascii="Times New Roman;Times;serif" w:hAnsi="Times New Roman;Times;serif"/>
                <w:b w:val="false"/>
                <w:i w:val="false"/>
                <w:caps w:val="false"/>
                <w:smallCaps w:val="false"/>
                <w:sz w:val="16"/>
              </w:rPr>
              <w:t>and $0.3 million allowance for doubtful accounts as of December 31, 2025 and 2024, respectively.</w:t>
            </w:r>
          </w:p>
        </w:tc>
      </w:tr>
    </w:tbl>
    <w:tbl>
      <w:tblPr>
        <w:tblW w:w="9947" w:type="dxa"/>
        <w:jc w:val="left"/>
        <w:tblInd w:w="0" w:type="dxa"/>
        <w:tblLayout w:type="fixed"/>
        <w:tblCellMar>
          <w:top w:w="0" w:type="dxa"/>
          <w:left w:w="0" w:type="dxa"/>
          <w:bottom w:w="0" w:type="dxa"/>
          <w:right w:w="0" w:type="dxa"/>
        </w:tblCellMar>
      </w:tblPr>
      <w:tblGrid>
        <w:gridCol w:w="271"/>
        <w:gridCol w:w="967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right-of-use asset balance as of December 31, 2025.</w:t>
            </w:r>
          </w:p>
        </w:tc>
      </w:tr>
    </w:tbl>
    <w:p>
      <w:pPr>
        <w:pStyle w:val="TextBody"/>
        <w:bidi w:val="0"/>
        <w:spacing w:before="0" w:after="0"/>
        <w:ind w:left="0" w:right="0" w:hanging="0"/>
        <w:jc w:val="left"/>
        <w:rPr/>
      </w:pPr>
      <w:r>
        <w:rPr/>
        <w:t>​</w:t>
      </w:r>
    </w:p>
    <w:p>
      <w:pPr>
        <w:pStyle w:val="TextBody"/>
        <w:bidi w:val="0"/>
        <w:spacing w:before="0" w:after="0"/>
        <w:ind w:left="72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70" w:name="Tc_UdDL_Oi1BUyGZ_TSgVx5yQ_10_2"/>
      <w:bookmarkStart w:id="1271" w:name="Tc_G3lb3xiD4Eau6PAloZBwBQ_10_0"/>
      <w:bookmarkStart w:id="1272" w:name="Tc_FVdMISRPh0WtEskP_inTJw_9_0"/>
      <w:bookmarkStart w:id="1273" w:name="Tc_Rw27Ha9wfEqHqdFFuYp0Mw_8_2"/>
      <w:bookmarkStart w:id="1274" w:name="Tc_S7eh7LnIVEGFEmMA8yFQIA_8_0"/>
      <w:bookmarkStart w:id="1275" w:name="Tc_UfC3AgcDgE6n8aJ6XeqKpQ_7_0"/>
      <w:bookmarkStart w:id="1276" w:name="Tc_il9Q9HoXA0q4Jqv9o0PsXA_6_0"/>
      <w:bookmarkStart w:id="1277" w:name="Tc_nK3zInMqVEGOEMP15QgSOw_5_0"/>
      <w:bookmarkStart w:id="1278" w:name="Tc_DW9EoSqr-USgz1lrvgvueA_4_0"/>
      <w:bookmarkStart w:id="1279" w:name="Tc_qK8SmuxXT0OfQ4ybLnWG5A_3_0"/>
      <w:bookmarkStart w:id="1280" w:name="Tc_jBnC_qVHOEa5bi-fjizAEA_2_2"/>
      <w:bookmarkStart w:id="1281" w:name="Tc__s8-z7wkKkC-yYqRC2F76Q_2_0"/>
      <w:bookmarkStart w:id="1282" w:name="Tc_1MgGsoVxiE-qgbcluuRf6Q_1_0"/>
      <w:bookmarkStart w:id="1283" w:name="_c8179c60_4ae9_432e_9a5a_007a2df96a32"/>
      <w:bookmarkStart w:id="1284" w:name="Tc_6__3anQ_zUaMKnXtVlg2Kg_5_9"/>
      <w:bookmarkStart w:id="1285" w:name="Tc_kNUXvSTx1kuk5XAcVkybvg_5_6"/>
      <w:bookmarkStart w:id="1286" w:name="Tc_Zh3CnQkL2E6TEBjoZUumOw_5_3"/>
      <w:bookmarkStart w:id="1287" w:name="Tc_Z37GwNFsZU27hawVTkaPuA_5_0"/>
      <w:bookmarkStart w:id="1288" w:name="Tc_TKTIwwoGz0mq-hFKfTZQ1g_4_0"/>
      <w:bookmarkStart w:id="1289" w:name="Tc_s4mHUMrKdU-cihWEFqM8tA_3_7"/>
      <w:bookmarkStart w:id="1290" w:name="Tc_1cRR7JFX2EeVpHg20R3siA_3_4"/>
      <w:bookmarkStart w:id="1291" w:name="Tc_ytamTcif6k-qsUSNPAIYTg_3_1"/>
      <w:bookmarkStart w:id="1292" w:name="Tc_XjDIDSA640KJ9TgQxuoBvg_3_0"/>
      <w:bookmarkStart w:id="1293" w:name="Tc_V94lMyux80e3Zt4SoSUyXQ_2_7"/>
      <w:bookmarkStart w:id="1294" w:name="Tc_Defmj5xqV0apFz-cSSFt2Q_2_4"/>
      <w:bookmarkStart w:id="1295" w:name="Tc_-PBOIr-gdEm_WteqP6vO9g_2_1"/>
      <w:bookmarkStart w:id="1296" w:name="Tc_z0VTG04cQE-oTRrWK8mvjg_1_1"/>
      <w:bookmarkStart w:id="1297" w:name="_572b4d77_6fc8_4a7e_ae46_cedcf227886d"/>
      <w:bookmarkStart w:id="1298" w:name="_6891b0e6_799d_406b_a75c_764299990f32_3"/>
      <w:bookmarkStart w:id="1299" w:name="_6891b0e6_799d_406b_a75c_764299990f32_2"/>
      <w:bookmarkStart w:id="1300" w:name="_6891b0e6_799d_406b_a75c_764299990f32"/>
      <w:bookmarkStart w:id="1301" w:name="_0c0ca1c1_2e63_4c36_9482_268b72fc7759_3"/>
      <w:bookmarkStart w:id="1302" w:name="_0c0ca1c1_2e63_4c36_9482_268b72fc7759_2"/>
      <w:bookmarkStart w:id="1303" w:name="_0c0ca1c1_2e63_4c36_9482_268b72fc775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ascii="Times New Roman;Times;serif" w:hAnsi="Times New Roman;Times;serif"/>
          <w:b/>
          <w:sz w:val="20"/>
        </w:rPr>
        <w:t>NOTE 9. OPERATING LAND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FASB ASC Topic 842, </w:t>
      </w:r>
      <w:r>
        <w:rPr>
          <w:rFonts w:ascii="Times New Roman;Times;serif" w:hAnsi="Times New Roman;Times;serif"/>
          <w:i/>
          <w:sz w:val="20"/>
        </w:rPr>
        <w:t>Leases</w:t>
      </w:r>
      <w:r>
        <w:rPr>
          <w:rFonts w:ascii="Times New Roman;Times;serif" w:hAnsi="Times New Roman;Times;serif"/>
          <w:sz w:val="20"/>
        </w:rPr>
        <w:t xml:space="preserve">, requires a lessee to recognize right-of-use assets and lease liabilities that arise from leases, whether qualifying as an operating or finance lease. As of December 31, 2025 and 2024, the Company’s right-of-use assets totaled $3.0 million and $3.2 million, respectively, and the corresponding lease liabilities totaled $3.1 million and $3.2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Amortization of right-of-use assets for operating land leases is recognized on a straight-line basis over the term of the lease and is included within real estate expenses in the consolidated statements of operations. Amortization totaled $0.3 million, $0.2 million, and $0.3 million during the years ended December 31, 2025, 2024 and 2023, respectively.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operating land leases, under which the Company is the lessee, for the years ended December 31, 2025, 2024, and 2023 (in thousands):</w:t>
      </w:r>
    </w:p>
    <w:p>
      <w:pPr>
        <w:pStyle w:val="TextBody"/>
        <w:bidi w:val="0"/>
        <w:spacing w:lineRule="auto" w:line="256" w:before="0" w:after="0"/>
        <w:ind w:left="0" w:right="0" w:hanging="0"/>
        <w:jc w:val="both"/>
        <w:rPr/>
      </w:pPr>
      <w:r>
        <w:rPr/>
        <w:t>​</w:t>
      </w:r>
    </w:p>
    <w:tbl>
      <w:tblPr>
        <w:tblW w:w="9589" w:type="dxa"/>
        <w:jc w:val="left"/>
        <w:tblInd w:w="0" w:type="dxa"/>
        <w:tblLayout w:type="fixed"/>
        <w:tblCellMar>
          <w:top w:w="0" w:type="dxa"/>
          <w:left w:w="0" w:type="dxa"/>
          <w:bottom w:w="0" w:type="dxa"/>
          <w:right w:w="0" w:type="dxa"/>
        </w:tblCellMar>
      </w:tblPr>
      <w:tblGrid>
        <w:gridCol w:w="3556"/>
        <w:gridCol w:w="537"/>
        <w:gridCol w:w="1188"/>
        <w:gridCol w:w="271"/>
        <w:gridCol w:w="537"/>
        <w:gridCol w:w="1188"/>
        <w:gridCol w:w="271"/>
        <w:gridCol w:w="574"/>
        <w:gridCol w:w="1151"/>
        <w:gridCol w:w="31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58060" cy="175260"/>
                      <wp:effectExtent l="0" t="0" r="0" b="0"/>
                      <wp:wrapNone/>
                      <wp:docPr id="251" name="Frame251"/>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40995" cy="175260"/>
                      <wp:effectExtent l="0" t="0" r="0" b="0"/>
                      <wp:wrapNone/>
                      <wp:docPr id="252" name="Frame252"/>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54380" cy="175260"/>
                      <wp:effectExtent l="0" t="0" r="0" b="0"/>
                      <wp:wrapNone/>
                      <wp:docPr id="253" name="Frame253"/>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2085" cy="175260"/>
                      <wp:effectExtent l="0" t="0" r="0" b="0"/>
                      <wp:wrapNone/>
                      <wp:docPr id="254" name="Frame25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40995" cy="175260"/>
                      <wp:effectExtent l="0" t="0" r="0" b="0"/>
                      <wp:wrapNone/>
                      <wp:docPr id="255" name="Frame255"/>
                      <a:graphic xmlns:a="http://schemas.openxmlformats.org/drawingml/2006/main">
                        <a:graphicData uri="http://schemas.microsoft.com/office/word/2010/wordprocessingShape">
                          <wps:wsp>
                            <wps:cNvSpPr txBox="1"/>
                            <wps:spPr>
                              <a:xfrm>
                                <a:off x="0" y="0"/>
                                <a:ext cx="340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754380" cy="175260"/>
                      <wp:effectExtent l="0" t="0" r="0" b="0"/>
                      <wp:wrapNone/>
                      <wp:docPr id="256" name="Frame256"/>
                      <a:graphic xmlns:a="http://schemas.openxmlformats.org/drawingml/2006/main">
                        <a:graphicData uri="http://schemas.microsoft.com/office/word/2010/wordprocessingShape">
                          <wps:wsp>
                            <wps:cNvSpPr txBox="1"/>
                            <wps:spPr>
                              <a:xfrm>
                                <a:off x="0" y="0"/>
                                <a:ext cx="754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72085" cy="175260"/>
                      <wp:effectExtent l="0" t="0" r="0" b="0"/>
                      <wp:wrapNone/>
                      <wp:docPr id="257" name="Frame25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4490" cy="175260"/>
                      <wp:effectExtent l="0" t="0" r="0" b="0"/>
                      <wp:wrapNone/>
                      <wp:docPr id="258" name="Frame258"/>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730885" cy="175260"/>
                      <wp:effectExtent l="0" t="0" r="0" b="0"/>
                      <wp:wrapNone/>
                      <wp:docPr id="259" name="Frame259"/>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0660" cy="175260"/>
                      <wp:effectExtent l="0" t="0" r="0" b="0"/>
                      <wp:wrapNone/>
                      <wp:docPr id="260" name="Frame26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571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c>
          <w:tcPr>
            <w:tcW w:w="316" w:type="dxa"/>
            <w:tcBorders/>
            <w:vAlign w:val="center"/>
          </w:tcPr>
          <w:p>
            <w:pPr>
              <w:pStyle w:val="TableContents"/>
              <w:bidi w:val="0"/>
              <w:spacing w:before="0" w:after="0"/>
              <w:ind w:left="0" w:right="0" w:hanging="0"/>
              <w:jc w:val="left"/>
              <w:rPr/>
            </w:pPr>
            <w:r>
              <w:rPr/>
              <w:t>​</w:t>
            </w:r>
          </w:p>
        </w:tc>
      </w:tr>
      <w:tr>
        <w:trPr/>
        <w:tc>
          <w:tcPr>
            <w:tcW w:w="3556"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271"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271"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71"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271"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537"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271"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11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271"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vAlign w:val="center"/>
          </w:tcPr>
          <w:p>
            <w:pPr>
              <w:pStyle w:val="TableContents"/>
              <w:bidi w:val="0"/>
              <w:spacing w:before="0" w:after="0"/>
              <w:ind w:left="0" w:right="0" w:hanging="0"/>
              <w:jc w:val="right"/>
              <w:rPr/>
            </w:pPr>
            <w:r>
              <w:rPr/>
              <w:t>​</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537"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shd w:fill="CCEEFF" w:val="clear"/>
            <w:vAlign w:val="center"/>
          </w:tcPr>
          <w:p>
            <w:pPr>
              <w:pStyle w:val="TableContents"/>
              <w:bidi w:val="0"/>
              <w:spacing w:before="0" w:after="0"/>
              <w:ind w:left="0" w:right="0" w:hanging="0"/>
              <w:jc w:val="left"/>
              <w:rPr/>
            </w:pPr>
            <w:r>
              <w:rPr/>
              <w:t>​</w:t>
            </w:r>
          </w:p>
        </w:tc>
        <w:tc>
          <w:tcPr>
            <w:tcW w:w="11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Minimum future lease payments under non-cancelable operating land leases, having remaining terms in excess of one year subsequent to December 31, 2025, are summarized as follows (in thousands):</w:t>
      </w:r>
    </w:p>
    <w:p>
      <w:pPr>
        <w:pStyle w:val="TextBody"/>
        <w:bidi w:val="0"/>
        <w:spacing w:lineRule="auto" w:line="256" w:before="0" w:after="0"/>
        <w:ind w:left="0" w:right="0" w:hanging="0"/>
        <w:jc w:val="both"/>
        <w:rPr/>
      </w:pPr>
      <w:r>
        <w:rPr/>
        <w:t>​</w:t>
      </w:r>
    </w:p>
    <w:tbl>
      <w:tblPr>
        <w:tblW w:w="3487" w:type="dxa"/>
        <w:jc w:val="left"/>
        <w:tblInd w:w="0" w:type="dxa"/>
        <w:tblLayout w:type="fixed"/>
        <w:tblCellMar>
          <w:top w:w="0" w:type="dxa"/>
          <w:left w:w="0" w:type="dxa"/>
          <w:bottom w:w="0" w:type="dxa"/>
          <w:right w:w="0" w:type="dxa"/>
        </w:tblCellMar>
      </w:tblPr>
      <w:tblGrid>
        <w:gridCol w:w="2431"/>
        <w:gridCol w:w="109"/>
        <w:gridCol w:w="211"/>
        <w:gridCol w:w="73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543685" cy="175260"/>
                      <wp:effectExtent l="0" t="0" r="0" b="0"/>
                      <wp:wrapNone/>
                      <wp:docPr id="261" name="Frame261"/>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67360" cy="175260"/>
                      <wp:effectExtent l="0" t="0" r="0" b="0"/>
                      <wp:wrapNone/>
                      <wp:docPr id="264" name="Frame26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vAlign w:val="center"/>
          </w:tcPr>
          <w:p>
            <w:pPr>
              <w:pStyle w:val="TableContents"/>
              <w:bidi w:val="0"/>
              <w:spacing w:before="0" w:after="1"/>
              <w:ind w:left="0" w:right="0" w:hanging="0"/>
              <w:jc w:val="center"/>
              <w:rPr/>
            </w:pPr>
            <w:r>
              <w:rPr/>
              <w:t>​</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3,789</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5,380</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3,092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04" w:name="Tc_ciREx9wEe0qBY248Kru7xw_10_5"/>
      <w:bookmarkStart w:id="1305" w:name="Tc_U7YwnqIKU0qkTXfWNmuuqw_10_2"/>
      <w:bookmarkStart w:id="1306" w:name="Tc_vBLSru8RmEasQZQzFYCoVg_10_0"/>
      <w:bookmarkStart w:id="1307" w:name="Tc_7MHP3_pXpEC1S_3xrPfHPw_9_0"/>
      <w:bookmarkStart w:id="1308" w:name="Tc_z_x49CUMwUGKFUZUUdVWbg_8_5"/>
      <w:bookmarkStart w:id="1309" w:name="Tc_C6yu-Pls7EyBsqmlWBczeA_8_2"/>
      <w:bookmarkStart w:id="1310" w:name="Tc_ORq3Fcm65kCfs1l9CedYNw_8_0"/>
      <w:bookmarkStart w:id="1311" w:name="Tc_y9UmJK8GRkGDJogge8V8Qg_7_0"/>
      <w:bookmarkStart w:id="1312" w:name="Tc_MJQ2lioQ3U2EIxJBder7SA_6_0"/>
      <w:bookmarkStart w:id="1313" w:name="Tc_Y2GTe1uXjk2dSpKzBJls2A_5_0"/>
      <w:bookmarkStart w:id="1314" w:name="Tc_4iPQSiIh30CM16Fu2GfxQw_4_0"/>
      <w:bookmarkStart w:id="1315" w:name="Tc_zrdmWm4OBEixrRKLoXjrVw_3_5"/>
      <w:bookmarkStart w:id="1316" w:name="Tc_6mJNNpJW30WQE2RwM0X04Q_3_2"/>
      <w:bookmarkStart w:id="1317" w:name="Tc_JpXn95ubBUqcfftVUCUyzg_3_0"/>
      <w:bookmarkStart w:id="1318" w:name="Tc_VGAxSHSc7kyMZBBKIlScqg_2_5"/>
      <w:bookmarkStart w:id="1319" w:name="Tc_YDE9x-Ne1UOC_QTfk3-fpQ_2_2"/>
      <w:bookmarkStart w:id="1320" w:name="Tc_PyUilRwfv0OzuaLxM4bTkw_1_2"/>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r>
        <w:rPr>
          <w:rFonts w:ascii="Times New Roman;Times;serif" w:hAnsi="Times New Roman;Times;serif"/>
          <w:b/>
          <w:sz w:val="20"/>
        </w:rPr>
        <w:t>NOTE 10.      ASSETS HELD FOR SALE</w:t>
      </w:r>
    </w:p>
    <w:p>
      <w:pPr>
        <w:pStyle w:val="TextBody"/>
        <w:bidi w:val="0"/>
        <w:spacing w:before="240" w:after="240"/>
        <w:ind w:left="0" w:right="0" w:firstLine="360"/>
        <w:jc w:val="both"/>
        <w:rPr>
          <w:rFonts w:ascii="Times New Roman;Times;serif" w:hAnsi="Times New Roman;Times;serif"/>
          <w:sz w:val="20"/>
        </w:rPr>
      </w:pPr>
      <w:r>
        <w:rPr>
          <w:rFonts w:ascii="Times New Roman;Times;serif" w:hAnsi="Times New Roman;Times;serif"/>
          <w:sz w:val="20"/>
        </w:rPr>
        <w:t>Assets held for sale was comprised of three properties as of December 31, 2025 and four properties as of December 31, 2024. Two of the properties classified as held for sale as of December 31, 2024 were sold during the year ended December 31, 2025. Assets held for sale consisted of the following (in thousands).</w:t>
      </w:r>
    </w:p>
    <w:p>
      <w:pPr>
        <w:pStyle w:val="TextBody"/>
        <w:bidi w:val="0"/>
        <w:spacing w:before="0" w:after="0"/>
        <w:ind w:left="0" w:right="0" w:hanging="0"/>
        <w:jc w:val="left"/>
        <w:rPr/>
      </w:pPr>
      <w:r>
        <w:rPr/>
        <w:t>​</w:t>
      </w:r>
    </w:p>
    <w:tbl>
      <w:tblPr>
        <w:tblW w:w="7059" w:type="dxa"/>
        <w:jc w:val="left"/>
        <w:tblInd w:w="0" w:type="dxa"/>
        <w:tblLayout w:type="fixed"/>
        <w:tblCellMar>
          <w:top w:w="0" w:type="dxa"/>
          <w:left w:w="0" w:type="dxa"/>
          <w:bottom w:w="0" w:type="dxa"/>
          <w:right w:w="0" w:type="dxa"/>
        </w:tblCellMar>
      </w:tblPr>
      <w:tblGrid>
        <w:gridCol w:w="3346"/>
        <w:gridCol w:w="109"/>
        <w:gridCol w:w="409"/>
        <w:gridCol w:w="1316"/>
        <w:gridCol w:w="109"/>
        <w:gridCol w:w="414"/>
        <w:gridCol w:w="1356"/>
      </w:tblGrid>
      <w:tr>
        <w:trPr/>
        <w:tc>
          <w:tcPr>
            <w:tcW w:w="3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59715" cy="175260"/>
                      <wp:effectExtent l="0" t="0" r="0" b="0"/>
                      <wp:wrapNone/>
                      <wp:docPr id="266" name="Frame266"/>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835660" cy="175260"/>
                      <wp:effectExtent l="0" t="0" r="0" b="0"/>
                      <wp:wrapNone/>
                      <wp:docPr id="267" name="Frame267"/>
                      <a:graphic xmlns:a="http://schemas.openxmlformats.org/drawingml/2006/main">
                        <a:graphicData uri="http://schemas.microsoft.com/office/word/2010/wordprocessingShape">
                          <wps:wsp>
                            <wps:cNvSpPr txBox="1"/>
                            <wps:spPr>
                              <a:xfrm>
                                <a:off x="0" y="0"/>
                                <a:ext cx="835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62890" cy="175260"/>
                      <wp:effectExtent l="0" t="0" r="0" b="0"/>
                      <wp:wrapNone/>
                      <wp:docPr id="269" name="Frame269"/>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861060" cy="175260"/>
                      <wp:effectExtent l="0" t="0" r="0" b="0"/>
                      <wp:wrapNone/>
                      <wp:docPr id="270" name="Frame270"/>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2"/>
              </w:rPr>
            </w:pPr>
            <w:r>
              <w:rPr>
                <w:rFonts w:ascii="Times New Roman;Times;serif" w:hAnsi="Times New Roman;Times;serif"/>
                <w:b/>
                <w:sz w:val="22"/>
              </w:rPr>
              <w:t>As of</w:t>
            </w:r>
          </w:p>
        </w:tc>
      </w:tr>
      <w:tr>
        <w:trPr/>
        <w:tc>
          <w:tcPr>
            <w:tcW w:w="3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1"/>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9,093</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4,068</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1"/>
              <w:ind w:left="0" w:right="0" w:hanging="0"/>
              <w:jc w:val="left"/>
              <w:rPr/>
            </w:pPr>
            <w:r>
              <w:rPr/>
              <w:t>​</w:t>
            </w:r>
          </w:p>
        </w:tc>
        <w:tc>
          <w:tcPr>
            <w:tcW w:w="409"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1,132</w:t>
            </w:r>
          </w:p>
        </w:tc>
        <w:tc>
          <w:tcPr>
            <w:tcW w:w="109" w:type="dxa"/>
            <w:tcBorders/>
            <w:vAlign w:val="center"/>
          </w:tcPr>
          <w:p>
            <w:pPr>
              <w:pStyle w:val="TableContents"/>
              <w:bidi w:val="0"/>
              <w:spacing w:before="0" w:after="1"/>
              <w:ind w:left="0" w:right="0" w:hanging="0"/>
              <w:jc w:val="right"/>
              <w:rPr/>
            </w:pPr>
            <w:r>
              <w:rPr/>
              <w:t>​</w:t>
            </w:r>
          </w:p>
        </w:tc>
        <w:tc>
          <w:tcPr>
            <w:tcW w:w="414"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shd w:fill="CCEEFF" w:val="clear"/>
            <w:vAlign w:val="center"/>
          </w:tcPr>
          <w:p>
            <w:pPr>
              <w:pStyle w:val="TableContents"/>
              <w:bidi w:val="0"/>
              <w:spacing w:before="0" w:after="1"/>
              <w:ind w:left="0" w:right="0" w:hanging="0"/>
              <w:jc w:val="left"/>
              <w:rPr/>
            </w:pPr>
            <w:r>
              <w:rPr/>
              <w:t>​</w:t>
            </w:r>
          </w:p>
        </w:tc>
        <w:tc>
          <w:tcPr>
            <w:tcW w:w="409" w:type="dxa"/>
            <w:tcBorders/>
            <w:shd w:fill="CCEEFF" w:val="clear"/>
            <w:vAlign w:val="center"/>
          </w:tcPr>
          <w:p>
            <w:pPr>
              <w:pStyle w:val="TableContents"/>
              <w:bidi w:val="0"/>
              <w:spacing w:before="0" w:after="1"/>
              <w:ind w:left="0" w:right="0" w:hanging="0"/>
              <w:jc w:val="left"/>
              <w:rPr/>
            </w:pPr>
            <w:r>
              <w:rPr/>
              <w:t>​</w:t>
            </w:r>
          </w:p>
        </w:tc>
        <w:tc>
          <w:tcPr>
            <w:tcW w:w="13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shd w:fill="CCEEFF" w:val="clear"/>
            <w:vAlign w:val="center"/>
          </w:tcPr>
          <w:p>
            <w:pPr>
              <w:pStyle w:val="TableContents"/>
              <w:bidi w:val="0"/>
              <w:spacing w:before="0" w:after="1"/>
              <w:ind w:left="0" w:right="0" w:hanging="0"/>
              <w:jc w:val="left"/>
              <w:rPr/>
            </w:pPr>
            <w:r>
              <w:rPr/>
              <w:t>​</w:t>
            </w:r>
          </w:p>
        </w:tc>
        <w:tc>
          <w:tcPr>
            <w:tcW w:w="1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1"/>
              <w:ind w:left="0" w:right="0" w:hanging="0"/>
              <w:jc w:val="left"/>
              <w:rPr/>
            </w:pPr>
            <w:r>
              <w:rPr/>
              <w:t>​</w:t>
            </w:r>
          </w:p>
        </w:tc>
        <w:tc>
          <w:tcPr>
            <w:tcW w:w="409" w:type="dxa"/>
            <w:tcBorders/>
            <w:vAlign w:val="center"/>
          </w:tcPr>
          <w:p>
            <w:pPr>
              <w:pStyle w:val="TableContents"/>
              <w:bidi w:val="0"/>
              <w:spacing w:before="0" w:after="1"/>
              <w:ind w:left="0" w:right="0" w:hanging="0"/>
              <w:jc w:val="left"/>
              <w:rPr/>
            </w:pPr>
            <w:r>
              <w:rPr/>
              <w:t>​</w:t>
            </w:r>
          </w:p>
        </w:tc>
        <w:tc>
          <w:tcPr>
            <w:tcW w:w="1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vAlign w:val="center"/>
          </w:tcPr>
          <w:p>
            <w:pPr>
              <w:pStyle w:val="TableContents"/>
              <w:bidi w:val="0"/>
              <w:spacing w:before="0" w:after="1"/>
              <w:ind w:left="0" w:right="0" w:hanging="0"/>
              <w:jc w:val="right"/>
              <w:rPr/>
            </w:pPr>
            <w:r>
              <w:rPr/>
              <w:t>​</w:t>
            </w:r>
          </w:p>
        </w:tc>
        <w:tc>
          <w:tcPr>
            <w:tcW w:w="414" w:type="dxa"/>
            <w:tcBorders/>
            <w:vAlign w:val="center"/>
          </w:tcPr>
          <w:p>
            <w:pPr>
              <w:pStyle w:val="TableContents"/>
              <w:bidi w:val="0"/>
              <w:spacing w:before="0" w:after="1"/>
              <w:ind w:left="0" w:right="0" w:hanging="0"/>
              <w:jc w:val="left"/>
              <w:rPr/>
            </w:pPr>
            <w:r>
              <w:rPr/>
              <w:t>​</w:t>
            </w:r>
          </w:p>
        </w:tc>
        <w:tc>
          <w:tcPr>
            <w:tcW w:w="1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Prior to Provision for Impairment</w:t>
            </w:r>
          </w:p>
        </w:tc>
        <w:tc>
          <w:tcPr>
            <w:tcW w:w="109" w:type="dxa"/>
            <w:tcBorders/>
            <w:vAlign w:val="center"/>
          </w:tcPr>
          <w:p>
            <w:pPr>
              <w:pStyle w:val="TableContents"/>
              <w:bidi w:val="0"/>
              <w:spacing w:before="0" w:after="1"/>
              <w:ind w:left="0" w:right="0" w:hanging="0"/>
              <w:jc w:val="left"/>
              <w:rPr/>
            </w:pPr>
            <w:r>
              <w:rPr/>
              <w:t>​</w:t>
            </w:r>
          </w:p>
        </w:tc>
        <w:tc>
          <w:tcPr>
            <w:tcW w:w="4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10,172</w:t>
            </w:r>
          </w:p>
        </w:tc>
        <w:tc>
          <w:tcPr>
            <w:tcW w:w="109" w:type="dxa"/>
            <w:tcBorders/>
            <w:vAlign w:val="center"/>
          </w:tcPr>
          <w:p>
            <w:pPr>
              <w:pStyle w:val="TableContents"/>
              <w:bidi w:val="0"/>
              <w:spacing w:before="0" w:after="1"/>
              <w:ind w:left="0" w:right="0" w:hanging="0"/>
              <w:jc w:val="right"/>
              <w:rPr/>
            </w:pPr>
            <w:r>
              <w:rPr/>
              <w:t>​</w:t>
            </w:r>
          </w:p>
        </w:tc>
        <w:tc>
          <w:tcPr>
            <w:tcW w:w="4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4,528</w:t>
            </w:r>
          </w:p>
        </w:tc>
      </w:tr>
      <w:tr>
        <w:trPr/>
        <w:tc>
          <w:tcPr>
            <w:tcW w:w="3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(2,095)</w:t>
            </w:r>
          </w:p>
        </w:tc>
        <w:tc>
          <w:tcPr>
            <w:tcW w:w="109" w:type="dxa"/>
            <w:tcBorders/>
            <w:shd w:fill="CCEEFF" w:val="clear"/>
            <w:vAlign w:val="center"/>
          </w:tcPr>
          <w:p>
            <w:pPr>
              <w:pStyle w:val="TableContents"/>
              <w:bidi w:val="0"/>
              <w:spacing w:before="0" w:after="1"/>
              <w:ind w:left="0" w:right="0" w:hanging="0"/>
              <w:jc w:val="righ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(2,274)</w:t>
            </w:r>
          </w:p>
        </w:tc>
      </w:tr>
      <w:tr>
        <w:trPr/>
        <w:tc>
          <w:tcPr>
            <w:tcW w:w="3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 Held for Sale</w:t>
            </w:r>
          </w:p>
        </w:tc>
        <w:tc>
          <w:tcPr>
            <w:tcW w:w="109" w:type="dxa"/>
            <w:tcBorders/>
            <w:vAlign w:val="center"/>
          </w:tcPr>
          <w:p>
            <w:pPr>
              <w:pStyle w:val="TableContents"/>
              <w:bidi w:val="0"/>
              <w:spacing w:before="0" w:after="1"/>
              <w:ind w:left="0" w:right="0" w:hanging="0"/>
              <w:jc w:val="left"/>
              <w:rPr/>
            </w:pPr>
            <w:r>
              <w:rPr/>
              <w:t>​</w:t>
            </w:r>
          </w:p>
        </w:tc>
        <w:tc>
          <w:tcPr>
            <w:tcW w:w="4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8,077</w:t>
            </w:r>
          </w:p>
        </w:tc>
        <w:tc>
          <w:tcPr>
            <w:tcW w:w="109" w:type="dxa"/>
            <w:tcBorders/>
            <w:vAlign w:val="center"/>
          </w:tcPr>
          <w:p>
            <w:pPr>
              <w:pStyle w:val="TableContents"/>
              <w:bidi w:val="0"/>
              <w:spacing w:before="0" w:after="1"/>
              <w:ind w:left="0" w:right="0" w:hanging="0"/>
              <w:jc w:val="right"/>
              <w:rPr/>
            </w:pPr>
            <w:r>
              <w:rPr/>
              <w:t>​</w:t>
            </w:r>
          </w:p>
        </w:tc>
        <w:tc>
          <w:tcPr>
            <w:tcW w:w="4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2,254</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360"/>
        <w:jc w:val="both"/>
        <w:rPr/>
      </w:pPr>
      <w:r>
        <w:rPr/>
        <w:t>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1321" w:name="Tc_0mCNwmnOvUmQHe5eFdaMdg_10_5"/>
      <w:bookmarkStart w:id="1322" w:name="Tc_Q5JW9GMji0GYs9262Xerpw_10_2"/>
      <w:bookmarkStart w:id="1323" w:name="Tc_BW1CcQuQo0SelsCuyA1AIg_10_0"/>
      <w:bookmarkStart w:id="1324" w:name="Tc_PCz27vG0b0qtJbf0_bra_A_9_0"/>
      <w:bookmarkStart w:id="1325" w:name="Tc_YDND4kZ48EuS4gLqdc9Xng_8_0"/>
      <w:bookmarkStart w:id="1326" w:name="Tc_yaOKq8qxCk2kfGbIq0kmrA_7_6"/>
      <w:bookmarkStart w:id="1327" w:name="Tc_VwC4VBek8UaPkq0Ew1wHFw_7_0"/>
      <w:bookmarkStart w:id="1328" w:name="Tc_Kde616tOME6XfevPC1DLbw_5_0"/>
      <w:bookmarkStart w:id="1329" w:name="Tc_ySAIqoQcbUug10_3XzNTrw_4_0"/>
      <w:bookmarkStart w:id="1330" w:name="Tc_sljKD11Mik6uQuw2-w8hNg_3_5"/>
      <w:bookmarkStart w:id="1331" w:name="Tc_xer_zQ0r1EG0MfY35SzlAA_3_2"/>
      <w:bookmarkStart w:id="1332" w:name="Tc__1vxXt68I0yUZq1VLYiyHA_3_0"/>
      <w:bookmarkStart w:id="1333" w:name="Tc_6kc_LYo2akWLSOkbtOMPww_2_5"/>
      <w:bookmarkStart w:id="1334" w:name="Tc_PCMNKIxHL0y5Gsi_t3AqSQ_2_2"/>
      <w:bookmarkStart w:id="1335" w:name="Tc_POzE_S5p50mxsZ0AI7OsUg_1_2"/>
      <w:bookmarkStart w:id="1336" w:name="_3cdaab75_68bf_4732_9269_489e4ea99523"/>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r>
        <w:rPr>
          <w:rFonts w:ascii="Times New Roman;Times;serif" w:hAnsi="Times New Roman;Times;serif"/>
          <w:b/>
          <w:sz w:val="20"/>
        </w:rPr>
        <w:t>NOTE 11.      ACCOUNTS PAYABLE, ACCRUED EXPENSES, AND OTHER LIABILITIES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accrued expenses and other liabilities consisted of the following (in thousands):</w:t>
      </w:r>
    </w:p>
    <w:p>
      <w:pPr>
        <w:pStyle w:val="TextBody"/>
        <w:bidi w:val="0"/>
        <w:spacing w:before="0" w:after="240"/>
        <w:ind w:left="0" w:right="0" w:firstLine="360"/>
        <w:jc w:val="both"/>
        <w:rPr/>
      </w:pPr>
      <w:r>
        <w:rPr/>
        <w:t>​</w:t>
      </w:r>
    </w:p>
    <w:tbl>
      <w:tblPr>
        <w:tblW w:w="9114" w:type="dxa"/>
        <w:jc w:val="left"/>
        <w:tblInd w:w="0" w:type="dxa"/>
        <w:tblLayout w:type="fixed"/>
        <w:tblCellMar>
          <w:top w:w="0" w:type="dxa"/>
          <w:left w:w="0" w:type="dxa"/>
          <w:bottom w:w="0" w:type="dxa"/>
          <w:right w:w="0" w:type="dxa"/>
        </w:tblCellMar>
      </w:tblPr>
      <w:tblGrid>
        <w:gridCol w:w="5401"/>
        <w:gridCol w:w="109"/>
        <w:gridCol w:w="465"/>
        <w:gridCol w:w="1260"/>
        <w:gridCol w:w="109"/>
        <w:gridCol w:w="414"/>
        <w:gridCol w:w="135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429635" cy="175260"/>
                      <wp:effectExtent l="0" t="0" r="0" b="0"/>
                      <wp:wrapNone/>
                      <wp:docPr id="271" name="Frame271"/>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95275" cy="175260"/>
                      <wp:effectExtent l="0" t="0" r="0" b="0"/>
                      <wp:wrapNone/>
                      <wp:docPr id="273" name="Frame273"/>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00100" cy="175260"/>
                      <wp:effectExtent l="0" t="0" r="0" b="0"/>
                      <wp:wrapNone/>
                      <wp:docPr id="274" name="Frame274"/>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62890" cy="175260"/>
                      <wp:effectExtent l="0" t="0" r="0" b="0"/>
                      <wp:wrapNone/>
                      <wp:docPr id="276" name="Frame276"/>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61060" cy="175260"/>
                      <wp:effectExtent l="0" t="0" r="0" b="0"/>
                      <wp:wrapNone/>
                      <wp:docPr id="277" name="Frame277"/>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3,308</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CTO</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right"/>
              <w:rPr/>
            </w:pPr>
            <w:r>
              <w:rPr/>
              <w:t>—</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Reserves</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109"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Liability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w:t>
            </w:r>
          </w:p>
        </w:tc>
        <w:tc>
          <w:tcPr>
            <w:tcW w:w="109" w:type="dxa"/>
            <w:tcBorders/>
            <w:shd w:fill="CCEEFF" w:val="clear"/>
            <w:vAlign w:val="center"/>
          </w:tcPr>
          <w:p>
            <w:pPr>
              <w:pStyle w:val="TableContents"/>
              <w:bidi w:val="0"/>
              <w:spacing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7,877</w:t>
            </w:r>
          </w:p>
        </w:tc>
        <w:tc>
          <w:tcPr>
            <w:tcW w:w="109" w:type="dxa"/>
            <w:tcBorders/>
            <w:vAlign w:val="center"/>
          </w:tcPr>
          <w:p>
            <w:pPr>
              <w:pStyle w:val="TableContents"/>
              <w:bidi w:val="0"/>
              <w:spacing w:before="0" w:after="0"/>
              <w:ind w:left="0" w:right="0" w:hanging="0"/>
              <w:jc w:val="left"/>
              <w:rPr/>
            </w:pPr>
            <w:r>
              <w:rPr/>
              <w:t>​</w:t>
            </w:r>
          </w:p>
        </w:tc>
        <w:tc>
          <w:tcPr>
            <w:tcW w:w="4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8,445</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operating land lease liability balance as of December 31, 2025 and 2024.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OBLIGATION UNDER PARTICIPATION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discussed in Note 2, “Summary of Significant Accounting Policies,” the Company follows the guidance in FASB Topic ASC 860, </w:t>
      </w:r>
      <w:r>
        <w:rPr>
          <w:rFonts w:ascii="Times New Roman;Times;serif" w:hAnsi="Times New Roman;Times;serif"/>
          <w:i/>
          <w:sz w:val="20"/>
        </w:rPr>
        <w:t>Transfers and Servicing</w:t>
      </w:r>
      <w:r>
        <w:rPr>
          <w:rFonts w:ascii="Times New Roman;Times;serif" w:hAnsi="Times New Roman;Times;serif"/>
          <w:sz w:val="20"/>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28, 2025, the Company received $10.0 million from the 2025 Loan Participation Sale. As of December 31, 2025, the Company’s obligation under participation agreement had a carrying value of $10.0 million, and the carrying value of the loan that is associated with this obligation under participation agreement was $9.9 million, net of a CECL reserve of $0.1 million. The interest rate on the obligation under participation agreement was 10.0% as of December 31,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May 31, 2024, the Company received $13.6 million from the 2024 Loan Participation Sale. As of December 31, 2025, the Company had fully repaid the obligation under participation agreement. As of December 31, 2024, the Company’s obligation under participation agreement had a carrying value of $11.4 million, and the carrying value of the loan that is associated with this obligation under participation agreement was $11.3 million, net of a CECL reserve of $0.1 million. The interest rate on the obligation under participation agreement was 8.0% as of December 31, 2024. </w:t>
      </w:r>
    </w:p>
    <w:p>
      <w:pPr>
        <w:pStyle w:val="TextBody"/>
        <w:bidi w:val="0"/>
        <w:spacing w:before="0" w:after="240"/>
        <w:ind w:left="0" w:right="0" w:hanging="0"/>
        <w:jc w:val="both"/>
        <w:rPr>
          <w:rFonts w:ascii="Times New Roman;Times;serif" w:hAnsi="Times New Roman;Times;serif"/>
          <w:b/>
          <w:sz w:val="20"/>
        </w:rPr>
      </w:pPr>
      <w:bookmarkStart w:id="1337" w:name="Tc_ttSZ-JdbZUOfA1gBjJKydg_5_2"/>
      <w:bookmarkStart w:id="1338" w:name="Tc_XNaBYfP5fEKv33md8muSJg_5_0"/>
      <w:bookmarkStart w:id="1339" w:name="Tc__Rj3NZPlpEKyOYLK2LK19w_4_9"/>
      <w:bookmarkStart w:id="1340" w:name="Tc_49vFklkBiEa_djjTrIZuFw_4_5"/>
      <w:bookmarkStart w:id="1341" w:name="Tc_usJQVFc1KkeORRgOUEr6cA_4_0"/>
      <w:bookmarkStart w:id="1342" w:name="Tc_zwsT_XKDmUe-VmtOy3BXtw_3_9"/>
      <w:bookmarkStart w:id="1343" w:name="Tc_SnhaURdmSUqeYMhx85waSA_3_5"/>
      <w:bookmarkStart w:id="1344" w:name="Tc_dWUn-kbWaEuyVDoZaGNXzQ_3_0"/>
      <w:bookmarkStart w:id="1345" w:name="Tc_RpfRuGhui0-jlFpVRltT1A_2_9"/>
      <w:bookmarkStart w:id="1346" w:name="Tc_pWNEXqQr-EeblCPBA5DPrA_2_5"/>
      <w:bookmarkStart w:id="1347" w:name="Tc_LGUhpttjVE2kJYwof_-fQQ_2_2"/>
      <w:bookmarkStart w:id="1348" w:name="Tc_iWHIytbh6UmXDisDBmtuCA_2_0"/>
      <w:bookmarkStart w:id="1349" w:name="Tc_4_rGXquIhEW8Ih1m1hQn8g_1_9"/>
      <w:bookmarkStart w:id="1350" w:name="Tc_BAisRYXdNEe22Q9RX7i7kw_1_7"/>
      <w:bookmarkStart w:id="1351" w:name="Tc_Kz5lQxVLfkm2hL3Smv02EQ_1_5"/>
      <w:bookmarkStart w:id="1352" w:name="Tc_MwEanAT_P0-LySoeLWgTPg_1_2"/>
      <w:bookmarkStart w:id="1353" w:name="_1908ecb2_a62c_40de_85f9_ba9d598264ec"/>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ascii="Times New Roman;Times;serif" w:hAnsi="Times New Roman;Times;serif"/>
          <w:b/>
          <w:sz w:val="20"/>
        </w:rPr>
        <w:t>NOTE 13.      LONG-TERM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the Company’s outstanding indebtedness, at face value, was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95"/>
        <w:gridCol w:w="109"/>
        <w:gridCol w:w="292"/>
        <w:gridCol w:w="1081"/>
        <w:gridCol w:w="109"/>
        <w:gridCol w:w="1535"/>
        <w:gridCol w:w="109"/>
        <w:gridCol w:w="2911"/>
        <w:gridCol w:w="109"/>
        <w:gridCol w:w="1255"/>
      </w:tblGrid>
      <w:tr>
        <w:trPr/>
        <w:tc>
          <w:tcPr>
            <w:tcW w:w="2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711325" cy="175260"/>
                      <wp:effectExtent l="0" t="0" r="0" b="0"/>
                      <wp:wrapNone/>
                      <wp:docPr id="278" name="Frame278"/>
                      <a:graphic xmlns:a="http://schemas.openxmlformats.org/drawingml/2006/main">
                        <a:graphicData uri="http://schemas.microsoft.com/office/word/2010/wordprocessingShape">
                          <wps:wsp>
                            <wps:cNvSpPr txBox="1"/>
                            <wps:spPr>
                              <a:xfrm>
                                <a:off x="0" y="0"/>
                                <a:ext cx="171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85420" cy="175260"/>
                      <wp:effectExtent l="0" t="0" r="0" b="0"/>
                      <wp:wrapNone/>
                      <wp:docPr id="280" name="Frame28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86435" cy="175260"/>
                      <wp:effectExtent l="0" t="0" r="0" b="0"/>
                      <wp:wrapNone/>
                      <wp:docPr id="281" name="Frame28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74725" cy="175260"/>
                      <wp:effectExtent l="0" t="0" r="0" b="0"/>
                      <wp:wrapNone/>
                      <wp:docPr id="283" name="Frame283"/>
                      <a:graphic xmlns:a="http://schemas.openxmlformats.org/drawingml/2006/main">
                        <a:graphicData uri="http://schemas.microsoft.com/office/word/2010/wordprocessingShape">
                          <wps:wsp>
                            <wps:cNvSpPr txBox="1"/>
                            <wps:spPr>
                              <a:xfrm>
                                <a:off x="0" y="0"/>
                                <a:ext cx="974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848485" cy="175260"/>
                      <wp:effectExtent l="0" t="0" r="0" b="0"/>
                      <wp:wrapNone/>
                      <wp:docPr id="285" name="Frame285"/>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96925" cy="175260"/>
                      <wp:effectExtent l="0" t="0" r="0" b="0"/>
                      <wp:wrapNone/>
                      <wp:docPr id="287" name="Frame287"/>
                      <a:graphic xmlns:a="http://schemas.openxmlformats.org/drawingml/2006/main">
                        <a:graphicData uri="http://schemas.microsoft.com/office/word/2010/wordprocessingShape">
                          <wps:wsp>
                            <wps:cNvSpPr txBox="1"/>
                            <wps:spPr>
                              <a:xfrm>
                                <a:off x="0" y="0"/>
                                <a:ext cx="796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9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Face Value Debt</w:t>
              <w:br/>
            </w:r>
            <w:r>
              <w:rPr>
                <w:rFonts w:ascii="Times New Roman;Times;serif" w:hAnsi="Times New Roman;Times;serif"/>
                <w:sz w:val="20"/>
              </w:rPr>
              <w:t>(in thousands)</w:t>
            </w:r>
          </w:p>
        </w:tc>
        <w:tc>
          <w:tcPr>
            <w:tcW w:w="109" w:type="dxa"/>
            <w:tcBorders/>
            <w:vAlign w:val="center"/>
          </w:tcPr>
          <w:p>
            <w:pPr>
              <w:pStyle w:val="TableContents"/>
              <w:bidi w:val="0"/>
              <w:spacing w:before="0" w:after="0"/>
              <w:ind w:left="0" w:right="0" w:hanging="0"/>
              <w:jc w:val="left"/>
              <w:rPr/>
            </w:pPr>
            <w:r>
              <w:rPr/>
              <w:t>​</w:t>
            </w:r>
          </w:p>
        </w:tc>
        <w:tc>
          <w:tcPr>
            <w:tcW w:w="15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29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 as of December 31, 2025</w:t>
            </w:r>
          </w:p>
        </w:tc>
        <w:tc>
          <w:tcPr>
            <w:tcW w:w="109" w:type="dxa"/>
            <w:tcBorders/>
            <w:vAlign w:val="center"/>
          </w:tcPr>
          <w:p>
            <w:pPr>
              <w:pStyle w:val="TableContents"/>
              <w:bidi w:val="0"/>
              <w:spacing w:before="0" w:after="0"/>
              <w:ind w:left="0" w:right="0" w:hanging="0"/>
              <w:jc w:val="left"/>
              <w:rPr/>
            </w:pPr>
            <w:r>
              <w:rPr/>
              <w:t>​</w:t>
            </w:r>
          </w:p>
        </w:tc>
        <w:tc>
          <w:tcPr>
            <w:tcW w:w="12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269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178,000</w:t>
            </w:r>
          </w:p>
        </w:tc>
        <w:tc>
          <w:tcPr>
            <w:tcW w:w="109" w:type="dxa"/>
            <w:tcBorders/>
            <w:shd w:fill="CCEEFF" w:val="clear"/>
            <w:vAlign w:val="center"/>
          </w:tcPr>
          <w:p>
            <w:pPr>
              <w:pStyle w:val="TableContents"/>
              <w:bidi w:val="0"/>
              <w:spacing w:before="0" w:after="0"/>
              <w:ind w:left="0" w:right="0" w:hanging="0"/>
              <w:jc w:val="left"/>
              <w:rPr/>
            </w:pPr>
            <w:r>
              <w:rPr/>
              <w:t>​</w:t>
            </w:r>
          </w:p>
        </w:tc>
        <w:tc>
          <w:tcPr>
            <w:tcW w:w="15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29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5.31%</w:t>
            </w:r>
          </w:p>
        </w:tc>
        <w:tc>
          <w:tcPr>
            <w:tcW w:w="109"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2695"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5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[1.35% - 1.95%]</w:t>
            </w:r>
          </w:p>
        </w:tc>
        <w:tc>
          <w:tcPr>
            <w:tcW w:w="109"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3.80%</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2026</w:t>
            </w:r>
          </w:p>
        </w:tc>
      </w:tr>
      <w:tr>
        <w:trPr/>
        <w:tc>
          <w:tcPr>
            <w:tcW w:w="269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53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+ 0.10%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29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109" w:type="dxa"/>
            <w:tcBorders/>
            <w:shd w:fill="CCEEFF" w:val="clear"/>
            <w:vAlign w:val="center"/>
          </w:tcPr>
          <w:p>
            <w:pPr>
              <w:pStyle w:val="TableContents"/>
              <w:bidi w:val="0"/>
              <w:spacing w:before="0" w:after="0"/>
              <w:ind w:left="0" w:right="0" w:hanging="0"/>
              <w:jc w:val="left"/>
              <w:rPr/>
            </w:pPr>
            <w:r>
              <w:rPr/>
              <w:t>​</w:t>
            </w:r>
          </w:p>
        </w:tc>
        <w:tc>
          <w:tcPr>
            <w:tcW w:w="125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26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378,000</w:t>
            </w:r>
          </w:p>
        </w:tc>
        <w:tc>
          <w:tcPr>
            <w:tcW w:w="109" w:type="dxa"/>
            <w:tcBorders/>
            <w:vAlign w:val="center"/>
          </w:tcPr>
          <w:p>
            <w:pPr>
              <w:pStyle w:val="TableContents"/>
              <w:bidi w:val="0"/>
              <w:spacing w:before="0" w:after="0"/>
              <w:ind w:left="0" w:right="0" w:hanging="0"/>
              <w:jc w:val="left"/>
              <w:rPr/>
            </w:pPr>
            <w:r>
              <w:rPr/>
              <w:t>​</w:t>
            </w:r>
          </w:p>
        </w:tc>
        <w:tc>
          <w:tcPr>
            <w:tcW w:w="153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4.50%</w:t>
            </w:r>
          </w:p>
        </w:tc>
        <w:tc>
          <w:tcPr>
            <w:tcW w:w="109" w:type="dxa"/>
            <w:tcBorders/>
            <w:vAlign w:val="center"/>
          </w:tcPr>
          <w:p>
            <w:pPr>
              <w:pStyle w:val="TableContents"/>
              <w:bidi w:val="0"/>
              <w:spacing w:before="0" w:after="0"/>
              <w:ind w:left="0" w:right="0" w:hanging="0"/>
              <w:jc w:val="left"/>
              <w:rPr/>
            </w:pPr>
            <w:r>
              <w:rPr/>
              <w:t>​</w:t>
            </w:r>
          </w:p>
        </w:tc>
        <w:tc>
          <w:tcPr>
            <w:tcW w:w="1255"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w:t>
            </w:r>
            <w:r>
              <w:rPr>
                <w:caps w:val="false"/>
                <w:smallCaps w:val="false"/>
              </w:rPr>
              <w:t xml:space="preserve"> </w:t>
            </w:r>
            <w:r>
              <w:rPr>
                <w:rFonts w:ascii="Times New Roman;Times;serif" w:hAnsi="Times New Roman;Times;serif"/>
                <w:b w:val="false"/>
                <w:i w:val="false"/>
                <w:caps w:val="false"/>
                <w:smallCaps w:val="false"/>
                <w:sz w:val="16"/>
              </w:rPr>
              <w:t>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3.32%</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$100.0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14, “Interest Rate Swaps” for further disclosure related to the Company’s interest rate swaps.</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Credit Facility.</w:t>
      </w:r>
      <w:r>
        <w:rPr>
          <w:rFonts w:ascii="Times New Roman;Times;serif" w:hAnsi="Times New Roman;Times;serif"/>
          <w:sz w:val="20"/>
        </w:rPr>
        <w:t xml:space="preserve"> On September 30, 2022, the Company and the Operating Partnership entered into a credit agreement (the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a new senior unsecured revolving credit facility in the amount of $250</w:t>
            </w:r>
            <w:r>
              <w:rPr>
                <w:caps w:val="false"/>
                <w:smallCaps w:val="false"/>
              </w:rPr>
              <w:t xml:space="preserve"> </w:t>
            </w:r>
            <w:r>
              <w:rPr>
                <w:rFonts w:ascii="Times New Roman;Times;serif" w:hAnsi="Times New Roman;Times;serif"/>
                <w:b w:val="false"/>
                <w:i w:val="false"/>
                <w:caps w:val="false"/>
                <w:smallCaps w:val="false"/>
                <w:sz w:val="20"/>
              </w:rPr>
              <w:t>million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2022 Amended and Restated Credit Agreement, the indebtedness outstanding under the Credit Facility accrues at a rate ranging from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125 basis points to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354" w:name="Tc_tVY-RB9F0kWkqdGfnxRerA_7_12"/>
      <w:bookmarkStart w:id="1355" w:name="Tc_y5vPjn7nHUqHW-51Hhg3dg_7_11"/>
      <w:bookmarkStart w:id="1356" w:name="Tc_Pb6cZI57WUmW49VO1Kvi-A_7_8"/>
      <w:bookmarkStart w:id="1357" w:name="Tc_xFpWqypYwU2e0EK6LPekcQ_7_5"/>
      <w:bookmarkStart w:id="1358" w:name="Tc_WpauRhoYjkOmv9k54giSog_7_2"/>
      <w:bookmarkStart w:id="1359" w:name="Tc_hMhRqjVP60OlNHHGYzBLQQ_7_0"/>
      <w:bookmarkStart w:id="1360" w:name="Tc_PBSf-dUBHUqJVf1PIYQdVw_6_12"/>
      <w:bookmarkStart w:id="1361" w:name="Tc_sS1NAfpfiE6dObrACJ7Dpw_6_6"/>
      <w:bookmarkStart w:id="1362" w:name="Tc_1YcYVjnmakmJUcj3BC6cMw_6_0"/>
      <w:bookmarkStart w:id="1363" w:name="Tc_UEH8bWu16k-7Becpq_GxVQ_5_12"/>
      <w:bookmarkStart w:id="1364" w:name="Tc_y3ysEaFNhU-ONChFmVhq-Q_5_6"/>
      <w:bookmarkStart w:id="1365" w:name="Tc_jnvVJRRwekeOYly6kdb7_A_5_0"/>
      <w:bookmarkStart w:id="1366" w:name="Tc_z-WE3Ef83UC7f1divmztfA_4_12"/>
      <w:bookmarkStart w:id="1367" w:name="Tc_Hh-h_KMb1UC-0i6c8L2rlA_4_0"/>
      <w:bookmarkStart w:id="1368" w:name="Tc_aJlOb19zz0qUincko8tZpw_3_12"/>
      <w:bookmarkStart w:id="1369" w:name="Tc_0Lb_GcFDE0CL_BL-EYk3gQ_3_11"/>
      <w:bookmarkStart w:id="1370" w:name="Tc_XkZowWKen0OaoQnmsQT5EA_3_8"/>
      <w:bookmarkStart w:id="1371" w:name="Tc_QZ6tmv4AjE2HDzinzqKzkg_3_6"/>
      <w:bookmarkStart w:id="1372" w:name="Tc_H3HSa0Tr4Uee8SQJp4T2rQ_3_5"/>
      <w:bookmarkStart w:id="1373" w:name="Tc_gKhRsv-di0uzhBVBt7Hz4A_3_2"/>
      <w:bookmarkStart w:id="1374" w:name="Tc_vFOOyLY-UUKiwP8MtG6PwQ_3_0"/>
      <w:bookmarkStart w:id="1375" w:name="Tc_uvHI2bdAX0-2uYkMPkPSwA_2_11"/>
      <w:bookmarkStart w:id="1376" w:name="Tc_YH6_W2_Kw0adJbqaT4gKOA_2_8"/>
      <w:bookmarkStart w:id="1377" w:name="Tc_mywv_DkMgUu9Xqmr9VxWEA_2_5"/>
      <w:bookmarkStart w:id="1378" w:name="Tc_vH0vmONWd0eppIJgzxXNbQ_2_2"/>
      <w:bookmarkStart w:id="1379" w:name="Tc_La47vJJQRE-r8kGIeQSZlQ_1_8"/>
      <w:bookmarkStart w:id="1380" w:name="Tc_u9mnfWw0M0Kl0HYdBFomUA_1_2"/>
      <w:bookmarkStart w:id="1381" w:name="_2001e434_8e25_4768_9a82_24d5c357f614"/>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r>
        <w:rPr>
          <w:rFonts w:ascii="Times New Roman;Times;serif" w:hAnsi="Times New Roman;Times;serif"/>
          <w:sz w:val="20"/>
        </w:rPr>
        <w:t>The Company is subject to customary restrictive covenants under the 2022 Amended and Restated Credit Agreement and the 2026 Term Loan Credit Agreement and the 2027 Term Loan Credit Agreement (each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December 31, 2025, the commitment level under the Credit Facility was $250.0 million and the Company had an outstanding balance of $178.0 million. The available borrowing capacity, subject to borrowing base restrictions, was $40.6 million as of December 31, 2025.</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2026 Term Loan. </w:t>
      </w:r>
      <w:r>
        <w:rPr>
          <w:rFonts w:ascii="Times New Roman;Times;serif" w:hAnsi="Times New Roman;Times;serif"/>
          <w:sz w:val="20"/>
        </w:rPr>
        <w:t xml:space="preserve">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2027 Term Loan. </w:t>
      </w:r>
      <w:r>
        <w:rPr>
          <w:rFonts w:ascii="Times New Roman;Times;serif" w:hAnsi="Times New Roman;Times;serif"/>
          <w:sz w:val="20"/>
        </w:rPr>
        <w:t xml:space="preserve">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Long-term debt as of December 31, 2025 and 2024 consisted of the following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21"/>
        <w:gridCol w:w="109"/>
        <w:gridCol w:w="211"/>
        <w:gridCol w:w="781"/>
        <w:gridCol w:w="346"/>
        <w:gridCol w:w="374"/>
        <w:gridCol w:w="1386"/>
        <w:gridCol w:w="146"/>
        <w:gridCol w:w="211"/>
        <w:gridCol w:w="781"/>
        <w:gridCol w:w="346"/>
        <w:gridCol w:w="559"/>
        <w:gridCol w:w="1234"/>
      </w:tblGrid>
      <w:tr>
        <w:trPr/>
        <w:tc>
          <w:tcPr>
            <w:tcW w:w="3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95935" cy="175260"/>
                      <wp:effectExtent l="0" t="0" r="0" b="0"/>
                      <wp:wrapNone/>
                      <wp:docPr id="290" name="Frame2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37490" cy="175260"/>
                      <wp:effectExtent l="0" t="0" r="0" b="0"/>
                      <wp:wrapNone/>
                      <wp:docPr id="292" name="Frame29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880110" cy="175260"/>
                      <wp:effectExtent l="0" t="0" r="0" b="0"/>
                      <wp:wrapNone/>
                      <wp:docPr id="293" name="Frame293"/>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2710" cy="175260"/>
                      <wp:effectExtent l="0" t="0" r="0" b="0"/>
                      <wp:wrapNone/>
                      <wp:docPr id="294" name="Frame2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95935" cy="175260"/>
                      <wp:effectExtent l="0" t="0" r="0" b="0"/>
                      <wp:wrapNone/>
                      <wp:docPr id="296" name="Frame2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54965" cy="175260"/>
                      <wp:effectExtent l="0" t="0" r="0" b="0"/>
                      <wp:wrapNone/>
                      <wp:docPr id="298" name="Frame29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83590" cy="175260"/>
                      <wp:effectExtent l="0" t="0" r="0" b="0"/>
                      <wp:wrapNone/>
                      <wp:docPr id="299" name="Frame299"/>
                      <a:graphic xmlns:a="http://schemas.openxmlformats.org/drawingml/2006/main">
                        <a:graphicData uri="http://schemas.microsoft.com/office/word/2010/wordprocessingShape">
                          <wps:wsp>
                            <wps:cNvSpPr txBox="1"/>
                            <wps:spPr>
                              <a:xfrm>
                                <a:off x="0" y="0"/>
                                <a:ext cx="783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46" w:type="dxa"/>
            <w:tcBorders/>
            <w:vAlign w:val="center"/>
          </w:tcPr>
          <w:p>
            <w:pPr>
              <w:pStyle w:val="TableContents"/>
              <w:bidi w:val="0"/>
              <w:spacing w:before="0" w:after="0"/>
              <w:ind w:left="0" w:right="0" w:hanging="0"/>
              <w:jc w:val="left"/>
              <w:rPr/>
            </w:pPr>
            <w:r>
              <w:rPr/>
              <w:t>​</w:t>
            </w:r>
          </w:p>
        </w:tc>
        <w:tc>
          <w:tcPr>
            <w:tcW w:w="31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72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 ​ ​</w:t>
            </w:r>
          </w:p>
        </w:tc>
        <w:tc>
          <w:tcPr>
            <w:tcW w:w="1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c>
          <w:tcPr>
            <w:tcW w:w="346" w:type="dxa"/>
            <w:tcBorders/>
            <w:vAlign w:val="center"/>
          </w:tcPr>
          <w:p>
            <w:pPr>
              <w:pStyle w:val="TableContents"/>
              <w:bidi w:val="0"/>
              <w:spacing w:before="0" w:after="0"/>
              <w:ind w:left="0" w:right="0" w:hanging="0"/>
              <w:jc w:val="left"/>
              <w:rPr/>
            </w:pPr>
            <w:r>
              <w:rPr/>
              <w:t>  ​ ​ ​</w:t>
            </w:r>
          </w:p>
        </w:tc>
        <w:tc>
          <w:tcPr>
            <w:tcW w:w="1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178,000</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102,000</w:t>
            </w:r>
          </w:p>
        </w:tc>
        <w:tc>
          <w:tcPr>
            <w:tcW w:w="346"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left"/>
              <w:rPr/>
            </w:pPr>
            <w:r>
              <w:rPr/>
              <w:t>​</w:t>
            </w:r>
          </w:p>
        </w:tc>
        <w:tc>
          <w:tcPr>
            <w:tcW w:w="1234" w:type="dxa"/>
            <w:tcBorders/>
            <w:vAlign w:val="center"/>
          </w:tcPr>
          <w:p>
            <w:pPr>
              <w:pStyle w:val="TableContents"/>
              <w:bidi w:val="0"/>
              <w:spacing w:before="0" w:after="0"/>
              <w:ind w:left="0" w:right="0" w:hanging="0"/>
              <w:jc w:val="righ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left"/>
              <w:rPr/>
            </w:pPr>
            <w:r>
              <w:rPr/>
              <w:t>​</w:t>
            </w:r>
          </w:p>
        </w:tc>
        <w:tc>
          <w:tcPr>
            <w:tcW w:w="1234"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vAlign w:val="center"/>
          </w:tcPr>
          <w:p>
            <w:pPr>
              <w:pStyle w:val="TableContents"/>
              <w:bidi w:val="0"/>
              <w:spacing w:before="0" w:after="0"/>
              <w:ind w:left="0" w:right="0" w:hanging="0"/>
              <w:jc w:val="left"/>
              <w:rPr/>
            </w:pPr>
            <w:r>
              <w:rPr/>
              <w:t>​</w:t>
            </w:r>
          </w:p>
        </w:tc>
        <w:tc>
          <w:tcPr>
            <w:tcW w:w="3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46" w:type="dxa"/>
            <w:tcBorders/>
            <w:vAlign w:val="center"/>
          </w:tcPr>
          <w:p>
            <w:pPr>
              <w:pStyle w:val="TableContents"/>
              <w:bidi w:val="0"/>
              <w:spacing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c>
          <w:tcPr>
            <w:tcW w:w="346" w:type="dxa"/>
            <w:tcBorders/>
            <w:shd w:fill="CCEEFF" w:val="clear"/>
            <w:vAlign w:val="center"/>
          </w:tcPr>
          <w:p>
            <w:pPr>
              <w:pStyle w:val="TableContents"/>
              <w:bidi w:val="0"/>
              <w:spacing w:before="0" w:after="0"/>
              <w:ind w:left="0" w:right="0" w:hanging="0"/>
              <w:jc w:val="left"/>
              <w:rPr/>
            </w:pPr>
            <w:r>
              <w:rPr/>
              <w:t>​</w:t>
            </w:r>
          </w:p>
        </w:tc>
        <w:tc>
          <w:tcPr>
            <w:tcW w:w="3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301,466</w:t>
            </w:r>
          </w:p>
        </w:tc>
        <w:tc>
          <w:tcPr>
            <w:tcW w:w="346" w:type="dxa"/>
            <w:tcBorders/>
            <w:shd w:fill="CCEEFF" w:val="clear"/>
            <w:vAlign w:val="center"/>
          </w:tcPr>
          <w:p>
            <w:pPr>
              <w:pStyle w:val="TableContents"/>
              <w:bidi w:val="0"/>
              <w:spacing w:before="0" w:after="0"/>
              <w:ind w:left="0" w:right="0" w:hanging="0"/>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382" w:name="Tc_ZmMF7CHsvUCy7dKBMgIb_g_8_8"/>
      <w:bookmarkStart w:id="1383" w:name="Tc_YUaOz-q3KE-CRtvFgFXfGQ_8_5"/>
      <w:bookmarkStart w:id="1384" w:name="Tc_ZwSx0t20q0Od8eiox2eXTA_8_2"/>
      <w:bookmarkStart w:id="1385" w:name="Tc_ysgI7z9JIUqzrduYSUmqJQ_8_0"/>
      <w:bookmarkStart w:id="1386" w:name="Tc_5h5syrsZE0Gwnl79hpFyGw_6_8"/>
      <w:bookmarkStart w:id="1387" w:name="Tc_RudVI4XLl0qEQXmCUrYadA_6_5"/>
      <w:bookmarkStart w:id="1388" w:name="Tc_AmqLcJMCjEq9kb2rG1FxiA_6_2"/>
      <w:bookmarkStart w:id="1389" w:name="Tc_4cTQ_1bkuE2bBbgV2lA5xQ_6_0"/>
      <w:bookmarkStart w:id="1390" w:name="Tc_-KQdXddLpk-n9vGhSnL47A_5_0"/>
      <w:bookmarkStart w:id="1391" w:name="Tc_RnEj7EYLJUeO5gDxFvhlzw_4_9"/>
      <w:bookmarkStart w:id="1392" w:name="Tc_92Qo3v6vhECe7NN-ZQrzag_4_0"/>
      <w:bookmarkStart w:id="1393" w:name="Tc_vLNYo97WtE2_Suas6ySEqQ_3_8"/>
      <w:bookmarkStart w:id="1394" w:name="Tc_vSL6HZGXTEGSu_drdJJHcA_3_5"/>
      <w:bookmarkStart w:id="1395" w:name="Tc_7AyYTBkUE0m5ypWybUTzrw_3_2"/>
      <w:bookmarkStart w:id="1396" w:name="Tc_bSFs3WB_-UGzFOEMITDOXA_3_0"/>
      <w:bookmarkStart w:id="1397" w:name="Tc_RDmsU9bCwEqKaJb7rI4XOQ_2_8"/>
      <w:bookmarkStart w:id="1398" w:name="Tc_TaHIWILllEqzd_0XIC8P5Q_2_5"/>
      <w:bookmarkStart w:id="1399" w:name="Tc_CKUetEfQ_ka0solI74RJfA_2_2"/>
      <w:bookmarkStart w:id="1400" w:name="Tc_uP-_BZFN60Or79yVdbvfSw_1_2"/>
      <w:bookmarkStart w:id="1401" w:name="_aac8f294_cdf9_454e_a4d2_ad25b2b3310e"/>
      <w:bookmarkStart w:id="1402" w:name="Tc_IPr0-5FHukqkPJQctWaiSw_4_2"/>
      <w:bookmarkStart w:id="1403" w:name="Tc_lSBriL3G1UyZ1UwwAZFMwA_4_0"/>
      <w:bookmarkStart w:id="1404" w:name="Tc_FQumQqlWHU2oh3yWosgcjQ_3_0"/>
      <w:bookmarkStart w:id="1405" w:name="Tc_gdz1urmMj0yTFhmIFLZu5A_2_2"/>
      <w:bookmarkStart w:id="1406" w:name="Tc_3cnsA3AtV0-TLtJdVD9mJg_2_0"/>
      <w:bookmarkStart w:id="1407" w:name="Tc_w3DwTPEin0SSoPxFBc42cQ_1_2"/>
      <w:bookmarkStart w:id="1408" w:name="_f20272f6_526f_4a98_af38_7d86d693e2da"/>
      <w:bookmarkStart w:id="1409" w:name="Tc_yrMt6zFOuk2UIOH1ixjGAw_8_2"/>
      <w:bookmarkStart w:id="1410" w:name="Tc_3ZRojH8kPkyl2KjTvSosLw_8_0"/>
      <w:bookmarkStart w:id="1411" w:name="Tc_pjVexa4-mkOqZR4mHx-OGg_7_3"/>
      <w:bookmarkStart w:id="1412" w:name="Tc_VZ26xYTWGkmkmln7sMTtSQ_7_0"/>
      <w:bookmarkStart w:id="1413" w:name="Tc_83DLZKvdc0mVokjWzfYXBg_6_3"/>
      <w:bookmarkStart w:id="1414" w:name="Tc_m9_Y7ExwEEaud4xQAjKYUw_6_0"/>
      <w:bookmarkStart w:id="1415" w:name="Tc_HRyeE-H9OE2uFjKHNd1QQQ_5_3"/>
      <w:bookmarkStart w:id="1416" w:name="Tc_wOceN994o0GgEEZ52dHsyQ_5_0"/>
      <w:bookmarkStart w:id="1417" w:name="Tc_yrTmCyEXI02l0DW74bByjA_4_3"/>
      <w:bookmarkStart w:id="1418" w:name="Tc_GABiXsYh4kW8f5G22JX1Mg_4_0"/>
      <w:bookmarkStart w:id="1419" w:name="Tc_S0yZIesb8kSfTG9JnHOFkg_3_0"/>
      <w:bookmarkStart w:id="1420" w:name="Tc_yyk8Tex9GUm8COkkm88f0Q_2_2"/>
      <w:bookmarkStart w:id="1421" w:name="Tc_V892blLQlEqmAcZcO_2OCw_2_0"/>
      <w:bookmarkStart w:id="1422" w:name="Tc_MK-wDT9Eyk29QpUTK2my8g_1_2"/>
      <w:bookmarkStart w:id="1423" w:name="Tc_T0i__XE2rE6TbixkS7vlJA_1_0"/>
      <w:bookmarkStart w:id="1424" w:name="_4d31315e_ae90_444d_8762_851694c239ea"/>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Fonts w:ascii="Times New Roman;Times;serif" w:hAnsi="Times New Roman;Times;serif"/>
          <w:sz w:val="20"/>
        </w:rPr>
        <w:t>Payments applicable to reduction of principal amounts as of December 31, 2025 will be required as follows (in thousands):</w:t>
      </w:r>
    </w:p>
    <w:p>
      <w:pPr>
        <w:pStyle w:val="TextBody"/>
        <w:bidi w:val="0"/>
        <w:spacing w:before="0" w:after="0"/>
        <w:ind w:left="0" w:right="0" w:firstLine="360"/>
        <w:jc w:val="both"/>
        <w:rPr/>
      </w:pPr>
      <w:r>
        <w:rPr/>
        <w:t>​</w:t>
      </w:r>
    </w:p>
    <w:tbl>
      <w:tblPr>
        <w:tblW w:w="4219" w:type="dxa"/>
        <w:jc w:val="left"/>
        <w:tblInd w:w="0" w:type="dxa"/>
        <w:tblLayout w:type="fixed"/>
        <w:tblCellMar>
          <w:top w:w="0" w:type="dxa"/>
          <w:left w:w="0" w:type="dxa"/>
          <w:bottom w:w="0" w:type="dxa"/>
          <w:right w:w="0" w:type="dxa"/>
        </w:tblCellMar>
      </w:tblPr>
      <w:tblGrid>
        <w:gridCol w:w="3001"/>
        <w:gridCol w:w="109"/>
        <w:gridCol w:w="211"/>
        <w:gridCol w:w="898"/>
      </w:tblGrid>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70230" cy="175260"/>
                      <wp:effectExtent l="0" t="0" r="0" b="0"/>
                      <wp:wrapNone/>
                      <wp:docPr id="302" name="Frame30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378,000</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value of long-term debt as of December 31, 2025 consisted of the following (in thousands):</w:t>
      </w:r>
    </w:p>
    <w:p>
      <w:pPr>
        <w:pStyle w:val="TextBody"/>
        <w:bidi w:val="0"/>
        <w:spacing w:before="0" w:after="0"/>
        <w:ind w:left="0" w:right="0" w:firstLine="360"/>
        <w:jc w:val="both"/>
        <w:rPr/>
      </w:pPr>
      <w:r>
        <w:rPr/>
        <w:t>​</w:t>
      </w:r>
    </w:p>
    <w:tbl>
      <w:tblPr>
        <w:tblW w:w="5464" w:type="dxa"/>
        <w:jc w:val="left"/>
        <w:tblInd w:w="0" w:type="dxa"/>
        <w:tblLayout w:type="fixed"/>
        <w:tblCellMar>
          <w:top w:w="0" w:type="dxa"/>
          <w:left w:w="0" w:type="dxa"/>
          <w:bottom w:w="0" w:type="dxa"/>
          <w:right w:w="0" w:type="dxa"/>
        </w:tblCellMar>
      </w:tblPr>
      <w:tblGrid>
        <w:gridCol w:w="4246"/>
        <w:gridCol w:w="109"/>
        <w:gridCol w:w="211"/>
        <w:gridCol w:w="898"/>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70230" cy="175260"/>
                      <wp:effectExtent l="0" t="0" r="0" b="0"/>
                      <wp:wrapNone/>
                      <wp:docPr id="305" name="Frame305"/>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377,739</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the $0.3 million of financing costs, net of accumulated amortization included in the table above, as of December 31, 2025, the Company also had financing costs, net of accumulated amortization related to the Credit Facility of $0.5 million which is included in other assets on the consolidated balance sheets. These costs are amortized on a straight-line basis over the term of the Credit Facility and are included in interest expense in the Company’s accompanying consolidated statements of operations.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years ended December 31, 2025, 2024, and 2023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863"/>
        <w:gridCol w:w="109"/>
        <w:gridCol w:w="395"/>
        <w:gridCol w:w="1272"/>
        <w:gridCol w:w="109"/>
        <w:gridCol w:w="395"/>
        <w:gridCol w:w="1272"/>
        <w:gridCol w:w="109"/>
        <w:gridCol w:w="378"/>
        <w:gridCol w:w="1303"/>
      </w:tblGrid>
      <w:tr>
        <w:trPr/>
        <w:tc>
          <w:tcPr>
            <w:tcW w:w="48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9215" cy="175260"/>
                      <wp:effectExtent l="0" t="0" r="0" b="0"/>
                      <wp:wrapNone/>
                      <wp:docPr id="306" name="Frame3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50825" cy="175260"/>
                      <wp:effectExtent l="0" t="0" r="0" b="0"/>
                      <wp:wrapNone/>
                      <wp:docPr id="307" name="Frame307"/>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807720" cy="175260"/>
                      <wp:effectExtent l="0" t="0" r="0" b="0"/>
                      <wp:wrapNone/>
                      <wp:docPr id="308" name="Frame308"/>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9"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50825" cy="175260"/>
                      <wp:effectExtent l="0" t="0" r="0" b="0"/>
                      <wp:wrapNone/>
                      <wp:docPr id="310" name="Frame310"/>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807720" cy="175260"/>
                      <wp:effectExtent l="0" t="0" r="0" b="0"/>
                      <wp:wrapNone/>
                      <wp:docPr id="311" name="Frame311"/>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40030" cy="175260"/>
                      <wp:effectExtent l="0" t="0" r="0" b="0"/>
                      <wp:wrapNone/>
                      <wp:docPr id="313" name="Frame313"/>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827405" cy="175260"/>
                      <wp:effectExtent l="0" t="0" r="0" b="0"/>
                      <wp:wrapNone/>
                      <wp:docPr id="314" name="Frame314"/>
                      <a:graphic xmlns:a="http://schemas.openxmlformats.org/drawingml/2006/main">
                        <a:graphicData uri="http://schemas.microsoft.com/office/word/2010/wordprocessingShape">
                          <wps:wsp>
                            <wps:cNvSpPr txBox="1"/>
                            <wps:spPr>
                              <a:xfrm>
                                <a:off x="0" y="0"/>
                                <a:ext cx="827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8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6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15,002</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10,664</w:t>
            </w:r>
          </w:p>
        </w:tc>
        <w:tc>
          <w:tcPr>
            <w:tcW w:w="109"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9,455</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from Obligation Under Participation Agreement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w:t>
            </w:r>
          </w:p>
        </w:tc>
        <w:tc>
          <w:tcPr>
            <w:tcW w:w="109"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1303" w:type="dxa"/>
            <w:tcBorders/>
            <w:vAlign w:val="center"/>
          </w:tcPr>
          <w:p>
            <w:pPr>
              <w:pStyle w:val="TableContents"/>
              <w:bidi w:val="0"/>
              <w:spacing w:before="0" w:after="0"/>
              <w:ind w:left="0" w:right="0" w:hanging="0"/>
              <w:jc w:val="right"/>
              <w:rPr/>
            </w:pPr>
            <w:r>
              <w:rPr/>
              <w:t>—</w:t>
            </w:r>
          </w:p>
        </w:tc>
      </w:tr>
      <w:tr>
        <w:trPr/>
        <w:tc>
          <w:tcPr>
            <w:tcW w:w="48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09" w:type="dxa"/>
            <w:tcBorders/>
            <w:shd w:fill="CCEEFF" w:val="clear"/>
            <w:vAlign w:val="center"/>
          </w:tcPr>
          <w:p>
            <w:pPr>
              <w:pStyle w:val="TableContents"/>
              <w:bidi w:val="0"/>
              <w:spacing w:before="0" w:after="0"/>
              <w:ind w:left="0" w:right="0" w:hanging="0"/>
              <w:jc w:val="left"/>
              <w:rPr/>
            </w:pPr>
            <w:r>
              <w:rPr/>
              <w:t>​</w:t>
            </w:r>
          </w:p>
        </w:tc>
        <w:tc>
          <w:tcPr>
            <w:tcW w:w="3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16,265</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c>
          <w:tcPr>
            <w:tcW w:w="109" w:type="dxa"/>
            <w:tcBorders/>
            <w:vAlign w:val="center"/>
          </w:tcPr>
          <w:p>
            <w:pPr>
              <w:pStyle w:val="TableContents"/>
              <w:bidi w:val="0"/>
              <w:spacing w:before="0" w:after="0"/>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r>
      <w:tr>
        <w:trPr/>
        <w:tc>
          <w:tcPr>
            <w:tcW w:w="486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1303" w:type="dxa"/>
            <w:tcBorders/>
            <w:shd w:fill="CCEEFF" w:val="clear"/>
            <w:vAlign w:val="center"/>
          </w:tcPr>
          <w:p>
            <w:pPr>
              <w:pStyle w:val="TableContents"/>
              <w:bidi w:val="0"/>
              <w:spacing w:before="0" w:after="0"/>
              <w:ind w:left="0" w:right="0" w:hanging="0"/>
              <w:jc w:val="left"/>
              <w:rPr/>
            </w:pPr>
            <w:r>
              <w:rPr/>
              <w:t>​</w:t>
            </w:r>
          </w:p>
        </w:tc>
      </w:tr>
      <w:tr>
        <w:trPr/>
        <w:tc>
          <w:tcPr>
            <w:tcW w:w="48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15,062</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w:t>
            </w:r>
          </w:p>
        </w:tc>
        <w:tc>
          <w:tcPr>
            <w:tcW w:w="109" w:type="dxa"/>
            <w:tcBorders/>
            <w:vAlign w:val="center"/>
          </w:tcPr>
          <w:p>
            <w:pPr>
              <w:pStyle w:val="TableContents"/>
              <w:bidi w:val="0"/>
              <w:spacing w:before="0" w:after="0"/>
              <w:ind w:left="0" w:right="0" w:hanging="0"/>
              <w:jc w:val="left"/>
              <w:rPr/>
            </w:pPr>
            <w:r>
              <w:rPr/>
              <w:t>​</w:t>
            </w:r>
          </w:p>
        </w:tc>
        <w:tc>
          <w:tcPr>
            <w:tcW w:w="3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03"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9,245</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 compliance with all of its debt covenants as of December 31, 2025.</w:t>
      </w:r>
    </w:p>
    <w:p>
      <w:pPr>
        <w:pStyle w:val="TextBody"/>
        <w:bidi w:val="0"/>
        <w:spacing w:before="120" w:after="240"/>
        <w:ind w:left="0" w:right="0" w:hanging="0"/>
        <w:jc w:val="left"/>
        <w:rPr>
          <w:rFonts w:ascii="Times New Roman;Times;serif" w:hAnsi="Times New Roman;Times;serif"/>
          <w:b/>
          <w:sz w:val="20"/>
        </w:rPr>
      </w:pPr>
      <w:bookmarkStart w:id="1425" w:name="_fcb361f1_3413_4e98_a27d_30d75f9ea5ab_3"/>
      <w:bookmarkStart w:id="1426" w:name="_fcb361f1_3413_4e98_a27d_30d75f9ea5ab_2"/>
      <w:bookmarkStart w:id="1427" w:name="_fcb361f1_3413_4e98_a27d_30d75f9ea5ab"/>
      <w:bookmarkEnd w:id="1425"/>
      <w:bookmarkEnd w:id="1426"/>
      <w:bookmarkEnd w:id="1427"/>
      <w:r>
        <w:rPr>
          <w:rFonts w:ascii="Times New Roman;Times;serif" w:hAnsi="Times New Roman;Times;serif"/>
          <w:b/>
          <w:sz w:val="20"/>
        </w:rPr>
        <w:t>NOTE 14. INTEREST RATE SWAPS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years ended December 31, 2025, 2024, and 2023. Accordingly, the changes in fair value on the interest rate swaps have been classified in accumulated other comprehensive income (loss). The fair value of the </w:t>
      </w:r>
      <w:r>
        <w:rPr>
          <w:rFonts w:ascii="Times New Roman;Times;serif" w:hAnsi="Times New Roman;Times;serif"/>
          <w:b w:val="false"/>
          <w:i w:val="false"/>
          <w:caps w:val="false"/>
          <w:smallCaps w:val="false"/>
          <w:sz w:val="20"/>
        </w:rPr>
        <w:t>interest rate swap</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agreements</w:t>
      </w:r>
      <w:r>
        <w:rPr>
          <w:rFonts w:ascii="Times New Roman;Times;serif" w:hAnsi="Times New Roman;Times;serif"/>
          <w:sz w:val="20"/>
        </w:rPr>
        <w:t xml:space="preserve"> are included in other assets and accounts payable, accrued expenses and other liabilities, respectively, on the consolidated balance sheets.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428" w:name="Tc_fubgu-1svkqLaZEMvbHKrQ_6_11"/>
      <w:bookmarkStart w:id="1429" w:name="Tc_-CPAOYd-mkua1ltViPdtwA_6_8"/>
      <w:bookmarkStart w:id="1430" w:name="Tc_cI5hNzqDmUKFnlxPc4Xf-Q_6_6"/>
      <w:bookmarkStart w:id="1431" w:name="Tc_BCRi0AbtDkGSKrxvKZBm-A_6_4"/>
      <w:bookmarkStart w:id="1432" w:name="Tc_0TC7-efTDEetVxjVCFoY_Q_6_2"/>
      <w:bookmarkStart w:id="1433" w:name="Tc_llF4HKPsqUqbkOhd9M-GRQ_6_0"/>
      <w:bookmarkStart w:id="1434" w:name="Tc_dkD-t2XkQ0eJeTHaF_R86g_5_11"/>
      <w:bookmarkStart w:id="1435" w:name="Tc_ezh0j9PLoEuCkMHSeGwCnQ_5_8"/>
      <w:bookmarkStart w:id="1436" w:name="Tc_nyjoTiWkxUqN57Qe1lQ7Cg_5_6"/>
      <w:bookmarkStart w:id="1437" w:name="Tc_utD5VzPXsEGtyBRzDSV5tQ_5_4"/>
      <w:bookmarkStart w:id="1438" w:name="Tc_w-D5c4S47UiW954OsVNaRQ_5_2"/>
      <w:bookmarkStart w:id="1439" w:name="Tc_W10wOvO7IUmtwVIMjmk9Cg_5_0"/>
      <w:bookmarkStart w:id="1440" w:name="Tc_4eXhu8bFUUm1Q4sTMKJsgA_4_11"/>
      <w:bookmarkStart w:id="1441" w:name="Tc_zQNOqaImO0u8Dbe9daX-pA_4_8"/>
      <w:bookmarkStart w:id="1442" w:name="Tc_TIkAs03Ue0mn-0jMrrv8Xw_4_6"/>
      <w:bookmarkStart w:id="1443" w:name="Tc_BXcHrYomt0yiDSW7t5FbiA_4_4"/>
      <w:bookmarkStart w:id="1444" w:name="Tc_boYFgQ7JhU-FnwOFSPj-Pg_4_2"/>
      <w:bookmarkStart w:id="1445" w:name="Tc_NYQS-pFuOECe399VSCITjw_4_0"/>
      <w:bookmarkStart w:id="1446" w:name="Tc_Md94hHo7YECVC4Me5P72XA_3_11"/>
      <w:bookmarkStart w:id="1447" w:name="Tc_rBnNkYUWQkWGOFgKvGnTiw_3_8"/>
      <w:bookmarkStart w:id="1448" w:name="Tc_F3EHPC_YAUCADpWUnREp9w_3_6"/>
      <w:bookmarkStart w:id="1449" w:name="Tc_UTFkrrdGn0aKn0ztP64jsA_3_4"/>
      <w:bookmarkStart w:id="1450" w:name="Tc_tUgwGcln30qdOYypp-mYEA_3_2"/>
      <w:bookmarkStart w:id="1451" w:name="Tc_y4CoJNDpQkyDLHMcu7sEUA_3_0"/>
      <w:bookmarkStart w:id="1452" w:name="Tc_ieW5Vhi24kqF_sneABshxw_2_11"/>
      <w:bookmarkStart w:id="1453" w:name="Tc_iNTzruhJfkWS4FPoYN0-1Q_2_8"/>
      <w:bookmarkStart w:id="1454" w:name="Tc_9Zo6SYRL0Eyj_9vb4a0GaQ_2_6"/>
      <w:bookmarkStart w:id="1455" w:name="Tc_AOlrO4GdCEa9blu5kUpegw_2_4"/>
      <w:bookmarkStart w:id="1456" w:name="Tc_KGFFz8QK4kiVmNSAuVSC0w_2_2"/>
      <w:bookmarkStart w:id="1457" w:name="Tc_QRwDds35aEGqN6imPWJ72A_2_0"/>
      <w:bookmarkStart w:id="1458" w:name="Tc_XbjgOMmFBEKnHF0Vp4WCrQ_1_11"/>
      <w:bookmarkStart w:id="1459" w:name="Tc_G27olwqFF0GEqSwztwQo1A_1_8"/>
      <w:bookmarkStart w:id="1460" w:name="Tc_sHb2GYVqjUuuwrtGt3wtaQ_1_6"/>
      <w:bookmarkStart w:id="1461" w:name="Tc_W3ciNr9urE-ueVAC9Ey_GQ_1_4"/>
      <w:bookmarkStart w:id="1462" w:name="Tc_N5HXUq_zPkGVkHzJ6MsOMA_1_2"/>
      <w:bookmarkStart w:id="1463" w:name="Tc_Y5-IJOhzpUC8rV6k6t6wQw_1_0"/>
      <w:bookmarkStart w:id="1464" w:name="_cd864ce4_29e0_4bc7_aecb_6dfe4f0ae64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r>
        <w:rPr>
          <w:rFonts w:ascii="Times New Roman;Times;serif" w:hAnsi="Times New Roman;Times;serif"/>
          <w:sz w:val="20"/>
        </w:rPr>
        <w:t xml:space="preserve">Information related to the Company’s interest rate swap agreements are noted below (in thousands): </w:t>
      </w:r>
    </w:p>
    <w:p>
      <w:pPr>
        <w:pStyle w:val="TextBody"/>
        <w:bidi w:val="0"/>
        <w:spacing w:before="0" w:after="0"/>
        <w:ind w:left="0" w:right="0" w:hanging="0"/>
        <w:jc w:val="left"/>
        <w:rPr/>
      </w:pPr>
      <w:r>
        <w:rPr/>
        <w:t>​</w:t>
      </w:r>
    </w:p>
    <w:tbl>
      <w:tblPr>
        <w:tblW w:w="9551" w:type="dxa"/>
        <w:jc w:val="left"/>
        <w:tblInd w:w="0" w:type="dxa"/>
        <w:tblLayout w:type="fixed"/>
        <w:tblCellMar>
          <w:top w:w="0" w:type="dxa"/>
          <w:left w:w="0" w:type="dxa"/>
          <w:bottom w:w="0" w:type="dxa"/>
          <w:right w:w="0" w:type="dxa"/>
        </w:tblCellMar>
      </w:tblPr>
      <w:tblGrid>
        <w:gridCol w:w="1516"/>
        <w:gridCol w:w="109"/>
        <w:gridCol w:w="1171"/>
        <w:gridCol w:w="109"/>
        <w:gridCol w:w="1201"/>
        <w:gridCol w:w="109"/>
        <w:gridCol w:w="1381"/>
        <w:gridCol w:w="109"/>
        <w:gridCol w:w="196"/>
        <w:gridCol w:w="691"/>
        <w:gridCol w:w="109"/>
        <w:gridCol w:w="742"/>
        <w:gridCol w:w="2108"/>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962660" cy="175260"/>
                      <wp:effectExtent l="0" t="0" r="0" b="0"/>
                      <wp:wrapNone/>
                      <wp:docPr id="315" name="Frame315"/>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743585" cy="175260"/>
                      <wp:effectExtent l="0" t="0" r="0" b="0"/>
                      <wp:wrapNone/>
                      <wp:docPr id="317" name="Frame31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9215" cy="175260"/>
                      <wp:effectExtent l="0" t="0" r="0" b="0"/>
                      <wp:wrapNone/>
                      <wp:docPr id="318" name="Frame3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762635" cy="175260"/>
                      <wp:effectExtent l="0" t="0" r="0" b="0"/>
                      <wp:wrapNone/>
                      <wp:docPr id="319" name="Frame319"/>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9215" cy="175260"/>
                      <wp:effectExtent l="0" t="0" r="0" b="0"/>
                      <wp:wrapNone/>
                      <wp:docPr id="320"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876935" cy="175260"/>
                      <wp:effectExtent l="0" t="0" r="0" b="0"/>
                      <wp:wrapNone/>
                      <wp:docPr id="321" name="Frame321"/>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24460" cy="175260"/>
                      <wp:effectExtent l="0" t="0" r="0" b="0"/>
                      <wp:wrapNone/>
                      <wp:docPr id="323"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38785" cy="175260"/>
                      <wp:effectExtent l="0" t="0" r="0" b="0"/>
                      <wp:wrapNone/>
                      <wp:docPr id="324" name="Frame3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9215" cy="175260"/>
                      <wp:effectExtent l="0" t="0" r="0" b="0"/>
                      <wp:wrapNone/>
                      <wp:docPr id="325" name="Frame3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71170" cy="175260"/>
                      <wp:effectExtent l="0" t="0" r="0" b="0"/>
                      <wp:wrapNone/>
                      <wp:docPr id="326" name="Frame326"/>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8580" cy="175260"/>
                      <wp:effectExtent l="0" t="0" r="0" b="0"/>
                      <wp:wrapNone/>
                      <wp:docPr id="327" name="Frame327"/>
                      <a:graphic xmlns:a="http://schemas.openxmlformats.org/drawingml/2006/main">
                        <a:graphicData uri="http://schemas.microsoft.com/office/word/2010/wordprocessingShape">
                          <wps:wsp>
                            <wps:cNvSpPr txBox="1"/>
                            <wps:spPr>
                              <a:xfrm>
                                <a:off x="0" y="0"/>
                                <a:ext cx="1338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December 31, 2025</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5/21/2021</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5/21/2026</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2.05% + 0.10%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7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11/29/2024</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1.61%+ 0.10% +</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1,588</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3.84%+ 0.10% +</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7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3/1/2023</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3/1/2028</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3.21%+ 0.10%+</w:t>
              <w:br/>
              <w:t>applicable 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4/4/2025</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1/1/2027</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3.43%+ 0.10%+</w:t>
              <w:b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74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the $100</w:t>
            </w:r>
            <w:r>
              <w:rPr>
                <w:caps w:val="false"/>
                <w:smallCaps w:val="false"/>
              </w:rPr>
              <w:t xml:space="preserve"> </w:t>
            </w:r>
            <w:r>
              <w:rPr>
                <w:rFonts w:ascii="Times New Roman;Times;serif" w:hAnsi="Times New Roman;Times;serif"/>
                <w:b w:val="false"/>
                <w:i w:val="false"/>
                <w:caps w:val="false"/>
                <w:smallCaps w:val="false"/>
                <w:sz w:val="16"/>
              </w:rPr>
              <w:t>million 2026 Term Loan balance. The weighted average fixed interest rate of 2.05%, is comprised of: (i) rate swaps on $60.0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May 21, 2021, as amended on April 14, 2022 in connection with the 2026 Term Loan Amendment, to fix SOFR (prior to April 14, 2022, the swap was to fix LIBOR), and (ii) a rate swap on $40.0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September 30, 2022, to fix SOFR.</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an interest rate swap to fix SOFR and achieve a fixed interest rate of 1.61%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$80.0</w:t>
            </w:r>
            <w:r>
              <w:rPr>
                <w:caps w:val="false"/>
                <w:smallCaps w:val="false"/>
              </w:rPr>
              <w:t xml:space="preserve"> </w:t>
            </w:r>
            <w:r>
              <w:rPr>
                <w:rFonts w:ascii="Times New Roman;Times;serif" w:hAnsi="Times New Roman;Times;serif"/>
                <w:b w:val="false"/>
                <w:i w:val="false"/>
                <w:caps w:val="false"/>
                <w:smallCaps w:val="false"/>
                <w:sz w:val="16"/>
              </w:rPr>
              <w:t>million of the $100</w:t>
            </w:r>
            <w:r>
              <w:rPr>
                <w:caps w:val="false"/>
                <w:smallCaps w:val="false"/>
              </w:rPr>
              <w:t xml:space="preserve"> </w:t>
            </w:r>
            <w:r>
              <w:rPr>
                <w:rFonts w:ascii="Times New Roman;Times;serif" w:hAnsi="Times New Roman;Times;serif"/>
                <w:b w:val="false"/>
                <w:i w:val="false"/>
                <w:caps w:val="false"/>
                <w:smallCaps w:val="false"/>
                <w:sz w:val="16"/>
              </w:rPr>
              <w:t>million 2027 Term Loan balance.</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an interest rate swap to fix SOFR and achieve a fixed interest rate of 3.84%</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$20.0</w:t>
            </w:r>
            <w:r>
              <w:rPr>
                <w:caps w:val="false"/>
                <w:smallCaps w:val="false"/>
              </w:rPr>
              <w:t xml:space="preserve"> </w:t>
            </w:r>
            <w:r>
              <w:rPr>
                <w:rFonts w:ascii="Times New Roman;Times;serif" w:hAnsi="Times New Roman;Times;serif"/>
                <w:b w:val="false"/>
                <w:i w:val="false"/>
                <w:caps w:val="false"/>
                <w:smallCaps w:val="false"/>
                <w:sz w:val="16"/>
              </w:rPr>
              <w:t>million of the $100</w:t>
            </w:r>
            <w:r>
              <w:rPr>
                <w:caps w:val="false"/>
                <w:smallCaps w:val="false"/>
              </w:rPr>
              <w:t xml:space="preserve"> </w:t>
            </w:r>
            <w:r>
              <w:rPr>
                <w:rFonts w:ascii="Times New Roman;Times;serif" w:hAnsi="Times New Roman;Times;serif"/>
                <w:b w:val="false"/>
                <w:i w:val="false"/>
                <w:caps w:val="false"/>
                <w:smallCaps w:val="false"/>
                <w:sz w:val="16"/>
              </w:rPr>
              <w:t>million 2027 Term Loan balance.</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$50</w:t>
            </w:r>
            <w:r>
              <w:rPr>
                <w:caps w:val="false"/>
                <w:smallCaps w:val="false"/>
              </w:rPr>
              <w:t xml:space="preserve"> </w:t>
            </w:r>
            <w:r>
              <w:rPr>
                <w:rFonts w:ascii="Times New Roman;Times;serif" w:hAnsi="Times New Roman;Times;serif"/>
                <w:b w:val="false"/>
                <w:i w:val="false"/>
                <w:caps w:val="false"/>
                <w:smallCaps w:val="false"/>
                <w:sz w:val="16"/>
              </w:rPr>
              <w:t xml:space="preserve">million of the outstanding balance on the Credit Facility.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December 31, 2025, the Company has utilized an interest rate swap to fix SOFR and achieve a fixed interest rate of 3.43%</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December 31, 2025 and 2024, there were no events of default related to the Company's interest rate swap agreements.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EQUITY</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 STATEMENTS</w:t>
      </w:r>
    </w:p>
    <w:p>
      <w:pPr>
        <w:pStyle w:val="TextBody"/>
        <w:bidi w:val="0"/>
        <w:spacing w:lineRule="auto" w:line="271"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pStyle w:val="TextBody"/>
        <w:bidi w:val="0"/>
        <w:spacing w:before="0" w:after="240"/>
        <w:ind w:left="0" w:right="0" w:firstLine="36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FOLLOW-ON PUBLIC OFFERINGS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year ended December 31, 2025, the Company sold 618,757 shares under the 2022 ATM Program for gross proceeds of $10.6 million at a weighted average price of $17.10 per share, generating net proceeds of $10.4 million after deducting transaction fees totaling $0.2 million.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 As of December 31, 2025, we have $79.9 million of availability under the 2022 ATM Program.</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PREFERRED STOCK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5, 2025, the Company priced a public offering of 2,000,000 shares of the Company’s 8.00% Series A Cumulative Redeemable Preferred Stock (the “Series A Preferred Stock”) at a public offering price of $25.00 per share. The offering closed on November 12, 2025, and the Company received gross proceeds of $50.0 million before deducting the underwriting discount and expenses, with net proceeds totaling $48.1 million.</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5, 2025, the Company implemented a $35.0 million “at-the-market” preferred stock equity offering program (the “2025 Preferred Stock ATM Program”) pursuant to which the Company may sell, from time to time, shares of the Company’s Series A Preferred Stock. During the year ended December 31, 2025, the Company sold 83,328 shares under the 2025 Preferred Stock ATM Program for gross proceeds of $2.1 million at a weighted average price of $24.96 per share, generating net proceeds of $2.0 million after deducting transaction fees totaling less than $0.1 million. As of December 31, 2025, $32.9 million of availability remained under the 2025 Preferred Stock ATM Program.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Series A Preferred Stock ranks senior to the Company’s common stock with respect to dividend rights and rights upon liquidation, dissolution or winding up of the Company. The Series A Preferred Stock has no maturity date and will remain outstanding unless redeemed. The Series A Preferred Stock is not redeemable by the Company prior to November 12, 2030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2025, CTO holds, directly and indirectly, a 7.6% noncontrolling common ownership interest in the Operating Partnership as a result of 1,223,854 OP Units issued to CTO and its wholly owned subsidiaries at the time of the Company’s IPO. On November 10, 2023, the Company redeemed the 479,640 OP Units held previously held by an unrelated third party. The 479,640 OP Units were redeemed on a one-for-one basis for shares of common stock of the Company.</w:t>
      </w:r>
    </w:p>
    <w:p>
      <w:pPr>
        <w:pStyle w:val="TextBody"/>
        <w:bidi w:val="0"/>
        <w:spacing w:before="0" w:after="0"/>
        <w:ind w:left="0" w:right="0" w:hanging="0"/>
        <w:jc w:val="left"/>
        <w:rPr/>
      </w:pPr>
      <w:r>
        <w:rPr/>
        <w:t>​</w:t>
      </w:r>
    </w:p>
    <w:p>
      <w:pPr>
        <w:pStyle w:val="TextBody"/>
        <w:bidi w:val="0"/>
        <w:spacing w:lineRule="auto" w:line="271"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360"/>
        <w:jc w:val="left"/>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years ended December 31, 2025, 2024, and 2023, the Company declared and paid cash dividends on its common stock and OP Units of $1.140 per share, $1.100 per share, and $1.100 per share, respectively.</w:t>
      </w:r>
    </w:p>
    <w:p>
      <w:pPr>
        <w:pStyle w:val="TextBody"/>
        <w:bidi w:val="0"/>
        <w:spacing w:before="0" w:after="240"/>
        <w:ind w:left="0" w:right="0" w:hanging="0"/>
        <w:jc w:val="both"/>
        <w:rPr>
          <w:rFonts w:ascii="Times New Roman;Times;serif" w:hAnsi="Times New Roman;Times;serif"/>
          <w:b/>
          <w:sz w:val="20"/>
        </w:rPr>
      </w:pPr>
      <w:bookmarkStart w:id="1465" w:name="Tc_pGdczfa9ekaY2zaJUdL33w_12_7"/>
      <w:bookmarkStart w:id="1466" w:name="Tc_53YV-yYn0U-5dNdjc07TVQ_12_4"/>
      <w:bookmarkStart w:id="1467" w:name="Tc_q6GJ9RY260eI3Jm41mq0iQ_12_1"/>
      <w:bookmarkStart w:id="1468" w:name="Tc_5fUJbVB-DkSgsgA3pjs49w_12_0"/>
      <w:bookmarkStart w:id="1469" w:name="Tc_mghDLUcCjUyK6EKKSHAEGw_11_7"/>
      <w:bookmarkStart w:id="1470" w:name="Tc_HpK_3z38zUOKx9jGEtncpQ_11_4"/>
      <w:bookmarkStart w:id="1471" w:name="Tc_hNazhXVAlEe0ty-Uudau7A_11_1"/>
      <w:bookmarkStart w:id="1472" w:name="Tc_11CFCsjdU02-cgm-9wqbUw_11_0"/>
      <w:bookmarkStart w:id="1473" w:name="Tc_kduLhkforEmqbAWwn_koRg_10_0"/>
      <w:bookmarkStart w:id="1474" w:name="Tc_JRCn2oZ07USS9pQQHvAmYA_9_0"/>
      <w:bookmarkStart w:id="1475" w:name="Tc_Cg4Ev-7WTUa47_xAc8d29g_7_0"/>
      <w:bookmarkStart w:id="1476" w:name="Tc_q6KvpqjivkWzoQQGXQg4og_6_0"/>
      <w:bookmarkStart w:id="1477" w:name="Tc_dQia7jiyfkS6kgh5qmw6qQ_5_0"/>
      <w:bookmarkStart w:id="1478" w:name="Tc_LWe2GzZ7B0qktcT8ELKv5A_3_7"/>
      <w:bookmarkStart w:id="1479" w:name="Tc_p33H0VtD9EyeL3nso8LTcg_3_4"/>
      <w:bookmarkStart w:id="1480" w:name="Tc_gpo3AwwEIEC_uE_H_bMFvg_3_1"/>
      <w:bookmarkStart w:id="1481" w:name="Tc_2_jLXXaU7kyz0_-l-yZkEg_3_0"/>
      <w:bookmarkStart w:id="1482" w:name="Tc_zPbFGZuhUECx2Ii3qjLo2Q_2_7"/>
      <w:bookmarkStart w:id="1483" w:name="Tc_jjjcwI8cRE6cB2z0aMo7dw_2_4"/>
      <w:bookmarkStart w:id="1484" w:name="Tc_0vx3ZdVFhUq-06yUL3jm0g_2_1"/>
      <w:bookmarkStart w:id="1485" w:name="Tc_4faiahpq8UqKBjYbyvIZSA_1_1"/>
      <w:bookmarkStart w:id="1486" w:name="_405adb31_c49f_4362_a233_b2663c0f5165"/>
      <w:bookmarkStart w:id="1487" w:name="_0a8aca5a_9fac_47be_bbb7_06b8ae590d30"/>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r>
        <w:rPr>
          <w:rFonts w:ascii="Times New Roman;Times;serif" w:hAnsi="Times New Roman;Times;serif"/>
          <w:b/>
          <w:sz w:val="20"/>
        </w:rPr>
        <w:t>NOTE 16.      COMMON STOCK AND EARNINGS PER SHARE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are redeemed for shares of our common stock on a one-for-one basis.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is a reconciliation of basic and diluted earnings per common share (in thousands, except share and per share data):</w:t>
      </w:r>
    </w:p>
    <w:tbl>
      <w:tblPr>
        <w:tblW w:w="10205" w:type="dxa"/>
        <w:jc w:val="left"/>
        <w:tblInd w:w="0" w:type="dxa"/>
        <w:tblLayout w:type="fixed"/>
        <w:tblCellMar>
          <w:top w:w="0" w:type="dxa"/>
          <w:left w:w="0" w:type="dxa"/>
          <w:bottom w:w="0" w:type="dxa"/>
          <w:right w:w="0" w:type="dxa"/>
        </w:tblCellMar>
      </w:tblPr>
      <w:tblGrid>
        <w:gridCol w:w="5669"/>
        <w:gridCol w:w="251"/>
        <w:gridCol w:w="1175"/>
        <w:gridCol w:w="109"/>
        <w:gridCol w:w="251"/>
        <w:gridCol w:w="1175"/>
        <w:gridCol w:w="109"/>
        <w:gridCol w:w="247"/>
        <w:gridCol w:w="1219"/>
      </w:tblGrid>
      <w:tr>
        <w:trPr/>
        <w:tc>
          <w:tcPr>
            <w:tcW w:w="566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59385" cy="175260"/>
                      <wp:effectExtent l="0" t="0" r="0" b="0"/>
                      <wp:wrapNone/>
                      <wp:docPr id="328" name="Frame328"/>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746125" cy="175260"/>
                      <wp:effectExtent l="0" t="0" r="0" b="0"/>
                      <wp:wrapNone/>
                      <wp:docPr id="329" name="Frame329"/>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59385" cy="175260"/>
                      <wp:effectExtent l="0" t="0" r="0" b="0"/>
                      <wp:wrapNone/>
                      <wp:docPr id="331" name="Frame33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46125" cy="175260"/>
                      <wp:effectExtent l="0" t="0" r="0" b="0"/>
                      <wp:wrapNone/>
                      <wp:docPr id="332" name="Frame332"/>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9215" cy="175260"/>
                      <wp:effectExtent l="0" t="0" r="0" b="0"/>
                      <wp:wrapNone/>
                      <wp:docPr id="333" name="Frame3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56845" cy="175260"/>
                      <wp:effectExtent l="0" t="0" r="0" b="0"/>
                      <wp:wrapNone/>
                      <wp:docPr id="334" name="Frame334"/>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74065" cy="175260"/>
                      <wp:effectExtent l="0" t="0" r="0" b="0"/>
                      <wp:wrapNone/>
                      <wp:docPr id="335" name="Frame335"/>
                      <a:graphic xmlns:a="http://schemas.openxmlformats.org/drawingml/2006/main">
                        <a:graphicData uri="http://schemas.microsoft.com/office/word/2010/wordprocessingShape">
                          <wps:wsp>
                            <wps:cNvSpPr txBox="1"/>
                            <wps:spPr>
                              <a:xfrm>
                                <a:off x="0" y="0"/>
                                <a:ext cx="774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69" w:type="dxa"/>
            <w:tcBorders/>
            <w:vAlign w:val="center"/>
          </w:tcPr>
          <w:p>
            <w:pPr>
              <w:pStyle w:val="TableContents"/>
              <w:bidi w:val="0"/>
              <w:spacing w:before="0" w:after="0"/>
              <w:ind w:left="0" w:right="0" w:hanging="0"/>
              <w:jc w:val="left"/>
              <w:rPr>
                <w:color w:val="FF0000"/>
              </w:rPr>
            </w:pPr>
            <w:r>
              <w:rPr>
                <w:color w:val="FF0000"/>
              </w:rPr>
              <w:t>​</w:t>
            </w:r>
          </w:p>
        </w:tc>
        <w:tc>
          <w:tcPr>
            <w:tcW w:w="453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Year Ended</w:t>
            </w:r>
          </w:p>
        </w:tc>
      </w:tr>
      <w:tr>
        <w:trPr/>
        <w:tc>
          <w:tcPr>
            <w:tcW w:w="5669" w:type="dxa"/>
            <w:tcBorders/>
            <w:vAlign w:val="center"/>
          </w:tcPr>
          <w:p>
            <w:pPr>
              <w:pStyle w:val="TableContents"/>
              <w:bidi w:val="0"/>
              <w:spacing w:before="0" w:after="0"/>
              <w:ind w:left="0" w:right="0" w:hanging="0"/>
              <w:jc w:val="left"/>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2025</w:t>
            </w:r>
          </w:p>
        </w:tc>
        <w:tc>
          <w:tcPr>
            <w:tcW w:w="109" w:type="dxa"/>
            <w:tcBorders/>
            <w:vAlign w:val="center"/>
          </w:tcPr>
          <w:p>
            <w:pPr>
              <w:pStyle w:val="TableContents"/>
              <w:bidi w:val="0"/>
              <w:spacing w:before="0" w:after="0"/>
              <w:ind w:left="0" w:right="0" w:hanging="0"/>
              <w:jc w:val="center"/>
              <w:rPr/>
            </w:pPr>
            <w:r>
              <w:rPr/>
              <w:t>​</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c>
          <w:tcPr>
            <w:tcW w:w="109" w:type="dxa"/>
            <w:tcBorders/>
            <w:vAlign w:val="center"/>
          </w:tcPr>
          <w:p>
            <w:pPr>
              <w:pStyle w:val="TableContents"/>
              <w:bidi w:val="0"/>
              <w:spacing w:before="0" w:after="0"/>
              <w:ind w:left="0" w:right="0" w:hanging="0"/>
              <w:jc w:val="center"/>
              <w:rPr/>
            </w:pPr>
            <w:r>
              <w:rPr/>
              <w:t>​</w:t>
            </w:r>
          </w:p>
        </w:tc>
        <w:tc>
          <w:tcPr>
            <w:tcW w:w="14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56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(3,209)</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2,066</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2,917</w:t>
            </w:r>
          </w:p>
        </w:tc>
      </w:tr>
      <w:tr>
        <w:trPr/>
        <w:tc>
          <w:tcPr>
            <w:tcW w:w="566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19" w:type="dxa"/>
            <w:tcBorders/>
            <w:vAlign w:val="center"/>
          </w:tcPr>
          <w:p>
            <w:pPr>
              <w:pStyle w:val="TableContents"/>
              <w:bidi w:val="0"/>
              <w:spacing w:before="0" w:after="0"/>
              <w:ind w:left="0" w:right="0" w:hanging="0"/>
              <w:jc w:val="right"/>
              <w:rPr/>
            </w:pPr>
            <w:r>
              <w:rPr/>
              <w:t>​</w:t>
            </w:r>
          </w:p>
        </w:tc>
      </w:tr>
      <w:tr>
        <w:trPr/>
        <w:tc>
          <w:tcPr>
            <w:tcW w:w="56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251"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14,328,451</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13,858,257</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13,925,362</w:t>
            </w:r>
          </w:p>
        </w:tc>
      </w:tr>
      <w:tr>
        <w:trPr/>
        <w:tc>
          <w:tcPr>
            <w:tcW w:w="5669"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Weighted Average Number of Common Shares Applicable to OP Units using Treasury Stock Method </w:t>
            </w:r>
            <w:r>
              <w:rPr>
                <w:rFonts w:ascii="Times New Roman;Times;serif" w:hAnsi="Times New Roman;Times;serif"/>
                <w:sz w:val="14"/>
              </w:rPr>
              <w:t>(1)</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1,223,854</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1,223,854</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1,635,162</w:t>
            </w:r>
          </w:p>
        </w:tc>
      </w:tr>
      <w:tr>
        <w:trPr/>
        <w:tc>
          <w:tcPr>
            <w:tcW w:w="56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Shares Applicable to Diluted Earnings per Share</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15,552,305</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15,082,111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15,560,524</w:t>
            </w:r>
          </w:p>
        </w:tc>
      </w:tr>
      <w:tr>
        <w:trPr/>
        <w:tc>
          <w:tcPr>
            <w:tcW w:w="566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19" w:type="dxa"/>
            <w:tcBorders/>
            <w:vAlign w:val="center"/>
          </w:tcPr>
          <w:p>
            <w:pPr>
              <w:pStyle w:val="TableContents"/>
              <w:bidi w:val="0"/>
              <w:spacing w:before="0" w:after="0"/>
              <w:ind w:left="0" w:right="0" w:hanging="0"/>
              <w:jc w:val="right"/>
              <w:rPr/>
            </w:pPr>
            <w:r>
              <w:rPr/>
              <w:t>​</w:t>
            </w:r>
          </w:p>
        </w:tc>
      </w:tr>
      <w:tr>
        <w:trPr/>
        <w:tc>
          <w:tcPr>
            <w:tcW w:w="566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Per Common Share Data:</w:t>
            </w:r>
          </w:p>
        </w:tc>
        <w:tc>
          <w:tcPr>
            <w:tcW w:w="251"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19" w:type="dxa"/>
            <w:tcBorders/>
            <w:shd w:fill="CCEEFF" w:val="clear"/>
            <w:vAlign w:val="center"/>
          </w:tcPr>
          <w:p>
            <w:pPr>
              <w:pStyle w:val="TableContents"/>
              <w:bidi w:val="0"/>
              <w:spacing w:before="0" w:after="0"/>
              <w:ind w:left="0" w:right="0" w:hanging="0"/>
              <w:jc w:val="right"/>
              <w:rPr/>
            </w:pPr>
            <w:r>
              <w:rPr/>
              <w:t>​</w:t>
            </w:r>
          </w:p>
        </w:tc>
      </w:tr>
      <w:tr>
        <w:trPr/>
        <w:tc>
          <w:tcPr>
            <w:tcW w:w="56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Common Stockholders</w:t>
            </w:r>
          </w:p>
        </w:tc>
        <w:tc>
          <w:tcPr>
            <w:tcW w:w="251"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19" w:type="dxa"/>
            <w:tcBorders/>
            <w:vAlign w:val="center"/>
          </w:tcPr>
          <w:p>
            <w:pPr>
              <w:pStyle w:val="TableContents"/>
              <w:bidi w:val="0"/>
              <w:spacing w:before="0" w:after="0"/>
              <w:ind w:left="0" w:right="0" w:hanging="0"/>
              <w:jc w:val="right"/>
              <w:rPr/>
            </w:pPr>
            <w:r>
              <w:rPr/>
              <w:t>​</w:t>
            </w:r>
          </w:p>
        </w:tc>
      </w:tr>
      <w:tr>
        <w:trPr/>
        <w:tc>
          <w:tcPr>
            <w:tcW w:w="566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(0.22)</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0.15</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1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0.21</w:t>
            </w:r>
          </w:p>
        </w:tc>
      </w:tr>
      <w:tr>
        <w:trPr/>
        <w:tc>
          <w:tcPr>
            <w:tcW w:w="566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(0.22)</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0.14</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19" w:type="dxa"/>
            <w:tcBorders/>
            <w:vAlign w:val="center"/>
          </w:tcPr>
          <w:p>
            <w:pPr>
              <w:pStyle w:val="TableContents"/>
              <w:bidi w:val="0"/>
              <w:spacing w:before="0" w:after="0"/>
              <w:ind w:left="0" w:right="72" w:hanging="0"/>
              <w:jc w:val="right"/>
              <w:rPr>
                <w:rFonts w:ascii="Times New Roman;Times;serif" w:hAnsi="Times New Roman;Times;serif"/>
                <w:sz w:val="18"/>
              </w:rPr>
            </w:pPr>
            <w:r>
              <w:rPr>
                <w:rFonts w:ascii="Times New Roman;Times;serif" w:hAnsi="Times New Roman;Times;serif"/>
                <w:sz w:val="18"/>
              </w:rPr>
              <w:t>0.19</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Represents shares underlying OP units including (i) 1,223,854</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CTO in connection with our IPO and (ii) 479,640</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an unrelated third party in connection with the acquisition of a portfolio of properties during the year ended December 31, 2021, which OP Units were redeemed on a one-for-one basis for shares of common stock of the Company during the year ended December 31, 2023 (see Note 15, “Equity”).</w:t>
            </w:r>
          </w:p>
        </w:tc>
      </w:tr>
    </w:tbl>
    <w:p>
      <w:pPr>
        <w:pStyle w:val="TextBody"/>
        <w:bidi w:val="0"/>
        <w:spacing w:before="0" w:after="0"/>
        <w:ind w:left="0" w:right="0" w:hanging="0"/>
        <w:jc w:val="both"/>
        <w:rPr/>
      </w:pPr>
      <w:r>
        <w:rPr/>
        <w:t> </w:t>
      </w:r>
    </w:p>
    <w:p>
      <w:pPr>
        <w:pStyle w:val="TextBody"/>
        <w:bidi w:val="0"/>
        <w:spacing w:before="0" w:after="20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17. SHARE REPURCHASES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aggregate, the Company repurchased 899,011 shares of its common stock on the open market for a total cost of $14.6 million, or an average price per share of $16.23, during the year ended December 31, 2023.</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Under the 2023 $15.0 Million Repurchase Program, the Company repurchased 45,768 shares of its common stock on the open market for a total cost of $0.8 million, or an average price per share of $16.90, during the year ended December 31, 2024, which completed the 2023 $15.0 Million Repurchase Program.</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February 2025, the Board approved a $10.0 million stock repurchase program (the “2025 $10.0 Million Repurchase Program”). Under the 2025 $10.0 Million Repurchase Program, the Company repurchased 546,390 shares of its common stock on the open market for a total cost of $8.8 million, or an average price per share of $16.07, during the year ended December 31, 2025.</w:t>
      </w:r>
    </w:p>
    <w:p>
      <w:pPr>
        <w:pStyle w:val="TextBody"/>
        <w:bidi w:val="0"/>
        <w:spacing w:before="0" w:after="0"/>
        <w:ind w:left="0" w:right="0" w:hanging="0"/>
        <w:jc w:val="both"/>
        <w:rPr/>
      </w:pPr>
      <w:r>
        <w:rPr/>
        <w:t> </w:t>
      </w:r>
    </w:p>
    <w:p>
      <w:pPr>
        <w:pStyle w:val="TextBody"/>
        <w:bidi w:val="0"/>
        <w:spacing w:before="0" w:after="240"/>
        <w:ind w:left="0" w:right="0" w:hanging="0"/>
        <w:jc w:val="both"/>
        <w:rPr>
          <w:rFonts w:ascii="Times New Roman;Times;serif" w:hAnsi="Times New Roman;Times;serif"/>
          <w:b/>
          <w:sz w:val="20"/>
        </w:rPr>
      </w:pPr>
      <w:bookmarkStart w:id="1488" w:name="Tc_Jx6xMftqd0m_XQ23x09I_g_3_7"/>
      <w:bookmarkStart w:id="1489" w:name="Tc_tj_J44gpjUO7M_d8FDGi0w_3_4"/>
      <w:bookmarkStart w:id="1490" w:name="Tc_WQq08NIDF06UiR4yJKU1nA_3_1"/>
      <w:bookmarkStart w:id="1491" w:name="Tc_-uTf7UcWmEud982SxJvs_w_3_0"/>
      <w:bookmarkStart w:id="1492" w:name="Tc_Rt6bMSmk2kW-9rF5tsGmEQ_2_7"/>
      <w:bookmarkStart w:id="1493" w:name="Tc_DXg0W43QJUyg-TUgSidKHg_2_4"/>
      <w:bookmarkStart w:id="1494" w:name="Tc_MbTeHiasmEGtE7x9vmJSOw_2_1"/>
      <w:bookmarkStart w:id="1495" w:name="Tc_EUvpDjdvC0a71ATPa52Lcw_1_1"/>
      <w:bookmarkStart w:id="1496" w:name="_083fb275_36ca_4b16_b183_9c1c4be4fc4f"/>
      <w:bookmarkEnd w:id="1488"/>
      <w:bookmarkEnd w:id="1489"/>
      <w:bookmarkEnd w:id="1490"/>
      <w:bookmarkEnd w:id="1491"/>
      <w:bookmarkEnd w:id="1492"/>
      <w:bookmarkEnd w:id="1493"/>
      <w:bookmarkEnd w:id="1494"/>
      <w:bookmarkEnd w:id="1495"/>
      <w:bookmarkEnd w:id="1496"/>
      <w:r>
        <w:rPr>
          <w:rFonts w:ascii="Times New Roman;Times;serif" w:hAnsi="Times New Roman;Times;serif"/>
          <w:b/>
          <w:sz w:val="20"/>
        </w:rPr>
        <w:t>NOTE 18.      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Company’s non-employee director compensation policy, each non-employee member of the Board receives a portion of their annual retainer fee in shares of Company common stock, and a portion in cash; and, with respect to the cash portion, each director may elect to receive such portion in shares of Company common stock rather than cash. The number of shares issued to the directors is calculated quarterly by dividing (i) the amount of the quarterly retainer fee payment due to such director by (ii) the 20-day trailing average closing price of the Company’s common stock as of the last business day of the quarter for which such payment applied, rounded down to the nearest whole number of shares. During the year ended December 31, 2025, the expense recognized for the value of the Company’s common stock received by non-employee directors totaled $0.4 million, or 24,168 shares, of which 5,806 shares were issued on April 1, 2025, 6,276 shares were issued on July 1, 2025, 6,472 shares were issued on October 1, 2025, and 5,614 shares were issued on January 2, 2026. During the year ended December 31, 2024, the expense recognized for the value of the Company’s common stock received by non-employee directors totaled $0.2 million, or 15,119 shares, of which 5,131 shares were issued on April 1, 2024, 5,168 shares were issued on July 1, 2024, 4,304 shares were issued on October 1, 2024, and 516 shares were issued on January 2, 2025. During the year ended December 31, 2023, the expense recognized for the value of the Company’s common stock received by non-employee directors totaled $0.3 million, or 19,133 shares, of which 4,776 shares were issued on April 1, 2023, 4,940 shares were issued on July 3, 2023, 4,748 shares were issued on October 2, 2023, and 4,669 shares were issued on January 2, 2024.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Stock compensation expense for the years ended December 31, 2025, 2024, and 2023 is summarized as follows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936"/>
        <w:gridCol w:w="558"/>
        <w:gridCol w:w="1119"/>
        <w:gridCol w:w="109"/>
        <w:gridCol w:w="558"/>
        <w:gridCol w:w="1119"/>
        <w:gridCol w:w="109"/>
        <w:gridCol w:w="476"/>
        <w:gridCol w:w="1221"/>
      </w:tblGrid>
      <w:tr>
        <w:trPr/>
        <w:tc>
          <w:tcPr>
            <w:tcW w:w="4936"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54330" cy="175260"/>
                      <wp:effectExtent l="0" t="0" r="0" b="0"/>
                      <wp:wrapNone/>
                      <wp:docPr id="336" name="Frame336"/>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10565" cy="175260"/>
                      <wp:effectExtent l="0" t="0" r="0" b="0"/>
                      <wp:wrapNone/>
                      <wp:docPr id="337" name="Frame337"/>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54330" cy="175260"/>
                      <wp:effectExtent l="0" t="0" r="0" b="0"/>
                      <wp:wrapNone/>
                      <wp:docPr id="339" name="Frame339"/>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10565" cy="175260"/>
                      <wp:effectExtent l="0" t="0" r="0" b="0"/>
                      <wp:wrapNone/>
                      <wp:docPr id="340" name="Frame340"/>
                      <a:graphic xmlns:a="http://schemas.openxmlformats.org/drawingml/2006/main">
                        <a:graphicData uri="http://schemas.microsoft.com/office/word/2010/wordprocessingShape">
                          <wps:wsp>
                            <wps:cNvSpPr txBox="1"/>
                            <wps:spPr>
                              <a:xfrm>
                                <a:off x="0" y="0"/>
                                <a:ext cx="71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302260" cy="175260"/>
                      <wp:effectExtent l="0" t="0" r="0" b="0"/>
                      <wp:wrapNone/>
                      <wp:docPr id="342" name="Frame34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75335" cy="175260"/>
                      <wp:effectExtent l="0" t="0" r="0" b="0"/>
                      <wp:wrapNone/>
                      <wp:docPr id="343" name="Frame343"/>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0"/>
              <w:ind w:left="0" w:right="0" w:hanging="0"/>
              <w:jc w:val="left"/>
              <w:rPr/>
            </w:pPr>
            <w:r>
              <w:rPr/>
              <w:t>​</w:t>
            </w:r>
          </w:p>
        </w:tc>
        <w:tc>
          <w:tcPr>
            <w:tcW w:w="52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4936" w:type="dxa"/>
            <w:tcBorders/>
            <w:vAlign w:val="center"/>
          </w:tcPr>
          <w:p>
            <w:pPr>
              <w:pStyle w:val="TableContents"/>
              <w:bidi w:val="0"/>
              <w:spacing w:before="0" w:after="0"/>
              <w:ind w:left="0" w:right="0" w:hanging="0"/>
              <w:jc w:val="left"/>
              <w:rPr/>
            </w:pPr>
            <w:r>
              <w:rPr/>
              <w:t>​</w:t>
            </w:r>
          </w:p>
        </w:tc>
        <w:tc>
          <w:tcPr>
            <w:tcW w:w="1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6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Retainers Paid in Stock</w:t>
            </w:r>
          </w:p>
        </w:tc>
        <w:tc>
          <w:tcPr>
            <w:tcW w:w="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109" w:type="dxa"/>
            <w:tcBorders/>
            <w:shd w:fill="CCEEFF" w:val="clear"/>
            <w:vAlign w:val="center"/>
          </w:tcPr>
          <w:p>
            <w:pPr>
              <w:pStyle w:val="TableContents"/>
              <w:bidi w:val="0"/>
              <w:spacing w:before="0" w:after="0"/>
              <w:ind w:left="0" w:right="0" w:hanging="0"/>
              <w:jc w:val="right"/>
              <w:rPr/>
            </w:pPr>
            <w:r>
              <w:rPr/>
              <w:t>​</w:t>
            </w:r>
          </w:p>
        </w:tc>
        <w:tc>
          <w:tcPr>
            <w:tcW w:w="5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318</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Director retainers are issued through additional paid in capital in arrears. Therefore, the change in additional paid in capital during the years ended December 31, 2025, 2024, and 2023 reported on the consolidated statements of stockholders’ equity does not agree to the total non-cash compensation reported on the consolidated statements of cash flows.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19. RELATED PARTY MANAGEMENT COMPANY</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externally managed by the Manager, a wholly owned subsidiary of CTO. Subsequent to the IPO, through December 31, 2025, CTO has, directly and indirectly through a wholly owned subsidiary, purchased an aggregate of 431,912 shares of PINE common stock in the open market including (i) 109,081 shares purchased during the year ended December 31, 2025 for $1.6 million, or an average price per share of $14.24, (ii) 29,807 shares purchased during the year ended December 31, 2024 for $0.4 million, or an average price per share of $14.97, (iii) 129,271 shares purchased during the year ended December 31, 2023 for $2.1 million, or an average price per share of $16.21, (iv) 155,665 shares purchased during the year ended December 31, 2022 for $2.7 million, or an average price per share of $17.57 and (v) 8,088 shares purchased during the year ended December 31, 2021 for $0.1 million, or an average price per share of $17.65.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2025, CTO owns, directly and indirectly through wholly owned subsidiaries, in the aggregate, 1,223,854 OP Units and 1,247,702 shares of PINE common stock, inclusive of (i) 394,737 shares of common stock totaling $7.5 million issued in connection with a private placement that closed concurrently with the IPO, (ii) 421,053 shares of common stock totaling $8.0 million issued in connection with the IPO, and (iii) 431,912 shares of common stock totaling $7.0 million purchased by CTO, directly and indirectly through a wholly owned subsidiary, subsequent to the IPO. The aggregate 1,223,854 OP Units and 1,247,702 shares of PINE common stock held by CTO represent an investment totaling $41.3 million, or 15.4% of PINE’s combined total of 16,007,273 shares of outstanding common stock and OP Units, as of December 31, 2025.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Management Agreement</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 Our Manager has waived a portion of the base management fee attributable to the inclusion of the net cash proceeds from the issuance of the Series A Preferred Stock in our “total equity” (the “Incremental Equity Base”), such that the base management fee rate on the Incremental Equity Base is equal to 0.75% per annum (0.1875% per quarter), instead of 1.50% per annum (0.375% per quarter) as provided in the Management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2025, 2024 or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the initial term, and on that date the term of the Management Agreement automatically renewed for a one-year term. The current term of the Management Agreement expires on January 31, 2027 and the Management Agreement will automatically renew for an unlimited number of successive one-year periods thereafter, unless the Management Agreement is not renewed or is terminated in accordance with its terms.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independent directors review our Manager’s performance and the management fees annually. The Management Agreement may be terminated annually upon the affirmative vote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independent directors. We may also terminate the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497" w:name="Tc_o-tNOjuPh0mbFyCrD9uWDQ_5_5"/>
      <w:bookmarkStart w:id="1498" w:name="Tc_A96ekcFBik27D89rNRO1hw_5_2"/>
      <w:bookmarkStart w:id="1499" w:name="Tc_cxPbQJ5eD06U-_DM6D8fXQ_5_0"/>
      <w:bookmarkStart w:id="1500" w:name="Tc_IM2zxL0g8UiNq_gtH36fuQ_4_0"/>
      <w:bookmarkStart w:id="1501" w:name="Tc_lOWzMGQyuEmZ2GkswSLp5A_3_5"/>
      <w:bookmarkStart w:id="1502" w:name="Tc_a-WE59fur0mbUQdU2R609A_3_2"/>
      <w:bookmarkStart w:id="1503" w:name="Tc_4Ef0CmN460CbRXCr68mPAA_3_0"/>
      <w:bookmarkStart w:id="1504" w:name="Tc_QdOsOg4oOUOFqgvJOrsBqA_2_5"/>
      <w:bookmarkStart w:id="1505" w:name="Tc_Mt2r4l20lE2KldJ18iFzCQ_2_2"/>
      <w:bookmarkStart w:id="1506" w:name="Tc_bIDh0OekfUeRtRCmuT7t1g_2_0"/>
      <w:bookmarkStart w:id="1507" w:name="Tc_2vZVrW4Mm0-a9RF7jBVCOw_1_2"/>
      <w:bookmarkStart w:id="1508" w:name="_bff1bc56_95c8_4a81_9f4b_a0820ed7a408"/>
      <w:bookmarkEnd w:id="1497"/>
      <w:bookmarkEnd w:id="1498"/>
      <w:bookmarkEnd w:id="1499"/>
      <w:bookmarkEnd w:id="1500"/>
      <w:bookmarkEnd w:id="1501"/>
      <w:bookmarkEnd w:id="1502"/>
      <w:bookmarkEnd w:id="1503"/>
      <w:bookmarkEnd w:id="1504"/>
      <w:bookmarkEnd w:id="1505"/>
      <w:bookmarkEnd w:id="1506"/>
      <w:bookmarkEnd w:id="1507"/>
      <w:bookmarkEnd w:id="1508"/>
      <w:r>
        <w:rPr>
          <w:rFonts w:ascii="Times New Roman;Times;serif" w:hAnsi="Times New Roman;Times;serif"/>
          <w:sz w:val="20"/>
        </w:rPr>
        <w:t xml:space="preserve">Management Agreement for cause at any time without the payment of any termination fee, with 30 days’ prior written notice from the Board.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incurred management fee expenses totaling $4.4 million, $4.2 million, and $4.3 million during the years ended December 31, 2025, 2024, and 2023, respectively. The Company also paid dividends on the common stock and OP Units owned by affiliates of the Manager in the amount of $2.8 million, $2.6 million, and $2.5 million, for the years ended December 31, 2025, 2024, and 2023, respectively.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amounts due to CTO (in thousands):</w:t>
      </w:r>
    </w:p>
    <w:p>
      <w:pPr>
        <w:pStyle w:val="TextBody"/>
        <w:bidi w:val="0"/>
        <w:spacing w:before="0" w:after="0"/>
        <w:ind w:left="0" w:right="0" w:firstLine="360"/>
        <w:jc w:val="both"/>
        <w:rPr/>
      </w:pPr>
      <w:r>
        <w:rPr/>
        <w:t>​</w:t>
      </w:r>
    </w:p>
    <w:tbl>
      <w:tblPr>
        <w:tblW w:w="6693" w:type="dxa"/>
        <w:jc w:val="left"/>
        <w:tblInd w:w="0" w:type="dxa"/>
        <w:tblLayout w:type="fixed"/>
        <w:tblCellMar>
          <w:top w:w="0" w:type="dxa"/>
          <w:left w:w="0" w:type="dxa"/>
          <w:bottom w:w="0" w:type="dxa"/>
          <w:right w:w="0" w:type="dxa"/>
        </w:tblCellMar>
      </w:tblPr>
      <w:tblGrid>
        <w:gridCol w:w="2506"/>
        <w:gridCol w:w="346"/>
        <w:gridCol w:w="465"/>
        <w:gridCol w:w="1260"/>
        <w:gridCol w:w="346"/>
        <w:gridCol w:w="414"/>
        <w:gridCol w:w="1356"/>
      </w:tblGrid>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left"/>
              <w:rPr/>
            </w:pPr>
            <w:r>
              <w:rPr/>
              <w:t>​</w:t>
            </w:r>
          </w:p>
        </w:tc>
        <w:tc>
          <w:tcPr>
            <w:tcW w:w="1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800100" cy="175260"/>
                      <wp:effectExtent l="0" t="0" r="0" b="0"/>
                      <wp:wrapNone/>
                      <wp:docPr id="344" name="Frame344"/>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414"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61060" cy="175260"/>
                      <wp:effectExtent l="0" t="0" r="0" b="0"/>
                      <wp:wrapNone/>
                      <wp:docPr id="345" name="Frame345"/>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46" w:type="dxa"/>
            <w:tcBorders/>
            <w:vAlign w:val="center"/>
          </w:tcPr>
          <w:p>
            <w:pPr>
              <w:pStyle w:val="TableContents"/>
              <w:bidi w:val="0"/>
              <w:spacing w:before="0" w:after="0"/>
              <w:ind w:left="0" w:right="0" w:hanging="0"/>
              <w:jc w:val="left"/>
              <w:rPr/>
            </w:pPr>
            <w:r>
              <w:rPr/>
              <w:t>  ​ ​ ​</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346" w:type="dxa"/>
            <w:tcBorders/>
            <w:vAlign w:val="center"/>
          </w:tcPr>
          <w:p>
            <w:pPr>
              <w:pStyle w:val="TableContents"/>
              <w:bidi w:val="0"/>
              <w:spacing w:before="0" w:after="0"/>
              <w:ind w:left="0" w:right="0" w:hanging="0"/>
              <w:jc w:val="right"/>
              <w:rPr/>
            </w:pPr>
            <w:r>
              <w:rPr/>
              <w:t>  ​ ​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due to CTO</w:t>
            </w:r>
          </w:p>
        </w:tc>
        <w:tc>
          <w:tcPr>
            <w:tcW w:w="34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346" w:type="dxa"/>
            <w:tcBorders/>
            <w:shd w:fill="CCEEFF" w:val="clear"/>
            <w:vAlign w:val="center"/>
          </w:tcPr>
          <w:p>
            <w:pPr>
              <w:pStyle w:val="TableContents"/>
              <w:bidi w:val="0"/>
              <w:spacing w:before="0" w:after="0"/>
              <w:ind w:left="0" w:right="0" w:hanging="0"/>
              <w:jc w:val="right"/>
              <w:rPr/>
            </w:pPr>
            <w:r>
              <w:rPr/>
              <w:t>​</w:t>
            </w:r>
          </w:p>
        </w:tc>
        <w:tc>
          <w:tcPr>
            <w:tcW w:w="4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vAlign w:val="center"/>
          </w:tcPr>
          <w:p>
            <w:pPr>
              <w:pStyle w:val="TableContents"/>
              <w:bidi w:val="0"/>
              <w:spacing w:before="0" w:after="0"/>
              <w:ind w:left="0" w:right="0" w:hanging="0"/>
              <w:jc w:val="right"/>
              <w:rPr/>
            </w:pPr>
            <w:r>
              <w:rPr/>
              <w:t>​</w:t>
            </w:r>
          </w:p>
        </w:tc>
        <w:tc>
          <w:tcPr>
            <w:tcW w:w="4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346" w:type="dxa"/>
            <w:tcBorders/>
            <w:shd w:fill="CCEEFF" w:val="clear"/>
            <w:vAlign w:val="center"/>
          </w:tcPr>
          <w:p>
            <w:pPr>
              <w:pStyle w:val="TableContents"/>
              <w:bidi w:val="0"/>
              <w:spacing w:before="0" w:after="0"/>
              <w:ind w:left="0" w:right="0" w:hanging="0"/>
              <w:jc w:val="right"/>
              <w:rPr/>
            </w:pPr>
            <w:r>
              <w:rPr/>
              <w:t>​</w:t>
            </w:r>
          </w:p>
        </w:tc>
        <w:tc>
          <w:tcPr>
            <w:tcW w:w="4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1,126</w:t>
            </w:r>
          </w:p>
        </w:tc>
      </w:tr>
    </w:tbl>
    <w:tbl>
      <w:tblPr>
        <w:tblW w:w="7742" w:type="dxa"/>
        <w:jc w:val="left"/>
        <w:tblInd w:w="0" w:type="dxa"/>
        <w:tblLayout w:type="fixed"/>
        <w:tblCellMar>
          <w:top w:w="0" w:type="dxa"/>
          <w:left w:w="0" w:type="dxa"/>
          <w:bottom w:w="0" w:type="dxa"/>
          <w:right w:w="0" w:type="dxa"/>
        </w:tblCellMar>
      </w:tblPr>
      <w:tblGrid>
        <w:gridCol w:w="271"/>
        <w:gridCol w:w="747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74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Included in accrued expenses, see Note 11, “Accounts Payable, Accrued Expenses, and Other Liabilities”.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hanging="0"/>
        <w:jc w:val="both"/>
        <w:rPr/>
      </w:pPr>
      <w:r>
        <w:rPr/>
        <w:t> </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April 6, 2021, the Company entered into a purchase and sale agreement with a certain subsidiary of CTO for the purchase of one net lease property for $11.5 million. The acquisition was completed on April 23, 2021.</w:t>
      </w:r>
    </w:p>
    <w:p>
      <w:pPr>
        <w:pStyle w:val="TextBody"/>
        <w:bidi w:val="0"/>
        <w:spacing w:lineRule="auto" w:line="268"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pStyle w:val="TextBody"/>
        <w:bidi w:val="0"/>
        <w:spacing w:lineRule="auto" w:line="268" w:before="0" w:after="0"/>
        <w:ind w:left="0" w:right="0" w:firstLine="360"/>
        <w:jc w:val="both"/>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On January 5, 2022, the Company entered into a purchase and sale agreement with a certain subsidiary of CTO for the purchase of one net lease property for $6.9 million. The acquisition was completed on January 7, 2022.</w:t>
      </w:r>
    </w:p>
    <w:p>
      <w:pPr>
        <w:pStyle w:val="TextBody"/>
        <w:bidi w:val="0"/>
        <w:spacing w:lineRule="auto" w:line="268"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entry into these purchase and sale agreements, and subsequent completion of the related acquisitions, are a result of the Company exercising its right to purchase the aforementioned properties under the ROFO Agreement.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Conflicts of Interest </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0"/>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firstLine="360"/>
        <w:jc w:val="both"/>
        <w:rPr/>
      </w:pPr>
      <w:r>
        <w:rPr/>
        <w:t> </w:t>
      </w: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Revenue Sharing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receives a share of the asset management fees, disposition management fees, leasing commissions, and other fees related to CTO’s management and administration of the portfolio (the “Revenue Sharing Agreement”). The Company’s share of the fees under the Revenue Sharing Agreement is based on fees earned by CTO associated with the single tenant properties within the portfolio, which are earned as services are rendered. During the years ended December 31, 2025 and 2024, the Company recognized $0.5 million of revenue per year pursuant to the Revenue Sharing Agreement, which is included in other revenue on the Company’s consolidated statements of operations. During the year ended December 31, 2023, the Company recognized less than $0.1 million of revenue per year pursuant to the Revenue Sharing Agreement, which is included in other revenue on the Company’s consolidated statement of operations. </w:t>
      </w:r>
    </w:p>
    <w:p>
      <w:pPr>
        <w:pStyle w:val="TextBody"/>
        <w:bidi w:val="0"/>
        <w:spacing w:before="4" w:after="4"/>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20.      COMMITMENTS AND CONTINGENCIES</w:t>
      </w:r>
    </w:p>
    <w:p>
      <w:pPr>
        <w:pStyle w:val="TextBody"/>
        <w:bidi w:val="0"/>
        <w:spacing w:before="4" w:after="4"/>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before="4" w:after="4"/>
        <w:ind w:left="0" w:right="0" w:hanging="0"/>
        <w:jc w:val="both"/>
        <w:rPr/>
      </w:pPr>
      <w:r>
        <w:rPr/>
        <w:t> </w:t>
      </w:r>
    </w:p>
    <w:p>
      <w:pPr>
        <w:pStyle w:val="TextBody"/>
        <w:bidi w:val="0"/>
        <w:spacing w:lineRule="auto" w:line="268" w:before="4" w:after="4"/>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4" w:after="4"/>
        <w:ind w:left="0" w:right="0" w:hanging="0"/>
        <w:jc w:val="both"/>
        <w:rPr/>
      </w:pPr>
      <w:r>
        <w:rPr/>
        <w:t>​</w:t>
      </w:r>
    </w:p>
    <w:p>
      <w:pPr>
        <w:pStyle w:val="TextBody"/>
        <w:bidi w:val="0"/>
        <w:spacing w:before="4" w:after="4"/>
        <w:ind w:left="0" w:right="0" w:hanging="0"/>
        <w:jc w:val="both"/>
        <w:rPr>
          <w:rFonts w:ascii="Times New Roman;Times;serif" w:hAnsi="Times New Roman;Times;serif"/>
          <w:i/>
          <w:sz w:val="20"/>
        </w:rPr>
      </w:pPr>
      <w:r>
        <w:rPr>
          <w:rFonts w:ascii="Times New Roman;Times;serif" w:hAnsi="Times New Roman;Times;serif"/>
          <w:i/>
          <w:sz w:val="20"/>
        </w:rPr>
        <w:t>CONTRACTUAL COMMITMENTS – EXPENDITURES</w:t>
      </w:r>
    </w:p>
    <w:p>
      <w:pPr>
        <w:pStyle w:val="TextBody"/>
        <w:bidi w:val="0"/>
        <w:spacing w:before="4" w:after="4"/>
        <w:ind w:left="0" w:right="0" w:hanging="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The Company is committed to fund nine construction loans as described in Note 4, “Commercial Loans and Investments”. The unfunded portion of the construction loans totaled $45.7 million as of December 31, 2025.</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The Company has committed to fund certain capital improvements related to several properties, which include tenant improvements, landlord work, leasing commissions, and other capital improvements. As of December 31, 2025, the commitments totaled $2.6 million, of which $2.2 million has been paid, leaving a remaining commitment of $0.4 million. The improvements are generally expected to be completed within 12 months of December 31, 2025.</w:t>
      </w:r>
    </w:p>
    <w:p>
      <w:pPr>
        <w:pStyle w:val="TextBody"/>
        <w:bidi w:val="0"/>
        <w:spacing w:before="4" w:after="4"/>
        <w:ind w:left="0" w:right="0" w:firstLine="36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21.      BUSINESS SEGMENT DATA</w:t>
      </w:r>
    </w:p>
    <w:p>
      <w:pPr>
        <w:pStyle w:val="TextBody"/>
        <w:bidi w:val="0"/>
        <w:spacing w:before="0" w:after="200"/>
        <w:ind w:left="0" w:right="0" w:firstLine="360"/>
        <w:jc w:val="both"/>
        <w:rPr>
          <w:rFonts w:ascii="Times New Roman;Times;serif" w:hAnsi="Times New Roman;Times;serif"/>
          <w:b/>
          <w:sz w:val="20"/>
        </w:rPr>
      </w:pPr>
      <w:r>
        <w:rPr>
          <w:rFonts w:ascii="Times New Roman;Times;serif" w:hAnsi="Times New Roman;Times;serif"/>
          <w:b w:val="false"/>
          <w:sz w:val="20"/>
        </w:rPr>
        <w:t>The Company operates in two</w:t>
      </w:r>
      <w:r>
        <w:rPr>
          <w:rFonts w:ascii="Times New Roman;Times;serif" w:hAnsi="Times New Roman;Times;serif"/>
          <w:b/>
          <w:sz w:val="20"/>
        </w:rPr>
        <w:t xml:space="preserve"> </w:t>
      </w:r>
      <w:r>
        <w:rPr>
          <w:rFonts w:ascii="Times New Roman;Times;serif" w:hAnsi="Times New Roman;Times;serif"/>
          <w:b w:val="false"/>
          <w:sz w:val="20"/>
        </w:rPr>
        <w:t>primary business segments: income properties and commercial loans and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income property operations consist of lease income from income producing properties and our business plan is focused on investing in additional income-producing properties. Our income property operations accounted for 71% and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09" w:name="Tc_68Yy8vVgx0K-wk0H5K_aJA_25_7"/>
      <w:bookmarkStart w:id="1510" w:name="Tc_rC8GzxAGl0uYT7R-tywOEg_25_0"/>
      <w:bookmarkStart w:id="1511" w:name="Tc_Ly-fxisNFU2Ju5GkuMERgQ_24_0"/>
      <w:bookmarkStart w:id="1512" w:name="Tc_A1Reo3gH2E6l-fxWwQjR1w_23_0"/>
      <w:bookmarkStart w:id="1513" w:name="Tc_kmpgyMIq0Ee2ByS1_rUKWg_22_0"/>
      <w:bookmarkStart w:id="1514" w:name="Tc_0nI0gGJGP0-hVEaExZFwLw_21_0"/>
      <w:bookmarkStart w:id="1515" w:name="Tc_x20DQ2-S-0q5fVfp1sr7uQ_20_0"/>
      <w:bookmarkStart w:id="1516" w:name="Tc_HtwuPfGqtE-swIk_YY6Y5A_18_0"/>
      <w:bookmarkStart w:id="1517" w:name="Tc_qiExSOAUtEm6_mvmRWFHNA_17_5"/>
      <w:bookmarkStart w:id="1518" w:name="Tc_5jP2kr2y9E-KW22U8FmANw_17_0"/>
      <w:bookmarkStart w:id="1519" w:name="Tc_sve-ShrPKUSfhOJruYDAtw_16_0"/>
      <w:bookmarkStart w:id="1520" w:name="Tc_x-TcpnZMeUmuAsVJH2fMxA_15_5"/>
      <w:bookmarkStart w:id="1521" w:name="Tc_lvhC8cH2R0u4PAcTWciRvA_15_0"/>
      <w:bookmarkStart w:id="1522" w:name="Tc_JoGEy1aT6keNL7UuMVf4sA_14_0"/>
      <w:bookmarkStart w:id="1523" w:name="Tc_booyLBYHx0-q-Mxi3KEa4g_13_0"/>
      <w:bookmarkStart w:id="1524" w:name="Tc_lionrXGCOk2HYVMtGLOVRw_12_5"/>
      <w:bookmarkStart w:id="1525" w:name="Tc_B8C9abbgkEKjyWxC5VP5Bw_12_0"/>
      <w:bookmarkStart w:id="1526" w:name="Tc_eNcbjF-LdkOGunUNBHK-qw_11_0"/>
      <w:bookmarkStart w:id="1527" w:name="Tc_i3PYoNJP40qlkMZE2V0KRQ_9_7"/>
      <w:bookmarkStart w:id="1528" w:name="Tc_HN4OHwuKdkeHYt87Eny1nw_9_0"/>
      <w:bookmarkStart w:id="1529" w:name="Tc_0NMIVb7Mi02bv9Ool7wxZA_8_0"/>
      <w:bookmarkStart w:id="1530" w:name="Tc_BuKfAJArxUm3uwHvux-H2g_7_0"/>
      <w:bookmarkStart w:id="1531" w:name="Tc_1iskJ2InAkORHtT2Mt_wzw_5_0"/>
      <w:bookmarkStart w:id="1532" w:name="Tc_96lS1-2RBEmwN-Q4PAKcOQ_4_2"/>
      <w:bookmarkStart w:id="1533" w:name="Tc_kKR9-ViZhUiblgFQN16HlA_4_0"/>
      <w:bookmarkStart w:id="1534" w:name="Tc_bY1iTJ65VU6R6KPiea_53A_3_7"/>
      <w:bookmarkStart w:id="1535" w:name="Tc_8QrL3Ssw40i4kTu7ZR__rg_3_5"/>
      <w:bookmarkStart w:id="1536" w:name="Tc_lmyJaZ7-E0CdFcMWVTtj0w_3_4"/>
      <w:bookmarkStart w:id="1537" w:name="Tc_Bb0c0XVsb0CEt6VD7eMGwg_3_1"/>
      <w:bookmarkStart w:id="1538" w:name="Tc_GTC1uhtKX0CLsmKvdUBWjQ_3_0"/>
      <w:bookmarkStart w:id="1539" w:name="Tc_z_hafgxUJUOnz2kTvaEnpw_2_0"/>
      <w:bookmarkStart w:id="1540" w:name="Tc_tElzIrk5gEeVGNFUaZpRoA_1_7"/>
      <w:bookmarkStart w:id="1541" w:name="Tc_fMM8WUbhdUuaRdKFOOutIg_1_4"/>
      <w:bookmarkStart w:id="1542" w:name="Tc_0kACCJQTqkq_zNkAyJN61w_1_1"/>
      <w:bookmarkStart w:id="1543" w:name="_2b9f01ce_d996_4c0a_a0c9_1b076b5f3e8e"/>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r>
        <w:rPr>
          <w:rFonts w:ascii="Times New Roman;Times;serif" w:hAnsi="Times New Roman;Times;serif"/>
          <w:sz w:val="20"/>
        </w:rPr>
        <w:t>82% of our identifiable assets as of December 31, 2025 and 2024, respectively, and 80.4%, 88.1%, and 98.5% of our consolidated revenues for the years ended December 31, 2025, 2024, and 2023, respectively. Our commercial loans and investment operations accounted for 25% and 15% of our identifiable assets as of December 31, 2025 and 2024, respectively, and 18.8%, 11.0%, and 1.4% of our consolidated revenues for the years ended December 31, 2025, 2024, and 2023, respectively. As of December 31, 2025, our commercial loans investment portfolio consisted of 18 commercial loan investments, of which three are related to properties acquired through a sale-leaseback transaction whereby the tenant has a future repurchase right.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Information about the Company’s operations in different segments for the year ended December 31, 2025 is as follows (in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666"/>
        <w:gridCol w:w="362"/>
        <w:gridCol w:w="1166"/>
        <w:gridCol w:w="109"/>
        <w:gridCol w:w="653"/>
        <w:gridCol w:w="2098"/>
        <w:gridCol w:w="109"/>
        <w:gridCol w:w="211"/>
        <w:gridCol w:w="831"/>
      </w:tblGrid>
      <w:tr>
        <w:trPr/>
        <w:tc>
          <w:tcPr>
            <w:tcW w:w="466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9870" cy="175260"/>
                      <wp:effectExtent l="0" t="0" r="0" b="0"/>
                      <wp:wrapNone/>
                      <wp:docPr id="346" name="Frame34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740410" cy="175260"/>
                      <wp:effectExtent l="0" t="0" r="0" b="0"/>
                      <wp:wrapNone/>
                      <wp:docPr id="347" name="Frame347"/>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414655" cy="175260"/>
                      <wp:effectExtent l="0" t="0" r="0" b="0"/>
                      <wp:wrapNone/>
                      <wp:docPr id="349" name="Frame349"/>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2230" cy="175260"/>
                      <wp:effectExtent l="0" t="0" r="0" b="0"/>
                      <wp:wrapNone/>
                      <wp:docPr id="350" name="Frame350"/>
                      <a:graphic xmlns:a="http://schemas.openxmlformats.org/drawingml/2006/main">
                        <a:graphicData uri="http://schemas.microsoft.com/office/word/2010/wordprocessingShape">
                          <wps:wsp>
                            <wps:cNvSpPr txBox="1"/>
                            <wps:spPr>
                              <a:xfrm>
                                <a:off x="0" y="0"/>
                                <a:ext cx="1332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27685" cy="175260"/>
                      <wp:effectExtent l="0" t="0" r="0" b="0"/>
                      <wp:wrapNone/>
                      <wp:docPr id="353" name="Frame353"/>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15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0"/>
              <w:ind w:left="0" w:right="0" w:hanging="0"/>
              <w:jc w:val="center"/>
              <w:rPr/>
            </w:pPr>
            <w:r>
              <w:rPr/>
              <w:t>​</w:t>
            </w:r>
          </w:p>
        </w:tc>
        <w:tc>
          <w:tcPr>
            <w:tcW w:w="2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653" w:type="dxa"/>
            <w:tcBorders/>
            <w:shd w:fill="CCEEFF" w:val="clear"/>
            <w:vAlign w:val="center"/>
          </w:tcPr>
          <w:p>
            <w:pPr>
              <w:pStyle w:val="TableContents"/>
              <w:bidi w:val="0"/>
              <w:spacing w:before="0" w:after="0"/>
              <w:ind w:left="0" w:right="0" w:hanging="0"/>
              <w:jc w:val="center"/>
              <w:rPr/>
            </w:pPr>
            <w:r>
              <w:rPr/>
              <w:t>​</w:t>
            </w:r>
          </w:p>
        </w:tc>
        <w:tc>
          <w:tcPr>
            <w:tcW w:w="209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center"/>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48,657</w:t>
            </w:r>
          </w:p>
        </w:tc>
        <w:tc>
          <w:tcPr>
            <w:tcW w:w="109" w:type="dxa"/>
            <w:tcBorders/>
            <w:vAlign w:val="center"/>
          </w:tcPr>
          <w:p>
            <w:pPr>
              <w:pStyle w:val="TableContents"/>
              <w:bidi w:val="0"/>
              <w:spacing w:before="0" w:after="0"/>
              <w:ind w:left="0" w:right="0" w:hanging="0"/>
              <w:jc w:val="right"/>
              <w:rPr/>
            </w:pPr>
            <w:r>
              <w:rPr/>
              <w:t>​</w:t>
            </w:r>
          </w:p>
        </w:tc>
        <w:tc>
          <w:tcPr>
            <w:tcW w:w="65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48,657</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11,350</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48,657</w:t>
            </w:r>
          </w:p>
        </w:tc>
        <w:tc>
          <w:tcPr>
            <w:tcW w:w="109" w:type="dxa"/>
            <w:tcBorders/>
            <w:vAlign w:val="center"/>
          </w:tcPr>
          <w:p>
            <w:pPr>
              <w:pStyle w:val="TableContents"/>
              <w:bidi w:val="0"/>
              <w:spacing w:before="0" w:after="0"/>
              <w:ind w:left="0" w:right="0" w:hanging="0"/>
              <w:jc w:val="right"/>
              <w:rPr/>
            </w:pPr>
            <w:r>
              <w:rPr/>
              <w:t>​</w:t>
            </w:r>
          </w:p>
        </w:tc>
        <w:tc>
          <w:tcPr>
            <w:tcW w:w="653" w:type="dxa"/>
            <w:tcBorders/>
            <w:vAlign w:val="center"/>
          </w:tcPr>
          <w:p>
            <w:pPr>
              <w:pStyle w:val="TableContents"/>
              <w:bidi w:val="0"/>
              <w:spacing w:before="0" w:after="0"/>
              <w:ind w:left="0" w:right="0" w:hanging="0"/>
              <w:jc w:val="right"/>
              <w:rPr/>
            </w:pPr>
            <w:r>
              <w:rPr/>
              <w:t>​</w:t>
            </w:r>
          </w:p>
        </w:tc>
        <w:tc>
          <w:tcPr>
            <w:tcW w:w="2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11,350</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60,007</w:t>
            </w:r>
          </w:p>
        </w:tc>
      </w:tr>
      <w:tr>
        <w:trPr/>
        <w:tc>
          <w:tcPr>
            <w:tcW w:w="466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2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53" w:type="dxa"/>
            <w:tcBorders/>
            <w:vAlign w:val="center"/>
          </w:tcPr>
          <w:p>
            <w:pPr>
              <w:pStyle w:val="TableContents"/>
              <w:bidi w:val="0"/>
              <w:spacing w:before="0" w:after="0"/>
              <w:ind w:left="0" w:right="0" w:hanging="0"/>
              <w:jc w:val="right"/>
              <w:rPr/>
            </w:pPr>
            <w:r>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2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53" w:type="dxa"/>
            <w:tcBorders/>
            <w:vAlign w:val="center"/>
          </w:tcPr>
          <w:p>
            <w:pPr>
              <w:pStyle w:val="TableContents"/>
              <w:bidi w:val="0"/>
              <w:spacing w:before="0" w:after="0"/>
              <w:ind w:left="0" w:right="0" w:hanging="0"/>
              <w:jc w:val="right"/>
              <w:rPr/>
            </w:pPr>
            <w:r>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60,532</w:t>
            </w:r>
          </w:p>
        </w:tc>
      </w:tr>
      <w:tr>
        <w:trPr/>
        <w:tc>
          <w:tcPr>
            <w:tcW w:w="466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2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7,956</w:t>
            </w:r>
          </w:p>
        </w:tc>
        <w:tc>
          <w:tcPr>
            <w:tcW w:w="109" w:type="dxa"/>
            <w:tcBorders/>
            <w:shd w:fill="CCEEFF" w:val="clear"/>
            <w:vAlign w:val="center"/>
          </w:tcPr>
          <w:p>
            <w:pPr>
              <w:pStyle w:val="TableContents"/>
              <w:bidi w:val="0"/>
              <w:spacing w:before="0" w:after="0"/>
              <w:ind w:left="0" w:right="0" w:hanging="0"/>
              <w:jc w:val="left"/>
              <w:rPr/>
            </w:pPr>
            <w:r>
              <w:rPr/>
              <w:t>​</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7,956</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40,701</w:t>
            </w:r>
          </w:p>
        </w:tc>
        <w:tc>
          <w:tcPr>
            <w:tcW w:w="109"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20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52,051</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w:t>
            </w:r>
          </w:p>
        </w:tc>
        <w:tc>
          <w:tcPr>
            <w:tcW w:w="109"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center"/>
              <w:rPr/>
            </w:pPr>
            <w:r>
              <w:rPr/>
              <w:t>​</w:t>
            </w:r>
          </w:p>
        </w:tc>
        <w:tc>
          <w:tcPr>
            <w:tcW w:w="2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7,416</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27,383</w:t>
            </w:r>
          </w:p>
        </w:tc>
        <w:tc>
          <w:tcPr>
            <w:tcW w:w="109" w:type="dxa"/>
            <w:tcBorders/>
            <w:vAlign w:val="center"/>
          </w:tcPr>
          <w:p>
            <w:pPr>
              <w:pStyle w:val="TableContents"/>
              <w:bidi w:val="0"/>
              <w:spacing w:before="0" w:after="0"/>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27,383</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6,703</w:t>
            </w:r>
          </w:p>
        </w:tc>
        <w:tc>
          <w:tcPr>
            <w:tcW w:w="109"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center"/>
              <w:rPr/>
            </w:pPr>
            <w:r>
              <w:rPr/>
              <w:t>​</w:t>
            </w:r>
          </w:p>
        </w:tc>
        <w:tc>
          <w:tcPr>
            <w:tcW w:w="2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17,252</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w:t>
            </w:r>
          </w:p>
        </w:tc>
        <w:tc>
          <w:tcPr>
            <w:tcW w:w="109" w:type="dxa"/>
            <w:tcBorders/>
            <w:vAlign w:val="center"/>
          </w:tcPr>
          <w:p>
            <w:pPr>
              <w:pStyle w:val="TableContents"/>
              <w:bidi w:val="0"/>
              <w:spacing w:before="0" w:after="0"/>
              <w:ind w:left="0" w:right="0" w:hanging="0"/>
              <w:jc w:val="left"/>
              <w:rPr/>
            </w:pPr>
            <w:r>
              <w:rPr/>
              <w:t>​</w:t>
            </w:r>
          </w:p>
        </w:tc>
        <w:tc>
          <w:tcPr>
            <w:tcW w:w="65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8,773</w:t>
            </w:r>
          </w:p>
        </w:tc>
        <w:tc>
          <w:tcPr>
            <w:tcW w:w="109"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center"/>
              <w:rPr/>
            </w:pPr>
            <w:r>
              <w:rPr/>
              <w:t>​</w:t>
            </w:r>
          </w:p>
        </w:tc>
        <w:tc>
          <w:tcPr>
            <w:tcW w:w="2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19,322</w:t>
            </w:r>
          </w:p>
        </w:tc>
      </w:tr>
      <w:tr>
        <w:trPr/>
        <w:tc>
          <w:tcPr>
            <w:tcW w:w="466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Loss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center"/>
              <w:rPr/>
            </w:pPr>
            <w:r>
              <w:rPr/>
              <w:t>​</w:t>
            </w:r>
          </w:p>
        </w:tc>
        <w:tc>
          <w:tcPr>
            <w:tcW w:w="2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center"/>
              <w:rPr/>
            </w:pPr>
            <w:r>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2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(6,709)</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2" w:type="dxa"/>
            <w:tcBorders/>
            <w:vAlign w:val="center"/>
          </w:tcPr>
          <w:p>
            <w:pPr>
              <w:pStyle w:val="TableContents"/>
              <w:bidi w:val="0"/>
              <w:spacing w:before="0" w:after="0"/>
              <w:ind w:left="0" w:right="0" w:hanging="0"/>
              <w:jc w:val="left"/>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53" w:type="dxa"/>
            <w:tcBorders/>
            <w:vAlign w:val="center"/>
          </w:tcPr>
          <w:p>
            <w:pPr>
              <w:pStyle w:val="TableContents"/>
              <w:bidi w:val="0"/>
              <w:spacing w:before="0" w:after="0"/>
              <w:ind w:left="0" w:right="0" w:hanging="0"/>
              <w:jc w:val="right"/>
              <w:rPr/>
            </w:pPr>
            <w:r>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2" w:type="dxa"/>
            <w:tcBorders/>
            <w:shd w:fill="CCEEFF" w:val="clear"/>
            <w:vAlign w:val="center"/>
          </w:tcPr>
          <w:p>
            <w:pPr>
              <w:pStyle w:val="TableContents"/>
              <w:bidi w:val="0"/>
              <w:spacing w:before="0" w:after="0"/>
              <w:ind w:left="0" w:right="0" w:hanging="0"/>
              <w:jc w:val="left"/>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2098"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(16,265)</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Loss</w:t>
            </w:r>
          </w:p>
        </w:tc>
        <w:tc>
          <w:tcPr>
            <w:tcW w:w="362" w:type="dxa"/>
            <w:tcBorders/>
            <w:vAlign w:val="center"/>
          </w:tcPr>
          <w:p>
            <w:pPr>
              <w:pStyle w:val="TableContents"/>
              <w:bidi w:val="0"/>
              <w:spacing w:before="0" w:after="0"/>
              <w:ind w:left="0" w:right="0" w:hanging="0"/>
              <w:jc w:val="left"/>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653" w:type="dxa"/>
            <w:tcBorders/>
            <w:vAlign w:val="center"/>
          </w:tcPr>
          <w:p>
            <w:pPr>
              <w:pStyle w:val="TableContents"/>
              <w:bidi w:val="0"/>
              <w:spacing w:before="0" w:after="0"/>
              <w:ind w:left="0" w:right="0" w:hanging="0"/>
              <w:jc w:val="right"/>
              <w:rPr/>
            </w:pPr>
            <w:r>
              <w:rPr/>
              <w:t>​</w:t>
            </w:r>
          </w:p>
        </w:tc>
        <w:tc>
          <w:tcPr>
            <w:tcW w:w="20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544" w:name="Tc_DcnfIzFpmkyARNFOcuuEWw_25_7"/>
      <w:bookmarkStart w:id="1545" w:name="Tc_t-bb011-A0ydvFa6luh_Eg_25_0"/>
      <w:bookmarkStart w:id="1546" w:name="Tc_h3WR5nom7UG16mdUFWtOWQ_24_0"/>
      <w:bookmarkStart w:id="1547" w:name="Tc_tcyAtvQXkUyIwrFEx5M6Tw_23_0"/>
      <w:bookmarkStart w:id="1548" w:name="Tc_ZOUPXpoetkqGxyciU68qKg_22_0"/>
      <w:bookmarkStart w:id="1549" w:name="Tc_Kk8EcTgaukahJoDwc2FTEg_21_0"/>
      <w:bookmarkStart w:id="1550" w:name="Tc_9zkfF2mFU0aN_VHL1rlGeA_20_0"/>
      <w:bookmarkStart w:id="1551" w:name="Tc_KNiJubNp6E-AmFvlnLlUhA_18_0"/>
      <w:bookmarkStart w:id="1552" w:name="Tc_mg6wSm4qjUaozFanlJ5PSA_17_5"/>
      <w:bookmarkStart w:id="1553" w:name="Tc_h_xXm1XWVk-f4FP5KFhTIA_17_0"/>
      <w:bookmarkStart w:id="1554" w:name="Tc_KZXrrN3tz0qAllW_JEljxw_16_0"/>
      <w:bookmarkStart w:id="1555" w:name="Tc_b7jwCAqYDEmHaBI221KsDQ_15_5"/>
      <w:bookmarkStart w:id="1556" w:name="Tc_MosK-CbXAU2pZG8L5ccFyA_15_0"/>
      <w:bookmarkStart w:id="1557" w:name="Tc_HVN6DHerzk6FNGD3pYZ4hw_14_0"/>
      <w:bookmarkStart w:id="1558" w:name="Tc_T0bnqQIAHkqCQ9wInfEzGQ_13_0"/>
      <w:bookmarkStart w:id="1559" w:name="Tc_AUu-UuLGMUa7T97zzZy6iQ_12_5"/>
      <w:bookmarkStart w:id="1560" w:name="Tc_D1UzBF_xCUmER-HOZ4-wuA_12_0"/>
      <w:bookmarkStart w:id="1561" w:name="Tc_-FyqyvfoTku38Y58V95ozQ_11_0"/>
      <w:bookmarkStart w:id="1562" w:name="Tc_0I3C14DLzEWyq8xgWT5Q7Q_9_7"/>
      <w:bookmarkStart w:id="1563" w:name="Tc_ox07IV2JXESUgOTOWVBRUA_9_0"/>
      <w:bookmarkStart w:id="1564" w:name="Tc_bp_ysPCCoUK3QXe5KfjgnQ_8_0"/>
      <w:bookmarkStart w:id="1565" w:name="Tc_R03v0aXMdEyANlfNl9wvkw_7_0"/>
      <w:bookmarkStart w:id="1566" w:name="Tc_liRKcIOqdkqnuHFwdCxRlQ_5_0"/>
      <w:bookmarkStart w:id="1567" w:name="Tc_r-EkoYKgHE-4ilgL1aUWow_4_2"/>
      <w:bookmarkStart w:id="1568" w:name="Tc_BFfJjcs28kOQEmai27LYWQ_4_0"/>
      <w:bookmarkStart w:id="1569" w:name="Tc__u8J-yOv5EyJ2Ha6rym5fA_3_7"/>
      <w:bookmarkStart w:id="1570" w:name="Tc_R53PbtyLpkKtCp12J18aDA_3_5"/>
      <w:bookmarkStart w:id="1571" w:name="Tc_JRxYEbTm00u1Texf29fvLw_3_4"/>
      <w:bookmarkStart w:id="1572" w:name="Tc_nxgaudUPSE6YlTOn90HpOQ_3_1"/>
      <w:bookmarkStart w:id="1573" w:name="Tc_dy8AmXiPMEyPK9kTJv5eOg_3_0"/>
      <w:bookmarkStart w:id="1574" w:name="Tc_lOE0QSnoLE2cFaBLC9OBTg_2_0"/>
      <w:bookmarkStart w:id="1575" w:name="Tc_Aq3AU8en90WGCJ81nKwFkg_1_7"/>
      <w:bookmarkStart w:id="1576" w:name="Tc_fUVCDagG3U2BBC8YTcpInw_1_4"/>
      <w:bookmarkStart w:id="1577" w:name="Tc_jyvYhad29Ua5E5iG_M0b4A_1_1"/>
      <w:bookmarkStart w:id="1578" w:name="_76c908ff_7fed_4e47_a763_cb992673c839"/>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r>
        <w:rPr>
          <w:rFonts w:ascii="Times New Roman;Times;serif" w:hAnsi="Times New Roman;Times;serif"/>
          <w:sz w:val="20"/>
        </w:rPr>
        <w:t>Information about the Company’s operations in different segments for the year ended December 31, 2024 is as follows (in thousands):</w:t>
      </w:r>
    </w:p>
    <w:tbl>
      <w:tblPr>
        <w:tblW w:w="10205" w:type="dxa"/>
        <w:jc w:val="left"/>
        <w:tblInd w:w="0" w:type="dxa"/>
        <w:tblLayout w:type="fixed"/>
        <w:tblCellMar>
          <w:top w:w="0" w:type="dxa"/>
          <w:left w:w="0" w:type="dxa"/>
          <w:bottom w:w="0" w:type="dxa"/>
          <w:right w:w="0" w:type="dxa"/>
        </w:tblCellMar>
      </w:tblPr>
      <w:tblGrid>
        <w:gridCol w:w="4666"/>
        <w:gridCol w:w="362"/>
        <w:gridCol w:w="1166"/>
        <w:gridCol w:w="109"/>
        <w:gridCol w:w="739"/>
        <w:gridCol w:w="2011"/>
        <w:gridCol w:w="109"/>
        <w:gridCol w:w="211"/>
        <w:gridCol w:w="832"/>
      </w:tblGrid>
      <w:tr>
        <w:trPr/>
        <w:tc>
          <w:tcPr>
            <w:tcW w:w="466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29870" cy="175260"/>
                      <wp:effectExtent l="0" t="0" r="0" b="0"/>
                      <wp:wrapNone/>
                      <wp:docPr id="354" name="Frame354"/>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740410" cy="175260"/>
                      <wp:effectExtent l="0" t="0" r="0" b="0"/>
                      <wp:wrapNone/>
                      <wp:docPr id="355" name="Frame355"/>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69265" cy="175260"/>
                      <wp:effectExtent l="0" t="0" r="0" b="0"/>
                      <wp:wrapNone/>
                      <wp:docPr id="357" name="Frame357"/>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276985" cy="175260"/>
                      <wp:effectExtent l="0" t="0" r="0" b="0"/>
                      <wp:wrapNone/>
                      <wp:docPr id="358" name="Frame358"/>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28320" cy="175260"/>
                      <wp:effectExtent l="0" t="0" r="0" b="0"/>
                      <wp:wrapNone/>
                      <wp:docPr id="361" name="Frame361"/>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15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0"/>
              <w:ind w:left="0" w:right="0" w:hanging="0"/>
              <w:jc w:val="center"/>
              <w:rPr/>
            </w:pPr>
            <w:r>
              <w:rPr/>
              <w:t>​</w:t>
            </w:r>
          </w:p>
        </w:tc>
        <w:tc>
          <w:tcPr>
            <w:tcW w:w="2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39" w:type="dxa"/>
            <w:tcBorders/>
            <w:shd w:fill="CCEEFF" w:val="clear"/>
            <w:vAlign w:val="center"/>
          </w:tcPr>
          <w:p>
            <w:pPr>
              <w:pStyle w:val="TableContents"/>
              <w:bidi w:val="0"/>
              <w:spacing w:before="0" w:after="0"/>
              <w:ind w:left="0" w:right="0" w:hanging="0"/>
              <w:jc w:val="center"/>
              <w:rPr/>
            </w:pPr>
            <w:r>
              <w:rPr/>
              <w:t>​</w:t>
            </w:r>
          </w:p>
        </w:tc>
        <w:tc>
          <w:tcPr>
            <w:tcW w:w="201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2" w:type="dxa"/>
            <w:tcBorders/>
            <w:shd w:fill="CCEEFF" w:val="clear"/>
            <w:vAlign w:val="center"/>
          </w:tcPr>
          <w:p>
            <w:pPr>
              <w:pStyle w:val="TableContents"/>
              <w:bidi w:val="0"/>
              <w:spacing w:before="0" w:after="0"/>
              <w:ind w:left="0" w:right="0" w:hanging="0"/>
              <w:jc w:val="center"/>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2" w:type="dxa"/>
            <w:tcBorders/>
            <w:vAlign w:val="center"/>
          </w:tcPr>
          <w:p>
            <w:pPr>
              <w:pStyle w:val="TableContents"/>
              <w:bidi w:val="0"/>
              <w:spacing w:before="0" w:after="0"/>
              <w:ind w:left="0" w:right="0" w:hanging="0"/>
              <w:jc w:val="right"/>
              <w:rPr/>
            </w:pPr>
            <w:r>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46,005</w:t>
            </w:r>
          </w:p>
        </w:tc>
        <w:tc>
          <w:tcPr>
            <w:tcW w:w="109"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51,766</w:t>
            </w:r>
          </w:p>
        </w:tc>
      </w:tr>
      <w:tr>
        <w:trPr/>
        <w:tc>
          <w:tcPr>
            <w:tcW w:w="466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0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2" w:type="dxa"/>
            <w:tcBorders/>
            <w:vAlign w:val="center"/>
          </w:tcPr>
          <w:p>
            <w:pPr>
              <w:pStyle w:val="TableContents"/>
              <w:bidi w:val="0"/>
              <w:spacing w:before="0" w:after="0"/>
              <w:ind w:left="0" w:right="0" w:hanging="0"/>
              <w:jc w:val="right"/>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shd w:fill="CCEEFF" w:val="clear"/>
            <w:vAlign w:val="center"/>
          </w:tcPr>
          <w:p>
            <w:pPr>
              <w:pStyle w:val="TableContents"/>
              <w:bidi w:val="0"/>
              <w:spacing w:before="0" w:after="0"/>
              <w:ind w:left="0" w:right="0" w:hanging="0"/>
              <w:jc w:val="right"/>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0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2" w:type="dxa"/>
            <w:tcBorders/>
            <w:vAlign w:val="center"/>
          </w:tcPr>
          <w:p>
            <w:pPr>
              <w:pStyle w:val="TableContents"/>
              <w:bidi w:val="0"/>
              <w:spacing w:before="0" w:after="0"/>
              <w:ind w:left="0" w:right="0" w:hanging="0"/>
              <w:jc w:val="right"/>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52,227</w:t>
            </w:r>
          </w:p>
        </w:tc>
      </w:tr>
      <w:tr>
        <w:trPr/>
        <w:tc>
          <w:tcPr>
            <w:tcW w:w="466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0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20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38,212</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2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43,973</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center"/>
              <w:rPr/>
            </w:pPr>
            <w:r>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c>
          <w:tcPr>
            <w:tcW w:w="109" w:type="dxa"/>
            <w:tcBorders/>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25,594</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11,477</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center"/>
              <w:rPr/>
            </w:pPr>
            <w:r>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16,686</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14,920</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center"/>
              <w:rPr/>
            </w:pPr>
            <w:r>
              <w:rPr/>
              <w:t>​</w:t>
            </w:r>
          </w:p>
        </w:tc>
        <w:tc>
          <w:tcPr>
            <w:tcW w:w="2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20,129</w:t>
            </w:r>
          </w:p>
        </w:tc>
      </w:tr>
      <w:tr>
        <w:trPr/>
        <w:tc>
          <w:tcPr>
            <w:tcW w:w="466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2" w:type="dxa"/>
            <w:tcBorders/>
            <w:vAlign w:val="center"/>
          </w:tcPr>
          <w:p>
            <w:pPr>
              <w:pStyle w:val="TableContents"/>
              <w:bidi w:val="0"/>
              <w:spacing w:before="0" w:after="0"/>
              <w:ind w:left="0" w:right="0" w:hanging="0"/>
              <w:jc w:val="righ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62" w:type="dxa"/>
            <w:tcBorders/>
            <w:shd w:fill="CCEEFF" w:val="clear"/>
            <w:vAlign w:val="center"/>
          </w:tcPr>
          <w:p>
            <w:pPr>
              <w:pStyle w:val="TableContents"/>
              <w:bidi w:val="0"/>
              <w:spacing w:before="0" w:after="0"/>
              <w:ind w:left="0" w:right="0" w:hanging="0"/>
              <w:jc w:val="center"/>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center"/>
              <w:rPr/>
            </w:pPr>
            <w:r>
              <w:rPr/>
              <w:t>​</w:t>
            </w:r>
          </w:p>
        </w:tc>
        <w:tc>
          <w:tcPr>
            <w:tcW w:w="20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2" w:type="dxa"/>
            <w:tcBorders/>
            <w:shd w:fill="CCEEFF" w:val="clear"/>
            <w:vAlign w:val="center"/>
          </w:tcPr>
          <w:p>
            <w:pPr>
              <w:pStyle w:val="TableContents"/>
              <w:bidi w:val="0"/>
              <w:spacing w:before="0" w:after="0"/>
              <w:ind w:left="0" w:right="0" w:hanging="0"/>
              <w:jc w:val="righ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vAlign w:val="center"/>
          </w:tcPr>
          <w:p>
            <w:pPr>
              <w:pStyle w:val="TableContents"/>
              <w:bidi w:val="0"/>
              <w:spacing w:before="0" w:after="0"/>
              <w:ind w:left="0" w:right="0" w:hanging="0"/>
              <w:jc w:val="center"/>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2" w:type="dxa"/>
            <w:tcBorders/>
            <w:shd w:fill="CCEEFF" w:val="clear"/>
            <w:vAlign w:val="center"/>
          </w:tcPr>
          <w:p>
            <w:pPr>
              <w:pStyle w:val="TableContents"/>
              <w:bidi w:val="0"/>
              <w:spacing w:before="0" w:after="0"/>
              <w:ind w:left="0" w:right="0" w:hanging="0"/>
              <w:jc w:val="right"/>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0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(6,575)</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2" w:type="dxa"/>
            <w:tcBorders/>
            <w:vAlign w:val="center"/>
          </w:tcPr>
          <w:p>
            <w:pPr>
              <w:pStyle w:val="TableContents"/>
              <w:bidi w:val="0"/>
              <w:spacing w:before="0" w:after="0"/>
              <w:ind w:left="0" w:right="0" w:hanging="0"/>
              <w:jc w:val="right"/>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2" w:type="dxa"/>
            <w:tcBorders/>
            <w:shd w:fill="CCEEFF" w:val="clear"/>
            <w:vAlign w:val="center"/>
          </w:tcPr>
          <w:p>
            <w:pPr>
              <w:pStyle w:val="TableContents"/>
              <w:bidi w:val="0"/>
              <w:spacing w:before="0" w:after="0"/>
              <w:ind w:left="0" w:right="0" w:hanging="0"/>
              <w:jc w:val="right"/>
              <w:rPr/>
            </w:pPr>
            <w:r>
              <w:rPr/>
              <w:t>​</w:t>
            </w:r>
          </w:p>
        </w:tc>
        <w:tc>
          <w:tcPr>
            <w:tcW w:w="116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20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(12,008)</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62" w:type="dxa"/>
            <w:tcBorders/>
            <w:vAlign w:val="center"/>
          </w:tcPr>
          <w:p>
            <w:pPr>
              <w:pStyle w:val="TableContents"/>
              <w:bidi w:val="0"/>
              <w:spacing w:before="0" w:after="0"/>
              <w:ind w:left="0" w:right="0" w:hanging="0"/>
              <w:jc w:val="right"/>
              <w:rPr/>
            </w:pPr>
            <w:r>
              <w:rPr/>
              <w:t>​</w:t>
            </w:r>
          </w:p>
        </w:tc>
        <w:tc>
          <w:tcPr>
            <w:tcW w:w="116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739" w:type="dxa"/>
            <w:tcBorders/>
            <w:vAlign w:val="center"/>
          </w:tcPr>
          <w:p>
            <w:pPr>
              <w:pStyle w:val="TableContents"/>
              <w:bidi w:val="0"/>
              <w:spacing w:before="0" w:after="0"/>
              <w:ind w:left="0" w:right="0" w:hanging="0"/>
              <w:jc w:val="right"/>
              <w:rPr/>
            </w:pPr>
            <w:r>
              <w:rPr/>
              <w:t>​</w:t>
            </w:r>
          </w:p>
        </w:tc>
        <w:tc>
          <w:tcPr>
            <w:tcW w:w="20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579" w:name="Tc__-ttFHL3QES7YMjT5rNukA_6_8"/>
      <w:bookmarkStart w:id="1580" w:name="Tc_B__wEQ5LWE6R1r1HXm6k1Q_6_5"/>
      <w:bookmarkStart w:id="1581" w:name="Tc_AGXbYnafYkm6XZ-5FMJ1OA_6_2"/>
      <w:bookmarkStart w:id="1582" w:name="Tc_gJeoeqbfV0ScxhMk1cJv4g_6_0"/>
      <w:bookmarkStart w:id="1583" w:name="Tc_qwlGR1nftkeu1fQihd4O_w_5_0"/>
      <w:bookmarkStart w:id="1584" w:name="Tc_OipZ8MNiu0uNhNy6iJSH6A_4_8"/>
      <w:bookmarkStart w:id="1585" w:name="Tc_ek6_qPoaPkWf2ntlmakhIA_4_5"/>
      <w:bookmarkStart w:id="1586" w:name="Tc_zFcKS64iT0G-W-j1FOGo2g_4_2"/>
      <w:bookmarkStart w:id="1587" w:name="Tc_o7TDNAQ9bkeCESGR_tXKOg_4_0"/>
      <w:bookmarkStart w:id="1588" w:name="Tc_JqVJ_QcT0EmDKzZIQ2kdtw_3_0"/>
      <w:bookmarkStart w:id="1589" w:name="Tc_tUe4qpBfjEC7rZ6qy7TNIQ_2_8"/>
      <w:bookmarkStart w:id="1590" w:name="Tc_s37Y_ym_gUSLn1w3qiSc_g_2_5"/>
      <w:bookmarkStart w:id="1591" w:name="Tc_DM3PV8icCUa0yPTBRqbcow_2_2"/>
      <w:bookmarkStart w:id="1592" w:name="Tc_PJG0hqCSdUu7LTMDE2E6Hw_1_2"/>
      <w:bookmarkStart w:id="1593" w:name="_f24d0699_c264_4266_971c_60c0cb589232"/>
      <w:bookmarkStart w:id="1594" w:name="RANGEA100L105"/>
      <w:bookmarkStart w:id="1595" w:name="Tc_XBHoOc5wAEyVbqSTPuPFAQ_26_7"/>
      <w:bookmarkStart w:id="1596" w:name="Tc_4PY1QbkqC0KQhfkT_pIVrw_26_0"/>
      <w:bookmarkStart w:id="1597" w:name="Tc_97VujfBBM0O0gzD0-1KXCw_25_0"/>
      <w:bookmarkStart w:id="1598" w:name="Tc_wkEnEXI6MUyJjIp3g-nxjg_24_0"/>
      <w:bookmarkStart w:id="1599" w:name="Tc_ADxyvOaDXEaDXa0TlzCp5A_23_0"/>
      <w:bookmarkStart w:id="1600" w:name="Tc_Suno8ph5aEu1VcFqlj7-FA_22_0"/>
      <w:bookmarkStart w:id="1601" w:name="Tc_xAoaQ8CKxUOSsBFEQAPhFw_21_0"/>
      <w:bookmarkStart w:id="1602" w:name="Tc_rOA3P0vxjUCzqXaZX-lJDg_20_0"/>
      <w:bookmarkStart w:id="1603" w:name="Tc_CUv0-1pYMkuzB6TQZrYG7Q_18_0"/>
      <w:bookmarkStart w:id="1604" w:name="Tc_ZmvykCLqNkqrBhQUxYmpdQ_17_5"/>
      <w:bookmarkStart w:id="1605" w:name="Tc_lBBA867jw0SMLvyH3oMcbw_17_0"/>
      <w:bookmarkStart w:id="1606" w:name="Tc_dJmT7uD4QUS-BB00Vj0kaA_16_0"/>
      <w:bookmarkStart w:id="1607" w:name="Tc_TVmLJWsh5UeHsUneGfo3Fw_15_5"/>
      <w:bookmarkStart w:id="1608" w:name="Tc_Ibv0_LqT9kG3H9Xo6a9lxA_15_0"/>
      <w:bookmarkStart w:id="1609" w:name="Tc_sSd2om5CrkOKgyM82hvsKg_14_0"/>
      <w:bookmarkStart w:id="1610" w:name="Tc_fTbRHqaP_kqFp30k282t9A_13_0"/>
      <w:bookmarkStart w:id="1611" w:name="Tc_r9GeG5HKW0S_hCxZsXzOSw_12_5"/>
      <w:bookmarkStart w:id="1612" w:name="Tc_BMcXFCQIQU6rivWEWbOTBA_12_0"/>
      <w:bookmarkStart w:id="1613" w:name="Tc_w3kN4fXHfUaqbLI_5QFbfA_11_0"/>
      <w:bookmarkStart w:id="1614" w:name="Tc_oHRpN7lR1UOT_31qRzUqBQ_9_7"/>
      <w:bookmarkStart w:id="1615" w:name="Tc_wxwuAe3oj0aBD2d1_1xvmA_9_0"/>
      <w:bookmarkStart w:id="1616" w:name="Tc_8I9dtroSjU6cla-3YhXtHQ_8_0"/>
      <w:bookmarkStart w:id="1617" w:name="Tc_l4sy7XSOxkGx181Z1ggbZg_7_0"/>
      <w:bookmarkStart w:id="1618" w:name="Tc_litwyWjykkmoYtBwuVxx0w_5_0"/>
      <w:bookmarkStart w:id="1619" w:name="Tc_C9N4eZdr00S1sdOWLm-4KQ_4_2"/>
      <w:bookmarkStart w:id="1620" w:name="Tc_bd9b8xjevUaqxCrbH1rDRQ_4_0"/>
      <w:bookmarkStart w:id="1621" w:name="Tc_812ssVjQ30uYmn-l_5qZqQ_3_7"/>
      <w:bookmarkStart w:id="1622" w:name="Tc_8SWs8rosT0u12hixEiBK4A_3_5"/>
      <w:bookmarkStart w:id="1623" w:name="Tc_gh05agmbw0-3p1_pIpsrGQ_3_4"/>
      <w:bookmarkStart w:id="1624" w:name="Tc_SEGCHL9rn0av_FGBt3eb5w_3_1"/>
      <w:bookmarkStart w:id="1625" w:name="Tc_5gBKblx9bUu_NV0xeAd5CQ_3_0"/>
      <w:bookmarkStart w:id="1626" w:name="Tc_kDwggWH8dUur0JayVAE5NA_2_0"/>
      <w:bookmarkStart w:id="1627" w:name="Tc_4ZZxGIOi-k6q2SjazaLK2g_1_7"/>
      <w:bookmarkStart w:id="1628" w:name="Tc__bNZo5M7GUu7ISXP5HsQWw_1_4"/>
      <w:bookmarkStart w:id="1629" w:name="Tc_dwe-h8Xvh0CRgfVOfhKRog_1_1"/>
      <w:bookmarkStart w:id="1630" w:name="_aebe70f9_3326_4b60_b92d_93a095f77df2"/>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r>
        <w:rPr>
          <w:rFonts w:ascii="Times New Roman;Times;serif" w:hAnsi="Times New Roman;Times;serif"/>
          <w:sz w:val="20"/>
        </w:rPr>
        <w:t>Information about the Company’s operations in different segments for the year ended December 31, 2023 is as follows (in thousands):</w:t>
      </w:r>
    </w:p>
    <w:tbl>
      <w:tblPr>
        <w:tblW w:w="10205" w:type="dxa"/>
        <w:jc w:val="left"/>
        <w:tblInd w:w="0" w:type="dxa"/>
        <w:tblLayout w:type="fixed"/>
        <w:tblCellMar>
          <w:top w:w="0" w:type="dxa"/>
          <w:left w:w="0" w:type="dxa"/>
          <w:bottom w:w="0" w:type="dxa"/>
          <w:right w:w="0" w:type="dxa"/>
        </w:tblCellMar>
      </w:tblPr>
      <w:tblGrid>
        <w:gridCol w:w="4673"/>
        <w:gridCol w:w="362"/>
        <w:gridCol w:w="1165"/>
        <w:gridCol w:w="109"/>
        <w:gridCol w:w="914"/>
        <w:gridCol w:w="1831"/>
        <w:gridCol w:w="109"/>
        <w:gridCol w:w="211"/>
        <w:gridCol w:w="831"/>
      </w:tblGrid>
      <w:tr>
        <w:trPr/>
        <w:tc>
          <w:tcPr>
            <w:tcW w:w="4673"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29870" cy="175260"/>
                      <wp:effectExtent l="0" t="0" r="0" b="0"/>
                      <wp:wrapNone/>
                      <wp:docPr id="362" name="Frame362"/>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739775" cy="175260"/>
                      <wp:effectExtent l="0" t="0" r="0" b="0"/>
                      <wp:wrapNone/>
                      <wp:docPr id="363" name="Frame363"/>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80390" cy="175260"/>
                      <wp:effectExtent l="0" t="0" r="0" b="0"/>
                      <wp:wrapNone/>
                      <wp:docPr id="365" name="Frame365"/>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162685" cy="175260"/>
                      <wp:effectExtent l="0" t="0" r="0" b="0"/>
                      <wp:wrapNone/>
                      <wp:docPr id="366" name="Frame366"/>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9215" cy="175260"/>
                      <wp:effectExtent l="0" t="0" r="0" b="0"/>
                      <wp:wrapNone/>
                      <wp:docPr id="367" name="Frame3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27685" cy="175260"/>
                      <wp:effectExtent l="0" t="0" r="0" b="0"/>
                      <wp:wrapNone/>
                      <wp:docPr id="369" name="Frame369"/>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73" w:type="dxa"/>
            <w:tcBorders/>
            <w:vAlign w:val="center"/>
          </w:tcPr>
          <w:p>
            <w:pPr>
              <w:pStyle w:val="TableContents"/>
              <w:bidi w:val="0"/>
              <w:spacing w:before="0" w:after="0"/>
              <w:ind w:left="0" w:right="0" w:hanging="0"/>
              <w:jc w:val="left"/>
              <w:rPr/>
            </w:pPr>
            <w:r>
              <w:rPr/>
              <w:t>​</w:t>
            </w:r>
          </w:p>
        </w:tc>
        <w:tc>
          <w:tcPr>
            <w:tcW w:w="1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Income Properties</w:t>
            </w:r>
          </w:p>
        </w:tc>
        <w:tc>
          <w:tcPr>
            <w:tcW w:w="109" w:type="dxa"/>
            <w:tcBorders/>
            <w:vAlign w:val="center"/>
          </w:tcPr>
          <w:p>
            <w:pPr>
              <w:pStyle w:val="TableContents"/>
              <w:bidi w:val="0"/>
              <w:spacing w:before="0" w:after="0"/>
              <w:ind w:left="0" w:right="0" w:hanging="0"/>
              <w:jc w:val="center"/>
              <w:rPr/>
            </w:pPr>
            <w:r>
              <w:rPr/>
              <w:t>​</w:t>
            </w:r>
          </w:p>
        </w:tc>
        <w:tc>
          <w:tcPr>
            <w:tcW w:w="2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w:t>
            </w:r>
          </w:p>
        </w:tc>
        <w:tc>
          <w:tcPr>
            <w:tcW w:w="109" w:type="dxa"/>
            <w:tcBorders/>
            <w:vAlign w:val="center"/>
          </w:tcPr>
          <w:p>
            <w:pPr>
              <w:pStyle w:val="TableContents"/>
              <w:bidi w:val="0"/>
              <w:spacing w:before="0" w:after="0"/>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62" w:type="dxa"/>
            <w:tcBorders/>
            <w:shd w:fill="CCEEFF" w:val="clear"/>
            <w:vAlign w:val="center"/>
          </w:tcPr>
          <w:p>
            <w:pPr>
              <w:pStyle w:val="TableContents"/>
              <w:bidi w:val="0"/>
              <w:spacing w:before="0" w:after="0"/>
              <w:ind w:left="0" w:right="0" w:hanging="0"/>
              <w:jc w:val="center"/>
              <w:rPr/>
            </w:pPr>
            <w:r>
              <w:rPr/>
              <w:t>​</w:t>
            </w:r>
          </w:p>
        </w:tc>
        <w:tc>
          <w:tcPr>
            <w:tcW w:w="116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914"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center"/>
              <w:rPr/>
            </w:pPr>
            <w:r>
              <w:rPr/>
              <w:t>​</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3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0"/>
              <w:ind w:left="0" w:right="0" w:hanging="0"/>
              <w:jc w:val="right"/>
              <w:rPr/>
            </w:pPr>
            <w:r>
              <w:rPr/>
              <w:t>​</w:t>
            </w:r>
          </w:p>
        </w:tc>
        <w:tc>
          <w:tcPr>
            <w:tcW w:w="9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for Reportable Segments</w:t>
            </w:r>
          </w:p>
        </w:tc>
        <w:tc>
          <w:tcPr>
            <w:tcW w:w="362" w:type="dxa"/>
            <w:tcBorders/>
            <w:vAlign w:val="center"/>
          </w:tcPr>
          <w:p>
            <w:pPr>
              <w:pStyle w:val="TableContents"/>
              <w:bidi w:val="0"/>
              <w:spacing w:before="0" w:after="0"/>
              <w:ind w:left="0" w:right="0" w:hanging="0"/>
              <w:jc w:val="right"/>
              <w:rPr/>
            </w:pPr>
            <w:r>
              <w:rPr/>
              <w:t>​</w:t>
            </w:r>
          </w:p>
        </w:tc>
        <w:tc>
          <w:tcPr>
            <w:tcW w:w="11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44,967</w:t>
            </w:r>
          </w:p>
        </w:tc>
        <w:tc>
          <w:tcPr>
            <w:tcW w:w="109" w:type="dxa"/>
            <w:tcBorders/>
            <w:vAlign w:val="center"/>
          </w:tcPr>
          <w:p>
            <w:pPr>
              <w:pStyle w:val="TableContents"/>
              <w:bidi w:val="0"/>
              <w:spacing w:before="0" w:after="0"/>
              <w:ind w:left="0" w:right="0" w:hanging="0"/>
              <w:jc w:val="right"/>
              <w:rPr/>
            </w:pPr>
            <w:r>
              <w:rPr/>
              <w:t>​</w:t>
            </w:r>
          </w:p>
        </w:tc>
        <w:tc>
          <w:tcPr>
            <w:tcW w:w="914" w:type="dxa"/>
            <w:tcBorders/>
            <w:vAlign w:val="center"/>
          </w:tcPr>
          <w:p>
            <w:pPr>
              <w:pStyle w:val="TableContents"/>
              <w:bidi w:val="0"/>
              <w:spacing w:before="0" w:after="0"/>
              <w:ind w:left="0" w:right="0" w:hanging="0"/>
              <w:jc w:val="right"/>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45,604</w:t>
            </w:r>
          </w:p>
        </w:tc>
      </w:tr>
      <w:tr>
        <w:trPr/>
        <w:tc>
          <w:tcPr>
            <w:tcW w:w="4673"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pPr>
            <w:r>
              <w:rPr/>
              <w:t>​</w:t>
            </w:r>
          </w:p>
        </w:tc>
        <w:tc>
          <w:tcPr>
            <w:tcW w:w="11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1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Revenues</w:t>
            </w:r>
          </w:p>
        </w:tc>
        <w:tc>
          <w:tcPr>
            <w:tcW w:w="362" w:type="dxa"/>
            <w:tcBorders/>
            <w:vAlign w:val="center"/>
          </w:tcPr>
          <w:p>
            <w:pPr>
              <w:pStyle w:val="TableContents"/>
              <w:bidi w:val="0"/>
              <w:spacing w:before="0" w:after="0"/>
              <w:ind w:left="0" w:right="0" w:hanging="0"/>
              <w:jc w:val="right"/>
              <w:rPr/>
            </w:pPr>
            <w:r>
              <w:rPr/>
              <w:t>​</w:t>
            </w:r>
          </w:p>
        </w:tc>
        <w:tc>
          <w:tcPr>
            <w:tcW w:w="11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4" w:type="dxa"/>
            <w:tcBorders/>
            <w:vAlign w:val="center"/>
          </w:tcPr>
          <w:p>
            <w:pPr>
              <w:pStyle w:val="TableContents"/>
              <w:bidi w:val="0"/>
              <w:spacing w:before="0" w:after="0"/>
              <w:ind w:left="0" w:right="0" w:hanging="0"/>
              <w:jc w:val="right"/>
              <w:rPr/>
            </w:pPr>
            <w:r>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pPr>
            <w:r>
              <w:rPr/>
              <w:t>​</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shd w:fill="CCEEFF" w:val="clear"/>
            <w:vAlign w:val="center"/>
          </w:tcPr>
          <w:p>
            <w:pPr>
              <w:pStyle w:val="TableContents"/>
              <w:bidi w:val="0"/>
              <w:spacing w:before="0" w:after="0"/>
              <w:ind w:left="0" w:right="0" w:hanging="0"/>
              <w:jc w:val="right"/>
              <w:rPr/>
            </w:pPr>
            <w:r>
              <w:rPr/>
              <w:t>​</w:t>
            </w:r>
          </w:p>
        </w:tc>
        <w:tc>
          <w:tcPr>
            <w:tcW w:w="11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1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Consolidated Revenues</w:t>
            </w:r>
          </w:p>
        </w:tc>
        <w:tc>
          <w:tcPr>
            <w:tcW w:w="362" w:type="dxa"/>
            <w:tcBorders/>
            <w:vAlign w:val="center"/>
          </w:tcPr>
          <w:p>
            <w:pPr>
              <w:pStyle w:val="TableContents"/>
              <w:bidi w:val="0"/>
              <w:spacing w:before="0" w:after="0"/>
              <w:ind w:left="0" w:right="0" w:hanging="0"/>
              <w:jc w:val="right"/>
              <w:rPr/>
            </w:pPr>
            <w:r>
              <w:rPr/>
              <w:t>​</w:t>
            </w:r>
          </w:p>
        </w:tc>
        <w:tc>
          <w:tcPr>
            <w:tcW w:w="11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4" w:type="dxa"/>
            <w:tcBorders/>
            <w:vAlign w:val="center"/>
          </w:tcPr>
          <w:p>
            <w:pPr>
              <w:pStyle w:val="TableContents"/>
              <w:bidi w:val="0"/>
              <w:spacing w:before="0" w:after="0"/>
              <w:ind w:left="0" w:right="0" w:hanging="0"/>
              <w:jc w:val="right"/>
              <w:rPr/>
            </w:pPr>
            <w:r>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45,644</w:t>
            </w:r>
          </w:p>
        </w:tc>
      </w:tr>
      <w:tr>
        <w:trPr/>
        <w:tc>
          <w:tcPr>
            <w:tcW w:w="4673"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right"/>
              <w:rPr/>
            </w:pPr>
            <w:r>
              <w:rPr/>
              <w:t>​</w:t>
            </w:r>
          </w:p>
        </w:tc>
        <w:tc>
          <w:tcPr>
            <w:tcW w:w="11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1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62" w:type="dxa"/>
            <w:tcBorders/>
            <w:vAlign w:val="center"/>
          </w:tcPr>
          <w:p>
            <w:pPr>
              <w:pStyle w:val="TableContents"/>
              <w:bidi w:val="0"/>
              <w:spacing w:before="0" w:after="0"/>
              <w:ind w:left="0" w:right="0" w:hanging="0"/>
              <w:jc w:val="center"/>
              <w:rPr/>
            </w:pPr>
            <w:r>
              <w:rPr/>
              <w:t>​</w:t>
            </w:r>
          </w:p>
        </w:tc>
        <w:tc>
          <w:tcPr>
            <w:tcW w:w="116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pPr>
            <w:r>
              <w:rPr/>
              <w:t>​</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c>
          <w:tcPr>
            <w:tcW w:w="109" w:type="dxa"/>
            <w:tcBorders/>
            <w:shd w:fill="CCEEFF" w:val="cle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6,580</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Direct Costs of Revenues</w:t>
            </w:r>
          </w:p>
        </w:tc>
        <w:tc>
          <w:tcPr>
            <w:tcW w:w="362" w:type="dxa"/>
            <w:tcBorders/>
            <w:vAlign w:val="center"/>
          </w:tcPr>
          <w:p>
            <w:pPr>
              <w:pStyle w:val="TableContents"/>
              <w:bidi w:val="0"/>
              <w:spacing w:before="0" w:after="0"/>
              <w:ind w:left="0" w:right="0" w:hanging="0"/>
              <w:jc w:val="center"/>
              <w:rPr/>
            </w:pPr>
            <w:r>
              <w:rPr/>
              <w:t>​</w:t>
            </w:r>
          </w:p>
        </w:tc>
        <w:tc>
          <w:tcPr>
            <w:tcW w:w="11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38,387</w:t>
            </w:r>
          </w:p>
        </w:tc>
        <w:tc>
          <w:tcPr>
            <w:tcW w:w="109"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39,024</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362" w:type="dxa"/>
            <w:tcBorders/>
            <w:shd w:fill="CCEEFF" w:val="clear"/>
            <w:vAlign w:val="center"/>
          </w:tcPr>
          <w:p>
            <w:pPr>
              <w:pStyle w:val="TableContents"/>
              <w:bidi w:val="0"/>
              <w:spacing w:before="0" w:after="0"/>
              <w:ind w:left="0" w:right="0" w:hanging="0"/>
              <w:jc w:val="center"/>
              <w:rPr/>
            </w:pPr>
            <w:r>
              <w:rPr/>
              <w:t>​</w:t>
            </w:r>
          </w:p>
        </w:tc>
        <w:tc>
          <w:tcPr>
            <w:tcW w:w="11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w:t>
            </w:r>
          </w:p>
        </w:tc>
        <w:tc>
          <w:tcPr>
            <w:tcW w:w="109"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c>
          <w:tcPr>
            <w:tcW w:w="109" w:type="dxa"/>
            <w:tcBorders/>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25,758</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 Less Operating Expenses for Reportable Segments</w:t>
            </w:r>
          </w:p>
        </w:tc>
        <w:tc>
          <w:tcPr>
            <w:tcW w:w="362" w:type="dxa"/>
            <w:tcBorders/>
            <w:shd w:fill="CCEEFF" w:val="clear"/>
            <w:vAlign w:val="center"/>
          </w:tcPr>
          <w:p>
            <w:pPr>
              <w:pStyle w:val="TableContents"/>
              <w:bidi w:val="0"/>
              <w:spacing w:before="0" w:after="0"/>
              <w:ind w:left="0" w:right="0" w:hanging="0"/>
              <w:jc w:val="center"/>
              <w:rPr/>
            </w:pPr>
            <w:r>
              <w:rPr/>
              <w:t>​</w:t>
            </w:r>
          </w:p>
        </w:tc>
        <w:tc>
          <w:tcPr>
            <w:tcW w:w="11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9,765</w:t>
            </w:r>
          </w:p>
        </w:tc>
        <w:tc>
          <w:tcPr>
            <w:tcW w:w="109"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10,046</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c>
          <w:tcPr>
            <w:tcW w:w="109" w:type="dxa"/>
            <w:tcBorders/>
            <w:vAlign w:val="center"/>
          </w:tcPr>
          <w:p>
            <w:pPr>
              <w:pStyle w:val="TableContents"/>
              <w:bidi w:val="0"/>
              <w:spacing w:before="0" w:after="0"/>
              <w:ind w:left="0" w:right="0" w:hanging="0"/>
              <w:jc w:val="left"/>
              <w:rPr/>
            </w:pPr>
            <w:r>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9,334</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 for Reportable Segments</w:t>
            </w:r>
          </w:p>
        </w:tc>
        <w:tc>
          <w:tcPr>
            <w:tcW w:w="362" w:type="dxa"/>
            <w:tcBorders/>
            <w:shd w:fill="CCEEFF" w:val="clear"/>
            <w:vAlign w:val="center"/>
          </w:tcPr>
          <w:p>
            <w:pPr>
              <w:pStyle w:val="TableContents"/>
              <w:bidi w:val="0"/>
              <w:spacing w:before="0" w:after="0"/>
              <w:ind w:left="0" w:right="0" w:hanging="0"/>
              <w:jc w:val="center"/>
              <w:rPr/>
            </w:pPr>
            <w:r>
              <w:rPr/>
              <w:t>​</w:t>
            </w:r>
          </w:p>
        </w:tc>
        <w:tc>
          <w:tcPr>
            <w:tcW w:w="11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19,099</w:t>
            </w:r>
          </w:p>
        </w:tc>
        <w:tc>
          <w:tcPr>
            <w:tcW w:w="109"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19,380</w:t>
            </w:r>
          </w:p>
        </w:tc>
      </w:tr>
      <w:tr>
        <w:trPr/>
        <w:tc>
          <w:tcPr>
            <w:tcW w:w="4673"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center"/>
              <w:rPr/>
            </w:pPr>
            <w:r>
              <w:rPr/>
              <w:t>​</w:t>
            </w:r>
          </w:p>
        </w:tc>
        <w:tc>
          <w:tcPr>
            <w:tcW w:w="11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pPr>
            <w:r>
              <w:rPr/>
              <w:t>​</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Reconciliation to Consolidated Net Income</w:t>
            </w:r>
          </w:p>
        </w:tc>
        <w:tc>
          <w:tcPr>
            <w:tcW w:w="362" w:type="dxa"/>
            <w:tcBorders/>
            <w:shd w:fill="CCEEFF" w:val="clear"/>
            <w:vAlign w:val="center"/>
          </w:tcPr>
          <w:p>
            <w:pPr>
              <w:pStyle w:val="TableContents"/>
              <w:bidi w:val="0"/>
              <w:spacing w:before="0" w:after="0"/>
              <w:ind w:left="0" w:right="0" w:hanging="0"/>
              <w:jc w:val="center"/>
              <w:rPr/>
            </w:pPr>
            <w:r>
              <w:rPr/>
              <w:t>​</w:t>
            </w:r>
          </w:p>
        </w:tc>
        <w:tc>
          <w:tcPr>
            <w:tcW w:w="11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center"/>
              <w:rPr/>
            </w:pPr>
            <w:r>
              <w:rPr/>
              <w:t>​</w:t>
            </w:r>
          </w:p>
        </w:tc>
        <w:tc>
          <w:tcPr>
            <w:tcW w:w="1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31" w:type="dxa"/>
            <w:tcBorders/>
            <w:shd w:fill="CCEEFF" w:val="clear"/>
            <w:vAlign w:val="center"/>
          </w:tcPr>
          <w:p>
            <w:pPr>
              <w:pStyle w:val="TableContents"/>
              <w:bidi w:val="0"/>
              <w:spacing w:before="0" w:after="0"/>
              <w:ind w:left="0" w:right="0" w:hanging="0"/>
              <w:jc w:val="right"/>
              <w:rPr/>
            </w:pPr>
            <w:r>
              <w:rPr/>
              <w:t>​</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Revenues</w:t>
            </w:r>
          </w:p>
        </w:tc>
        <w:tc>
          <w:tcPr>
            <w:tcW w:w="362" w:type="dxa"/>
            <w:tcBorders/>
            <w:vAlign w:val="center"/>
          </w:tcPr>
          <w:p>
            <w:pPr>
              <w:pStyle w:val="TableContents"/>
              <w:bidi w:val="0"/>
              <w:spacing w:before="0" w:after="0"/>
              <w:ind w:left="0" w:right="0" w:hanging="0"/>
              <w:jc w:val="center"/>
              <w:rPr/>
            </w:pPr>
            <w:r>
              <w:rPr/>
              <w:t>​</w:t>
            </w:r>
          </w:p>
        </w:tc>
        <w:tc>
          <w:tcPr>
            <w:tcW w:w="11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center"/>
              <w:rPr/>
            </w:pPr>
            <w:r>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62" w:type="dxa"/>
            <w:tcBorders/>
            <w:shd w:fill="CCEEFF" w:val="clear"/>
            <w:vAlign w:val="center"/>
          </w:tcPr>
          <w:p>
            <w:pPr>
              <w:pStyle w:val="TableContents"/>
              <w:bidi w:val="0"/>
              <w:spacing w:before="0" w:after="0"/>
              <w:ind w:left="0" w:right="0" w:hanging="0"/>
              <w:jc w:val="right"/>
              <w:rPr/>
            </w:pPr>
            <w:r>
              <w:rPr/>
              <w:t>​</w:t>
            </w:r>
          </w:p>
        </w:tc>
        <w:tc>
          <w:tcPr>
            <w:tcW w:w="11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1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(6,301)</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62" w:type="dxa"/>
            <w:tcBorders/>
            <w:vAlign w:val="center"/>
          </w:tcPr>
          <w:p>
            <w:pPr>
              <w:pStyle w:val="TableContents"/>
              <w:bidi w:val="0"/>
              <w:spacing w:before="0" w:after="0"/>
              <w:ind w:left="0" w:right="0" w:hanging="0"/>
              <w:jc w:val="right"/>
              <w:rPr/>
            </w:pPr>
            <w:r>
              <w:rPr/>
              <w:t>​</w:t>
            </w:r>
          </w:p>
        </w:tc>
        <w:tc>
          <w:tcPr>
            <w:tcW w:w="11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4" w:type="dxa"/>
            <w:tcBorders/>
            <w:vAlign w:val="center"/>
          </w:tcPr>
          <w:p>
            <w:pPr>
              <w:pStyle w:val="TableContents"/>
              <w:bidi w:val="0"/>
              <w:spacing w:before="0" w:after="0"/>
              <w:ind w:left="0" w:right="0" w:hanging="0"/>
              <w:jc w:val="right"/>
              <w:rPr/>
            </w:pPr>
            <w:r>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362" w:type="dxa"/>
            <w:tcBorders/>
            <w:shd w:fill="CCEEFF" w:val="clear"/>
            <w:vAlign w:val="center"/>
          </w:tcPr>
          <w:p>
            <w:pPr>
              <w:pStyle w:val="TableContents"/>
              <w:bidi w:val="0"/>
              <w:spacing w:before="0" w:after="0"/>
              <w:ind w:left="0" w:right="0" w:hanging="0"/>
              <w:jc w:val="right"/>
              <w:rPr/>
            </w:pPr>
            <w:r>
              <w:rPr/>
              <w:t>​</w:t>
            </w:r>
          </w:p>
        </w:tc>
        <w:tc>
          <w:tcPr>
            <w:tcW w:w="11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1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46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62" w:type="dxa"/>
            <w:tcBorders/>
            <w:vAlign w:val="center"/>
          </w:tcPr>
          <w:p>
            <w:pPr>
              <w:pStyle w:val="TableContents"/>
              <w:bidi w:val="0"/>
              <w:spacing w:before="0" w:after="0"/>
              <w:ind w:left="0" w:right="0" w:hanging="0"/>
              <w:jc w:val="right"/>
              <w:rPr/>
            </w:pPr>
            <w:r>
              <w:rPr/>
              <w:t>​</w:t>
            </w:r>
          </w:p>
        </w:tc>
        <w:tc>
          <w:tcPr>
            <w:tcW w:w="116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914" w:type="dxa"/>
            <w:tcBorders/>
            <w:vAlign w:val="center"/>
          </w:tcPr>
          <w:p>
            <w:pPr>
              <w:pStyle w:val="TableContents"/>
              <w:bidi w:val="0"/>
              <w:spacing w:before="0" w:after="0"/>
              <w:ind w:left="0" w:right="0" w:hanging="0"/>
              <w:jc w:val="right"/>
              <w:rPr/>
            </w:pPr>
            <w:r>
              <w:rPr/>
              <w:t>​</w:t>
            </w:r>
          </w:p>
        </w:tc>
        <w:tc>
          <w:tcPr>
            <w:tcW w:w="18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(10,165)</w:t>
            </w:r>
          </w:p>
        </w:tc>
      </w:tr>
      <w:tr>
        <w:trPr/>
        <w:tc>
          <w:tcPr>
            <w:tcW w:w="46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362" w:type="dxa"/>
            <w:tcBorders/>
            <w:shd w:fill="CCEEFF" w:val="clear"/>
            <w:vAlign w:val="center"/>
          </w:tcPr>
          <w:p>
            <w:pPr>
              <w:pStyle w:val="TableContents"/>
              <w:bidi w:val="0"/>
              <w:spacing w:before="0" w:after="0"/>
              <w:ind w:left="0" w:right="0" w:hanging="0"/>
              <w:jc w:val="right"/>
              <w:rPr/>
            </w:pPr>
            <w:r>
              <w:rPr/>
              <w:t>​</w:t>
            </w:r>
          </w:p>
        </w:tc>
        <w:tc>
          <w:tcPr>
            <w:tcW w:w="116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914" w:type="dxa"/>
            <w:tcBorders/>
            <w:shd w:fill="CCEEFF" w:val="clear"/>
            <w:vAlign w:val="center"/>
          </w:tcPr>
          <w:p>
            <w:pPr>
              <w:pStyle w:val="TableContents"/>
              <w:bidi w:val="0"/>
              <w:spacing w:before="0" w:after="0"/>
              <w:ind w:left="0" w:right="0" w:hanging="0"/>
              <w:jc w:val="right"/>
              <w:rPr/>
            </w:pPr>
            <w:r>
              <w:rPr/>
              <w:t>​</w:t>
            </w:r>
          </w:p>
        </w:tc>
        <w:tc>
          <w:tcPr>
            <w:tcW w:w="18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3,266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Capital expenditures of each segment as of December 31, 2025, 2024, and 2023 are as follows (in thousands):</w:t>
      </w:r>
    </w:p>
    <w:tbl>
      <w:tblPr>
        <w:tblW w:w="8563" w:type="dxa"/>
        <w:jc w:val="left"/>
        <w:tblInd w:w="0" w:type="dxa"/>
        <w:tblLayout w:type="fixed"/>
        <w:tblCellMar>
          <w:top w:w="0" w:type="dxa"/>
          <w:left w:w="0" w:type="dxa"/>
          <w:bottom w:w="0" w:type="dxa"/>
          <w:right w:w="0" w:type="dxa"/>
        </w:tblCellMar>
      </w:tblPr>
      <w:tblGrid>
        <w:gridCol w:w="3016"/>
        <w:gridCol w:w="109"/>
        <w:gridCol w:w="366"/>
        <w:gridCol w:w="1359"/>
        <w:gridCol w:w="109"/>
        <w:gridCol w:w="366"/>
        <w:gridCol w:w="1359"/>
        <w:gridCol w:w="109"/>
        <w:gridCol w:w="340"/>
        <w:gridCol w:w="1430"/>
      </w:tblGrid>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70"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32410" cy="175260"/>
                      <wp:effectExtent l="0" t="0" r="0" b="0"/>
                      <wp:wrapNone/>
                      <wp:docPr id="371" name="Frame37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862965" cy="175260"/>
                      <wp:effectExtent l="0" t="0" r="0" b="0"/>
                      <wp:wrapNone/>
                      <wp:docPr id="372" name="Frame372"/>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9215" cy="175260"/>
                      <wp:effectExtent l="0" t="0" r="0" b="0"/>
                      <wp:wrapNone/>
                      <wp:docPr id="373" name="Frame3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32410" cy="175260"/>
                      <wp:effectExtent l="0" t="0" r="0" b="0"/>
                      <wp:wrapNone/>
                      <wp:docPr id="374" name="Frame374"/>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862965" cy="175260"/>
                      <wp:effectExtent l="0" t="0" r="0" b="0"/>
                      <wp:wrapNone/>
                      <wp:docPr id="375" name="Frame375"/>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5900" cy="175260"/>
                      <wp:effectExtent l="0" t="0" r="0" b="0"/>
                      <wp:wrapNone/>
                      <wp:docPr id="377" name="Frame377"/>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908050" cy="175260"/>
                      <wp:effectExtent l="0" t="0" r="0" b="0"/>
                      <wp:wrapNone/>
                      <wp:docPr id="378" name="Frame378"/>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543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r>
          </w:p>
        </w:tc>
      </w:tr>
      <w:tr>
        <w:trPr/>
        <w:tc>
          <w:tcPr>
            <w:tcW w:w="30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0"/>
              <w:ind w:left="0" w:right="0" w:hanging="0"/>
              <w:jc w:val="center"/>
              <w:rPr/>
            </w:pPr>
            <w:r>
              <w:rPr/>
              <w:t>​</w:t>
            </w:r>
          </w:p>
        </w:tc>
        <w:tc>
          <w:tcPr>
            <w:tcW w:w="1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135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lef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108,548</w:t>
            </w:r>
          </w:p>
        </w:tc>
        <w:tc>
          <w:tcPr>
            <w:tcW w:w="109" w:type="dxa"/>
            <w:tcBorders/>
            <w:vAlign w:val="center"/>
          </w:tcPr>
          <w:p>
            <w:pPr>
              <w:pStyle w:val="TableContents"/>
              <w:bidi w:val="0"/>
              <w:spacing w:before="0" w:after="0"/>
              <w:ind w:left="0" w:right="0" w:hanging="0"/>
              <w:jc w:val="center"/>
              <w:rPr/>
            </w:pPr>
            <w:r>
              <w:rPr/>
              <w:t>​</w:t>
            </w:r>
          </w:p>
        </w:tc>
        <w:tc>
          <w:tcPr>
            <w:tcW w:w="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74,524</w:t>
            </w:r>
          </w:p>
        </w:tc>
        <w:tc>
          <w:tcPr>
            <w:tcW w:w="109" w:type="dxa"/>
            <w:tcBorders/>
            <w:vAlign w:val="center"/>
          </w:tcPr>
          <w:p>
            <w:pPr>
              <w:pStyle w:val="TableContents"/>
              <w:bidi w:val="0"/>
              <w:spacing w:before="0" w:after="0"/>
              <w:ind w:left="0" w:right="0" w:hanging="0"/>
              <w:jc w:val="right"/>
              <w:rPr/>
            </w:pPr>
            <w:r>
              <w:rPr/>
              <w:t>​</w:t>
            </w:r>
          </w:p>
        </w:tc>
        <w:tc>
          <w:tcPr>
            <w:tcW w:w="3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0"/>
              <w:ind w:left="0" w:right="0" w:hanging="0"/>
              <w:jc w:val="righ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135,913</w:t>
            </w:r>
          </w:p>
        </w:tc>
        <w:tc>
          <w:tcPr>
            <w:tcW w:w="109" w:type="dxa"/>
            <w:tcBorders/>
            <w:shd w:fill="CCEEFF" w:val="clear"/>
            <w:vAlign w:val="center"/>
          </w:tcPr>
          <w:p>
            <w:pPr>
              <w:pStyle w:val="TableContents"/>
              <w:bidi w:val="0"/>
              <w:spacing w:before="0" w:after="0"/>
              <w:ind w:left="0" w:right="0" w:hanging="0"/>
              <w:jc w:val="center"/>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57,851</w:t>
            </w:r>
          </w:p>
        </w:tc>
        <w:tc>
          <w:tcPr>
            <w:tcW w:w="109" w:type="dxa"/>
            <w:tcBorders/>
            <w:shd w:fill="CCEEFF" w:val="clear"/>
            <w:vAlign w:val="center"/>
          </w:tcPr>
          <w:p>
            <w:pPr>
              <w:pStyle w:val="TableContents"/>
              <w:bidi w:val="0"/>
              <w:spacing w:before="0" w:after="0"/>
              <w:ind w:left="0" w:right="0" w:hanging="0"/>
              <w:jc w:val="righ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35,419</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vAlign w:val="center"/>
          </w:tcPr>
          <w:p>
            <w:pPr>
              <w:pStyle w:val="TableContents"/>
              <w:bidi w:val="0"/>
              <w:spacing w:before="0" w:after="0"/>
              <w:ind w:left="0" w:right="0" w:hanging="0"/>
              <w:jc w:val="right"/>
              <w:rPr/>
            </w:pPr>
            <w:r>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244,461</w:t>
            </w:r>
          </w:p>
        </w:tc>
        <w:tc>
          <w:tcPr>
            <w:tcW w:w="109" w:type="dxa"/>
            <w:tcBorders/>
            <w:vAlign w:val="center"/>
          </w:tcPr>
          <w:p>
            <w:pPr>
              <w:pStyle w:val="TableContents"/>
              <w:bidi w:val="0"/>
              <w:spacing w:before="0" w:after="0"/>
              <w:ind w:left="0" w:right="0" w:hanging="0"/>
              <w:jc w:val="center"/>
              <w:rPr/>
            </w:pPr>
            <w:r>
              <w:rPr/>
              <w:t>​</w:t>
            </w:r>
          </w:p>
        </w:tc>
        <w:tc>
          <w:tcPr>
            <w:tcW w:w="3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132,375</w:t>
            </w:r>
          </w:p>
        </w:tc>
        <w:tc>
          <w:tcPr>
            <w:tcW w:w="109" w:type="dxa"/>
            <w:tcBorders/>
            <w:vAlign w:val="center"/>
          </w:tcPr>
          <w:p>
            <w:pPr>
              <w:pStyle w:val="TableContents"/>
              <w:bidi w:val="0"/>
              <w:spacing w:before="0" w:after="0"/>
              <w:ind w:left="0" w:right="0" w:hanging="0"/>
              <w:jc w:val="right"/>
              <w:rPr/>
            </w:pPr>
            <w:r>
              <w:rPr/>
              <w:t>​</w:t>
            </w:r>
          </w:p>
        </w:tc>
        <w:tc>
          <w:tcPr>
            <w:tcW w:w="3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119,884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bookmarkStart w:id="1631" w:name="Tc_FqR3Y7WLDkKK-RizbbNuzg_8_5"/>
      <w:bookmarkStart w:id="1632" w:name="Tc_TzvG-1INfUG-mgcaiZs78w_8_2"/>
      <w:bookmarkStart w:id="1633" w:name="Tc_sH6_avGEb0KExTVNEt--SA_8_0"/>
      <w:bookmarkStart w:id="1634" w:name="Tc_okyyk7E4b0CUwojBC0HJ8g_7_0"/>
      <w:bookmarkStart w:id="1635" w:name="Tc_SsAnjh5gHkuhp05gxBt6IQ_6_0"/>
      <w:bookmarkStart w:id="1636" w:name="Tc_73aJp6k980WSwT_veTu8kA_5_0"/>
      <w:bookmarkStart w:id="1637" w:name="Tc_2HFp5Xqjak-RdV67X8hi9g_4_5"/>
      <w:bookmarkStart w:id="1638" w:name="Tc_C78fsgZ9b0y_TbVB9hK6xA_4_2"/>
      <w:bookmarkStart w:id="1639" w:name="Tc_8ShGIRm6VkaMee2255U-BA_4_0"/>
      <w:bookmarkStart w:id="1640" w:name="Tc_2lZjaIUPRU-WmZ6CURbxsw_3_0"/>
      <w:bookmarkStart w:id="1641" w:name="Tc_M0tkrGUGcUaKHK1xNCZJ3A_2_5"/>
      <w:bookmarkStart w:id="1642" w:name="Tc_X2Wiwc_yjEiHKJQoFSNM4Q_2_2"/>
      <w:bookmarkStart w:id="1643" w:name="Tc_PFg5IMDKRkCTOLfMK4C1TQ_1_2"/>
      <w:bookmarkStart w:id="1644" w:name="_ed6989de_f692_47e0_8c29_bfb63b2275f5"/>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r>
        <w:rPr>
          <w:rFonts w:ascii="Times New Roman;Times;serif" w:hAnsi="Times New Roman;Times;serif"/>
          <w:sz w:val="20"/>
        </w:rPr>
        <w:t>Identifiable assets of each segment as of December 31, 2025 and 2024 are as follows (in thousands):</w:t>
      </w:r>
    </w:p>
    <w:tbl>
      <w:tblPr>
        <w:tblW w:w="6729" w:type="dxa"/>
        <w:jc w:val="left"/>
        <w:tblInd w:w="0" w:type="dxa"/>
        <w:tblLayout w:type="fixed"/>
        <w:tblCellMar>
          <w:top w:w="0" w:type="dxa"/>
          <w:left w:w="0" w:type="dxa"/>
          <w:bottom w:w="0" w:type="dxa"/>
          <w:right w:w="0" w:type="dxa"/>
        </w:tblCellMar>
      </w:tblPr>
      <w:tblGrid>
        <w:gridCol w:w="3016"/>
        <w:gridCol w:w="109"/>
        <w:gridCol w:w="366"/>
        <w:gridCol w:w="1359"/>
        <w:gridCol w:w="109"/>
        <w:gridCol w:w="336"/>
        <w:gridCol w:w="1434"/>
      </w:tblGrid>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32410" cy="175260"/>
                      <wp:effectExtent l="0" t="0" r="0" b="0"/>
                      <wp:wrapNone/>
                      <wp:docPr id="379" name="Frame379"/>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862965" cy="175260"/>
                      <wp:effectExtent l="0" t="0" r="0" b="0"/>
                      <wp:wrapNone/>
                      <wp:docPr id="380" name="Frame380"/>
                      <a:graphic xmlns:a="http://schemas.openxmlformats.org/drawingml/2006/main">
                        <a:graphicData uri="http://schemas.microsoft.com/office/word/2010/wordprocessingShape">
                          <wps:wsp>
                            <wps:cNvSpPr txBox="1"/>
                            <wps:spPr>
                              <a:xfrm>
                                <a:off x="0" y="0"/>
                                <a:ext cx="862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3360" cy="175260"/>
                      <wp:effectExtent l="0" t="0" r="0" b="0"/>
                      <wp:wrapNone/>
                      <wp:docPr id="382" name="Frame38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910590" cy="175260"/>
                      <wp:effectExtent l="0" t="0" r="0" b="0"/>
                      <wp:wrapNone/>
                      <wp:docPr id="383" name="Frame383"/>
                      <a:graphic xmlns:a="http://schemas.openxmlformats.org/drawingml/2006/main">
                        <a:graphicData uri="http://schemas.microsoft.com/office/word/2010/wordprocessingShape">
                          <wps:wsp>
                            <wps:cNvSpPr txBox="1"/>
                            <wps:spPr>
                              <a:xfrm>
                                <a:off x="0" y="0"/>
                                <a:ext cx="910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109" w:type="dxa"/>
            <w:tcBorders/>
            <w:vAlign w:val="center"/>
          </w:tcPr>
          <w:p>
            <w:pPr>
              <w:pStyle w:val="TableContents"/>
              <w:bidi w:val="0"/>
              <w:spacing w:before="0" w:after="1"/>
              <w:ind w:left="0" w:right="0" w:hanging="0"/>
              <w:jc w:val="righ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35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505,273</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497,765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pPr>
            <w:r>
              <w:rPr/>
              <w:t>​</w:t>
            </w:r>
          </w:p>
        </w:tc>
        <w:tc>
          <w:tcPr>
            <w:tcW w:w="13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182,397</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pPr>
            <w:r>
              <w:rPr/>
              <w:t>​</w:t>
            </w:r>
          </w:p>
        </w:tc>
        <w:tc>
          <w:tcPr>
            <w:tcW w:w="14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92,358</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w:t>
            </w:r>
          </w:p>
        </w:tc>
        <w:tc>
          <w:tcPr>
            <w:tcW w:w="13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14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shd w:fill="CCEEFF" w:val="clear"/>
            <w:vAlign w:val="center"/>
          </w:tcPr>
          <w:p>
            <w:pPr>
              <w:pStyle w:val="TableContents"/>
              <w:bidi w:val="0"/>
              <w:spacing w:before="0" w:after="1"/>
              <w:ind w:left="0" w:right="0" w:hanging="0"/>
              <w:jc w:val="left"/>
              <w:rPr/>
            </w:pPr>
            <w:r>
              <w:rPr/>
              <w:t>​</w:t>
            </w:r>
          </w:p>
        </w:tc>
        <w:tc>
          <w:tcPr>
            <w:tcW w:w="3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28,157</w:t>
            </w:r>
          </w:p>
        </w:tc>
        <w:tc>
          <w:tcPr>
            <w:tcW w:w="109" w:type="dxa"/>
            <w:tcBorders/>
            <w:shd w:fill="CCEEFF" w:val="clear"/>
            <w:vAlign w:val="center"/>
          </w:tcPr>
          <w:p>
            <w:pPr>
              <w:pStyle w:val="TableContents"/>
              <w:bidi w:val="0"/>
              <w:spacing w:before="0" w:after="1"/>
              <w:ind w:left="0" w:right="0" w:hanging="0"/>
              <w:jc w:val="left"/>
              <w:rPr/>
            </w:pPr>
            <w:r>
              <w:rPr/>
              <w:t>​</w:t>
            </w:r>
          </w:p>
        </w:tc>
        <w:tc>
          <w:tcPr>
            <w:tcW w:w="3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14,855</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1"/>
              <w:ind w:left="0" w:right="0" w:hanging="0"/>
              <w:jc w:val="left"/>
              <w:rPr/>
            </w:pPr>
            <w:r>
              <w:rPr/>
              <w:t>​</w:t>
            </w:r>
          </w:p>
        </w:tc>
        <w:tc>
          <w:tcPr>
            <w:tcW w:w="36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715,874</w:t>
            </w:r>
          </w:p>
        </w:tc>
        <w:tc>
          <w:tcPr>
            <w:tcW w:w="109" w:type="dxa"/>
            <w:tcBorders/>
            <w:vAlign w:val="center"/>
          </w:tcPr>
          <w:p>
            <w:pPr>
              <w:pStyle w:val="TableContents"/>
              <w:bidi w:val="0"/>
              <w:spacing w:before="0" w:after="1"/>
              <w:ind w:left="0" w:right="0" w:hanging="0"/>
              <w:jc w:val="right"/>
              <w:rPr/>
            </w:pPr>
            <w:r>
              <w:rPr/>
              <w:t>​</w:t>
            </w:r>
          </w:p>
        </w:tc>
        <w:tc>
          <w:tcPr>
            <w:tcW w:w="33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4"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604,995</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Identifiable assets by segment are those assets that are used in the Company’s operations in each segment. Corporate and other assets consist primarily of cash and restricted cash as well as the interest rate swaps.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22.      SUBSEQUENT EVENTS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Subsequent events and transactions were evaluated through February 5, 2026, the date the consolidated financial statements were issued.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On February 4, 2026, the Company, the Operating Partnership, as borrower (the “Borrower”), and certain subsidiaries of the Borrower entered into an Amended and Restated Credit Agreement with Truist Bank, N.A., as administrative agent, and certain other lenders named therein (the “Amended and Restated Credit Agreement”). The Amended and Restated Credit Agreement provides for a $250,000,000 senior unsecured revolving credit facility, a $100,000,000 senior unsecured term loan credit facility maturing in 2029, and a $100,000,000 senior unsecured term loan credit facility maturing in 2031. On February 4, 2026, in connection with the Borrower’s entry into the Amended and Restated Credit Agreement, the Borrower repaid all obligations outstanding under the Amended and Restated Credit Agreement, dated as of September 30, 2022, among the Company, as parent guarantor, the Borrower, certain subsidiaries of the Borrower, KeyBank National Association, as administrative agent, and certain other lenders named therein (as amended, the “Prior Credit Agreement”). As a result, the Prior Credit Agreement was terminated and the obligations thereunder were discharged.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f-39</w:t>
      </w:r>
    </w:p>
    <w:p>
      <w:pPr>
        <w:pStyle w:val="TextBody"/>
        <w:bidi w:val="0"/>
        <w:spacing w:before="0" w:after="240"/>
        <w:ind w:left="0" w:right="0" w:hanging="0"/>
        <w:jc w:val="right"/>
        <w:rPr>
          <w:rFonts w:ascii="Times New Roman;Times;serif" w:hAnsi="Times New Roman;Times;serif"/>
          <w:b/>
          <w:sz w:val="24"/>
        </w:rPr>
      </w:pPr>
      <w:bookmarkStart w:id="1645" w:name="pine-20251231xex4d1.htm"/>
      <w:bookmarkStart w:id="1646" w:name="kspine20251231xex4d1"/>
      <w:bookmarkEnd w:id="1645"/>
      <w:bookmarkEnd w:id="1646"/>
      <w:r>
        <w:rPr>
          <w:rFonts w:ascii="Times New Roman;Times;serif" w:hAnsi="Times New Roman;Times;serif"/>
          <w:b/>
          <w:sz w:val="24"/>
        </w:rPr>
        <w:t>Exhibit 4.1</w:t>
      </w:r>
      <w:r>
        <w:br w:type="page"/>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DESCRIPTION OF CAPITAL STOCK</w:t>
      </w:r>
    </w:p>
    <w:p>
      <w:pPr>
        <w:pStyle w:val="TextBody"/>
        <w:bidi w:val="0"/>
        <w:spacing w:before="0" w:after="240"/>
        <w:ind w:left="0" w:right="0" w:firstLine="360"/>
        <w:jc w:val="both"/>
        <w:rPr>
          <w:rFonts w:ascii="Times New Roman;Times;serif" w:hAnsi="Times New Roman;Times;serif"/>
          <w:i/>
          <w:sz w:val="24"/>
        </w:rPr>
      </w:pPr>
      <w:r>
        <w:rPr>
          <w:rFonts w:ascii="Times New Roman;Times;serif" w:hAnsi="Times New Roman;Times;serif"/>
          <w:i/>
          <w:sz w:val="24"/>
        </w:rPr>
        <w:t>The following is a summary of the material terms of our securities registered under Section 12 of the Securities Exchange Act of 1934, as amended (the “Exchange Act”), and provisions of our charter and bylaws. The summary is subject to and qualified in its entirety by reference to the charter and bylaws, each of which is incorporated by reference as an exhibit to the Annual Report on Form 10-K of which this exhibit is a part. The following also summarizes certain provisions of the Maryland General Corporation Law (the “MGCL”) and is subject to and qualified in its entirety by reference to the MGCL.</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General</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Pursuant to our charter, we are currently authorized to designate and issue up to 500,000,000 shares of common stock, $0.01 par value per share (our “common stock”), and 100,000,000 shares of preferred stock, $0.01 par value per share (our “preferred stock”). A majority of our entire board of directors has the power, without stockholder approval, to amend our charter to increase or decrease the aggregate number of shares of stock or the number of shares of stock of any class or series that we are authorized to issue.</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Description of Common Stock</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General</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provides that we have authority to issue up to 500,000,000 shares of common stock. Under Maryland law, stockholders generally are not liable for a corporation’s debts or obligations solely as a result of their status as stockholders.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Distribution, Liquidation and Other Rights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Stockholders are entitled to receive distributions when authorized by our board of directors and declared by us out of assets legally available for the payment of dividends. Stockholders are also entitled to share ratably in our assets legally available for distribution to our stockholders in the event of our liquidation, dissolution, or winding up, after payment of, or adequate provision for, all of our known debts and liabilities. These rights are subject to the preferential rights of any other class or series of our stock, including any shares of preferred stock we may issue, and to the provisions of our charter regarding restrictions on ownership and transfer of our stock. See “Restrictions on Ownership and Transfer.”</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common stockholders have no preference, conversion, exchange, sinking fund or redemption rights and have no preemptive rights to subscribe for any of our capital stock. Our charter provides that our stockholders generally have no appraisal rights unless our board of directors determines that appraisal rights will apply to one or more transactions in which our common stockholders would otherwise be entitled to exercise such rights. Subject to our charter restrictions on ownership and transfer of our stock, holders of shares of our common stock have equal dividend, liquidation and other rights.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Voting Rights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Subject to our charter restrictions on ownership and transfer of our stock and the terms of any other class or series of our stock, each outstanding share of our common stock entitles the holder thereof to one vote on all matters submitted to a vote of stockholders, including the election of directors. Cumulative voting in the election of directors is not permitted. Directors will be elected by a plurality of the votes cast at the meeting in which directors are being elected and at which a quorum is present. This means that the holders of a majority of the outstanding shares of our common stock can effectively elect all of the directors then standing for election, and the holders of the remaining shares will not be able to elect any directors.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Power to Classify and Reclassify Unissued Stock</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authorizes our board of directors to reclassify any unissued shares of our common stock into other classes or series of stock, including classes or series of preferred stock, and to establish the designation and number of shares of each such class or series and to set, subject to the provisions of our charter regarding the restrictions on ownership and transfer of our stock, the preferences, conversion or other rights, voting powers, restrictions, limitations as to dividends or other distributions, qualifications and terms and conditions of redemption of each such class or series. Thus, our board of directors could authorize the issuance of shares of common stock or preferred stock with terms and conditions which could have the effect of delaying, deferring or preventing a transaction or a change in control that might involve a premium price for our common stock or that our common stockholders otherwise believe to be in their best interests.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Listing</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common stock is listed on the New York Stock Exchange under the trading symbol “PINE.”</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Transfer Agent and Registrar</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transfer agent and registrar for our common stock is Computershare Trust Company, N.A.</w:t>
      </w:r>
    </w:p>
    <w:p>
      <w:pPr>
        <w:pStyle w:val="TextBody"/>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Description of Series A Preferred Stock</w:t>
      </w:r>
    </w:p>
    <w:p>
      <w:pPr>
        <w:pStyle w:val="TextBody"/>
        <w:bidi w:val="0"/>
        <w:spacing w:before="0" w:after="240"/>
        <w:ind w:left="0" w:right="0" w:hanging="0"/>
        <w:jc w:val="left"/>
        <w:rPr>
          <w:rFonts w:ascii="Times New Roman;Times;serif" w:hAnsi="Times New Roman;Times;serif"/>
          <w:b/>
          <w:i/>
          <w:sz w:val="24"/>
        </w:rPr>
      </w:pPr>
      <w:r>
        <w:rPr>
          <w:rFonts w:ascii="Times New Roman;Times;serif" w:hAnsi="Times New Roman;Times;serif"/>
          <w:b/>
          <w:i/>
          <w:sz w:val="24"/>
        </w:rPr>
        <w:t>General</w:t>
      </w:r>
    </w:p>
    <w:p>
      <w:pPr>
        <w:pStyle w:val="TextBody"/>
        <w:bidi w:val="0"/>
        <w:spacing w:before="200" w:after="240"/>
        <w:ind w:left="0" w:right="0" w:firstLine="360"/>
        <w:jc w:val="both"/>
        <w:rPr>
          <w:rFonts w:ascii="Times New Roman;Times;serif" w:hAnsi="Times New Roman;Times;serif"/>
          <w:sz w:val="24"/>
        </w:rPr>
      </w:pPr>
      <w:r>
        <w:rPr>
          <w:rFonts w:ascii="Times New Roman;Times;serif" w:hAnsi="Times New Roman;Times;serif"/>
          <w:sz w:val="24"/>
        </w:rPr>
        <w:t>3,758,334 shares of preferred stock have been designated as shares of 8.00% Series A Cumulative Redeemable Preferred Stock (the “</w:t>
      </w:r>
      <w:r>
        <w:rPr>
          <w:rFonts w:ascii="Times New Roman;Times;serif" w:hAnsi="Times New Roman;Times;serif"/>
          <w:b/>
          <w:sz w:val="24"/>
        </w:rPr>
        <w:t>Series A Preferred Stock</w:t>
      </w:r>
      <w:r>
        <w:rPr>
          <w:rFonts w:ascii="Times New Roman;Times;serif" w:hAnsi="Times New Roman;Times;serif"/>
          <w:sz w:val="24"/>
        </w:rPr>
        <w:t>”). A majority of our entire board of directors may authorize the issuance and sale of additional shares of Series A Preferred Stock from time to time.</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Ranking</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Series A Preferred Stock ranks, with respect to distribution rights and rights upon voluntary or involuntary liquidation, dissolution or winding up of our affairs: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senior to all classes or series of our common stock and to any other class or series of our capital stock expressly designated as ranking junior to the Series A Preferred Stock;</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parity with any class or series of our capital stock expressly designated as ranking on parity with the Series A Preferred Stock; and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junior to any other class or series of our capital stock expressly designated as ranking senior to the Series A Preferred Stock.</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term “capital stock” does not include convertible or exchangeable debt securities, which, prior to conversion or exchange, rank senior in right of payment to the Series A Preferred Stock. The Series A Preferred Stock also ranks junior in right of payment to our other existing and future debt obligations.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Dividends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Subject to the preferential rights of the holders of any class or series of our capital stock ranking senior to the Series A Preferred Stock with respect to distribution rights, holders of shares of the Series A Preferred Stock are entitled to receive, when, as and if authorized by our board of directors and declared by us out of funds legally available for the payment of dividends, cumulative cash dividends at the rate of 8.00% per annum of the $25.00 liquidation preference per share of the Series A Preferred Stock (equivalent to the fixed annual amount of $2.00 per share of the Series A Preferred Stock).</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Dividends on the Series A Preferred Stock will accrue and be cumulative from, and including, the date of original issue and will be payable to holders quarterly in arrears on or about the last day of March, June, September and December of each year or, if such day is not a business day, on either the immediately preceding business day or next succeeding business day at our option, except that, if such business day is in the next succeeding year, such payment shall be made on the immediately preceding business day, in each case with the same force and effect as if made on such date. The term “business day” means each day, other than a Saturday or a Sunday, which is not a day on which banks in New York are required to close.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amount of any dividend payable on the Series A Preferred Stock for any period greater or less than a full dividend period will be prorated and computed on the basis of a 360-day year consisting of twelve 30-day months. A dividend period is the respective period commencing on and including the first day of January, April, July and October of each year and ending on and including the day preceding the first day of the next succeeding dividend period (other than the initial dividend period and the dividend period during which any shares of Series A Preferred Stock shall be redeemed). Dividends will be payable to holders of record as they appear in our stock records at the close of business on the applicable record date, which shall be the date designated by our board of directors as the record date for the payment of dividends that is not more than 90 days prior to the scheduled dividend payment date.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Dividends on the Series A Preferred Stock will accrue whether or not:</w:t>
      </w:r>
    </w:p>
    <w:tbl>
      <w:tblPr>
        <w:tblW w:w="1923" w:type="dxa"/>
        <w:jc w:val="left"/>
        <w:tblInd w:w="0" w:type="dxa"/>
        <w:tblLayout w:type="fixed"/>
        <w:tblCellMar>
          <w:top w:w="0" w:type="dxa"/>
          <w:left w:w="0" w:type="dxa"/>
          <w:bottom w:w="0" w:type="dxa"/>
          <w:right w:w="0" w:type="dxa"/>
        </w:tblCellMar>
      </w:tblPr>
      <w:tblGrid>
        <w:gridCol w:w="23"/>
        <w:gridCol w:w="17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we have earnings;</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pPr>
      <w:r>
        <w:rPr/>
        <w:t>​</w:t>
      </w:r>
    </w:p>
    <w:tbl>
      <w:tblPr>
        <w:tblW w:w="6843" w:type="dxa"/>
        <w:jc w:val="left"/>
        <w:tblInd w:w="0" w:type="dxa"/>
        <w:tblLayout w:type="fixed"/>
        <w:tblCellMar>
          <w:top w:w="0" w:type="dxa"/>
          <w:left w:w="0" w:type="dxa"/>
          <w:bottom w:w="0" w:type="dxa"/>
          <w:right w:w="0" w:type="dxa"/>
        </w:tblCellMar>
      </w:tblPr>
      <w:tblGrid>
        <w:gridCol w:w="23"/>
        <w:gridCol w:w="170"/>
        <w:gridCol w:w="66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there are funds legally available for the payment of those dividends; or</w:t>
            </w:r>
          </w:p>
        </w:tc>
      </w:tr>
    </w:tbl>
    <w:p>
      <w:pPr>
        <w:pStyle w:val="TextBody"/>
        <w:bidi w:val="0"/>
        <w:spacing w:before="0" w:after="240"/>
        <w:ind w:left="720" w:right="0" w:hanging="0"/>
        <w:jc w:val="both"/>
        <w:rPr/>
      </w:pPr>
      <w:r>
        <w:rPr/>
        <w:t>​</w:t>
      </w:r>
    </w:p>
    <w:tbl>
      <w:tblPr>
        <w:tblW w:w="4248" w:type="dxa"/>
        <w:jc w:val="left"/>
        <w:tblInd w:w="0" w:type="dxa"/>
        <w:tblLayout w:type="fixed"/>
        <w:tblCellMar>
          <w:top w:w="0" w:type="dxa"/>
          <w:left w:w="0" w:type="dxa"/>
          <w:bottom w:w="0" w:type="dxa"/>
          <w:right w:w="0" w:type="dxa"/>
        </w:tblCellMar>
      </w:tblPr>
      <w:tblGrid>
        <w:gridCol w:w="23"/>
        <w:gridCol w:w="170"/>
        <w:gridCol w:w="40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those dividends are authorized or declared.</w:t>
            </w:r>
          </w:p>
        </w:tc>
      </w:tr>
    </w:tbl>
    <w:p>
      <w:pPr>
        <w:pStyle w:val="TextBody"/>
        <w:bidi w:val="0"/>
        <w:spacing w:before="0" w:after="240"/>
        <w:ind w:left="360" w:right="0" w:firstLine="360"/>
        <w:jc w:val="both"/>
        <w:rPr>
          <w:rFonts w:ascii="Times New Roman;Times;serif" w:hAnsi="Times New Roman;Times;serif"/>
          <w:sz w:val="24"/>
        </w:rPr>
      </w:pPr>
      <w:r>
        <w:rPr>
          <w:rFonts w:ascii="Times New Roman;Times;serif" w:hAnsi="Times New Roman;Times;serif"/>
          <w:sz w:val="24"/>
        </w:rPr>
        <w:t>Except as described in this paragraph and the next paragraph, unless full cumulative dividends on the Series A Preferred Stock for all past dividend periods shall have been or contemporaneously are declared and paid in cash or declared and a sum sufficient for the payment thereof in cash is set apart for payment, we will not: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declare and pay or declare and set aside for payment of dividends, and we will not declare and make any distribution of cash or other property, directly or indirectly, on or with respect to any shares of our common stock or shares of any other class or series of our capital stock ranking, as to distributions, on parity with or junior to the Series A Preferred Stock, for any period; or</w:t>
            </w:r>
          </w:p>
        </w:tc>
      </w:tr>
    </w:tbl>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redeem, purchase or otherwise acquire for any consideration, or make any other distribution of cash or other property, directly or indirectly, on or with respect to, or pay or make available any monies for a sinking fund for the redemption of, any shares of our common stock or shares of any other class or series of our capital stock ranking, as to distributions and upon liquidation, on parity with or junior to the Series A Preferred Stock.</w:t>
            </w:r>
          </w:p>
        </w:tc>
      </w:tr>
    </w:tbl>
    <w:p>
      <w:pPr>
        <w:pStyle w:val="TextBody"/>
        <w:bidi w:val="0"/>
        <w:spacing w:before="0" w:after="240"/>
        <w:ind w:left="360" w:right="0" w:hanging="0"/>
        <w:jc w:val="both"/>
        <w:rPr>
          <w:rFonts w:ascii="Times New Roman;Times;serif" w:hAnsi="Times New Roman;Times;serif"/>
          <w:sz w:val="24"/>
        </w:rPr>
      </w:pPr>
      <w:r>
        <w:rPr>
          <w:rFonts w:ascii="Times New Roman;Times;serif" w:hAnsi="Times New Roman;Times;serif"/>
          <w:sz w:val="24"/>
        </w:rPr>
        <w:t>The foregoing sentence, however, will not prohibit: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dividends payable solely in shares of our common stock or shares of any other class or series of our capital stock ranking junior to the Series A Preferred Stock as to payment of distributions and the distribution of assets upon our liquidation, dissolution and winding up;</w:t>
            </w:r>
          </w:p>
        </w:tc>
      </w:tr>
    </w:tbl>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conversion into or in exchange for other shares of any class or series of capital stock ranking junior to the Series A Preferred Stock as to payment of distributions and the distribution of assets upon our liquidation, dissolution and winding up; and</w:t>
            </w:r>
          </w:p>
        </w:tc>
      </w:tr>
    </w:tbl>
    <w:p>
      <w:pPr>
        <w:pStyle w:val="TextBody"/>
        <w:bidi w:val="0"/>
        <w:spacing w:before="0" w:after="24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our redemption, purchase or other acquisition of shares of Series A Preferred Stock, preferred stock ranking on parity with the Series A Preferred Stock as to payment of distributions and upon liquidation, dissolution or winding up or capital stock or equity securities ranking junior to the Series A Preferred Stock pursuant to our charter to the extent necessary to preserve our status as a REIT as discussed under “Restrictions on Ownership and Transfer.”</w:t>
            </w:r>
          </w:p>
        </w:tc>
      </w:tr>
    </w:tbl>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When we do not pay dividends in full (or do not set apart a sum sufficient to pay them in full) on the Series A Preferred Stock and the shares of any other class or series of capital stock ranking, as to distributions, on parity with the Series A Preferred Stock, we will declare any dividends upon the Series A Preferred Stock and each such other class or series of capital stock ranking, as to distributions, on parity with the Series A Preferred Stock pro rata, so that the amount of dividends declared per share of Series A Preferred Stock and such other class or series of capital stock will in all cases bear to each other the same ratio that accrued dividends per share on the Series A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Preferred Stock and such other class or series of capital stock (which will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will be payable in respect of any dividend payment or payments on the Series A Preferred Stock which may be in arrears.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Holders of shares of Series A Preferred Stock are not entitled to any dividend, whether payable in cash, property or shares of capital stock, in excess of full cumulative dividends on the Series A Preferred Stock as described above. Any dividend payment made on the Series A Preferred Stock will first be credited against the earliest accrued but unpaid dividends due with respect to those shares which remain payable. Accrued but unpaid dividends on the Series A Preferred Stock will accumulate as of the dividend payment date on which they first become payable.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We do not intend to declare dividends on the Series A Preferred Stock, or pay or set apart for payment dividends on the Series A Preferred Stock, if the terms of any of our agreements, including any agreements relating to our indebtedness, prohibit such a declaration, payment or setting apart for payment or provide that such declaration, payment or setting apart for payment would constitute a breach of or default under such an agreement. Likewise, no dividends will be authorized by our board of directors and declared by us or paid or set apart for payment if such authorization, declaration or payment is restricted or prohibited by law. We are and may in the future become a party to agreements that restrict or prevent the payment of dividends on, or the purchase or redemption of, our capital stock. Under certain circumstances, these agreements could restrict or prevent the payment of dividends on or the purchase or redemption of Series A Preferred Stock. These restrictions may be indirect (for example, covenants requiring us to maintain specified levels of net worth or assets) or direct. We do not believe that these restrictions currently have any adverse impact on our ability to pay dividends to holders or make redemptions of the Series A Preferred Stock.</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Liquidation Preference</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Upon any voluntary or involuntary liquidation, dissolution or winding up of our affairs, before any distribution or payment shall be made to holders of shares of our common stock or any other class or series of our capital stock ranking, as to rights upon any voluntary or involuntary liquidation, dissolution or winding up of our affairs, junior to the Series A Preferred Stock, holders of shares of Series A Preferred Stock will be entitled to be paid out of our assets legally available for distribution to our stockholders, after payment of or provision for our debts and other liabilities and any class or series of our capital stock ranking, as to rights upon any voluntary or involuntary liquidation, dissolution or winding up of our affairs, senior to the Series A Preferred Stock, a liquidation preference of $25.00 per share of the Series A Preferred Stock, plus an amount equal to any accrued and unpaid dividends (whether or not authorized or declared) up to, but excluding, the date of payment. If, upon our voluntary or involuntary liquidation, dissolution or winding up, our available assets are insufficient to pay the full amount of the liquidating distributions on all outstanding shares of Series A Preferred Stock and the corresponding amounts payable on all shares of each other class or series of capital stock ranking, as to rights upon liquidation, dissolution or winding up, on parity with the Series A Preferred Stock in the distribution of assets, then holders of shares of Series A Preferred Stock and each such other class or series of capital stock ranking, as to rights upon any voluntary or involuntary liquidation, dissolution or winding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up, on parity with the Series A Preferred Stock will share ratably in any distribution of assets in proportion to the full liquidating distributions to which they would otherwise be respectively entitled.</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Holders of shares of Series A Preferred Stock will be entitled to written notice of any voluntary or involuntary liquidation, dissolution or winding up of our affairs stating the payment date or dates when, and the place or places where, the amounts distributable in such circumstances shall be payable not fewer than 30 days and not more than 60 days prior to the distribution payment date. After payment of the full amount of the liquidating distributions to which they are entitled, holders of shares of Series A Preferred Stock will have no right or claim to any of our remaining assets. Our consolidation or merger with or into any other corporation, trust or other entity, or the voluntary sale, lease, transfer or conveyance of all or substantially all of our property or business, will not be deemed to constitute a liquidation, dissolution or winding up of our affairs.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In determining whether a distribution (other than upon voluntary or involuntary liquidation), by dividend, redemption or other acquisition of shares of our capital stock or otherwise, is permitted under Maryland law, amounts that would be needed, if we were to be dissolved at the time of the distribution, to satisfy the preferential rights upon dissolution of holders of shares of Series A Preferred Stock will not be added to our total liabilities.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Optional Redemption</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Except with respect to the special optional redemption described below and in certain limited circumstances relating to our maintenance of our REIT status as described in “Restrictions on Ownership and Transfer,” we cannot redeem the Series A Preferred Stock prior to November 12, 2030. On and after November 12, 2030, we may, at our option, upon not fewer than 30 and not more than 60 days’ written notice, redeem the Series A Preferred Stock, in whole or in part, at any time or from time to time, for cash at a redemption price of $25.00 per share, plus any accrued and unpaid dividends (whether or not authorized or declared) up to, but excluding, the date fixed for redemption, without interest, to the extent we have funds legally available for that purpose.</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If fewer than all of the outstanding shares of the Series A Preferred Stock are to be redeemed (in the case of a redemption of the Series A Preferred Stock other than to preserve our status as a REIT), we will select the shares of Series A Preferred Stock to be redeemed pro rata (as nearly as may be practicable without creating fractional shares) or by lot as we determine. If such redemption is to be by lot and, as a result of such redemption, any holder of shares of the Series A Preferred Stock, other than a holder of Series A Preferred Stock that has received an exemption from the ownership limit, would have actual or constructive ownership of more than 9.8% (in value or in number of shares, whichever is more restrictive) of the outstanding shares of the Series A Preferred Stock, or more than 9.8% of the value of the aggregate outstanding shares of our capital stock because such holder’s shares of the Series A Preferred Stock were not redeemed, or were only redeemed in part, then, except as otherwise provided in the charter, we will redeem the requisite number of shares of Series A Preferred Stock of such holder such that no holder will own in excess of 9.8% (in value or in number of shares, whichever is more restrictive) of the outstanding shares of the Series A Preferred Stock or more than 9.8% of the value of the aggregate outstanding shares of our capital stock subsequent to such redemption. See “Restrictions on Ownership and Transfer.” In order for their shares of Series A Preferred Stock to be redeemed, holders must surrender their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shares at the place, or in accordance with the book-entry procedures, designated in the notice of redemption. Holders will then be entitled to the redemption price and any accrued and unpaid dividends payable upon redemption following surrender of the shares as detailed below. If a notice of redemption has been given (in the case of a redemption of the Series A Preferred Stock other than to preserve our status as a REIT), if the funds necessary for the redemption have been set aside by us in trust for the benefit of the holders of any shares of Series A Preferred Stock called for redemption and if irrevocable instructions have been given to pay the redemption price and any accrued and unpaid dividends, then from and after the redemption date, dividends will cease to accrue on such shares of Series A Preferred Stock and such shares of Series A Preferred Stock will no longer be deemed outstanding. At such time, all rights of the holders of such shares will terminate, except the right to receive the redemption price plus any accrued and unpaid dividends payable upon redemption, without interest. So long as no dividends payable on the Series A Preferred Stock and any class or series of parity preferred stock are in arrears for any past dividend periods that have ended and subject to the provisions of applicable law, we may from time to time repurchase all or any part of the Series A Preferred Stock, including the repurchase of shares of Series A Preferred Stock in open-market transactions and individual purchases at such prices as we negotiate, in each case as duly authorized by our board of directors. Regardless of whether dividends are paid in full on the Series A Preferred Stock or any class or series of parity preferred stock, we may purchase or acquire shares of Series A Preferred Stock pursuant to a purchase or exchange offer made on the same terms to holders of all outstanding shares of Series A Preferred Stock.</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Unless full cumulative dividends on all shares of Series A Preferred Stock have been or contemporaneously are authorized, declared and paid or declared and a sum sufficient for the payment thereof set apart for payment for all past dividend periods that have ended, no shares of Series A Preferred Stock will be redeemed unless all outstanding shares of Series A Preferred Stock are simultaneously redeemed and we will not purchase or otherwise acquire directly or indirectly any shares of Series A Preferred Stock or any class or series of our capital stock ranking, as to distributions or upon liquidation, dissolution or winding up, on parity with or junior to the Series A Preferred Stock (except by conversion into or exchange for our capital stock ranking junior to the Series A Preferred Stock as to distributions and upon liquidation); provided, however, that whether or not the requirements set forth above have been met, we may purchase shares of Series A Preferred Stock, preferred stock ranking on parity with the Series A Preferred Stock as to payment of distributions and upon liquidation, dissolution or winding up or capital stock or equity securities ranking junior to the Series A Preferred Stock pursuant to our charter to the extent necessary to ensure that we continue to meet the requirements for qualification as a REIT for U.S. federal income tax purposes, and may purchase or acquire shares of Series A Preferred Stock pursuant to a purchase or exchange offer made on the same terms to holders of all outstanding shares of Series A Preferred Stock. See “Restrictions on Ownership and Transfer” below.</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We will mail a notice of redemption, postage prepaid, not fewer than 30 nor more than 60 days prior to the redemption date, addressed to the respective holders of record of the Series A Preferred Stock to be redeemed at their respective addresses as they appear on our stock transfer records as maintained by the transfer agent named in “—Transfer Agent and Registrar.” No failure to give, nor defect in, such notice, nor in the mailing thereof, shall affect the validity of the proceedings for the redemption of any shares of Series A Preferred Stock except as to the holder to whom notice was defective or not given. In addition to any information required by law or by the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applicable rules of any exchange upon which the Series A Preferred Stock may be listed or admitted to trading, each notice will state:</w:t>
      </w:r>
    </w:p>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redemption date;</w:t>
            </w:r>
          </w:p>
        </w:tc>
      </w:tr>
    </w:tbl>
    <w:p>
      <w:pPr>
        <w:pStyle w:val="TextBody"/>
        <w:bidi w:val="0"/>
        <w:spacing w:before="0" w:after="240"/>
        <w:ind w:left="1080" w:right="0" w:hanging="0"/>
        <w:jc w:val="both"/>
        <w:rPr/>
      </w:pPr>
      <w:r>
        <w:rPr/>
        <w:t>​</w:t>
      </w:r>
    </w:p>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redemption price;</w:t>
            </w:r>
          </w:p>
        </w:tc>
      </w:tr>
    </w:tbl>
    <w:p>
      <w:pPr>
        <w:pStyle w:val="TextBody"/>
        <w:bidi w:val="0"/>
        <w:spacing w:before="0" w:after="240"/>
        <w:ind w:left="1080" w:right="0" w:hanging="0"/>
        <w:jc w:val="both"/>
        <w:rPr/>
      </w:pPr>
      <w:r>
        <w:rPr/>
        <w:t>​</w:t>
      </w:r>
    </w:p>
    <w:tbl>
      <w:tblPr>
        <w:tblW w:w="6393" w:type="dxa"/>
        <w:jc w:val="left"/>
        <w:tblInd w:w="0" w:type="dxa"/>
        <w:tblLayout w:type="fixed"/>
        <w:tblCellMar>
          <w:top w:w="0" w:type="dxa"/>
          <w:left w:w="0" w:type="dxa"/>
          <w:bottom w:w="0" w:type="dxa"/>
          <w:right w:w="0" w:type="dxa"/>
        </w:tblCellMar>
      </w:tblPr>
      <w:tblGrid>
        <w:gridCol w:w="23"/>
        <w:gridCol w:w="17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number of shares of Series A Preferred Stock to be redeemed;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place or places where the certificates, if any, representing shares of Series A Preferred Stock are to be surrendered for payment of the redemption price;</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procedures for surrendering noncertificated shares of Series A Preferred Stock for payment of the redemption price;</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dividends on the shares of Series A Preferred Stock to be redeemed will cease to accumulate on such redemption date; and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payment of the redemption price and any accumulated and unpaid dividends will be made upon presentation and surrender of such Series A Preferred Stock.</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fewer than all of the shares of Series A Preferred Stock held by any holder are to be redeemed, the notice mailed to such holder will also specify the number of shares of Series A Preferred Stock held by such holder to be redeemed.</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We are not required to provide such notice in the event we redeem Series A Preferred Stock in order to maintain our status as a REIT.</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a redemption date falls after a dividend record date and on or prior to the corresponding dividend payment date, each holder of shares of the Series A Preferred Stock at the close of business of such dividend record date will be entitled to the dividend payable on such shares on the corresponding dividend payment date notwithstanding the redemption of such shares on or prior to such dividend payment date. Except as described above, we will make no payment or allowance for unpaid dividends, whether or not in arrears, on Series A Preferred Stock for which a notice of redemption has been given.</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All shares of Series A Preferred Stock that we redeem or repurchase will be retired and restored to the status of authorized but unissued shares of preferred stock, without designation as to series or class.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Special Optional Redemption</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Upon the occurrence of a Change of Control (as defined below), we may, at our option, redeem the Series A Preferred Stock, in whole or in part within 120 days after the first date on which such Change of Control occurred, by paying $25.00 per share, plus any accrued and unpaid dividends up to, but excluding, the date of redemption. If, prior to the Change of Control Conversion Date, we have provided or provide notice of redemption with respect to the Series A Preferred Stock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(whether pursuant to our optional redemption right or our special optional redemption right), the holders of Series A Preferred Stock will not have the conversion right described below under “—Conversion Rights.”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We will mail to each record holder of the Series A Preferred Stock a notice of redemption no fewer than 30 days nor more than 60 days before the redemption date. We will send the notice to the address shown on our share transfer books. A failure to give notice of redemption or any defect in the notice or in its mailing will not affect the validity of the redemption of any Series A Preferred Stock except as to the holder to whom notice was defective. Each notice will state the following:</w:t>
      </w:r>
    </w:p>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redemption date;</w:t>
            </w:r>
          </w:p>
        </w:tc>
      </w:tr>
    </w:tbl>
    <w:p>
      <w:pPr>
        <w:pStyle w:val="TextBody"/>
        <w:bidi w:val="0"/>
        <w:spacing w:before="0" w:after="240"/>
        <w:ind w:left="1080" w:right="0" w:hanging="0"/>
        <w:jc w:val="both"/>
        <w:rPr/>
      </w:pPr>
      <w:r>
        <w:rPr/>
        <w:t>​</w:t>
      </w:r>
    </w:p>
    <w:tbl>
      <w:tblPr>
        <w:tblW w:w="2208" w:type="dxa"/>
        <w:jc w:val="left"/>
        <w:tblInd w:w="0" w:type="dxa"/>
        <w:tblLayout w:type="fixed"/>
        <w:tblCellMar>
          <w:top w:w="0" w:type="dxa"/>
          <w:left w:w="0" w:type="dxa"/>
          <w:bottom w:w="0" w:type="dxa"/>
          <w:right w:w="0" w:type="dxa"/>
        </w:tblCellMar>
      </w:tblPr>
      <w:tblGrid>
        <w:gridCol w:w="23"/>
        <w:gridCol w:w="170"/>
        <w:gridCol w:w="20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redemption price;</w:t>
            </w:r>
          </w:p>
        </w:tc>
      </w:tr>
    </w:tbl>
    <w:p>
      <w:pPr>
        <w:pStyle w:val="TextBody"/>
        <w:bidi w:val="0"/>
        <w:spacing w:before="0" w:after="240"/>
        <w:ind w:left="1080" w:right="0" w:hanging="0"/>
        <w:jc w:val="both"/>
        <w:rPr/>
      </w:pPr>
      <w:r>
        <w:rPr/>
        <w:t>​</w:t>
      </w:r>
    </w:p>
    <w:tbl>
      <w:tblPr>
        <w:tblW w:w="6393" w:type="dxa"/>
        <w:jc w:val="left"/>
        <w:tblInd w:w="0" w:type="dxa"/>
        <w:tblLayout w:type="fixed"/>
        <w:tblCellMar>
          <w:top w:w="0" w:type="dxa"/>
          <w:left w:w="0" w:type="dxa"/>
          <w:bottom w:w="0" w:type="dxa"/>
          <w:right w:w="0" w:type="dxa"/>
        </w:tblCellMar>
      </w:tblPr>
      <w:tblGrid>
        <w:gridCol w:w="23"/>
        <w:gridCol w:w="170"/>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number of shares of Series A Preferred Stock to be redeemed;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place or places where the certificates, if any, representing shares of Series A Preferred Stock are to be surrendered for payment of the redemption price;</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procedures for surrendering noncertificated shares of Series A Preferred Stock for payment of the redemption price;</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dividends on the shares of Series A Preferred Stock to be redeemed will cease to accumulate on such redemption date;</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payment of the redemption price and any accumulated and unpaid dividends will be made upon presentation and surrender of such Series A Preferred Stock;</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the Series A Preferred Stock is being redeemed pursuant to our special optional redemption right in connection with the occurrence of a Change of Control and a brief description of the transaction or transactions constituting such Change of Control; and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the holders of the Series A Preferred Stock to which the notice relates will not be able to tender such Series A Preferred Stock for conversion in connection with the Change of Control and each share of Series A Preferred Stock tendered for conversion that is selected, prior to the Change of Control Conversion Date, for redemption will be redeemed on the related date of redemption instead of converted on the Change of Control Conversion Date.</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we redeem fewer than all of the outstanding shares of Series A Preferred Stock, the notice of redemption mailed to each stockholder will also specify the number of shares of Series A Preferred Stock that we will redeem from each stockholder. In this case, we will determine the number of shares of Series A Preferred Stock to be redeemed as described above in “—Optional Redemption.”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we have given a notice of redemption and have set aside sufficient funds for the redemption in trust for the benefit of the holders of the Series A Preferred Stock called for redemption, then from and after the redemption date, those shares of Series A Preferred Stock will be treated as no longer being outstanding, no further dividends will accrue and all other rights of the holders of those shares of Series A Preferred Stock will terminate. The holders of those shares of Series A Preferred Stock will retain their right to receive the redemption price for their shares and any accrued and unpaid dividends up to, but excluding, the redemption date, without interest.</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holders of Series A Preferred Stock at the close of business on a dividend record date will be entitled to receive the dividend payable with respect to the Series A Preferred Stock on the corresponding payment date notwithstanding the redemption of the Series A Preferred Stock between such record date and the corresponding payment date or our default in the payment of the dividend due. Except as provided above, we will make no payment or allowance for unpaid dividends, whether or not in arrears, on Series A Preferred Stock to be redeemed.</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A “</w:t>
      </w:r>
      <w:r>
        <w:rPr>
          <w:rFonts w:ascii="Times New Roman;Times;serif" w:hAnsi="Times New Roman;Times;serif"/>
          <w:b/>
          <w:sz w:val="24"/>
        </w:rPr>
        <w:t>Change of Control</w:t>
      </w:r>
      <w:r>
        <w:rPr>
          <w:rFonts w:ascii="Times New Roman;Times;serif" w:hAnsi="Times New Roman;Times;serif"/>
          <w:sz w:val="24"/>
        </w:rPr>
        <w:t>” is when, after the original issuance of the Series A Preferred Stock, the following have occurred and are continuing: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our company entitling that person to exercise more than 50% of the total voting power of all stock of our company entitled to vote generally in the election of our directors (except that such person will be deemed to have beneficial ownership of all securities that such person has the right to acquire, whether such right is currently exercisable or is exercisable only upon the occurrence of a subsequent condition); and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following the closing of any transaction referred to in the bullet point above, neither we nor the acquiring or surviving entity has a class of common securities (or ADRs representing such securities) listed on the NYSE, the NYSE American or Nasdaq or listed or quoted on an exchange or quotation system that is a successor to the NYSE, the NYSE American or Nasdaq.</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Notwithstanding the foregoing, if the transaction or series of transactions described in the first bullet point above (the “</w:t>
      </w:r>
      <w:r>
        <w:rPr>
          <w:rFonts w:ascii="Times New Roman;Times;serif" w:hAnsi="Times New Roman;Times;serif"/>
          <w:b/>
          <w:sz w:val="24"/>
        </w:rPr>
        <w:t>Change of Control Transaction</w:t>
      </w:r>
      <w:r>
        <w:rPr>
          <w:rFonts w:ascii="Times New Roman;Times;serif" w:hAnsi="Times New Roman;Times;serif"/>
          <w:sz w:val="24"/>
        </w:rPr>
        <w:t>”) forms part of a series of related transactions that occur within twelve (12) months of the closing or consummation of the Change of Control Transaction (including, without limitation, any merger, consolidation, sale or transfer of assets, recapitalization, reorganization, or special or extraordinary distribution, in each case outside of the ordinary course of our business (the “</w:t>
      </w:r>
      <w:r>
        <w:rPr>
          <w:rFonts w:ascii="Times New Roman;Times;serif" w:hAnsi="Times New Roman;Times;serif"/>
          <w:b/>
          <w:sz w:val="24"/>
        </w:rPr>
        <w:t>Related Transactions</w:t>
      </w:r>
      <w:r>
        <w:rPr>
          <w:rFonts w:ascii="Times New Roman;Times;serif" w:hAnsi="Times New Roman;Times;serif"/>
          <w:sz w:val="24"/>
        </w:rPr>
        <w:t>”)), and if the aggregate consideration paid to us and/or holders of our common stock in connection with the Change of Control Transaction represents less than 50.0% of the aggregate consideration payable to us and/or our holders of common stock in connection with both the Change of Control Transaction and the Related Transaction on a combined basis, then the Change of Control Transaction shall be deemed to constitute a Change of Control, regardless of whether the second bullet point above is satisfied.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Conversion Rights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Upon the occurrence of a Change of Control, each holder of Series A Preferred Stock will have the right, unless, prior to the Change of Control Conversion Date, we have provided or provide notice of our election to redeem the Series A Preferred Stock as described under “—Optional Redemption” or “—Special Optional Redemption,” to convert some or all of the Series A Preferred Stock held by such holder (the “</w:t>
      </w:r>
      <w:r>
        <w:rPr>
          <w:rFonts w:ascii="Times New Roman;Times;serif" w:hAnsi="Times New Roman;Times;serif"/>
          <w:b/>
          <w:sz w:val="24"/>
        </w:rPr>
        <w:t>Change of Control Conversion Right</w:t>
      </w:r>
      <w:r>
        <w:rPr>
          <w:rFonts w:ascii="Times New Roman;Times;serif" w:hAnsi="Times New Roman;Times;serif"/>
          <w:sz w:val="24"/>
        </w:rPr>
        <w:t>”) on the Change of Control Conversion Date into a number of shares of our common stock per share of Series A Preferred Stock (the “</w:t>
      </w:r>
      <w:r>
        <w:rPr>
          <w:rFonts w:ascii="Times New Roman;Times;serif" w:hAnsi="Times New Roman;Times;serif"/>
          <w:b/>
          <w:sz w:val="24"/>
        </w:rPr>
        <w:t>Common Stock Conversion Consideration</w:t>
      </w:r>
      <w:r>
        <w:rPr>
          <w:rFonts w:ascii="Times New Roman;Times;serif" w:hAnsi="Times New Roman;Times;serif"/>
          <w:sz w:val="24"/>
        </w:rPr>
        <w:t>”), which is equal to the lesser of:</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quotient obtained by dividing (i) the sum of (x) the $25.00 liquidation preference plus (y) the amount of any accrued and unpaid dividends up to, but excluding, the Change of Control Conversion Date (unless the Change of Control Conversion Date is after a record date for a Series A Preferred Stock dividend payment and prior to the corresponding Series A Preferred Stock dividend payment date, in which case no additional amount for such accrued and unpaid dividend will be included in this sum) by (ii) the Common Stock Price (such quotient, the “</w:t>
            </w:r>
            <w:r>
              <w:rPr>
                <w:rFonts w:ascii="Times New Roman;Times;serif" w:hAnsi="Times New Roman;Times;serif"/>
                <w:b/>
                <w:i w:val="false"/>
                <w:caps w:val="false"/>
                <w:smallCaps w:val="false"/>
                <w:sz w:val="24"/>
              </w:rPr>
              <w:t>Conversion Rate</w:t>
            </w:r>
            <w:r>
              <w:rPr>
                <w:caps w:val="false"/>
                <w:smallCaps w:val="false"/>
              </w:rPr>
              <w:t>”</w:t>
            </w:r>
            <w:r>
              <w:rPr>
                <w:rFonts w:ascii="Times New Roman;Times;serif" w:hAnsi="Times New Roman;Times;serif"/>
                <w:b w:val="false"/>
                <w:i w:val="false"/>
                <w:caps w:val="false"/>
                <w:smallCaps w:val="false"/>
                <w:sz w:val="24"/>
              </w:rPr>
              <w:t>); and</w:t>
            </w:r>
          </w:p>
        </w:tc>
      </w:tr>
    </w:tbl>
    <w:p>
      <w:pPr>
        <w:pStyle w:val="TextBody"/>
        <w:bidi w:val="0"/>
        <w:spacing w:before="0" w:after="240"/>
        <w:ind w:left="1080" w:right="0" w:hanging="0"/>
        <w:jc w:val="both"/>
        <w:rPr/>
      </w:pPr>
      <w:r>
        <w:rPr/>
        <w:t>​</w:t>
      </w:r>
    </w:p>
    <w:tbl>
      <w:tblPr>
        <w:tblW w:w="2913" w:type="dxa"/>
        <w:jc w:val="left"/>
        <w:tblInd w:w="0" w:type="dxa"/>
        <w:tblLayout w:type="fixed"/>
        <w:tblCellMar>
          <w:top w:w="0" w:type="dxa"/>
          <w:left w:w="0" w:type="dxa"/>
          <w:bottom w:w="0" w:type="dxa"/>
          <w:right w:w="0" w:type="dxa"/>
        </w:tblCellMar>
      </w:tblPr>
      <w:tblGrid>
        <w:gridCol w:w="23"/>
        <w:gridCol w:w="170"/>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3.38066 (the “</w:t>
            </w:r>
            <w:r>
              <w:rPr>
                <w:rFonts w:ascii="Times New Roman;Times;serif" w:hAnsi="Times New Roman;Times;serif"/>
                <w:b/>
                <w:i w:val="false"/>
                <w:caps w:val="false"/>
                <w:smallCaps w:val="false"/>
                <w:sz w:val="24"/>
              </w:rPr>
              <w:t>Share Cap</w:t>
            </w:r>
            <w:r>
              <w:rPr>
                <w:caps w:val="false"/>
                <w:smallCaps w:val="false"/>
              </w:rPr>
              <w:t>”</w:t>
            </w:r>
            <w:r>
              <w:rPr>
                <w:rFonts w:ascii="Times New Roman;Times;serif" w:hAnsi="Times New Roman;Times;serif"/>
                <w:b w:val="false"/>
                <w:i w:val="false"/>
                <w:caps w:val="false"/>
                <w:smallCaps w:val="false"/>
                <w:sz w:val="24"/>
              </w:rPr>
              <w:t>).</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Share Cap is subject to pro rata adjustments for any share splits (including those effected pursuant to a distribution of our common stock), subdivisions or combinations (in each case, a “</w:t>
      </w:r>
      <w:r>
        <w:rPr>
          <w:rFonts w:ascii="Times New Roman;Times;serif" w:hAnsi="Times New Roman;Times;serif"/>
          <w:b/>
          <w:sz w:val="24"/>
        </w:rPr>
        <w:t>Share Split</w:t>
      </w:r>
      <w:r>
        <w:rPr>
          <w:rFonts w:ascii="Times New Roman;Times;serif" w:hAnsi="Times New Roman;Times;serif"/>
          <w:sz w:val="24"/>
        </w:rPr>
        <w:t>”) with respect to our common stock as follows: the adjusted Share Cap as the result of a Share Split will be the number of shares of our common stock that is equivalent to the product obtained by multiplying (i) the Share Cap in effect immediately prior to such Share Split by (ii) a fraction, the numerator of which is the number of shares of our common stock outstanding after giving effect to such Share Split and the denominator of which is the number of shares of our common stock outstanding immediately prior to such Share Split.</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For the avoidance of doubt, subject to the immediately succeeding sentence, the aggregate number of shares of our common stock (or equivalent Alternative Conversion Consideration (as defined below), as applicable) issuable in connection with the exercise of the Change of Control Conversion Right will not exceed the product of the Share Cap times the aggregate number of shares of the Series A Preferred Stock issued and outstanding at the Change of Control Conversion Date (or equivalent Alternative Conversion Consideration, as applicable) (the “</w:t>
      </w:r>
      <w:r>
        <w:rPr>
          <w:rFonts w:ascii="Times New Roman;Times;serif" w:hAnsi="Times New Roman;Times;serif"/>
          <w:b/>
          <w:sz w:val="24"/>
        </w:rPr>
        <w:t>Exchange Cap</w:t>
      </w:r>
      <w:r>
        <w:rPr>
          <w:rFonts w:ascii="Times New Roman;Times;serif" w:hAnsi="Times New Roman;Times;serif"/>
          <w:sz w:val="24"/>
        </w:rPr>
        <w:t>”). The Exchange Cap is subject to pro rata adjustments for any Share Splits on the same basis as the corresponding adjustments to the Share Cap and is subject to increase in the event that additional shares of Series A Preferred Stock are issued in the future.</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In the case of a Change of Control pursuant to which shares of our common stock will be converted into cash, securities or other property or assets (including any combination thereof) (the “</w:t>
      </w:r>
      <w:r>
        <w:rPr>
          <w:rFonts w:ascii="Times New Roman;Times;serif" w:hAnsi="Times New Roman;Times;serif"/>
          <w:b/>
          <w:sz w:val="24"/>
        </w:rPr>
        <w:t>Alternative Form Consideration</w:t>
      </w:r>
      <w:r>
        <w:rPr>
          <w:rFonts w:ascii="Times New Roman;Times;serif" w:hAnsi="Times New Roman;Times;serif"/>
          <w:sz w:val="24"/>
        </w:rPr>
        <w:t>”), a holder of Series A Preferred Stock will receive upon conversion of such Series A Preferred Stock the kind and amount of Alternative Form Consideration which such holder would have owned or been entitled to receive upon the Change of Control had such holder held a number of shares of our common stock equal to the Common Stock Conversion Consideration immediately prior to the effective time of the Change of Control (the “</w:t>
      </w:r>
      <w:r>
        <w:rPr>
          <w:rFonts w:ascii="Times New Roman;Times;serif" w:hAnsi="Times New Roman;Times;serif"/>
          <w:b/>
          <w:sz w:val="24"/>
        </w:rPr>
        <w:t>Alternative Conversion Consideration</w:t>
      </w:r>
      <w:r>
        <w:rPr>
          <w:rFonts w:ascii="Times New Roman;Times;serif" w:hAnsi="Times New Roman;Times;serif"/>
          <w:sz w:val="24"/>
        </w:rPr>
        <w:t xml:space="preserve">,” and the Common Stock Conversion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Consideration or the Alternative Conversion Consideration, as may be applicable to a Change of Control, is referred to as the “</w:t>
      </w:r>
      <w:r>
        <w:rPr>
          <w:rFonts w:ascii="Times New Roman;Times;serif" w:hAnsi="Times New Roman;Times;serif"/>
          <w:b/>
          <w:sz w:val="24"/>
        </w:rPr>
        <w:t>Conversion Consideration</w:t>
      </w:r>
      <w:r>
        <w:rPr>
          <w:rFonts w:ascii="Times New Roman;Times;serif" w:hAnsi="Times New Roman;Times;serif"/>
          <w:sz w:val="24"/>
        </w:rPr>
        <w:t>”).</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the holders of our common stock have the opportunity to elect the form of consideration to be received in the Change of Control, the Conversion Consideration will be deemed to be the kind and amount of consideration actually received by holders of a majority of the shares of our common stock that voted for such an election (if electing between two types of consideration) or holders of a plurality of the shares of our common stock that voted for such an election (if electing between more than two types of consideration), as the case may be, and will be subject to any limitations to which all holders of our common stock are subject, including, without limitation, pro rata reductions applicable to any portion of the consideration payable in the Change of Control.</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We will not issue fractional shares of common stock upon the conversion of the Series A Preferred Stock. Instead, we will pay the cash value of such fractional shares. If more than one share of Series A Preferred Stock is surrendered for conversion at one time by or for the same holder, the number of full shares of the common stock issuable upon conversion thereof shall be computed on the basis of the aggregate number of shares of Series A Preferred Stock so surrendered.</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Within 15 days following the occurrence of a Change of Control, we will provide to holders of Series A Preferred Stock a notice of occurrence of the Change of Control that describes the resulting Change of Control Conversion Right. This notice will state the following:</w:t>
      </w:r>
    </w:p>
    <w:tbl>
      <w:tblPr>
        <w:tblW w:w="4548" w:type="dxa"/>
        <w:jc w:val="left"/>
        <w:tblInd w:w="0" w:type="dxa"/>
        <w:tblLayout w:type="fixed"/>
        <w:tblCellMar>
          <w:top w:w="0" w:type="dxa"/>
          <w:left w:w="0" w:type="dxa"/>
          <w:bottom w:w="0" w:type="dxa"/>
          <w:right w:w="0" w:type="dxa"/>
        </w:tblCellMar>
      </w:tblPr>
      <w:tblGrid>
        <w:gridCol w:w="23"/>
        <w:gridCol w:w="170"/>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events constituting the Change of Control;</w:t>
            </w:r>
          </w:p>
        </w:tc>
      </w:tr>
    </w:tbl>
    <w:p>
      <w:pPr>
        <w:pStyle w:val="TextBody"/>
        <w:bidi w:val="0"/>
        <w:spacing w:before="0" w:after="240"/>
        <w:ind w:left="1080" w:right="0" w:hanging="0"/>
        <w:jc w:val="both"/>
        <w:rPr/>
      </w:pPr>
      <w:r>
        <w:rPr/>
        <w:t>​</w:t>
      </w:r>
    </w:p>
    <w:tbl>
      <w:tblPr>
        <w:tblW w:w="3438" w:type="dxa"/>
        <w:jc w:val="left"/>
        <w:tblInd w:w="0" w:type="dxa"/>
        <w:tblLayout w:type="fixed"/>
        <w:tblCellMar>
          <w:top w:w="0" w:type="dxa"/>
          <w:left w:w="0" w:type="dxa"/>
          <w:bottom w:w="0" w:type="dxa"/>
          <w:right w:w="0" w:type="dxa"/>
        </w:tblCellMar>
      </w:tblPr>
      <w:tblGrid>
        <w:gridCol w:w="23"/>
        <w:gridCol w:w="170"/>
        <w:gridCol w:w="32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date of the Change of Control;</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last date on which the holders of Series A Preferred Stock may exercise their Change of Control Conversion Right;</w:t>
            </w:r>
          </w:p>
        </w:tc>
      </w:tr>
    </w:tbl>
    <w:p>
      <w:pPr>
        <w:pStyle w:val="TextBody"/>
        <w:bidi w:val="0"/>
        <w:spacing w:before="0" w:after="240"/>
        <w:ind w:left="1080" w:right="0" w:hanging="0"/>
        <w:jc w:val="both"/>
        <w:rPr/>
      </w:pPr>
      <w:r>
        <w:rPr/>
        <w:t>​</w:t>
      </w:r>
    </w:p>
    <w:tbl>
      <w:tblPr>
        <w:tblW w:w="6228" w:type="dxa"/>
        <w:jc w:val="left"/>
        <w:tblInd w:w="0" w:type="dxa"/>
        <w:tblLayout w:type="fixed"/>
        <w:tblCellMar>
          <w:top w:w="0" w:type="dxa"/>
          <w:left w:w="0" w:type="dxa"/>
          <w:bottom w:w="0" w:type="dxa"/>
          <w:right w:w="0" w:type="dxa"/>
        </w:tblCellMar>
      </w:tblPr>
      <w:tblGrid>
        <w:gridCol w:w="23"/>
        <w:gridCol w:w="170"/>
        <w:gridCol w:w="60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method and period for calculating the Common Stock Price;</w:t>
            </w:r>
          </w:p>
        </w:tc>
      </w:tr>
    </w:tbl>
    <w:p>
      <w:pPr>
        <w:pStyle w:val="TextBody"/>
        <w:bidi w:val="0"/>
        <w:spacing w:before="0" w:after="240"/>
        <w:ind w:left="1080" w:right="0" w:hanging="0"/>
        <w:jc w:val="both"/>
        <w:rPr/>
      </w:pPr>
      <w:r>
        <w:rPr/>
        <w:t>​</w:t>
      </w:r>
    </w:p>
    <w:tbl>
      <w:tblPr>
        <w:tblW w:w="4053" w:type="dxa"/>
        <w:jc w:val="left"/>
        <w:tblInd w:w="0" w:type="dxa"/>
        <w:tblLayout w:type="fixed"/>
        <w:tblCellMar>
          <w:top w:w="0" w:type="dxa"/>
          <w:left w:w="0" w:type="dxa"/>
          <w:bottom w:w="0" w:type="dxa"/>
          <w:right w:w="0" w:type="dxa"/>
        </w:tblCellMar>
      </w:tblPr>
      <w:tblGrid>
        <w:gridCol w:w="23"/>
        <w:gridCol w:w="170"/>
        <w:gridCol w:w="3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Change of Control Conversion Date;</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if, prior to the Change of Control Conversion Date, we have provided or provide notice of our election to redeem all or any portion of the Series A Preferred Stock, holders will not be able to convert shares of Series A Preferred Stock designated for redemption and such shares will be redeemed on the related redemption date, even if such shares have already been tendered for conversion pursuant to the Change of Control Conversion Right;</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applicable, the type and amount of Alternative Conversion Consideration entitled to be received per share of Series A Preferred Stock;</w:t>
            </w:r>
          </w:p>
        </w:tc>
      </w:tr>
    </w:tbl>
    <w:p>
      <w:pPr>
        <w:pStyle w:val="TextBody"/>
        <w:bidi w:val="0"/>
        <w:spacing w:before="0" w:after="240"/>
        <w:ind w:left="1080" w:right="0" w:hanging="0"/>
        <w:jc w:val="both"/>
        <w:rPr/>
      </w:pPr>
      <w:r>
        <w:rPr/>
        <w:t>​</w:t>
      </w:r>
    </w:p>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name and address of the paying agent and the conversion agent; and</w:t>
            </w:r>
          </w:p>
        </w:tc>
      </w:tr>
    </w:tbl>
    <w:p>
      <w:pPr>
        <w:pStyle w:val="TextBody"/>
        <w:bidi w:val="0"/>
        <w:spacing w:before="0" w:after="240"/>
        <w:ind w:left="108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procedures that the holders of shares of Series A Preferred Stock must follow to exercise the Change of Control Conversion Right.</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We will issue a press release for publication on the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or post a notice on our website, in any event prior to the opening of business on the first business day following any date on which we provide the notice described above to the holders of shares of Series A Preferred Stock.</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To exercise the Change of Control Conversion Right, the holders of Series A Preferred Stock will be required to deliver, on or before the close of business on the Change of Control Conversion Date, the certificates (if any) representing Series A Preferred Stock to be converted, duly endorsed for transfer, together with a written conversion notice completed, to our transfer agent. The conversion notice must state:</w:t>
      </w:r>
    </w:p>
    <w:tbl>
      <w:tblPr>
        <w:tblW w:w="4863" w:type="dxa"/>
        <w:jc w:val="left"/>
        <w:tblInd w:w="0" w:type="dxa"/>
        <w:tblLayout w:type="fixed"/>
        <w:tblCellMar>
          <w:top w:w="0" w:type="dxa"/>
          <w:left w:w="0" w:type="dxa"/>
          <w:bottom w:w="0" w:type="dxa"/>
          <w:right w:w="0" w:type="dxa"/>
        </w:tblCellMar>
      </w:tblPr>
      <w:tblGrid>
        <w:gridCol w:w="23"/>
        <w:gridCol w:w="170"/>
        <w:gridCol w:w="46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relevant Change of Control Conversion Date;</w:t>
            </w:r>
          </w:p>
        </w:tc>
      </w:tr>
    </w:tbl>
    <w:p>
      <w:pPr>
        <w:pStyle w:val="TextBody"/>
        <w:bidi w:val="0"/>
        <w:spacing w:before="0" w:after="240"/>
        <w:ind w:left="1080" w:right="0" w:hanging="0"/>
        <w:jc w:val="both"/>
        <w:rPr/>
      </w:pPr>
      <w:r>
        <w:rPr/>
        <w:t>​</w:t>
      </w:r>
    </w:p>
    <w:tbl>
      <w:tblPr>
        <w:tblW w:w="6813" w:type="dxa"/>
        <w:jc w:val="left"/>
        <w:tblInd w:w="0" w:type="dxa"/>
        <w:tblLayout w:type="fixed"/>
        <w:tblCellMar>
          <w:top w:w="0" w:type="dxa"/>
          <w:left w:w="0" w:type="dxa"/>
          <w:bottom w:w="0" w:type="dxa"/>
          <w:right w:w="0" w:type="dxa"/>
        </w:tblCellMar>
      </w:tblPr>
      <w:tblGrid>
        <w:gridCol w:w="23"/>
        <w:gridCol w:w="170"/>
        <w:gridCol w:w="6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number of shares of Series A Preferred Stock to be converted; and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that the Series A Preferred Stock is to be converted pursuant to the applicable provisions of the Series A Preferred Stock.</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w:t>
      </w:r>
      <w:r>
        <w:rPr>
          <w:rFonts w:ascii="Times New Roman;Times;serif" w:hAnsi="Times New Roman;Times;serif"/>
          <w:b/>
          <w:sz w:val="24"/>
        </w:rPr>
        <w:t>Change of Control Conversion Date</w:t>
      </w:r>
      <w:r>
        <w:rPr>
          <w:rFonts w:ascii="Times New Roman;Times;serif" w:hAnsi="Times New Roman;Times;serif"/>
          <w:sz w:val="24"/>
        </w:rPr>
        <w:t>” is the date the Series A Preferred Stock is to be converted, which will be a business day that is no fewer than 20 days nor more than 35 days after the date on which we provide the notice described above to the holders of shares of Series A Preferred Stock.</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w:t>
      </w:r>
      <w:r>
        <w:rPr>
          <w:rFonts w:ascii="Times New Roman;Times;serif" w:hAnsi="Times New Roman;Times;serif"/>
          <w:b/>
          <w:sz w:val="24"/>
        </w:rPr>
        <w:t>Common Stock Price</w:t>
      </w:r>
      <w:r>
        <w:rPr>
          <w:rFonts w:ascii="Times New Roman;Times;serif" w:hAnsi="Times New Roman;Times;serif"/>
          <w:sz w:val="24"/>
        </w:rPr>
        <w:t>” will be (i) if the consideration to be received in the Change of Control by the holders of our common stock is solely cash, the amount of cash consideration per share of our common stock or (ii) if the consideration to be received in the Change of Control by holders of our common stock is other than solely cash (x) the average of the closing sale prices per share of our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our common stock is then traded, or (y) the average of the last quoted bid prices for our common stock in the over-the-counter market as reported by OTC Markets Group Inc. or similar organization for the ten consecutive trading days immediately preceding, but not including, the effective date of the Change of Control, if our common stock is not then listed for trading on a U.S. securities exchange.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Holders of shares of Series A Preferred Stock may withdraw any notice of exercise of a Change of Control Conversion Right (in whole or in part) by a written notice of withdrawal delivered to our transfer agent prior to the close of business on the business day prior to the Change of Control Conversion Date. The notice of withdrawal must state: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number of withdrawn shares of Series A Preferred Stock;</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certificated Series A Preferred Stock has been issued, the certificate numbers of the withdrawn shares of Series A Preferred Stock; and</w:t>
            </w:r>
          </w:p>
        </w:tc>
      </w:tr>
    </w:tbl>
    <w:p>
      <w:pPr>
        <w:pStyle w:val="TextBody"/>
        <w:bidi w:val="0"/>
        <w:spacing w:before="0" w:after="240"/>
        <w:ind w:left="1080" w:right="0" w:hanging="0"/>
        <w:jc w:val="both"/>
        <w:rPr/>
      </w:pPr>
      <w:r>
        <w:rPr/>
        <w:t>​</w:t>
      </w:r>
    </w:p>
    <w:tbl>
      <w:tblPr>
        <w:tblW w:w="9993" w:type="dxa"/>
        <w:jc w:val="left"/>
        <w:tblInd w:w="0" w:type="dxa"/>
        <w:tblLayout w:type="fixed"/>
        <w:tblCellMar>
          <w:top w:w="0" w:type="dxa"/>
          <w:left w:w="0" w:type="dxa"/>
          <w:bottom w:w="0" w:type="dxa"/>
          <w:right w:w="0" w:type="dxa"/>
        </w:tblCellMar>
      </w:tblPr>
      <w:tblGrid>
        <w:gridCol w:w="23"/>
        <w:gridCol w:w="170"/>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number of shares of Series A Preferred Stock, if any, which remain subject to the conversion notice.</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Notwithstanding the foregoing, if the Series A Preferred Stock is held in global form, the conversion notice and/or the notice of withdrawal, as applicable, must comply with applicable procedures of DTC.</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shares of Series A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we have provided or provide notice of our election to redeem such shares of Series A Preferred Stock, whether pursuant to our optional redemption right or our special optional redemption right. If we elect to redeem Series A Preferred Stock that would otherwise be converted into the applicable Conversion Consideration on a Change of Control Conversion Date, such Series A Preferred Stock will not be so converted and the holders of such shares will be entitled to receive on the applicable redemption date $25.00 per share, plus any accrued and unpaid dividends thereon up to, but excluding, the redemption date, in accordance with our optional redemption right or special optional redemption right. See “—Optional Redemption” and “—Special Optional Redemption” above.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We will deliver the applicable Conversion Consideration no later than the third business day following the Change of Control Conversion Date.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In connection with the exercise of any Change of Control Conversion Right, we will comply with all federal and state securities laws and stock exchange rules in connection with any conversion of Series A Preferred Stock into shares of our common stock. Notwithstanding any other provision of the Series A Preferred Stock, no holder of Series A Preferred Stock will be entitled to convert such Series A Preferred Stock into shares of our common stock to the extent that receipt of such common stock would cause such holder (or any other person) to exceed the share ownership limits contained in our charter, including the Articles Supplementary setting forth the terms of the Series A Preferred Stock, unless we provide an exemption from this limitation for such holder. See “Restrictions on Ownership and Transfer” below.</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Change of Control conversion feature may make it more difficult for a party to take over our company or discourage a party from taking over our company.</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Except as provided above in connection with a Change of Control, the Series A Preferred Stock is not convertible into or exchangeable for any other securities or property.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No Maturity, Sinking Fund or Mandatory Redemption</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Series A Preferred Stock has no stated maturity date and we are not required to redeem the Series A Preferred Stock at any time. We are not required to set aside funds to redeem the Series A Preferred Stock. Accordingly, the Series A Preferred Stock will remain outstanding indefinitely, unless we decide, at our option, to exercise our redemption right or, under circumstances where the holders of the Series A Preferred Stock have a conversion right, such holders convert the Series A Preferred Stock into our common stock. The Series A Preferred Stock is not subject to any sinking fund.</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Limited Voting Rights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Holders of shares of the Series A Preferred Stock generally do not have any voting rights, except as set forth below.</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dividends on the Series A Preferred Stock are in arrears for six or more quarterly periods, whether or not consecutive (which we refer to as a preferred dividend default), holders of shares of the Series A Preferred Stock (voting separately as a class together with the holders of all other classes or series of preferred stock upon which like voting rights have been conferred and are exercisable) will be entitled to vote for the election of a total of two additional directors to serve on our board of directors (which we refer to as preferred stock directors), until all unpaid dividends for past dividend periods with respect to the Series A Preferred Stock and any other class or series of preferred stock upon which like voting rights have been conferred and are exercisable have been paid. In such a case, the number of directors serving on our board of directors will be increased by two. The preferred stock directors will be elected by a plurality of the votes cast in the election for a one-year term and each preferred stock director will serve until his successor is duly elected and qualifies or until the director’s right to hold the office terminates, whichever occurs earlier. The election will take place at: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either a special meeting called upon the written request of holders of at least 33% of the outstanding shares of Series A Preferred Stock together with any other class or series of preferred stock upon which like voting rights have been conferred and are exercisable, if this request is received more than 90 days before the date fixed for our next annual or special meeting of stockholders or, if we receive the request for a special meeting within 90 days before the date fixed for our next annual or special meeting of stockholders, at our annual or special meeting of stockholders; and</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subsequent annual meeting (or special meeting held in its place) until all dividends accumulated on the Series A Preferred Stock and on any other class or series of preferred stock upon which like voting rights have been conferred and are exercisable have been paid in full or declared and a sum sufficient for the payment thereof set aside for payment for all past dividend periods.</w:t>
            </w:r>
          </w:p>
        </w:tc>
      </w:tr>
    </w:tbl>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If and when all accumulated dividends on the Series A Preferred Stock and all other classes or series of preferred stock upon which like voting rights have been conferred and are exercisable shall have been paid in full, holders of shares of Series A Preferred Stock shall be divested of the voting rights set forth above (subject to re-vesting in the event of each and every preferred dividend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default) and the term and office of such preferred stock directors so elected will terminate and the number of directors will be reduced accordingly.</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Any preferred stock director elected by holders of shares of Series A Preferred Stock and other holders of preferred stock upon which like voting rights have been conferred and are exercisable may be removed at any time with or without cause by the vote of, and may not be removed otherwise than by the vote of, the holders of record of a majority of the outstanding shares of Series A Preferred Stock and other parity preferred stock entitled to vote thereon when they have the voting rights described above (voting together as a single class). So long as a preferred dividend default continues, any vacancy in the office of a preferred stock director may be filled by written consent of the preferred stock director remaining in office, or if none remains in office, by a vote of the holders of record of a majority of the outstanding shares of Series A Preferred Stock when they have the voting rights described above (voting together as a single class with all other classes or series of preferred stock upon which like voting rights have been conferred and are exercisable). The preferred stock directors shall each be entitled to one vote on any matter before our board of directors.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In addition, so long as any shares of Series A Preferred Stock remain outstanding, we will not, without the consent or the affirmative vote of the holders of at least two-thirds of the outstanding shares of Series A Preferred Stock together with each other class or series of preferred stock ranking on parity with Series A Preferred Stock with respect to distribution rights and rights upon our liquidation, dissolution or winding up and upon which like voting rights have been conferred and are exercisable (voting together as a single class):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authorize, create or issue, or increase the number of authorized or issued shares of, any class or series of stock ranking senior to such Series A Preferred Stock with respect to distribution rights and rights upon our liquidation, dissolution or winding up, or reclassify any of our authorized capital stock into any such shares, or create, authorize or issue any obligation or security convertible into or evidencing the right to purchase any such shares; or</w:t>
            </w:r>
          </w:p>
        </w:tc>
      </w:tr>
    </w:tbl>
    <w:p>
      <w:pPr>
        <w:pStyle w:val="TextBody"/>
        <w:bidi w:val="0"/>
        <w:spacing w:before="0" w:after="24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amend, alter or repeal the provisions of our charter, including the terms of the Series A Preferred Stock, whether by merger, consolidation, transfer or conveyance of all or substantially all of our assets or otherwise, so as to materially and adversely affect the rights, preferences, privileges or voting powers of the Series A Preferred Stock, except that with respect to the occurrence of any of the events described in the second bullet point immediately above, so long as the Series A Preferred Stock remains outstanding with the terms of the Series A Preferred Stock materially unchanged or the holders of shares of Series A Preferred Stock receive stock of the successor with substantially similar rights, taking into account that, upon the occurrence of an event described in the second bullet point above, we may not be the surviving entity, the occurrence of such event will not be deemed to materially and adversely affect the rights, preferences, privileges or voting powers of the Series A Preferred Stock, and in such case such holders shall not have any voting rights with respect to the events described in the second bullet point immediately above. Furthermore, if holders of shares of the Series A Preferred Stock receive the greater of the full trading price of the Series A Preferred Stock on the date of an event described in the second bullet point immediately above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 the $25.00 per share liquidation preference plus any accrued and unpaid dividends thereon pursuant to the occurrence of any of the events described in the second bullet point immediately above, then such holders shall not have any voting rights with respect to the events described in the second bullet point immediately above. If any event described in the second bullet point above would materially and adversely affect the rights, preferences, privileges or voting powers of the Series A Preferred Stock disproportionately relative to other classes or series of preferred stock ranking on parity with the Series A Preferred Stock with respect to distribution rights and rights upon our liquidation, dissolution or winding up, the affirmative vote of the holders of at least two-thirds of the outstanding shares of the Series A Preferred Stock, voting separately as a class, will also be required.</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Holders of shares of Series A Preferred Stock will not be entitled to vote with respect to any increase in the total number of authorized shares of our common stock or preferred stock, any increase in the number of authorized shares of Series A Preferred Stock or the creation or issuance of any other class or series of capital stock, or any increase in the number of authorized shares of any other class or series of capital stock, in each case ranking on parity with or junior to the Series A Preferred Stock with respect to the payment of distributions and the distribution of assets upon liquidation, dissolution or winding up.</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Holders of shares of Series A Preferred Stock will not have any voting rights with respect to, and the consent of the holders of shares of Series A Preferred Stock is not required for, the taking of any corporate action, including any merger or consolidation involving us or a sale of all or substantially all of our assets, regardless of the effect that such merger, consolidation or sale may have upon the powers, preferences, voting powers or other rights or privileges of the Series A Preferred Stock, except as set forth above.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In addition, the voting provisions above will not apply if, at or prior to the time when the act with respect to which the vote would otherwise be required would occur, we have redeemed or called for redemption upon proper procedures all outstanding shares of Series A Preferred Stock.</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In any matter in which Series A Preferred Stock may vote (as expressly provided in the Articles Supplementary setting forth the terms of the Series A Preferred Stock), each share of Series A Preferred Stock shall be entitled to one vote per $25.00 of liquidation preference. As a result, each share of Series A Preferred Stock will be entitled to one vote.</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Listing</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Series A Preferred Stock is listed on the New York Stock Exchange under the trading symbol “PINE-PA.”</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Transfer Agent and Registrar</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transfer agent and registrar for our Series A Preferred Stock is Computershare Trust Company, N.A.</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Certain Provisions of Maryland Law and of Our Charter and Bylaws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Our Board of Directors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Under our charter and bylaws, the number of directors of our company may be established, increased or decreased only by a majority of our entire board of directors but may not be fewer than the minimum number required under the MGCL (which is one) nor, unless our bylaws are amended, more than 15.</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Removal of Directors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provides that, subject to the rights of holders of one or more classes or series of preferred stock, including the Series A Preferred Stock, to elect or remove one or more directors, a director may be removed only for cause (as defined in our charter) and only by the affirmative vote of at least two-thirds of the votes entitled to be cast generally in the election of directors.</w:t>
      </w:r>
    </w:p>
    <w:p>
      <w:pPr>
        <w:pStyle w:val="TextBody"/>
        <w:bidi w:val="0"/>
        <w:spacing w:before="0" w:after="240"/>
        <w:ind w:left="0" w:right="0" w:hanging="0"/>
        <w:jc w:val="both"/>
        <w:rPr>
          <w:rFonts w:ascii="Times New Roman;Times;serif" w:hAnsi="Times New Roman;Times;serif"/>
          <w:b/>
          <w:i/>
          <w:sz w:val="24"/>
        </w:rPr>
      </w:pPr>
      <w:bookmarkStart w:id="1647" w:name="_Hlk220580256"/>
      <w:bookmarkEnd w:id="1647"/>
      <w:r>
        <w:rPr>
          <w:rFonts w:ascii="Times New Roman;Times;serif" w:hAnsi="Times New Roman;Times;serif"/>
          <w:b/>
          <w:i/>
          <w:sz w:val="24"/>
        </w:rPr>
        <w:t>Business Combinations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Under the MGCL, certain “business combinations” (including a merger, consolidation, statutory share exchange or, in certain circumstances specified under the statute,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person who beneficially owns, directly or indirectly, 10% or more of the voting power of the corporation’s outstanding voting stock;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 affiliate or associate of the corporation who, at any time within the two-year period prior to the date in question, was the beneficial owner of 10% or more of the voting power of the then-outstanding voting stock of the corporation.</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A person is not an interested stockholder under the MGCL if the board of directors approved in advance the transaction by which the person otherwise would have become an interested stockholder. In approving a transaction, the board of directors may provide that its approval is subject to compliance, at or after the time of the approval, with any terms and conditions determined by it.</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After such five-year period, any such business combination must be recommended by the board of directors of the corporation and approved by the affirmative vote of at least: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80% of the votes entitled to be cast by holders of outstanding shares of voting stock of the corporation;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These supermajority approval requirements do not apply if, among other conditions, the corporation’s common stockholders receive a minimum price (as defined in the MGCL) for their shares and the consideration is received in cash or in the same form as previously paid by the interested stockholder for its shares.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These provisions of the MGCL do not apply, however, to business combinations that are approved or exempted by a corporation’s board of directors prior to the time that the interested stockholder becomes an interested stockholder. As permitted by the MGCL, our board of directors has adopted a resolution exempting any business combination between us and any other person from the provisions of this statute. Consequently, the five-year prohibition and the supermajority vote requirements will not apply to business combinations involving us. As a result, any person will be able to enter into business combinations with us that may not be in the best interests of our stockholders, without compliance with the supermajority vote requirements and other provisions of the statute. However, our board of directors may repeal or modify this resolution at any time in the future, in which case the applicable provisions of the MGCL will become applicable to business combinations between us and interested stockholders.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Control Share Acquisitions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MGCL provides that a holder of “control shares” of a Maryland corporation acquired in a “control share acquisition” has no voting rights with respect to those shares except to the extent approved by the affirmative vote of at least two-thirds of the votes entitled to be cast by stockholders entitled to exercise or direct the exercise of the voting power in the election of directors generally but excluding: (1) the person who has made or proposes to make the control share acquisition; (2) any officer of the corporation; or (3) any employee of the corporation who is also a director of the corporation. “Control shares” are voting shares of stock that,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w:t>
      </w:r>
    </w:p>
    <w:tbl>
      <w:tblPr>
        <w:tblW w:w="4098" w:type="dxa"/>
        <w:jc w:val="left"/>
        <w:tblInd w:w="0" w:type="dxa"/>
        <w:tblLayout w:type="fixed"/>
        <w:tblCellMar>
          <w:top w:w="0" w:type="dxa"/>
          <w:left w:w="0" w:type="dxa"/>
          <w:bottom w:w="0" w:type="dxa"/>
          <w:right w:w="0" w:type="dxa"/>
        </w:tblCellMar>
      </w:tblPr>
      <w:tblGrid>
        <w:gridCol w:w="23"/>
        <w:gridCol w:w="170"/>
        <w:gridCol w:w="3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one-tenth or more but less than one-third;</w:t>
            </w:r>
          </w:p>
        </w:tc>
      </w:tr>
    </w:tbl>
    <w:tbl>
      <w:tblPr>
        <w:tblW w:w="4413" w:type="dxa"/>
        <w:jc w:val="left"/>
        <w:tblInd w:w="0" w:type="dxa"/>
        <w:tblLayout w:type="fixed"/>
        <w:tblCellMar>
          <w:top w:w="0" w:type="dxa"/>
          <w:left w:w="0" w:type="dxa"/>
          <w:bottom w:w="0" w:type="dxa"/>
          <w:right w:w="0" w:type="dxa"/>
        </w:tblCellMar>
      </w:tblPr>
      <w:tblGrid>
        <w:gridCol w:w="23"/>
        <w:gridCol w:w="170"/>
        <w:gridCol w:w="42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one-third or more but less than a majority; or</w:t>
            </w:r>
          </w:p>
        </w:tc>
      </w:tr>
    </w:tbl>
    <w:tbl>
      <w:tblPr>
        <w:tblW w:w="3873" w:type="dxa"/>
        <w:jc w:val="left"/>
        <w:tblInd w:w="0" w:type="dxa"/>
        <w:tblLayout w:type="fixed"/>
        <w:tblCellMar>
          <w:top w:w="0" w:type="dxa"/>
          <w:left w:w="0" w:type="dxa"/>
          <w:bottom w:w="0" w:type="dxa"/>
          <w:right w:w="0" w:type="dxa"/>
        </w:tblCellMar>
      </w:tblPr>
      <w:tblGrid>
        <w:gridCol w:w="23"/>
        <w:gridCol w:w="17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majority or more of all voting power.</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Control shares do not include shares that the acquiring person is then entitled to vote as a result of having previously obtained stockholder approval. A “control share acquisition” means the acquisition, directly or indirectly, of ownership of, or the power to direct the exercise of voting power with respect to, issued and outstanding control shares, subject to certain exceptions.</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A person who has made or proposes to make a control share acquisition, upon satisfaction of certain conditions (including an undertaking to pay expenses and making an “acquiring person statement” as described in the MGCL), may compel the board of directors of the company to call a special meeting of stockholders to be held within 50 days of demand to consider the voting rights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the control shares. If no request for a special meeting is made, the corporation may itself present the question at any stockholders meeting.</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if a meeting of stockholders at which the voting rights of such shares are considered and not approved is held, as of the date of such meeting.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control share acquisition statute does not apply (1) to shares acquired in a merger, consolidation or statutory share exchange if the corporation is a party to the transaction or (2) to acquisitions approved or exempted by the charter or bylaws of the corporation.</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bylaws contain a provision exempting from the control share acquisition statute any and all control share acquisitions by any person of shares of our stock. There can be no assurance that such provision will not be amended or eliminated at any time in the future by our board of directors.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Subtitle 8</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Subtitle 8 of Title 3 of the MGCL permits a Maryland corporation with a class of equity securities registered under the Exchange Act and at least three independent directors to elect, by provision in its charter or bylaws or a resolution of its board of directors and notwithstanding any contrary provision in the charter or bylaws, to be subject to any or all of the following five provisions:</w:t>
      </w:r>
    </w:p>
    <w:tbl>
      <w:tblPr>
        <w:tblW w:w="1908" w:type="dxa"/>
        <w:jc w:val="left"/>
        <w:tblInd w:w="0" w:type="dxa"/>
        <w:tblLayout w:type="fixed"/>
        <w:tblCellMar>
          <w:top w:w="0" w:type="dxa"/>
          <w:left w:w="0" w:type="dxa"/>
          <w:bottom w:w="0" w:type="dxa"/>
          <w:right w:w="0" w:type="dxa"/>
        </w:tblCellMar>
      </w:tblPr>
      <w:tblGrid>
        <w:gridCol w:w="23"/>
        <w:gridCol w:w="170"/>
        <w:gridCol w:w="1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classified board;</w:t>
            </w:r>
          </w:p>
        </w:tc>
      </w:tr>
    </w:tbl>
    <w:tbl>
      <w:tblPr>
        <w:tblW w:w="5283" w:type="dxa"/>
        <w:jc w:val="left"/>
        <w:tblInd w:w="0" w:type="dxa"/>
        <w:tblLayout w:type="fixed"/>
        <w:tblCellMar>
          <w:top w:w="0" w:type="dxa"/>
          <w:left w:w="0" w:type="dxa"/>
          <w:bottom w:w="0" w:type="dxa"/>
          <w:right w:w="0" w:type="dxa"/>
        </w:tblCellMar>
      </w:tblPr>
      <w:tblGrid>
        <w:gridCol w:w="23"/>
        <w:gridCol w:w="170"/>
        <w:gridCol w:w="50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two-thirds vote requirement for removing a director;</w:t>
            </w:r>
          </w:p>
        </w:tc>
      </w:tr>
    </w:tbl>
    <w:tbl>
      <w:tblPr>
        <w:tblW w:w="7758" w:type="dxa"/>
        <w:jc w:val="left"/>
        <w:tblInd w:w="0" w:type="dxa"/>
        <w:tblLayout w:type="fixed"/>
        <w:tblCellMar>
          <w:top w:w="0" w:type="dxa"/>
          <w:left w:w="0" w:type="dxa"/>
          <w:bottom w:w="0" w:type="dxa"/>
          <w:right w:w="0" w:type="dxa"/>
        </w:tblCellMar>
      </w:tblPr>
      <w:tblGrid>
        <w:gridCol w:w="23"/>
        <w:gridCol w:w="170"/>
        <w:gridCol w:w="75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requirement that the number of directors be fixed only by vote of the directors;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requirement that a vacancy on the board be filled only by a vote of the remaining directors (whether or not they constitute a quorum) and for the remainder of the full term of the class of directors in which the vacancy occurred and until a successor is elected and qualifies;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requirement that a special meeting of stockholders be called upon the written request of stockholders entitled to cast at least a majority of all the votes entitled to be cast at the meeting.</w:t>
            </w:r>
          </w:p>
        </w:tc>
      </w:tr>
    </w:tbl>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Our charter provides that, effective at such time as we are able to make a Subtitle 8 election, vacancies on our board of directors may be filled only by the remaining directors (whether or not they constitute a quorum) and that a director elected by the board of directors to fill a vacancy will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serve for the remainder of the full term of the directorship. We have not elected to be subject to any of the other provisions of Subtitle 8, including the provisions that would permit us to classify our board of directors without stockholder approval. Moreover, our charter provides that, without the affirmative vote of a majority of the votes cast on the matter by stockholders entitled to vote generally in the election of directors, we may not elect to be subject to any of these additional provisions of Subtitle 8. Through provisions in our charter and bylaws unrelated to Subtitle 8, we (1) vest in our board of directors the exclusive power to fix the number of directors, (2) require, unless called by our chairman, our chief executive officer, our president or our board of directors, the written request of stockholders entitled to cast not less than a majority of all the votes entitled to be cast at the meeting to call a special meeting of stockholders and (3) provide that, subject to the rights of holders of one or more classes or series of preferred stock, including the Series A Preferred Stock, to elect or remove one or more directors, a director may be removed only for cause (as defined in our charter) and only by the affirmative vote of at least two-thirds of the votes entitled to be cast generally in the election of directors.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Amendments to Our Charter and Bylaws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Except as described herein and as provided in the MGCL, amendments to our charter must be advised by our board of directors and approved by the affirmative vote of our stockholders entitled to cast a majority of all of the votes entitled to be cast on the matter. Our board of directors has the power to amend or repeal any provision of our bylaws and to adopt new bylaws. In addition, our stockholders may amend or repeal any provision of our bylaws and adopt new bylaw provisions if any such amendment, repeal or adoption is approved by the affirmative vote of a majority of the votes entitled to be cast on the matter.</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Meetings of Stockholders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Under our bylaws and pursuant to Maryland law, annual meetings of stockholders will be held each year at a date and at the time and place determined by our board of directors. Special meetings of stockholders may be called by our board of directors, the chairman of our board of directors, our president or our chief executive officer. Additionally, subject to the provisions of our bylaws, special meetings of the stockholders to act on any matter must be called by our secretary upon the written request of stockholders entitled to cast not less than a majority of all the votes entitled to be cast on such matter at such meeting who have requested the special meeting in accordance with the procedures set forth in, and provided the information and certifications required by, our bylaws. Only matters set forth in the notice of the special meeting may be considered and acted upon at such a meeting. Our secretary will inform the requesting stockholders of the reasonably estimated cost of preparing and delivering the notice of meeting (including our proxy materials), and the requesting stockholder must pay such estimated cost before our secretary may prepare and deliver the notice of the special meeting.</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Corporate Opportunities</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Our charter provides that, to the maximum extent permitted by Maryland law, each of CTO Realty Growth, Inc., a Maryland corporation (“CTO”), its affiliates, each of their representatives, and each of our directors or officers who is also an officer, employee, agent, affiliate or designee of CTO or any of CTO’s affiliates has the right to, and has no duty not to, (x) directly or indirectly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engage in the same or similar business activities or lines of business as us, including those deemed to be competing with us, or (y) directly or indirectly do business with any of our clients, customers or suppliers. In the event that CTO or any of its affiliates or employees, or any of their representatives or designees, acquires knowledge of a potential transaction or matter that may be a corporate opportunity for us, CTO, its affiliates and employees and any of their representatives or designees shall have no duty to communicate or present such corporate opportunity to us or any of our affiliates and shall not be liable to us or any of our affiliates, subsidiaries, stockholders or other equity holders for breach of any duty by reason of the fact that CTO or any of its affiliates or employees, or any of their representatives or designees, directly or indirectly, pursues or acquires such opportunity for themselves, directs such opportunity to another person, or does not present such opportunity to us or any of our affiliates; provided, however, that such corporate opportunity is not presented to such person in his or her capacity as a director or officer of us.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Charter Amendments and Extraordinary Transactions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Under Maryland law, a Maryland corporation generally cannot dissolve, amend its charter, merge, sell all or substantially all of its assets, convert into another form of entity, engage in a statutory share exchange or engage in similar transactions unless such transaction is declared advisable by the board of directors and approved by the affirmative vote of stockholders entitled to cast at least two-thirds of all of the votes entitled to be cast on the matter unless a lesser percentage (but not less than a majority of the votes entitled to be cast on the matter) is set forth in the corporation’s charter. Our charter provides for approval of these matters by the affirmative vote of stockholders entitled to cast a majority of the votes entitled to be cast on such matter, except that the affirmative vote of stockholders holding at least two-thirds of the shares entitled to vote on such matter is required to amend the provisions of our charter relating to the removal of directors or the vote required to amend the removal provisions. Maryland law also permits a corporation to transfer all or substantially all of its assets without the approval of its stockholders to an entity all of the equity interests of which are owned, directly or indirectly, by the corporation. Because our operating assets may be held by our operating partnership subsidiary or its wholly-owned subsidiaries, these subsidiaries may be able to merge or transfer all or substantially all of their assets without the approval of our stockholders.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Advance Notice of Director Nominations and New Business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bylaws provide that: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with respect to an annual meeting of stockholders, nominations of individuals for election to our board of directors and the proposal of business to be considered by stockholders at the annual meeting may be made only:</w:t>
            </w:r>
          </w:p>
        </w:tc>
      </w:tr>
    </w:tbl>
    <w:tbl>
      <w:tblPr>
        <w:tblW w:w="3738" w:type="dxa"/>
        <w:jc w:val="left"/>
        <w:tblInd w:w="0" w:type="dxa"/>
        <w:tblLayout w:type="fixed"/>
        <w:tblCellMar>
          <w:top w:w="0" w:type="dxa"/>
          <w:left w:w="0" w:type="dxa"/>
          <w:bottom w:w="0" w:type="dxa"/>
          <w:right w:w="0" w:type="dxa"/>
        </w:tblCellMar>
      </w:tblPr>
      <w:tblGrid>
        <w:gridCol w:w="23"/>
        <w:gridCol w:w="17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pursuant to our notice of the meeting;</w:t>
            </w:r>
          </w:p>
        </w:tc>
      </w:tr>
    </w:tbl>
    <w:tbl>
      <w:tblPr>
        <w:tblW w:w="4833" w:type="dxa"/>
        <w:jc w:val="left"/>
        <w:tblInd w:w="0" w:type="dxa"/>
        <w:tblLayout w:type="fixed"/>
        <w:tblCellMar>
          <w:top w:w="0" w:type="dxa"/>
          <w:left w:w="0" w:type="dxa"/>
          <w:bottom w:w="0" w:type="dxa"/>
          <w:right w:w="0" w:type="dxa"/>
        </w:tblCellMar>
      </w:tblPr>
      <w:tblGrid>
        <w:gridCol w:w="23"/>
        <w:gridCol w:w="170"/>
        <w:gridCol w:w="4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by or at the direction of our board of directors;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by a stockholder who was a stockholder of record at the record date set by the board of directors for the meeting, at the time of giving of the notice of the meeting and at the time of the annual meeting (and any postponement or adjustment thereof), who is </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entitled to vote at the meeting in the election of each individual so nominated or on such other business and who has complied with the advance notice procedures set forth in, and provided the information and certifications required by, our bylaws;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with respect to special meetings of stockholders, only the business specified in our company’s notice of meeting may be brought before the special meeting of stockholders, and nominations of individuals for election to our board of directors may be made only:</w:t>
            </w:r>
          </w:p>
        </w:tc>
      </w:tr>
    </w:tbl>
    <w:tbl>
      <w:tblPr>
        <w:tblW w:w="4833" w:type="dxa"/>
        <w:jc w:val="left"/>
        <w:tblInd w:w="0" w:type="dxa"/>
        <w:tblLayout w:type="fixed"/>
        <w:tblCellMar>
          <w:top w:w="0" w:type="dxa"/>
          <w:left w:w="0" w:type="dxa"/>
          <w:bottom w:w="0" w:type="dxa"/>
          <w:right w:w="0" w:type="dxa"/>
        </w:tblCellMar>
      </w:tblPr>
      <w:tblGrid>
        <w:gridCol w:w="23"/>
        <w:gridCol w:w="170"/>
        <w:gridCol w:w="4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by or at the direction of our board of directors;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provided that the special meeting has been called in accordance with our bylaws for the purpose of electing directors, by any stockholder who is a stockholder of record at the record date set by the board of directors for the special meeting, at the time of giving of the notice required by our bylaws and at the time of the meeting (and any postponement or adjustment thereof), who is entitled to vote at the meeting in the election of each individual so nominated and who has complied with the advance notice provisions set forth in, and provided the information and certifications required by, our bylaws.</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purpose of requiring stockholders to give advance notice of nominations and other proposals is to afford our board of directors and our stockholders the opportunity to consider the qualifications of the proposed nominees or the advisability of the other proposals and, to the extent considered necessary by our board of directors, to inform stockholders and make recommendations regarding the nominations or other proposals. Although our bylaws do not give our board of directors the power to disapprove timely stockholder nominations and proposals, our bylaws may have the effect of precluding a contest for the election of directors or proposals for other action if the proper procedures are not followed, and of discouraging or deterring a third party from conducting a solicitation of proxies to elect its own slate of directors to our board of directors or to approve its own proposal.</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Anti-takeover Effect of Certain Provisions of Maryland Law and of Our Charter and Bylaws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restrictions on ownership and transfer of our stock discussed below, the supermajority vote required to remove directors, our election to be subject to the provision of Subtitle 8 vesting in our board of directors the exclusive power to fill vacancies on our board of directors, and the advance notice provisions of our bylaws could delay, defer or prevent a transaction or a change of control of our company. Likewise, if our board of directors were to elect to be subject to the business combination provisions of the MGCL or if the provision in our bylaws opting out of the control share acquisition provisions of the MGCL were amended or rescinded, these provisions of the MGCL could have similar anti-takeover effects.</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Further, a majority of our entire board of directors has the power to increase or decrease the aggregate number of authorized shares of stock or the number of shares of any class or series of stock that we are authorized to issue, to classify and reclassify any unissued shares of our stock into other classes or series of stock and to authorize us to issue the newly classified shares, as discussed under the captions “Description of Capital Stock—General” and “Description of Capital Stock—Description of Common Stock—Power to Classify and Reclassify Unissued Stock,” and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could authorize the issuance of shares of common stock or another class or series of stock, including a class or series of preferred stock, that could have the effect of delaying, deferring or preventing a change in control of us. These actions may be taken without stockholder approval unless such approval is required by applicable law, the terms of any other class or series of our stock or the rules of any stock exchange or automated quotation system on which any of our stock is listed or traded. We believe that the power of our board of directors to increase or decrease the number of authorized shares of stock and to classify or reclassify unissued shares of our common stock or preferred stock and thereafter to cause us to issue such shares of stock will provide us with increased flexibility in structuring possible future financings and acquisitions and in meeting other needs which might arise.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“—Meetings of Stockholders” and “—Advance Notice of Director Nominations and New Business” require stockholders seeking to call a special meeting, nominate an individual for election as a director or propose other business at an annual or special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Exclusive Forum</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bylaws provide that, unless we consent in writing to the selection of an alternative forum, the Circuit Court for Baltimore City, Maryland, or, if that court does not have jurisdiction, the United States District Court for the District of Maryland, Northern Division, will be the sole and exclusive forum for (a) any Internal Corporate Claim, as such term is defined in the MGCL, (b) any derivative action or proceeding brought on our behalf other than actions arising under the federal securities laws, (c) any action asserting a claim of breach of any duty owed by any of our directors, officers or other employees to us or to our stockholders, (d) any action asserting a claim against us or any of our directors, officers or other employees arising pursuant to any provision of the MGCL or our charter or bylaws or (e) any action asserting a claim against us or any of our directors, officers or other employees that is governed by the internal affairs doctrine.</w:t>
      </w:r>
    </w:p>
    <w:p>
      <w:pPr>
        <w:pStyle w:val="TextBody"/>
        <w:bidi w:val="0"/>
        <w:spacing w:before="0" w:after="240"/>
        <w:ind w:left="0" w:right="0" w:hanging="0"/>
        <w:jc w:val="both"/>
        <w:rPr>
          <w:rFonts w:ascii="Times New Roman;Times;serif" w:hAnsi="Times New Roman;Times;serif"/>
          <w:b/>
          <w:i/>
          <w:sz w:val="24"/>
        </w:rPr>
      </w:pPr>
      <w:bookmarkStart w:id="1648" w:name="_Hlk220586186"/>
      <w:bookmarkEnd w:id="1648"/>
      <w:r>
        <w:rPr>
          <w:rFonts w:ascii="Times New Roman;Times;serif" w:hAnsi="Times New Roman;Times;serif"/>
          <w:b/>
          <w:i/>
          <w:sz w:val="24"/>
        </w:rPr>
        <w:t>Limitation of Liability and Indemnification of Directors and Officers</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Maryland law permits a Maryland corporation to include in its charter a provision limiting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 the cause of action. Our charter contains such a provision that eliminates such liability to the maximum extent permitted by Maryland law.</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tbl>
      <w:tblPr>
        <w:tblW w:w="9978" w:type="dxa"/>
        <w:jc w:val="left"/>
        <w:tblInd w:w="0" w:type="dxa"/>
        <w:tblLayout w:type="fixed"/>
        <w:tblCellMar>
          <w:top w:w="0" w:type="dxa"/>
          <w:left w:w="0" w:type="dxa"/>
          <w:bottom w:w="0" w:type="dxa"/>
          <w:right w:w="0" w:type="dxa"/>
        </w:tblCellMar>
      </w:tblPr>
      <w:tblGrid>
        <w:gridCol w:w="23"/>
        <w:gridCol w:w="170"/>
        <w:gridCol w:w="9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act or omission of the director or officer was material to the matter giving rise to the proceeding and:</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 committed in bad faith; or</w:t>
            </w:r>
          </w:p>
        </w:tc>
      </w:tr>
    </w:tbl>
    <w:tbl>
      <w:tblPr>
        <w:tblW w:w="4878" w:type="dxa"/>
        <w:jc w:val="left"/>
        <w:tblInd w:w="0" w:type="dxa"/>
        <w:tblLayout w:type="fixed"/>
        <w:tblCellMar>
          <w:top w:w="0" w:type="dxa"/>
          <w:left w:w="0" w:type="dxa"/>
          <w:bottom w:w="0" w:type="dxa"/>
          <w:right w:w="0" w:type="dxa"/>
        </w:tblCellMar>
      </w:tblPr>
      <w:tblGrid>
        <w:gridCol w:w="23"/>
        <w:gridCol w:w="170"/>
        <w:gridCol w:w="46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 the result of active and deliberate dishonesty;</w:t>
            </w:r>
          </w:p>
        </w:tc>
      </w:tr>
    </w:tbl>
    <w:tbl>
      <w:tblPr>
        <w:tblW w:w="9858" w:type="dxa"/>
        <w:jc w:val="left"/>
        <w:tblInd w:w="0" w:type="dxa"/>
        <w:tblLayout w:type="fixed"/>
        <w:tblCellMar>
          <w:top w:w="0" w:type="dxa"/>
          <w:left w:w="0" w:type="dxa"/>
          <w:bottom w:w="0" w:type="dxa"/>
          <w:right w:w="0" w:type="dxa"/>
        </w:tblCellMar>
      </w:tblPr>
      <w:tblGrid>
        <w:gridCol w:w="23"/>
        <w:gridCol w:w="170"/>
        <w:gridCol w:w="96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director or officer actually received an improper personal benefit in money, property or services;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the case of any criminal proceeding, the director or officer had reasonable cause to believe that the act or omission was unlawful.</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However, under the MGCL, a Maryland corporation may not indemnify a director or officer for an adverse judgment in a suit by or on behalf of the corporation or if the director or officer was adjudged liable on the basis that personal benefit was improperly received, unless, in either case, a court orders indemnification and then only for expenses.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In addition, the MGCL permits a Maryland corporation to advance reasonable expenses to a director or officer upon the corporation’s receipt of:</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written affirmation by the director or officer of his or her good faith belief that he or she has met the standard of conduct necessary for indemnification by the corporation;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written undertaking, which may be unsecured, by the director or officer or on the director’s or officer’s behalf to repay the amount paid if it shall ultimately be determined that the standard of conduct has not been met.</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obligates us, to the maximum extent permitted by Maryland law in effect from time to time, to indemnify and to pay or reimburse reasonable expenses in advance of final disposition of a proceeding without requiring a preliminary determination of the director’s or officer’s ultimate entitlement to indemnification to:</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present or former director or officer who is made or threatened to be made a party to or witness in the proceeding by reason of his or her service in that capacity;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individual who, while a director or officer of our company and at our request, serves or has served as a director, officer, partner, member, manager, trustee, employee or agent of another corporation, real estate investment trust, partnership, limited liability company, joint venture, trust, employee benefit plan or any other enterprise and who is made or threatened to be made a party to or witness in the proceeding by reason of his or her service in that capacity.</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also permits us, with the approval of our board of directors, to indemnify and advance expenses to any person who served a predecessor of ours in any of the capacities described above and to any employee or agent of our company or a predecessor of our company.</w:t>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Indemnification Agreements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We have entered into indemnification agreements with each of our directors and executive officers that obligate us to indemnify them to the maximum extent permitted by Maryland law as discussed above under “Certain Provisions of Maryland Law and of Our Charter and Bylaws— Limitation of Liability and Indemnification of Directors and Officers.” The indemnification agreements provide that, if a director or executive officer is a party to, or witness in, or is threatened to be made a party to, or witness in, any proceeding by reason of his or her service as a director, officer, employee or agent of our company or as a director, officer, partner, member, manager, fiduciary, employee, agent or trustee of any other foreign or domestic corporation, real estate investment trust, partnership, limited liability company, joint venture, trust, employee benefit plan or other enterprise that he or she is or was serving in such capacity at our request, or the request of our external manager, we must indemnify the director or executive officer for all expenses and liabilities actually and reasonably incurred by him or her, or on his or her behalf, to the maximum extent permitted under Maryland law, including in any proceeding brought by the director or executive officer to enforce his or her rights under the indemnification agreement, to the extent provided by the agreement. The indemnification agreements also require us to advance reasonable expenses incurred by the indemnitee within ten days of the receipt by us of a statement from the indemnitee requesting the advance, provided the statement evidences the expenses and is accompanied or preceded by:</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written affirmation of the indemnitee’s good faith belief that he or she has met the standard of conduct necessary for indemnification;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written undertaking, which may be unsecured, by the indemnitee or on his or her behalf to repay the amount paid if it shall ultimately be established that the standard of conduct has not been met.</w:t>
            </w:r>
          </w:p>
        </w:tc>
      </w:tr>
    </w:tbl>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 indemnification agreements also provide for procedures for the determination of entitlement to indemnification, including requiring such determination be made by independent counsel after a change of control of us.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i/>
          <w:sz w:val="24"/>
        </w:rPr>
      </w:pPr>
      <w:r>
        <w:rPr>
          <w:rFonts w:ascii="Times New Roman;Times;serif" w:hAnsi="Times New Roman;Times;serif"/>
          <w:b/>
          <w:i/>
          <w:sz w:val="24"/>
        </w:rPr>
        <w:t>REIT Qualification</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provides that our board of directors may revoke or otherwise terminate our election to be taxed as a real estate investment trust (“REIT”) for U.S. federal income tax purposes, without approval of our stockholders, if it determines that it is no longer in our best interest to continue to qualify as a REIT.</w:t>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Restrictions on Ownership and Transfer</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For us to qualify and maintain our qualification as a REIT for each taxable year commencing with our taxable year ending December 31, 2020, our shares of stock must be beneficially owned by 100 or more persons during at least 335 days of a taxable year of 12 months or during a proportionate part of a shorter taxable year. Also, not more than 50% of the value of our outstanding shares of stock may be owned, directly or indirectly, by five or fewer individuals (as defined in the Internal Revenue Code of 1986, as amended (the “Code”), to include certain entities) during the last half of a taxable year commencing with our taxable year ending December 31, 2020.</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Because our board of directors believes it is at present essential for us to qualify as a REIT, our charter, subject to certain exceptions, restricts the amount of our shares of stock that a person may beneficially or constructively own. Our charter provides that, subject to certain exceptions, no person may beneficially or constructively own more than 9.8% in value or in number of shares, whichever is more restrictive, of the outstanding shares of any class or series of our capital stock.</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charter also prohibits any person from (i) beneficially owning shares of our capital stock to the extent that such beneficial ownership would result in our being “closely held” within the meaning of Section 856(h) of the Code (without regard to whether the ownership interest is held during the last half of the taxable year), (ii) transferring shares of our capital stock to the extent that such transfer would result in shares of our capital stock being beneficially owned by less than 100 persons (determined under the principles of Section 856(a)(5) of the Code), (iii) beneficially or constructively owning shares of our capital stock to the extent such beneficial or constructive ownership would cause us to constructively own 10% or more of the ownership interests in a tenant (other than a taxable REIT subsidiary (as defined in Section 856(l) of the Code)) of our real property within the meaning of Section 856(d)(2)(B) of the Code or (iv) beneficially or constructively owning or transferring shares of our capital stock if such ownership or transfer would otherwise cause us to fail to qualify as a REIT. Any person who acquires or attempts or intends to acquire beneficial or constructive ownership of shares of our capital stock that will or may violate any of the foregoing restrictions on transferability and ownership, or any person who would have owned shares of our capital stock that resulted in a transfer of shares of our capital stock to a charitable trust, is required to give written notice immediately to us, or in the case of a proposed or attempted transaction, to give at least 15 days’ prior written notice,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attempt to qualify, or to continue to qualify, as a REIT.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Our board of directors, in its sole discretion, may prospectively or retroactively exempt a person from the limits described above and may establish or increase an excepted holder percentage limit for such person. The person seeking an exemption must provide to our board of directors such representations, covenants and undertakings as our board of directors may deem appropriate in order to conclude that granting the exemption will not cause us to fail to qualify as a REIT. Our board of directors may not grant such an exemption to any person if such exemption would result in our failing to qualify as a REIT. Our board of directors may require a ruling from the Internal Revenue Service or an opinion of counsel, in either case in form and substance satisfactory to the board of directors, in its sole discretion, in order to determine or ensure our status as a REIT.</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 xml:space="preserve">Any attempted transfer of shares of our capital stock which, if effective, would violate any of the restrictions described above will result in the number of shares causing the violation (rounded up to the nearest whole share) to be automatically transferred to a trust for the exclusive benefit of one or more charitable beneficiaries, except that any transfer that results in the violation of the restriction relating to shares of our capital stock being beneficially owned by fewer than 100 persons will be void </w:t>
      </w:r>
      <w:r>
        <w:rPr>
          <w:rFonts w:ascii="Times New Roman;Times;serif" w:hAnsi="Times New Roman;Times;serif"/>
          <w:i/>
          <w:sz w:val="24"/>
        </w:rPr>
        <w:t>ab initio</w:t>
      </w:r>
      <w:r>
        <w:rPr>
          <w:rFonts w:ascii="Times New Roman;Times;serif" w:hAnsi="Times New Roman;Times;serif"/>
          <w:sz w:val="24"/>
        </w:rPr>
        <w:t>. In either case, the proposed transferee will not acquire any rights in such shares. The automatic transfer will be deemed to be effective as of the close of business on the business day prior to the date of the purported transfer or other event that results in the transfer to the trust. Shares held in the trust will be issued and outstanding shares. The proposed transferee will not benefit economically from ownership of any shares held in the trust, will have no rights to dividends or other distributions and will have no rights to vote or other rights attributable to the shares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have been transferred to the trust will be paid by the recipient to the trustee upon demand. Any distribution authorized but unpaid will be paid when due to the trustee. Any dividend or other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corporate action, then the trustee will not have the authority to rescind and recast the vote.</w:t>
      </w:r>
    </w:p>
    <w:p>
      <w:pPr>
        <w:pStyle w:val="TextBody"/>
        <w:bidi w:val="0"/>
        <w:spacing w:before="0" w:after="0"/>
        <w:ind w:left="0" w:right="0" w:firstLine="360"/>
        <w:jc w:val="both"/>
        <w:rPr>
          <w:rFonts w:ascii="Times New Roman;Times;serif" w:hAnsi="Times New Roman;Times;serif"/>
          <w:sz w:val="24"/>
        </w:rPr>
      </w:pPr>
      <w:r>
        <w:rPr>
          <w:rFonts w:ascii="Times New Roman;Times;serif" w:hAnsi="Times New Roman;Times;serif"/>
          <w:sz w:val="24"/>
        </w:rPr>
        <w:t xml:space="preserve">Within 20 days of receiving notice from us that shares of our capital stock have been transferred to the trust, the trustee will sell the shares to a person designated by the trustee, whose ownership of the shares will not violate the above ownership and transfer limitations. Upon the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(ii) the price received by the trustee (net of any commission and other expenses of sale) from the sale or other disposition of the shares. The trustee may reduce the amount payable to the proposed transferee by the amount of dividends or other distributions paid to the proposed transferee and owed by the proposed transferee to the trustee. Any net sale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proceeds in excess of the amount payable to the proposed transferee will be paid immediately to the charitable beneficiary. If, prior to our discovery that shares of our capital stock have been transferred to the trust, the shares are sold by the proposed transferee, then (i) the shares shall be deemed to have been sold on behalf of the trust and (ii) to the extent that the proposed transferee received an amount for the shares that exceeds the amount he or she was entitled to receive, the excess shall be paid to the trustee upon demand.</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In addition, shares of our capital stock held in the trust will be deemed to have been offered for sale to us, or our designee, at a price per share equal to the lesser of (i) the price per share in the transaction that resulted in the transfer to the trust (or, in the case of a devise or gift, the market price at the time of the devise or gift) and (ii) the market price on the date we, or our designee, accept the offer, which we may reduce by the amount of dividends and distributions paid to the proposed transferee and owed by the proposed transferee to the trustee.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If a transfer to a charitable trust, as described above, would be ineffective for any reason to prevent a violation of a restriction, the transfer that would have resulted in such violation will be void ab initio, and the proposed transferee shall acquire no rights in such shares.</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Every owner of more than 5% (or such lower percentage as required by the Code or the regulations promulgated thereunder) of shares of our capital stock, within 30 days after the end of each taxable year, is required to give us written notice, stating his or her name and address, the number of shares of each class and/or series of our stock that he or she beneficially owns and a description of the manner in which the shares are held. Each such owner must provide us with such additional information as we may request in order to determine the effect, if any, of his or her beneficial ownership on our status as a REIT and to ensure compliance with the ownership limits. In addition, each stockholder will upon demand be required to provide us with such information as we may request in order to determine our status as a REIT and to comply with the requirements of any taxing authority or governmental authority or to determine such compliance and to ensure compliance with the ownership limit.</w:t>
      </w:r>
    </w:p>
    <w:p>
      <w:pPr>
        <w:pStyle w:val="TextBody"/>
        <w:bidi w:val="0"/>
        <w:spacing w:before="0" w:after="240"/>
        <w:ind w:left="0" w:right="0" w:firstLine="360"/>
        <w:jc w:val="both"/>
        <w:rPr>
          <w:rFonts w:ascii="Times New Roman;Times;serif" w:hAnsi="Times New Roman;Times;serif"/>
          <w:sz w:val="24"/>
        </w:rPr>
      </w:pPr>
      <w:r>
        <w:rPr>
          <w:rFonts w:ascii="Times New Roman;Times;serif" w:hAnsi="Times New Roman;Times;serif"/>
          <w:sz w:val="24"/>
        </w:rPr>
        <w:t>These ownership limitations could delay, defer or prevent a transaction or a change in control that might involve a premium price for our common stock or otherwise be in the best interest of our stockholders.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649" w:name="pine-20251231xex10d16.htm"/>
      <w:bookmarkStart w:id="1650" w:name="kspine20251231xex10d16"/>
      <w:bookmarkEnd w:id="1649"/>
      <w:bookmarkEnd w:id="1650"/>
      <w:r>
        <w:rPr>
          <w:rFonts w:ascii="Times New Roman;Times;serif" w:hAnsi="Times New Roman;Times;serif"/>
          <w:b/>
          <w:sz w:val="24"/>
        </w:rPr>
        <w:t>Exhibit 10.16</w:t>
      </w:r>
      <w:r>
        <w:br w:type="page"/>
      </w:r>
    </w:p>
    <w:p>
      <w:pPr>
        <w:pStyle w:val="TextBody"/>
        <w:bidi w:val="0"/>
        <w:spacing w:before="0" w:after="0"/>
        <w:ind w:left="0" w:right="0" w:hanging="0"/>
        <w:jc w:val="right"/>
        <w:rPr>
          <w:rFonts w:ascii="Times New Roman;Times;serif" w:hAnsi="Times New Roman;Times;serif"/>
          <w:b/>
          <w:i/>
          <w:sz w:val="24"/>
        </w:rPr>
      </w:pPr>
      <w:r>
        <w:rPr>
          <w:rFonts w:ascii="Times New Roman;Times;serif" w:hAnsi="Times New Roman;Times;serif"/>
          <w:b/>
          <w:i/>
          <w:sz w:val="24"/>
        </w:rPr>
        <w:t>Execution Version</w:t>
      </w:r>
    </w:p>
    <w:p>
      <w:pPr>
        <w:pStyle w:val="TextBody"/>
        <w:bidi w:val="0"/>
        <w:spacing w:before="36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Amended and restated Credit Agreement</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Dated as of February 4, 2026</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among</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Alpine Income Property OP, LP,</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Alpine Income Property Trust, Inc., as Guarantor</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The Other Guarantors From Time to Time Parties Hereto,</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the Lenders from time to time parties hereto,</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Truist Bank</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as Administrative Agent,</w:t>
      </w:r>
    </w:p>
    <w:p>
      <w:pPr>
        <w:pStyle w:val="TextBody"/>
        <w:bidi w:val="0"/>
        <w:spacing w:before="360" w:after="283"/>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 xml:space="preserve">Truist Securities, Inc., KeyBanc Capital Markets, Inc., PNC Capital Markets LLC, Raymond James Bank, Regions Capital Markets, and The Huntington National Bank </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 xml:space="preserve">as Joint Lead Arrangers, </w:t>
      </w:r>
    </w:p>
    <w:p>
      <w:pPr>
        <w:pStyle w:val="TextBody"/>
        <w:bidi w:val="0"/>
        <w:spacing w:before="360" w:after="283"/>
        <w:ind w:left="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Truist Bank</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as Sustainability Structuring Agent,</w:t>
      </w:r>
    </w:p>
    <w:p>
      <w:pPr>
        <w:pStyle w:val="TextBody"/>
        <w:bidi w:val="0"/>
        <w:spacing w:before="360" w:after="283"/>
        <w:ind w:left="0" w:right="0" w:hanging="0"/>
        <w:jc w:val="center"/>
        <w:rPr>
          <w:smallCaps/>
        </w:rPr>
      </w:pPr>
      <w:r>
        <w:rPr>
          <w:smallCaps/>
        </w:rPr>
        <w:t>​</w:t>
      </w:r>
    </w:p>
    <w:p>
      <w:pPr>
        <w:pStyle w:val="TextBody"/>
        <w:bidi w:val="0"/>
        <w:spacing w:before="360" w:after="283"/>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KeyBank National Association, PNC Bank, National Association, Raymond James Bank, Regions Bank, and The Huntington National Bank</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as Co-Syndication Agents,</w:t>
      </w:r>
    </w:p>
    <w:p>
      <w:pPr>
        <w:pStyle w:val="TextBody"/>
        <w:bidi w:val="0"/>
        <w:spacing w:before="360" w:after="283"/>
        <w:ind w:left="0" w:right="0" w:hanging="0"/>
        <w:jc w:val="left"/>
        <w:rPr>
          <w:smallCaps/>
        </w:rPr>
      </w:pPr>
      <w:r>
        <w:rPr>
          <w:smallCaps/>
        </w:rPr>
        <w:t>​</w:t>
      </w:r>
    </w:p>
    <w:p>
      <w:pPr>
        <w:pStyle w:val="TextBody"/>
        <w:bidi w:val="0"/>
        <w:spacing w:before="360" w:after="283"/>
        <w:ind w:left="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Truist Securities, Inc.</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as Sole Book Runner</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18"/>
        </w:rPr>
      </w:pPr>
      <w:bookmarkStart w:id="1651" w:name="_iDocIDField1d209a87-3e90-48f0-b5c0-c001"/>
      <w:bookmarkEnd w:id="1651"/>
      <w:r>
        <w:rPr>
          <w:rFonts w:ascii="Times New Roman;Times;serif" w:hAnsi="Times New Roman;Times;serif"/>
          <w:sz w:val="18"/>
        </w:rPr>
        <w:t>4597846.16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Table of Contents</w:t>
      </w:r>
    </w:p>
    <w:p>
      <w:pPr>
        <w:pStyle w:val="TextBody"/>
        <w:bidi w:val="0"/>
        <w:spacing w:before="320" w:after="0"/>
        <w:ind w:left="5040" w:right="0" w:hanging="0"/>
        <w:jc w:val="left"/>
        <w:rPr>
          <w:rFonts w:ascii="Times New Roman;Times;serif" w:hAnsi="Times New Roman;Times;serif"/>
          <w:b w:val="false"/>
          <w:i w:val="false"/>
          <w:smallCaps/>
          <w:sz w:val="24"/>
          <w:shd w:fill="FFFFFF" w:val="clear"/>
        </w:rPr>
      </w:pPr>
      <w:r>
        <w:rPr>
          <w:rFonts w:ascii="Times New Roman;Times;serif" w:hAnsi="Times New Roman;Times;serif"/>
          <w:b w:val="false"/>
          <w:i w:val="false"/>
          <w:smallCaps/>
          <w:sz w:val="24"/>
          <w:shd w:fill="FFFFFF" w:val="clear"/>
        </w:rPr>
        <w:t>Page</w:t>
      </w:r>
      <w:r>
        <mc:AlternateContent>
          <mc:Choice Requires="wps">
            <w:drawing>
              <wp:anchor behindDoc="0" distT="0" distB="0" distL="0" distR="0" simplePos="0" locked="0" layoutInCell="1" allowOverlap="1" relativeHeight="385">
                <wp:simplePos x="0" y="0"/>
                <wp:positionH relativeFrom="page">
                  <wp:posOffset>0</wp:posOffset>
                </wp:positionH>
                <wp:positionV relativeFrom="line">
                  <wp:posOffset>635</wp:posOffset>
                </wp:positionV>
                <wp:extent cx="6480175" cy="175260"/>
                <wp:effectExtent l="0" t="0" r="0" b="0"/>
                <wp:wrapNone/>
                <wp:docPr id="384"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12">
        <w:r>
          <w:rPr>
            <w:rStyle w:val="InternetLink"/>
            <w:rFonts w:ascii="Times New Roman;Times;serif" w:hAnsi="Times New Roman;Times;serif"/>
            <w:b w:val="false"/>
            <w:i w:val="false"/>
            <w:caps w:val="false"/>
            <w:smallCaps w:val="false"/>
            <w:sz w:val="24"/>
            <w:shd w:fill="FFFFFF" w:val="clear"/>
          </w:rPr>
          <w:t>SECTION 1.</w:t>
        </w:r>
      </w:hyperlink>
      <w:r>
        <w:rPr>
          <w:rFonts w:ascii="Times New Roman;Times;serif" w:hAnsi="Times New Roman;Times;serif"/>
          <w:sz w:val="24"/>
          <w:shd w:fill="FFFFFF" w:val="clear"/>
        </w:rPr>
        <w:tab/>
      </w:r>
      <w:hyperlink w:anchor="_Toc221027812">
        <w:r>
          <w:rPr>
            <w:rStyle w:val="InternetLink"/>
            <w:rFonts w:ascii="Times New Roman;Times;serif" w:hAnsi="Times New Roman;Times;serif"/>
            <w:b w:val="false"/>
            <w:i w:val="false"/>
            <w:caps w:val="false"/>
            <w:smallCaps w:val="false"/>
            <w:sz w:val="24"/>
            <w:shd w:fill="FFFFFF" w:val="clear"/>
          </w:rPr>
          <w:t>The Credit Facility</w:t>
        </w:r>
      </w:hyperlink>
      <w:hyperlink w:anchor="_Toc221027812">
        <w:r>
          <w:rPr>
            <w:webHidden/>
          </w:rPr>
          <w:fldChar w:fldCharType="begin"/>
        </w:r>
        <w:r>
          <w:rPr>
            <w:webHidden/>
          </w:rPr>
          <w:instrText xml:space="preserve">PAGEREF _Toc221027812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386">
                <wp:simplePos x="0" y="0"/>
                <wp:positionH relativeFrom="page">
                  <wp:posOffset>0</wp:posOffset>
                </wp:positionH>
                <wp:positionV relativeFrom="line">
                  <wp:posOffset>635</wp:posOffset>
                </wp:positionV>
                <wp:extent cx="6480175" cy="175895"/>
                <wp:effectExtent l="0" t="0" r="0" b="0"/>
                <wp:wrapNone/>
                <wp:docPr id="385" name="Frame3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13">
        <w:r>
          <w:rPr>
            <w:rStyle w:val="InternetLink"/>
            <w:rFonts w:ascii="Times New Roman;Times;serif" w:hAnsi="Times New Roman;Times;serif"/>
            <w:b w:val="false"/>
            <w:i w:val="false"/>
            <w:caps w:val="false"/>
            <w:smallCaps w:val="false"/>
            <w:sz w:val="24"/>
            <w:shd w:fill="FFFFFF" w:val="clear"/>
          </w:rPr>
          <w:t>Section 1.1.</w:t>
        </w:r>
      </w:hyperlink>
      <w:r>
        <w:rPr>
          <w:rFonts w:ascii="Times New Roman;Times;serif" w:hAnsi="Times New Roman;Times;serif"/>
          <w:sz w:val="24"/>
          <w:shd w:fill="FFFFFF" w:val="clear"/>
        </w:rPr>
        <w:tab/>
      </w:r>
      <w:hyperlink w:anchor="_Toc221027813">
        <w:r>
          <w:rPr>
            <w:rStyle w:val="InternetLink"/>
            <w:rFonts w:ascii="Times New Roman;Times;serif" w:hAnsi="Times New Roman;Times;serif"/>
            <w:b w:val="false"/>
            <w:i w:val="false"/>
            <w:caps w:val="false"/>
            <w:smallCaps w:val="false"/>
            <w:sz w:val="24"/>
            <w:shd w:fill="FFFFFF" w:val="clear"/>
          </w:rPr>
          <w:t>Revolving Credit Commitments</w:t>
        </w:r>
      </w:hyperlink>
      <w:hyperlink w:anchor="_Toc221027813">
        <w:r>
          <w:rPr>
            <w:webHidden/>
          </w:rPr>
          <w:fldChar w:fldCharType="begin"/>
        </w:r>
        <w:r>
          <w:rPr>
            <w:webHidden/>
          </w:rPr>
          <w:instrText xml:space="preserve">PAGEREF _Toc221027813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895"/>
                <wp:effectExtent l="0" t="0" r="0" b="0"/>
                <wp:wrapNone/>
                <wp:docPr id="386" name="Frame3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14">
        <w:r>
          <w:rPr>
            <w:rStyle w:val="InternetLink"/>
            <w:rFonts w:ascii="Times New Roman;Times;serif" w:hAnsi="Times New Roman;Times;serif"/>
            <w:b w:val="false"/>
            <w:i w:val="false"/>
            <w:caps w:val="false"/>
            <w:smallCaps w:val="false"/>
            <w:sz w:val="24"/>
            <w:shd w:fill="FFFFFF" w:val="clear"/>
          </w:rPr>
          <w:t>Section 1.2.</w:t>
        </w:r>
      </w:hyperlink>
      <w:r>
        <w:rPr>
          <w:rFonts w:ascii="Times New Roman;Times;serif" w:hAnsi="Times New Roman;Times;serif"/>
          <w:sz w:val="24"/>
          <w:shd w:fill="FFFFFF" w:val="clear"/>
        </w:rPr>
        <w:tab/>
      </w:r>
      <w:hyperlink w:anchor="_Toc221027814">
        <w:r>
          <w:rPr>
            <w:rStyle w:val="InternetLink"/>
            <w:rFonts w:ascii="Times New Roman;Times;serif" w:hAnsi="Times New Roman;Times;serif"/>
            <w:b w:val="false"/>
            <w:i w:val="false"/>
            <w:caps w:val="false"/>
            <w:smallCaps w:val="false"/>
            <w:sz w:val="24"/>
            <w:shd w:fill="FFFFFF" w:val="clear"/>
          </w:rPr>
          <w:t>Term Loans</w:t>
        </w:r>
      </w:hyperlink>
      <w:hyperlink w:anchor="_Toc221027814">
        <w:r>
          <w:rPr>
            <w:webHidden/>
          </w:rPr>
          <w:fldChar w:fldCharType="begin"/>
        </w:r>
        <w:r>
          <w:rPr>
            <w:webHidden/>
          </w:rPr>
          <w:instrText xml:space="preserve">PAGEREF _Toc221027814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w:t>
        </w:r>
        <w:r>
          <w:rPr>
            <w:webHidden/>
          </w:rPr>
          <w:fldChar w:fldCharType="end"/>
        </w:r>
      </w:hyperlink>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895"/>
                <wp:effectExtent l="0" t="0" r="0" b="0"/>
                <wp:wrapNone/>
                <wp:docPr id="387" name="Frame3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15">
        <w:r>
          <w:rPr>
            <w:rStyle w:val="InternetLink"/>
            <w:rFonts w:ascii="Times New Roman;Times;serif" w:hAnsi="Times New Roman;Times;serif"/>
            <w:b w:val="false"/>
            <w:i w:val="false"/>
            <w:caps w:val="false"/>
            <w:smallCaps w:val="false"/>
            <w:sz w:val="24"/>
            <w:shd w:fill="FFFFFF" w:val="clear"/>
          </w:rPr>
          <w:t>Section 1.3.</w:t>
        </w:r>
      </w:hyperlink>
      <w:r>
        <w:rPr>
          <w:rFonts w:ascii="Times New Roman;Times;serif" w:hAnsi="Times New Roman;Times;serif"/>
          <w:sz w:val="24"/>
          <w:shd w:fill="FFFFFF" w:val="clear"/>
        </w:rPr>
        <w:tab/>
      </w:r>
      <w:hyperlink w:anchor="_Toc221027815">
        <w:r>
          <w:rPr>
            <w:rStyle w:val="InternetLink"/>
            <w:rFonts w:ascii="Times New Roman;Times;serif" w:hAnsi="Times New Roman;Times;serif"/>
            <w:b w:val="false"/>
            <w:i w:val="false"/>
            <w:caps w:val="false"/>
            <w:smallCaps w:val="false"/>
            <w:sz w:val="24"/>
            <w:shd w:fill="FFFFFF" w:val="clear"/>
          </w:rPr>
          <w:t>Letters of Credit</w:t>
        </w:r>
      </w:hyperlink>
      <w:hyperlink w:anchor="_Toc221027815">
        <w:r>
          <w:rPr>
            <w:webHidden/>
          </w:rPr>
          <w:fldChar w:fldCharType="begin"/>
        </w:r>
        <w:r>
          <w:rPr>
            <w:webHidden/>
          </w:rPr>
          <w:instrText xml:space="preserve">PAGEREF _Toc221027815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w:t>
        </w:r>
        <w:r>
          <w:rPr>
            <w:webHidden/>
          </w:rPr>
          <w:fldChar w:fldCharType="end"/>
        </w:r>
      </w:hyperlink>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895"/>
                <wp:effectExtent l="0" t="0" r="0" b="0"/>
                <wp:wrapNone/>
                <wp:docPr id="388" name="Frame3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16">
        <w:r>
          <w:rPr>
            <w:rStyle w:val="InternetLink"/>
            <w:rFonts w:ascii="Times New Roman;Times;serif" w:hAnsi="Times New Roman;Times;serif"/>
            <w:b w:val="false"/>
            <w:i w:val="false"/>
            <w:caps w:val="false"/>
            <w:smallCaps w:val="false"/>
            <w:sz w:val="24"/>
            <w:shd w:fill="FFFFFF" w:val="clear"/>
          </w:rPr>
          <w:t>Section 1.4.</w:t>
        </w:r>
      </w:hyperlink>
      <w:r>
        <w:rPr>
          <w:rFonts w:ascii="Times New Roman;Times;serif" w:hAnsi="Times New Roman;Times;serif"/>
          <w:sz w:val="24"/>
          <w:shd w:fill="FFFFFF" w:val="clear"/>
        </w:rPr>
        <w:tab/>
      </w:r>
      <w:hyperlink w:anchor="_Toc221027816">
        <w:r>
          <w:rPr>
            <w:rStyle w:val="InternetLink"/>
            <w:rFonts w:ascii="Times New Roman;Times;serif" w:hAnsi="Times New Roman;Times;serif"/>
            <w:b w:val="false"/>
            <w:i w:val="false"/>
            <w:caps w:val="false"/>
            <w:smallCaps w:val="false"/>
            <w:sz w:val="24"/>
            <w:shd w:fill="FFFFFF" w:val="clear"/>
          </w:rPr>
          <w:t>Applicable Interest Rates</w:t>
        </w:r>
      </w:hyperlink>
      <w:hyperlink w:anchor="_Toc221027816">
        <w:r>
          <w:rPr>
            <w:webHidden/>
          </w:rPr>
          <w:fldChar w:fldCharType="begin"/>
        </w:r>
        <w:r>
          <w:rPr>
            <w:webHidden/>
          </w:rPr>
          <w:instrText xml:space="preserve">PAGEREF _Toc221027816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w:t>
        </w:r>
        <w:r>
          <w:rPr>
            <w:webHidden/>
          </w:rPr>
          <w:fldChar w:fldCharType="end"/>
        </w:r>
      </w:hyperlink>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895"/>
                <wp:effectExtent l="0" t="0" r="0" b="0"/>
                <wp:wrapNone/>
                <wp:docPr id="389" name="Frame3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17">
        <w:r>
          <w:rPr>
            <w:rStyle w:val="InternetLink"/>
            <w:rFonts w:ascii="Times New Roman;Times;serif" w:hAnsi="Times New Roman;Times;serif"/>
            <w:b w:val="false"/>
            <w:i w:val="false"/>
            <w:caps w:val="false"/>
            <w:smallCaps w:val="false"/>
            <w:sz w:val="24"/>
            <w:shd w:fill="FFFFFF" w:val="clear"/>
          </w:rPr>
          <w:t>Section 1.5.</w:t>
        </w:r>
      </w:hyperlink>
      <w:r>
        <w:rPr>
          <w:rFonts w:ascii="Times New Roman;Times;serif" w:hAnsi="Times New Roman;Times;serif"/>
          <w:sz w:val="24"/>
          <w:shd w:fill="FFFFFF" w:val="clear"/>
        </w:rPr>
        <w:tab/>
      </w:r>
      <w:hyperlink w:anchor="_Toc221027817">
        <w:r>
          <w:rPr>
            <w:rStyle w:val="InternetLink"/>
            <w:rFonts w:ascii="Times New Roman;Times;serif" w:hAnsi="Times New Roman;Times;serif"/>
            <w:b w:val="false"/>
            <w:i w:val="false"/>
            <w:caps w:val="false"/>
            <w:smallCaps w:val="false"/>
            <w:sz w:val="24"/>
            <w:shd w:fill="FFFFFF" w:val="clear"/>
          </w:rPr>
          <w:t>Minimum Borrowing Amounts; Maximum Term SOFR Loans</w:t>
        </w:r>
      </w:hyperlink>
      <w:hyperlink w:anchor="_Toc221027817">
        <w:r>
          <w:rPr>
            <w:webHidden/>
          </w:rPr>
          <w:fldChar w:fldCharType="begin"/>
        </w:r>
        <w:r>
          <w:rPr>
            <w:webHidden/>
          </w:rPr>
          <w:instrText xml:space="preserve">PAGEREF _Toc221027817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895"/>
                <wp:effectExtent l="0" t="0" r="0" b="0"/>
                <wp:wrapNone/>
                <wp:docPr id="390" name="Frame3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18">
        <w:r>
          <w:rPr>
            <w:rStyle w:val="InternetLink"/>
            <w:rFonts w:ascii="Times New Roman;Times;serif" w:hAnsi="Times New Roman;Times;serif"/>
            <w:b w:val="false"/>
            <w:i w:val="false"/>
            <w:caps w:val="false"/>
            <w:smallCaps w:val="false"/>
            <w:sz w:val="24"/>
            <w:shd w:fill="FFFFFF" w:val="clear"/>
          </w:rPr>
          <w:t>Section 1.6.</w:t>
        </w:r>
      </w:hyperlink>
      <w:r>
        <w:rPr>
          <w:rFonts w:ascii="Times New Roman;Times;serif" w:hAnsi="Times New Roman;Times;serif"/>
          <w:sz w:val="24"/>
          <w:shd w:fill="FFFFFF" w:val="clear"/>
        </w:rPr>
        <w:tab/>
      </w:r>
      <w:hyperlink w:anchor="_Toc221027818">
        <w:r>
          <w:rPr>
            <w:rStyle w:val="InternetLink"/>
            <w:rFonts w:ascii="Times New Roman;Times;serif" w:hAnsi="Times New Roman;Times;serif"/>
            <w:b w:val="false"/>
            <w:i w:val="false"/>
            <w:caps w:val="false"/>
            <w:smallCaps w:val="false"/>
            <w:sz w:val="24"/>
            <w:shd w:fill="FFFFFF" w:val="clear"/>
          </w:rPr>
          <w:t>Manner of Borrowing Loans and Designating Applicable Interest Rates</w:t>
        </w:r>
      </w:hyperlink>
      <w:hyperlink w:anchor="_Toc221027818">
        <w:r>
          <w:rPr>
            <w:webHidden/>
          </w:rPr>
          <w:fldChar w:fldCharType="begin"/>
        </w:r>
        <w:r>
          <w:rPr>
            <w:webHidden/>
          </w:rPr>
          <w:instrText xml:space="preserve">PAGEREF _Toc221027818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895"/>
                <wp:effectExtent l="0" t="0" r="0" b="0"/>
                <wp:wrapNone/>
                <wp:docPr id="391" name="Frame3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4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19">
        <w:r>
          <w:rPr>
            <w:rStyle w:val="InternetLink"/>
            <w:rFonts w:ascii="Times New Roman;Times;serif" w:hAnsi="Times New Roman;Times;serif"/>
            <w:b w:val="false"/>
            <w:i w:val="false"/>
            <w:caps w:val="false"/>
            <w:smallCaps w:val="false"/>
            <w:sz w:val="24"/>
            <w:shd w:fill="FFFFFF" w:val="clear"/>
          </w:rPr>
          <w:t>Section 1.7.</w:t>
        </w:r>
      </w:hyperlink>
      <w:r>
        <w:rPr>
          <w:rFonts w:ascii="Times New Roman;Times;serif" w:hAnsi="Times New Roman;Times;serif"/>
          <w:sz w:val="24"/>
          <w:shd w:fill="FFFFFF" w:val="clear"/>
        </w:rPr>
        <w:tab/>
      </w:r>
      <w:hyperlink w:anchor="_Toc221027819">
        <w:r>
          <w:rPr>
            <w:rStyle w:val="InternetLink"/>
            <w:rFonts w:ascii="Times New Roman;Times;serif" w:hAnsi="Times New Roman;Times;serif"/>
            <w:b w:val="false"/>
            <w:i w:val="false"/>
            <w:caps w:val="false"/>
            <w:smallCaps w:val="false"/>
            <w:sz w:val="24"/>
            <w:shd w:fill="FFFFFF" w:val="clear"/>
          </w:rPr>
          <w:t>Maturity of Loans</w:t>
        </w:r>
      </w:hyperlink>
      <w:hyperlink w:anchor="_Toc221027819">
        <w:r>
          <w:rPr>
            <w:webHidden/>
          </w:rPr>
          <w:fldChar w:fldCharType="begin"/>
        </w:r>
        <w:r>
          <w:rPr>
            <w:webHidden/>
          </w:rPr>
          <w:instrText xml:space="preserve">PAGEREF _Toc221027819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895"/>
                <wp:effectExtent l="0" t="0" r="0" b="0"/>
                <wp:wrapNone/>
                <wp:docPr id="392" name="Frame3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0">
        <w:r>
          <w:rPr>
            <w:rStyle w:val="InternetLink"/>
            <w:rFonts w:ascii="Times New Roman;Times;serif" w:hAnsi="Times New Roman;Times;serif"/>
            <w:b w:val="false"/>
            <w:i w:val="false"/>
            <w:caps w:val="false"/>
            <w:smallCaps w:val="false"/>
            <w:sz w:val="24"/>
            <w:shd w:fill="FFFFFF" w:val="clear"/>
          </w:rPr>
          <w:t>Section 1.8.</w:t>
        </w:r>
      </w:hyperlink>
      <w:r>
        <w:rPr>
          <w:rFonts w:ascii="Times New Roman;Times;serif" w:hAnsi="Times New Roman;Times;serif"/>
          <w:sz w:val="24"/>
          <w:shd w:fill="FFFFFF" w:val="clear"/>
        </w:rPr>
        <w:tab/>
      </w:r>
      <w:hyperlink w:anchor="_Toc221027820">
        <w:r>
          <w:rPr>
            <w:rStyle w:val="InternetLink"/>
            <w:rFonts w:ascii="Times New Roman;Times;serif" w:hAnsi="Times New Roman;Times;serif"/>
            <w:b w:val="false"/>
            <w:i w:val="false"/>
            <w:caps w:val="false"/>
            <w:smallCaps w:val="false"/>
            <w:sz w:val="24"/>
            <w:shd w:fill="FFFFFF" w:val="clear"/>
          </w:rPr>
          <w:t>Prepayments</w:t>
        </w:r>
      </w:hyperlink>
      <w:hyperlink w:anchor="_Toc221027820">
        <w:r>
          <w:rPr>
            <w:webHidden/>
          </w:rPr>
          <w:fldChar w:fldCharType="begin"/>
        </w:r>
        <w:r>
          <w:rPr>
            <w:webHidden/>
          </w:rPr>
          <w:instrText xml:space="preserve">PAGEREF _Toc221027820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w:t>
        </w:r>
        <w:r>
          <w:rPr>
            <w:webHidden/>
          </w:rPr>
          <w:fldChar w:fldCharType="end"/>
        </w:r>
      </w:hyperlink>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895"/>
                <wp:effectExtent l="0" t="0" r="0" b="0"/>
                <wp:wrapNone/>
                <wp:docPr id="393" name="Frame3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1">
        <w:r>
          <w:rPr>
            <w:rStyle w:val="InternetLink"/>
            <w:rFonts w:ascii="Times New Roman;Times;serif" w:hAnsi="Times New Roman;Times;serif"/>
            <w:b w:val="false"/>
            <w:i w:val="false"/>
            <w:caps w:val="false"/>
            <w:smallCaps w:val="false"/>
            <w:sz w:val="24"/>
            <w:shd w:fill="FFFFFF" w:val="clear"/>
          </w:rPr>
          <w:t>Section 1.9.</w:t>
        </w:r>
      </w:hyperlink>
      <w:r>
        <w:rPr>
          <w:rFonts w:ascii="Times New Roman;Times;serif" w:hAnsi="Times New Roman;Times;serif"/>
          <w:sz w:val="24"/>
          <w:shd w:fill="FFFFFF" w:val="clear"/>
        </w:rPr>
        <w:tab/>
      </w:r>
      <w:hyperlink w:anchor="_Toc221027821">
        <w:r>
          <w:rPr>
            <w:rStyle w:val="InternetLink"/>
            <w:rFonts w:ascii="Times New Roman;Times;serif" w:hAnsi="Times New Roman;Times;serif"/>
            <w:b w:val="false"/>
            <w:i w:val="false"/>
            <w:caps w:val="false"/>
            <w:smallCaps w:val="false"/>
            <w:sz w:val="24"/>
            <w:shd w:fill="FFFFFF" w:val="clear"/>
          </w:rPr>
          <w:t>Default Rate</w:t>
        </w:r>
      </w:hyperlink>
      <w:hyperlink w:anchor="_Toc221027821">
        <w:r>
          <w:rPr>
            <w:webHidden/>
          </w:rPr>
          <w:fldChar w:fldCharType="begin"/>
        </w:r>
        <w:r>
          <w:rPr>
            <w:webHidden/>
          </w:rPr>
          <w:instrText xml:space="preserve">PAGEREF _Toc221027821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w:t>
        </w:r>
        <w:r>
          <w:rPr>
            <w:webHidden/>
          </w:rPr>
          <w:fldChar w:fldCharType="end"/>
        </w:r>
      </w:hyperlink>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895"/>
                <wp:effectExtent l="0" t="0" r="0" b="0"/>
                <wp:wrapNone/>
                <wp:docPr id="394" name="Frame3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2">
        <w:r>
          <w:rPr>
            <w:rStyle w:val="InternetLink"/>
            <w:rFonts w:ascii="Times New Roman;Times;serif" w:hAnsi="Times New Roman;Times;serif"/>
            <w:b w:val="false"/>
            <w:i w:val="false"/>
            <w:caps w:val="false"/>
            <w:smallCaps w:val="false"/>
            <w:sz w:val="24"/>
            <w:shd w:fill="FFFFFF" w:val="clear"/>
          </w:rPr>
          <w:t>Section 1.10.</w:t>
        </w:r>
      </w:hyperlink>
      <w:r>
        <w:rPr>
          <w:rFonts w:ascii="Times New Roman;Times;serif" w:hAnsi="Times New Roman;Times;serif"/>
          <w:sz w:val="24"/>
          <w:shd w:fill="FFFFFF" w:val="clear"/>
        </w:rPr>
        <w:tab/>
      </w:r>
      <w:hyperlink w:anchor="_Toc221027822">
        <w:r>
          <w:rPr>
            <w:rStyle w:val="InternetLink"/>
            <w:rFonts w:ascii="Times New Roman;Times;serif" w:hAnsi="Times New Roman;Times;serif"/>
            <w:b w:val="false"/>
            <w:i w:val="false"/>
            <w:caps w:val="false"/>
            <w:smallCaps w:val="false"/>
            <w:sz w:val="24"/>
            <w:shd w:fill="FFFFFF" w:val="clear"/>
          </w:rPr>
          <w:t>Evidence of Indebtedness</w:t>
        </w:r>
      </w:hyperlink>
      <w:hyperlink w:anchor="_Toc221027822">
        <w:r>
          <w:rPr>
            <w:webHidden/>
          </w:rPr>
          <w:fldChar w:fldCharType="begin"/>
        </w:r>
        <w:r>
          <w:rPr>
            <w:webHidden/>
          </w:rPr>
          <w:instrText xml:space="preserve">PAGEREF _Toc221027822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w:t>
        </w:r>
        <w:r>
          <w:rPr>
            <w:webHidden/>
          </w:rPr>
          <w:fldChar w:fldCharType="end"/>
        </w:r>
      </w:hyperlink>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895"/>
                <wp:effectExtent l="0" t="0" r="0" b="0"/>
                <wp:wrapNone/>
                <wp:docPr id="395" name="Frame3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3">
        <w:r>
          <w:rPr>
            <w:rStyle w:val="InternetLink"/>
            <w:rFonts w:ascii="Times New Roman;Times;serif" w:hAnsi="Times New Roman;Times;serif"/>
            <w:b w:val="false"/>
            <w:i w:val="false"/>
            <w:caps w:val="false"/>
            <w:smallCaps w:val="false"/>
            <w:sz w:val="24"/>
            <w:shd w:fill="FFFFFF" w:val="clear"/>
          </w:rPr>
          <w:t>Section 1.11.</w:t>
        </w:r>
      </w:hyperlink>
      <w:r>
        <w:rPr>
          <w:rFonts w:ascii="Times New Roman;Times;serif" w:hAnsi="Times New Roman;Times;serif"/>
          <w:sz w:val="24"/>
          <w:shd w:fill="FFFFFF" w:val="clear"/>
        </w:rPr>
        <w:tab/>
      </w:r>
      <w:hyperlink w:anchor="_Toc221027823">
        <w:r>
          <w:rPr>
            <w:rStyle w:val="InternetLink"/>
            <w:rFonts w:ascii="Times New Roman;Times;serif" w:hAnsi="Times New Roman;Times;serif"/>
            <w:b w:val="false"/>
            <w:i w:val="false"/>
            <w:caps w:val="false"/>
            <w:smallCaps w:val="false"/>
            <w:sz w:val="24"/>
            <w:shd w:fill="FFFFFF" w:val="clear"/>
          </w:rPr>
          <w:t>Funding Indemnity</w:t>
        </w:r>
      </w:hyperlink>
      <w:hyperlink w:anchor="_Toc221027823">
        <w:r>
          <w:rPr>
            <w:webHidden/>
          </w:rPr>
          <w:fldChar w:fldCharType="begin"/>
        </w:r>
        <w:r>
          <w:rPr>
            <w:webHidden/>
          </w:rPr>
          <w:instrText xml:space="preserve">PAGEREF _Toc221027823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w:t>
        </w:r>
        <w:r>
          <w:rPr>
            <w:webHidden/>
          </w:rPr>
          <w:fldChar w:fldCharType="end"/>
        </w:r>
      </w:hyperlink>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895"/>
                <wp:effectExtent l="0" t="0" r="0" b="0"/>
                <wp:wrapNone/>
                <wp:docPr id="396" name="Frame3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5.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4">
        <w:r>
          <w:rPr>
            <w:rStyle w:val="InternetLink"/>
            <w:rFonts w:ascii="Times New Roman;Times;serif" w:hAnsi="Times New Roman;Times;serif"/>
            <w:b w:val="false"/>
            <w:i w:val="false"/>
            <w:caps w:val="false"/>
            <w:smallCaps w:val="false"/>
            <w:sz w:val="24"/>
            <w:shd w:fill="FFFFFF" w:val="clear"/>
          </w:rPr>
          <w:t>Section 1.12.</w:t>
        </w:r>
      </w:hyperlink>
      <w:r>
        <w:rPr>
          <w:rFonts w:ascii="Times New Roman;Times;serif" w:hAnsi="Times New Roman;Times;serif"/>
          <w:sz w:val="24"/>
          <w:shd w:fill="FFFFFF" w:val="clear"/>
        </w:rPr>
        <w:tab/>
      </w:r>
      <w:hyperlink w:anchor="_Toc221027824">
        <w:r>
          <w:rPr>
            <w:rStyle w:val="InternetLink"/>
            <w:rFonts w:ascii="Times New Roman;Times;serif" w:hAnsi="Times New Roman;Times;serif"/>
            <w:b w:val="false"/>
            <w:i w:val="false"/>
            <w:caps w:val="false"/>
            <w:smallCaps w:val="false"/>
            <w:sz w:val="24"/>
            <w:shd w:fill="FFFFFF" w:val="clear"/>
          </w:rPr>
          <w:t>Commitment Terminations</w:t>
        </w:r>
      </w:hyperlink>
      <w:hyperlink w:anchor="_Toc221027824">
        <w:r>
          <w:rPr>
            <w:webHidden/>
          </w:rPr>
          <w:fldChar w:fldCharType="begin"/>
        </w:r>
        <w:r>
          <w:rPr>
            <w:webHidden/>
          </w:rPr>
          <w:instrText xml:space="preserve">PAGEREF _Toc221027824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13</w:t>
        </w:r>
        <w:r>
          <w:rPr>
            <w:webHidden/>
          </w:rPr>
          <w:fldChar w:fldCharType="end"/>
        </w:r>
      </w:hyperlink>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895"/>
                <wp:effectExtent l="0" t="0" r="0" b="0"/>
                <wp:wrapNone/>
                <wp:docPr id="397" name="Frame3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5">
        <w:r>
          <w:rPr>
            <w:rStyle w:val="InternetLink"/>
            <w:rFonts w:ascii="Times New Roman;Times;serif" w:hAnsi="Times New Roman;Times;serif"/>
            <w:b w:val="false"/>
            <w:i w:val="false"/>
            <w:caps w:val="false"/>
            <w:smallCaps w:val="false"/>
            <w:sz w:val="24"/>
            <w:shd w:fill="FFFFFF" w:val="clear"/>
          </w:rPr>
          <w:t>Section 1.13.</w:t>
        </w:r>
      </w:hyperlink>
      <w:r>
        <w:rPr>
          <w:rFonts w:ascii="Times New Roman;Times;serif" w:hAnsi="Times New Roman;Times;serif"/>
          <w:sz w:val="24"/>
          <w:shd w:fill="FFFFFF" w:val="clear"/>
        </w:rPr>
        <w:tab/>
      </w:r>
      <w:hyperlink w:anchor="_Toc221027825">
        <w:r>
          <w:rPr>
            <w:rStyle w:val="InternetLink"/>
            <w:rFonts w:ascii="Times New Roman;Times;serif" w:hAnsi="Times New Roman;Times;serif"/>
            <w:b w:val="false"/>
            <w:i w:val="false"/>
            <w:caps w:val="false"/>
            <w:smallCaps w:val="false"/>
            <w:sz w:val="24"/>
            <w:shd w:fill="FFFFFF" w:val="clear"/>
          </w:rPr>
          <w:t>Substitution of Lenders</w:t>
        </w:r>
      </w:hyperlink>
      <w:hyperlink w:anchor="_Toc221027825">
        <w:r>
          <w:rPr>
            <w:webHidden/>
          </w:rPr>
          <w:fldChar w:fldCharType="begin"/>
        </w:r>
        <w:r>
          <w:rPr>
            <w:webHidden/>
          </w:rPr>
          <w:instrText xml:space="preserve">PAGEREF _Toc221027825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13</w:t>
        </w:r>
        <w:r>
          <w:rPr>
            <w:webHidden/>
          </w:rPr>
          <w:fldChar w:fldCharType="end"/>
        </w:r>
      </w:hyperlink>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895"/>
                <wp:effectExtent l="0" t="0" r="0" b="0"/>
                <wp:wrapNone/>
                <wp:docPr id="398" name="Frame3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5.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6">
        <w:r>
          <w:rPr>
            <w:rStyle w:val="InternetLink"/>
            <w:rFonts w:ascii="Times New Roman;Times;serif" w:hAnsi="Times New Roman;Times;serif"/>
            <w:b w:val="false"/>
            <w:i w:val="false"/>
            <w:caps w:val="false"/>
            <w:smallCaps w:val="false"/>
            <w:sz w:val="24"/>
            <w:shd w:fill="FFFFFF" w:val="clear"/>
          </w:rPr>
          <w:t>Section 1.14.</w:t>
        </w:r>
      </w:hyperlink>
      <w:r>
        <w:rPr>
          <w:rFonts w:ascii="Times New Roman;Times;serif" w:hAnsi="Times New Roman;Times;serif"/>
          <w:sz w:val="24"/>
          <w:shd w:fill="FFFFFF" w:val="clear"/>
        </w:rPr>
        <w:tab/>
      </w:r>
      <w:hyperlink w:anchor="_Toc221027826">
        <w:r>
          <w:rPr>
            <w:rStyle w:val="InternetLink"/>
            <w:rFonts w:ascii="Times New Roman;Times;serif" w:hAnsi="Times New Roman;Times;serif"/>
            <w:b w:val="false"/>
            <w:i w:val="false"/>
            <w:caps w:val="false"/>
            <w:smallCaps w:val="false"/>
            <w:sz w:val="24"/>
            <w:shd w:fill="FFFFFF" w:val="clear"/>
          </w:rPr>
          <w:t>Defaulting Lenders</w:t>
        </w:r>
      </w:hyperlink>
      <w:hyperlink w:anchor="_Toc221027826">
        <w:r>
          <w:rPr>
            <w:webHidden/>
          </w:rPr>
          <w:fldChar w:fldCharType="begin"/>
        </w:r>
        <w:r>
          <w:rPr>
            <w:webHidden/>
          </w:rPr>
          <w:instrText xml:space="preserve">PAGEREF _Toc221027826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14</w:t>
        </w:r>
        <w:r>
          <w:rPr>
            <w:webHidden/>
          </w:rPr>
          <w:fldChar w:fldCharType="end"/>
        </w:r>
      </w:hyperlink>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895"/>
                <wp:effectExtent l="0" t="0" r="0" b="0"/>
                <wp:wrapNone/>
                <wp:docPr id="399" name="Frame3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7">
        <w:r>
          <w:rPr>
            <w:rStyle w:val="InternetLink"/>
            <w:rFonts w:ascii="Times New Roman;Times;serif" w:hAnsi="Times New Roman;Times;serif"/>
            <w:b w:val="false"/>
            <w:i w:val="false"/>
            <w:caps w:val="false"/>
            <w:smallCaps w:val="false"/>
            <w:sz w:val="24"/>
            <w:shd w:fill="FFFFFF" w:val="clear"/>
          </w:rPr>
          <w:t>Section 1.15.</w:t>
        </w:r>
      </w:hyperlink>
      <w:r>
        <w:rPr>
          <w:rFonts w:ascii="Times New Roman;Times;serif" w:hAnsi="Times New Roman;Times;serif"/>
          <w:sz w:val="24"/>
          <w:shd w:fill="FFFFFF" w:val="clear"/>
        </w:rPr>
        <w:tab/>
      </w:r>
      <w:hyperlink w:anchor="_Toc221027827">
        <w:r>
          <w:rPr>
            <w:rStyle w:val="InternetLink"/>
            <w:rFonts w:ascii="Times New Roman;Times;serif" w:hAnsi="Times New Roman;Times;serif"/>
            <w:b w:val="false"/>
            <w:i w:val="false"/>
            <w:caps w:val="false"/>
            <w:smallCaps w:val="false"/>
            <w:sz w:val="24"/>
            <w:shd w:fill="FFFFFF" w:val="clear"/>
          </w:rPr>
          <w:t>Increase in Revolving Credit Commitments and Incremental Term Loan Commitments</w:t>
        </w:r>
      </w:hyperlink>
      <w:hyperlink w:anchor="_Toc221027827">
        <w:r>
          <w:rPr>
            <w:webHidden/>
          </w:rPr>
          <w:fldChar w:fldCharType="begin"/>
        </w:r>
        <w:r>
          <w:rPr>
            <w:webHidden/>
          </w:rPr>
          <w:instrText xml:space="preserve">PAGEREF _Toc221027827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17</w:t>
        </w:r>
        <w:r>
          <w:rPr>
            <w:webHidden/>
          </w:rPr>
          <w:fldChar w:fldCharType="end"/>
        </w:r>
      </w:hyperlink>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895"/>
                <wp:effectExtent l="0" t="0" r="0" b="0"/>
                <wp:wrapNone/>
                <wp:docPr id="400" name="Frame4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8">
        <w:r>
          <w:rPr>
            <w:rStyle w:val="InternetLink"/>
            <w:rFonts w:ascii="Times New Roman;Times;serif" w:hAnsi="Times New Roman;Times;serif"/>
            <w:b w:val="false"/>
            <w:i w:val="false"/>
            <w:caps w:val="false"/>
            <w:smallCaps w:val="false"/>
            <w:sz w:val="24"/>
            <w:shd w:fill="FFFFFF" w:val="clear"/>
          </w:rPr>
          <w:t>Section 1.16.</w:t>
        </w:r>
      </w:hyperlink>
      <w:r>
        <w:rPr>
          <w:rFonts w:ascii="Times New Roman;Times;serif" w:hAnsi="Times New Roman;Times;serif"/>
          <w:sz w:val="24"/>
          <w:shd w:fill="FFFFFF" w:val="clear"/>
        </w:rPr>
        <w:tab/>
      </w:r>
      <w:hyperlink w:anchor="_Toc221027828">
        <w:r>
          <w:rPr>
            <w:rStyle w:val="InternetLink"/>
            <w:rFonts w:ascii="Times New Roman;Times;serif" w:hAnsi="Times New Roman;Times;serif"/>
            <w:b w:val="false"/>
            <w:i w:val="false"/>
            <w:caps w:val="false"/>
            <w:smallCaps w:val="false"/>
            <w:sz w:val="24"/>
            <w:shd w:fill="FFFFFF" w:val="clear"/>
          </w:rPr>
          <w:t>Extension of Revolving Credit Termination Date</w:t>
        </w:r>
      </w:hyperlink>
      <w:hyperlink w:anchor="_Toc221027828">
        <w:r>
          <w:rPr>
            <w:webHidden/>
          </w:rPr>
          <w:fldChar w:fldCharType="begin"/>
        </w:r>
        <w:r>
          <w:rPr>
            <w:webHidden/>
          </w:rPr>
          <w:instrText xml:space="preserve">PAGEREF _Toc221027828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895"/>
                <wp:effectExtent l="0" t="0" r="0" b="0"/>
                <wp:wrapNone/>
                <wp:docPr id="401" name="Frame4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29">
        <w:r>
          <w:rPr>
            <w:rStyle w:val="InternetLink"/>
            <w:rFonts w:ascii="Times New Roman;Times;serif" w:hAnsi="Times New Roman;Times;serif"/>
            <w:b w:val="false"/>
            <w:i w:val="false"/>
            <w:caps w:val="false"/>
            <w:smallCaps w:val="false"/>
            <w:sz w:val="24"/>
            <w:shd w:fill="FFFFFF" w:val="clear"/>
          </w:rPr>
          <w:t>Section 1.17.</w:t>
        </w:r>
      </w:hyperlink>
      <w:r>
        <w:rPr>
          <w:rFonts w:ascii="Times New Roman;Times;serif" w:hAnsi="Times New Roman;Times;serif"/>
          <w:sz w:val="24"/>
          <w:shd w:fill="FFFFFF" w:val="clear"/>
        </w:rPr>
        <w:tab/>
      </w:r>
      <w:hyperlink w:anchor="_Toc221027829">
        <w:r>
          <w:rPr>
            <w:rStyle w:val="InternetLink"/>
            <w:rFonts w:ascii="Times New Roman;Times;serif" w:hAnsi="Times New Roman;Times;serif"/>
            <w:b w:val="false"/>
            <w:i w:val="false"/>
            <w:caps w:val="false"/>
            <w:smallCaps w:val="false"/>
            <w:sz w:val="24"/>
            <w:shd w:fill="FFFFFF" w:val="clear"/>
          </w:rPr>
          <w:t>RESERVED</w:t>
        </w:r>
      </w:hyperlink>
      <w:hyperlink w:anchor="_Toc221027829">
        <w:r>
          <w:rPr>
            <w:webHidden/>
          </w:rPr>
          <w:fldChar w:fldCharType="begin"/>
        </w:r>
        <w:r>
          <w:rPr>
            <w:webHidden/>
          </w:rPr>
          <w:instrText xml:space="preserve">PAGEREF _Toc221027829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20</w:t>
        </w:r>
        <w:r>
          <w:rPr>
            <w:webHidden/>
          </w:rPr>
          <w:fldChar w:fldCharType="end"/>
        </w:r>
      </w:hyperlink>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895"/>
                <wp:effectExtent l="0" t="0" r="0" b="0"/>
                <wp:wrapNone/>
                <wp:docPr id="402" name="Frame4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30">
        <w:r>
          <w:rPr>
            <w:rStyle w:val="InternetLink"/>
            <w:rFonts w:ascii="Times New Roman;Times;serif" w:hAnsi="Times New Roman;Times;serif"/>
            <w:b w:val="false"/>
            <w:i w:val="false"/>
            <w:caps w:val="false"/>
            <w:smallCaps w:val="false"/>
            <w:sz w:val="24"/>
            <w:shd w:fill="FFFFFF" w:val="clear"/>
          </w:rPr>
          <w:t>Section 1.18.</w:t>
        </w:r>
      </w:hyperlink>
      <w:r>
        <w:rPr>
          <w:rFonts w:ascii="Times New Roman;Times;serif" w:hAnsi="Times New Roman;Times;serif"/>
          <w:sz w:val="24"/>
          <w:shd w:fill="FFFFFF" w:val="clear"/>
        </w:rPr>
        <w:tab/>
      </w:r>
      <w:hyperlink w:anchor="_Toc221027830">
        <w:r>
          <w:rPr>
            <w:rStyle w:val="InternetLink"/>
            <w:rFonts w:ascii="Times New Roman;Times;serif" w:hAnsi="Times New Roman;Times;serif"/>
            <w:b w:val="false"/>
            <w:i w:val="false"/>
            <w:caps w:val="false"/>
            <w:smallCaps w:val="false"/>
            <w:sz w:val="24"/>
            <w:shd w:fill="FFFFFF" w:val="clear"/>
          </w:rPr>
          <w:t>ESG Adjustments</w:t>
        </w:r>
      </w:hyperlink>
      <w:hyperlink w:anchor="_Toc221027830">
        <w:r>
          <w:rPr>
            <w:webHidden/>
          </w:rPr>
          <w:fldChar w:fldCharType="begin"/>
        </w:r>
        <w:r>
          <w:rPr>
            <w:webHidden/>
          </w:rPr>
          <w:instrText xml:space="preserve">PAGEREF _Toc221027830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20</w:t>
        </w:r>
        <w:r>
          <w:rPr>
            <w:webHidden/>
          </w:rPr>
          <w:fldChar w:fldCharType="end"/>
        </w:r>
      </w:hyperlink>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895"/>
                <wp:effectExtent l="0" t="0" r="0" b="0"/>
                <wp:wrapNone/>
                <wp:docPr id="403" name="Frame4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9.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31">
        <w:r>
          <w:rPr>
            <w:rStyle w:val="InternetLink"/>
            <w:rFonts w:ascii="Times New Roman;Times;serif" w:hAnsi="Times New Roman;Times;serif"/>
            <w:b w:val="false"/>
            <w:i w:val="false"/>
            <w:caps w:val="false"/>
            <w:smallCaps w:val="false"/>
            <w:sz w:val="24"/>
            <w:shd w:fill="FFFFFF" w:val="clear"/>
          </w:rPr>
          <w:t>SECTION 2.</w:t>
        </w:r>
      </w:hyperlink>
      <w:r>
        <w:rPr>
          <w:rFonts w:ascii="Times New Roman;Times;serif" w:hAnsi="Times New Roman;Times;serif"/>
          <w:sz w:val="24"/>
          <w:shd w:fill="FFFFFF" w:val="clear"/>
        </w:rPr>
        <w:tab/>
      </w:r>
      <w:hyperlink w:anchor="_Toc221027831">
        <w:r>
          <w:rPr>
            <w:rStyle w:val="InternetLink"/>
            <w:rFonts w:ascii="Times New Roman;Times;serif" w:hAnsi="Times New Roman;Times;serif"/>
            <w:b w:val="false"/>
            <w:i w:val="false"/>
            <w:caps w:val="false"/>
            <w:smallCaps w:val="false"/>
            <w:sz w:val="24"/>
            <w:shd w:fill="FFFFFF" w:val="clear"/>
          </w:rPr>
          <w:t>Fees.</w:t>
        </w:r>
      </w:hyperlink>
      <w:hyperlink w:anchor="_Toc221027831">
        <w:r>
          <w:rPr>
            <w:webHidden/>
          </w:rPr>
          <w:fldChar w:fldCharType="begin"/>
        </w:r>
        <w:r>
          <w:rPr>
            <w:webHidden/>
          </w:rPr>
          <w:instrText xml:space="preserve">PAGEREF _Toc221027831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405">
                <wp:simplePos x="0" y="0"/>
                <wp:positionH relativeFrom="page">
                  <wp:posOffset>0</wp:posOffset>
                </wp:positionH>
                <wp:positionV relativeFrom="line">
                  <wp:posOffset>635</wp:posOffset>
                </wp:positionV>
                <wp:extent cx="6480175" cy="175895"/>
                <wp:effectExtent l="0" t="0" r="0" b="0"/>
                <wp:wrapNone/>
                <wp:docPr id="404" name="Frame4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32">
        <w:r>
          <w:rPr>
            <w:rStyle w:val="InternetLink"/>
            <w:rFonts w:ascii="Times New Roman;Times;serif" w:hAnsi="Times New Roman;Times;serif"/>
            <w:b w:val="false"/>
            <w:i w:val="false"/>
            <w:caps w:val="false"/>
            <w:smallCaps w:val="false"/>
            <w:sz w:val="24"/>
            <w:shd w:fill="FFFFFF" w:val="clear"/>
          </w:rPr>
          <w:t>Section 2.1.</w:t>
        </w:r>
      </w:hyperlink>
      <w:r>
        <w:rPr>
          <w:rFonts w:ascii="Times New Roman;Times;serif" w:hAnsi="Times New Roman;Times;serif"/>
          <w:sz w:val="24"/>
          <w:shd w:fill="FFFFFF" w:val="clear"/>
        </w:rPr>
        <w:tab/>
      </w:r>
      <w:hyperlink w:anchor="_Toc221027832">
        <w:r>
          <w:rPr>
            <w:rStyle w:val="InternetLink"/>
            <w:rFonts w:ascii="Times New Roman;Times;serif" w:hAnsi="Times New Roman;Times;serif"/>
            <w:b w:val="false"/>
            <w:i w:val="false"/>
            <w:caps w:val="false"/>
            <w:smallCaps w:val="false"/>
            <w:sz w:val="24"/>
            <w:shd w:fill="FFFFFF" w:val="clear"/>
          </w:rPr>
          <w:t>Fees.</w:t>
        </w:r>
      </w:hyperlink>
      <w:hyperlink w:anchor="_Toc221027832">
        <w:r>
          <w:rPr>
            <w:webHidden/>
          </w:rPr>
          <w:fldChar w:fldCharType="begin"/>
        </w:r>
        <w:r>
          <w:rPr>
            <w:webHidden/>
          </w:rPr>
          <w:instrText xml:space="preserve">PAGEREF _Toc221027832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895"/>
                <wp:effectExtent l="0" t="0" r="0" b="0"/>
                <wp:wrapNone/>
                <wp:docPr id="405" name="Frame4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33">
        <w:r>
          <w:rPr>
            <w:rStyle w:val="InternetLink"/>
            <w:rFonts w:ascii="Times New Roman;Times;serif" w:hAnsi="Times New Roman;Times;serif"/>
            <w:b w:val="false"/>
            <w:i w:val="false"/>
            <w:caps w:val="false"/>
            <w:smallCaps w:val="false"/>
            <w:sz w:val="24"/>
            <w:shd w:fill="FFFFFF" w:val="clear"/>
          </w:rPr>
          <w:t>SECTION 3.</w:t>
        </w:r>
      </w:hyperlink>
      <w:r>
        <w:rPr>
          <w:rFonts w:ascii="Times New Roman;Times;serif" w:hAnsi="Times New Roman;Times;serif"/>
          <w:sz w:val="24"/>
          <w:shd w:fill="FFFFFF" w:val="clear"/>
        </w:rPr>
        <w:tab/>
      </w:r>
      <w:hyperlink w:anchor="_Toc221027833">
        <w:r>
          <w:rPr>
            <w:rStyle w:val="InternetLink"/>
            <w:rFonts w:ascii="Times New Roman;Times;serif" w:hAnsi="Times New Roman;Times;serif"/>
            <w:b w:val="false"/>
            <w:i w:val="false"/>
            <w:caps w:val="false"/>
            <w:smallCaps w:val="false"/>
            <w:sz w:val="24"/>
            <w:shd w:fill="FFFFFF" w:val="clear"/>
          </w:rPr>
          <w:t>Place and Application of Payments.</w:t>
        </w:r>
      </w:hyperlink>
      <w:hyperlink w:anchor="_Toc221027833">
        <w:r>
          <w:rPr>
            <w:webHidden/>
          </w:rPr>
          <w:fldChar w:fldCharType="begin"/>
        </w:r>
        <w:r>
          <w:rPr>
            <w:webHidden/>
          </w:rPr>
          <w:instrText xml:space="preserve">PAGEREF _Toc221027833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407">
                <wp:simplePos x="0" y="0"/>
                <wp:positionH relativeFrom="page">
                  <wp:posOffset>0</wp:posOffset>
                </wp:positionH>
                <wp:positionV relativeFrom="line">
                  <wp:posOffset>635</wp:posOffset>
                </wp:positionV>
                <wp:extent cx="6480175" cy="175895"/>
                <wp:effectExtent l="0" t="0" r="0" b="0"/>
                <wp:wrapNone/>
                <wp:docPr id="406" name="Frame4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34">
        <w:r>
          <w:rPr>
            <w:rStyle w:val="InternetLink"/>
            <w:rFonts w:ascii="Times New Roman;Times;serif" w:hAnsi="Times New Roman;Times;serif"/>
            <w:b w:val="false"/>
            <w:i w:val="false"/>
            <w:caps w:val="false"/>
            <w:smallCaps w:val="false"/>
            <w:sz w:val="24"/>
            <w:shd w:fill="FFFFFF" w:val="clear"/>
          </w:rPr>
          <w:t>Section 3.1.</w:t>
        </w:r>
      </w:hyperlink>
      <w:r>
        <w:rPr>
          <w:rFonts w:ascii="Times New Roman;Times;serif" w:hAnsi="Times New Roman;Times;serif"/>
          <w:sz w:val="24"/>
          <w:shd w:fill="FFFFFF" w:val="clear"/>
        </w:rPr>
        <w:tab/>
      </w:r>
      <w:hyperlink w:anchor="_Toc221027834">
        <w:r>
          <w:rPr>
            <w:rStyle w:val="InternetLink"/>
            <w:rFonts w:ascii="Times New Roman;Times;serif" w:hAnsi="Times New Roman;Times;serif"/>
            <w:b w:val="false"/>
            <w:i w:val="false"/>
            <w:caps w:val="false"/>
            <w:smallCaps w:val="false"/>
            <w:sz w:val="24"/>
            <w:shd w:fill="FFFFFF" w:val="clear"/>
          </w:rPr>
          <w:t>Place and Application of Payments.</w:t>
        </w:r>
      </w:hyperlink>
      <w:hyperlink w:anchor="_Toc221027834">
        <w:r>
          <w:rPr>
            <w:webHidden/>
          </w:rPr>
          <w:fldChar w:fldCharType="begin"/>
        </w:r>
        <w:r>
          <w:rPr>
            <w:webHidden/>
          </w:rPr>
          <w:instrText xml:space="preserve">PAGEREF _Toc221027834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895"/>
                <wp:effectExtent l="0" t="0" r="0" b="0"/>
                <wp:wrapNone/>
                <wp:docPr id="407" name="Frame4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35">
        <w:r>
          <w:rPr>
            <w:rStyle w:val="InternetLink"/>
            <w:rFonts w:ascii="Times New Roman;Times;serif" w:hAnsi="Times New Roman;Times;serif"/>
            <w:b w:val="false"/>
            <w:i w:val="false"/>
            <w:caps w:val="false"/>
            <w:smallCaps w:val="false"/>
            <w:sz w:val="24"/>
            <w:shd w:fill="FFFFFF" w:val="clear"/>
          </w:rPr>
          <w:t>SECTION 4.</w:t>
        </w:r>
      </w:hyperlink>
      <w:r>
        <w:rPr>
          <w:rFonts w:ascii="Times New Roman;Times;serif" w:hAnsi="Times New Roman;Times;serif"/>
          <w:sz w:val="24"/>
          <w:shd w:fill="FFFFFF" w:val="clear"/>
        </w:rPr>
        <w:tab/>
      </w:r>
      <w:hyperlink w:anchor="_Toc221027835">
        <w:r>
          <w:rPr>
            <w:rStyle w:val="InternetLink"/>
            <w:rFonts w:ascii="Times New Roman;Times;serif" w:hAnsi="Times New Roman;Times;serif"/>
            <w:b w:val="false"/>
            <w:i w:val="false"/>
            <w:caps w:val="false"/>
            <w:smallCaps w:val="false"/>
            <w:sz w:val="24"/>
            <w:shd w:fill="FFFFFF" w:val="clear"/>
          </w:rPr>
          <w:t>Guaranties</w:t>
        </w:r>
      </w:hyperlink>
      <w:hyperlink w:anchor="_Toc221027835">
        <w:r>
          <w:rPr>
            <w:webHidden/>
          </w:rPr>
          <w:fldChar w:fldCharType="begin"/>
        </w:r>
        <w:r>
          <w:rPr>
            <w:webHidden/>
          </w:rPr>
          <w:instrText xml:space="preserve">PAGEREF _Toc221027835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09">
                <wp:simplePos x="0" y="0"/>
                <wp:positionH relativeFrom="page">
                  <wp:posOffset>0</wp:posOffset>
                </wp:positionH>
                <wp:positionV relativeFrom="line">
                  <wp:posOffset>635</wp:posOffset>
                </wp:positionV>
                <wp:extent cx="6480175" cy="175895"/>
                <wp:effectExtent l="0" t="0" r="0" b="0"/>
                <wp:wrapNone/>
                <wp:docPr id="408" name="Frame4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36">
        <w:r>
          <w:rPr>
            <w:rStyle w:val="InternetLink"/>
            <w:rFonts w:ascii="Times New Roman;Times;serif" w:hAnsi="Times New Roman;Times;serif"/>
            <w:b w:val="false"/>
            <w:i w:val="false"/>
            <w:caps w:val="false"/>
            <w:smallCaps w:val="false"/>
            <w:sz w:val="24"/>
            <w:shd w:fill="FFFFFF" w:val="clear"/>
          </w:rPr>
          <w:t>Section 4.1.</w:t>
        </w:r>
      </w:hyperlink>
      <w:r>
        <w:rPr>
          <w:rFonts w:ascii="Times New Roman;Times;serif" w:hAnsi="Times New Roman;Times;serif"/>
          <w:sz w:val="24"/>
          <w:shd w:fill="FFFFFF" w:val="clear"/>
        </w:rPr>
        <w:tab/>
      </w:r>
      <w:hyperlink w:anchor="_Toc221027836">
        <w:r>
          <w:rPr>
            <w:rStyle w:val="InternetLink"/>
            <w:rFonts w:ascii="Times New Roman;Times;serif" w:hAnsi="Times New Roman;Times;serif"/>
            <w:b w:val="false"/>
            <w:i w:val="false"/>
            <w:caps w:val="false"/>
            <w:smallCaps w:val="false"/>
            <w:sz w:val="24"/>
            <w:shd w:fill="FFFFFF" w:val="clear"/>
          </w:rPr>
          <w:t>Guaranties.</w:t>
        </w:r>
      </w:hyperlink>
      <w:hyperlink w:anchor="_Toc221027836">
        <w:r>
          <w:rPr>
            <w:webHidden/>
          </w:rPr>
          <w:fldChar w:fldCharType="begin"/>
        </w:r>
        <w:r>
          <w:rPr>
            <w:webHidden/>
          </w:rPr>
          <w:instrText xml:space="preserve">PAGEREF _Toc221027836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895"/>
                <wp:effectExtent l="0" t="0" r="0" b="0"/>
                <wp:wrapNone/>
                <wp:docPr id="409" name="Frame4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37">
        <w:r>
          <w:rPr>
            <w:rStyle w:val="InternetLink"/>
            <w:rFonts w:ascii="Times New Roman;Times;serif" w:hAnsi="Times New Roman;Times;serif"/>
            <w:b w:val="false"/>
            <w:i w:val="false"/>
            <w:caps w:val="false"/>
            <w:smallCaps w:val="false"/>
            <w:sz w:val="24"/>
            <w:shd w:fill="FFFFFF" w:val="clear"/>
          </w:rPr>
          <w:t>Section 4.2.</w:t>
        </w:r>
      </w:hyperlink>
      <w:r>
        <w:rPr>
          <w:rFonts w:ascii="Times New Roman;Times;serif" w:hAnsi="Times New Roman;Times;serif"/>
          <w:sz w:val="24"/>
          <w:shd w:fill="FFFFFF" w:val="clear"/>
        </w:rPr>
        <w:tab/>
      </w:r>
      <w:hyperlink w:anchor="_Toc221027837">
        <w:r>
          <w:rPr>
            <w:rStyle w:val="InternetLink"/>
            <w:rFonts w:ascii="Times New Roman;Times;serif" w:hAnsi="Times New Roman;Times;serif"/>
            <w:b w:val="false"/>
            <w:i w:val="false"/>
            <w:caps w:val="false"/>
            <w:smallCaps w:val="false"/>
            <w:sz w:val="24"/>
            <w:shd w:fill="FFFFFF" w:val="clear"/>
          </w:rPr>
          <w:t>Further Assurances.</w:t>
        </w:r>
      </w:hyperlink>
      <w:hyperlink w:anchor="_Toc221027837">
        <w:r>
          <w:rPr>
            <w:webHidden/>
          </w:rPr>
          <w:fldChar w:fldCharType="begin"/>
        </w:r>
        <w:r>
          <w:rPr>
            <w:webHidden/>
          </w:rPr>
          <w:instrText xml:space="preserve">PAGEREF _Toc221027837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895"/>
                <wp:effectExtent l="0" t="0" r="0" b="0"/>
                <wp:wrapNone/>
                <wp:docPr id="410" name="Frame4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38">
        <w:r>
          <w:rPr>
            <w:rStyle w:val="InternetLink"/>
            <w:rFonts w:ascii="Times New Roman;Times;serif" w:hAnsi="Times New Roman;Times;serif"/>
            <w:b w:val="false"/>
            <w:i w:val="false"/>
            <w:caps w:val="false"/>
            <w:smallCaps w:val="false"/>
            <w:sz w:val="24"/>
            <w:shd w:fill="FFFFFF" w:val="clear"/>
          </w:rPr>
          <w:t>SECTION 5.</w:t>
        </w:r>
      </w:hyperlink>
      <w:r>
        <w:rPr>
          <w:rFonts w:ascii="Times New Roman;Times;serif" w:hAnsi="Times New Roman;Times;serif"/>
          <w:sz w:val="24"/>
          <w:shd w:fill="FFFFFF" w:val="clear"/>
        </w:rPr>
        <w:tab/>
      </w:r>
      <w:hyperlink w:anchor="_Toc221027838">
        <w:r>
          <w:rPr>
            <w:rStyle w:val="InternetLink"/>
            <w:rFonts w:ascii="Times New Roman;Times;serif" w:hAnsi="Times New Roman;Times;serif"/>
            <w:b w:val="false"/>
            <w:i w:val="false"/>
            <w:caps w:val="false"/>
            <w:smallCaps w:val="false"/>
            <w:sz w:val="24"/>
            <w:shd w:fill="FFFFFF" w:val="clear"/>
          </w:rPr>
          <w:t>Definitions; Interpretation.</w:t>
        </w:r>
      </w:hyperlink>
      <w:hyperlink w:anchor="_Toc221027838">
        <w:r>
          <w:rPr>
            <w:webHidden/>
          </w:rPr>
          <w:fldChar w:fldCharType="begin"/>
        </w:r>
        <w:r>
          <w:rPr>
            <w:webHidden/>
          </w:rPr>
          <w:instrText xml:space="preserve">PAGEREF _Toc221027838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12">
                <wp:simplePos x="0" y="0"/>
                <wp:positionH relativeFrom="page">
                  <wp:posOffset>0</wp:posOffset>
                </wp:positionH>
                <wp:positionV relativeFrom="line">
                  <wp:posOffset>635</wp:posOffset>
                </wp:positionV>
                <wp:extent cx="6480175" cy="175895"/>
                <wp:effectExtent l="0" t="0" r="0" b="0"/>
                <wp:wrapNone/>
                <wp:docPr id="411" name="Frame4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39">
        <w:r>
          <w:rPr>
            <w:rStyle w:val="InternetLink"/>
            <w:rFonts w:ascii="Times New Roman;Times;serif" w:hAnsi="Times New Roman;Times;serif"/>
            <w:b w:val="false"/>
            <w:i w:val="false"/>
            <w:caps w:val="false"/>
            <w:smallCaps w:val="false"/>
            <w:sz w:val="24"/>
            <w:shd w:fill="FFFFFF" w:val="clear"/>
          </w:rPr>
          <w:t>Section 5.1.</w:t>
        </w:r>
      </w:hyperlink>
      <w:r>
        <w:rPr>
          <w:rFonts w:ascii="Times New Roman;Times;serif" w:hAnsi="Times New Roman;Times;serif"/>
          <w:sz w:val="24"/>
          <w:shd w:fill="FFFFFF" w:val="clear"/>
        </w:rPr>
        <w:tab/>
      </w:r>
      <w:hyperlink w:anchor="_Toc221027839">
        <w:r>
          <w:rPr>
            <w:rStyle w:val="InternetLink"/>
            <w:rFonts w:ascii="Times New Roman;Times;serif" w:hAnsi="Times New Roman;Times;serif"/>
            <w:b w:val="false"/>
            <w:i w:val="false"/>
            <w:caps w:val="false"/>
            <w:smallCaps w:val="false"/>
            <w:sz w:val="24"/>
            <w:shd w:fill="FFFFFF" w:val="clear"/>
          </w:rPr>
          <w:t>Definitions.</w:t>
        </w:r>
      </w:hyperlink>
      <w:hyperlink w:anchor="_Toc221027839">
        <w:r>
          <w:rPr>
            <w:webHidden/>
          </w:rPr>
          <w:fldChar w:fldCharType="begin"/>
        </w:r>
        <w:r>
          <w:rPr>
            <w:webHidden/>
          </w:rPr>
          <w:instrText xml:space="preserve">PAGEREF _Toc221027839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895"/>
                <wp:effectExtent l="0" t="0" r="0" b="0"/>
                <wp:wrapNone/>
                <wp:docPr id="412" name="Frame4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0">
        <w:r>
          <w:rPr>
            <w:rStyle w:val="InternetLink"/>
            <w:rFonts w:ascii="Times New Roman;Times;serif" w:hAnsi="Times New Roman;Times;serif"/>
            <w:b w:val="false"/>
            <w:i w:val="false"/>
            <w:caps w:val="false"/>
            <w:smallCaps w:val="false"/>
            <w:sz w:val="24"/>
            <w:shd w:fill="FFFFFF" w:val="clear"/>
          </w:rPr>
          <w:t>Section 5.2.</w:t>
        </w:r>
      </w:hyperlink>
      <w:r>
        <w:rPr>
          <w:rFonts w:ascii="Times New Roman;Times;serif" w:hAnsi="Times New Roman;Times;serif"/>
          <w:sz w:val="24"/>
          <w:shd w:fill="FFFFFF" w:val="clear"/>
        </w:rPr>
        <w:tab/>
      </w:r>
      <w:hyperlink w:anchor="_Toc221027840">
        <w:r>
          <w:rPr>
            <w:rStyle w:val="InternetLink"/>
            <w:rFonts w:ascii="Times New Roman;Times;serif" w:hAnsi="Times New Roman;Times;serif"/>
            <w:b w:val="false"/>
            <w:i w:val="false"/>
            <w:caps w:val="false"/>
            <w:smallCaps w:val="false"/>
            <w:sz w:val="24"/>
            <w:shd w:fill="FFFFFF" w:val="clear"/>
          </w:rPr>
          <w:t>Interpretation.</w:t>
        </w:r>
      </w:hyperlink>
      <w:hyperlink w:anchor="_Toc221027840">
        <w:r>
          <w:rPr>
            <w:webHidden/>
          </w:rPr>
          <w:fldChar w:fldCharType="begin"/>
        </w:r>
        <w:r>
          <w:rPr>
            <w:webHidden/>
          </w:rPr>
          <w:instrText xml:space="preserve">PAGEREF _Toc221027840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58</w:t>
        </w:r>
        <w:r>
          <w:rPr>
            <w:webHidden/>
          </w:rPr>
          <w:fldChar w:fldCharType="end"/>
        </w:r>
      </w:hyperlink>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895"/>
                <wp:effectExtent l="0" t="0" r="0" b="0"/>
                <wp:wrapNone/>
                <wp:docPr id="413" name="Frame4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1">
        <w:r>
          <w:rPr>
            <w:rStyle w:val="InternetLink"/>
            <w:rFonts w:ascii="Times New Roman;Times;serif" w:hAnsi="Times New Roman;Times;serif"/>
            <w:b w:val="false"/>
            <w:i w:val="false"/>
            <w:caps w:val="false"/>
            <w:smallCaps w:val="false"/>
            <w:sz w:val="24"/>
            <w:shd w:fill="FFFFFF" w:val="clear"/>
          </w:rPr>
          <w:t>Section 5.3.</w:t>
        </w:r>
      </w:hyperlink>
      <w:r>
        <w:rPr>
          <w:rFonts w:ascii="Times New Roman;Times;serif" w:hAnsi="Times New Roman;Times;serif"/>
          <w:sz w:val="24"/>
          <w:shd w:fill="FFFFFF" w:val="clear"/>
        </w:rPr>
        <w:tab/>
      </w:r>
      <w:hyperlink w:anchor="_Toc221027841">
        <w:r>
          <w:rPr>
            <w:rStyle w:val="InternetLink"/>
            <w:rFonts w:ascii="Times New Roman;Times;serif" w:hAnsi="Times New Roman;Times;serif"/>
            <w:b w:val="false"/>
            <w:i w:val="false"/>
            <w:caps w:val="false"/>
            <w:smallCaps w:val="false"/>
            <w:sz w:val="24"/>
            <w:shd w:fill="FFFFFF" w:val="clear"/>
          </w:rPr>
          <w:t>Change in Accounting Principles.</w:t>
        </w:r>
      </w:hyperlink>
      <w:hyperlink w:anchor="_Toc221027841">
        <w:r>
          <w:rPr>
            <w:webHidden/>
          </w:rPr>
          <w:fldChar w:fldCharType="begin"/>
        </w:r>
        <w:r>
          <w:rPr>
            <w:webHidden/>
          </w:rPr>
          <w:instrText xml:space="preserve">PAGEREF _Toc221027841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895"/>
                <wp:effectExtent l="0" t="0" r="0" b="0"/>
                <wp:wrapNone/>
                <wp:docPr id="414" name="Frame4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2">
        <w:r>
          <w:rPr>
            <w:rStyle w:val="InternetLink"/>
            <w:rFonts w:ascii="Times New Roman;Times;serif" w:hAnsi="Times New Roman;Times;serif"/>
            <w:b w:val="false"/>
            <w:i w:val="false"/>
            <w:caps w:val="false"/>
            <w:smallCaps w:val="false"/>
            <w:sz w:val="24"/>
            <w:shd w:fill="FFFFFF" w:val="clear"/>
          </w:rPr>
          <w:t>Section 5.4.</w:t>
        </w:r>
      </w:hyperlink>
      <w:r>
        <w:rPr>
          <w:rFonts w:ascii="Times New Roman;Times;serif" w:hAnsi="Times New Roman;Times;serif"/>
          <w:sz w:val="24"/>
          <w:shd w:fill="FFFFFF" w:val="clear"/>
        </w:rPr>
        <w:tab/>
      </w:r>
      <w:hyperlink w:anchor="_Toc221027842">
        <w:r>
          <w:rPr>
            <w:rStyle w:val="InternetLink"/>
            <w:rFonts w:ascii="Times New Roman;Times;serif" w:hAnsi="Times New Roman;Times;serif"/>
            <w:b w:val="false"/>
            <w:i w:val="false"/>
            <w:caps w:val="false"/>
            <w:smallCaps w:val="false"/>
            <w:sz w:val="24"/>
            <w:shd w:fill="FFFFFF" w:val="clear"/>
          </w:rPr>
          <w:t>Rates</w:t>
        </w:r>
      </w:hyperlink>
      <w:hyperlink w:anchor="_Toc221027842">
        <w:r>
          <w:rPr>
            <w:webHidden/>
          </w:rPr>
          <w:fldChar w:fldCharType="begin"/>
        </w:r>
        <w:r>
          <w:rPr>
            <w:webHidden/>
          </w:rPr>
          <w:instrText xml:space="preserve">PAGEREF _Toc221027842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895"/>
                <wp:effectExtent l="0" t="0" r="0" b="0"/>
                <wp:wrapNone/>
                <wp:docPr id="415" name="Frame4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3">
        <w:r>
          <w:rPr>
            <w:rStyle w:val="InternetLink"/>
            <w:rFonts w:ascii="Times New Roman;Times;serif" w:hAnsi="Times New Roman;Times;serif"/>
            <w:b w:val="false"/>
            <w:i w:val="false"/>
            <w:caps w:val="false"/>
            <w:smallCaps w:val="false"/>
            <w:sz w:val="24"/>
            <w:shd w:fill="FFFFFF" w:val="clear"/>
          </w:rPr>
          <w:t>Section 5.5.</w:t>
        </w:r>
      </w:hyperlink>
      <w:r>
        <w:rPr>
          <w:rFonts w:ascii="Times New Roman;Times;serif" w:hAnsi="Times New Roman;Times;serif"/>
          <w:sz w:val="24"/>
          <w:shd w:fill="FFFFFF" w:val="clear"/>
        </w:rPr>
        <w:tab/>
      </w:r>
      <w:hyperlink w:anchor="_Toc221027843">
        <w:r>
          <w:rPr>
            <w:rStyle w:val="InternetLink"/>
            <w:rFonts w:ascii="Times New Roman;Times;serif" w:hAnsi="Times New Roman;Times;serif"/>
            <w:b w:val="false"/>
            <w:i w:val="false"/>
            <w:caps w:val="false"/>
            <w:smallCaps w:val="false"/>
            <w:sz w:val="24"/>
            <w:shd w:fill="FFFFFF" w:val="clear"/>
          </w:rPr>
          <w:t>Divisions</w:t>
        </w:r>
      </w:hyperlink>
      <w:hyperlink w:anchor="_Toc221027843">
        <w:r>
          <w:rPr>
            <w:webHidden/>
          </w:rPr>
          <w:fldChar w:fldCharType="begin"/>
        </w:r>
        <w:r>
          <w:rPr>
            <w:webHidden/>
          </w:rPr>
          <w:instrText xml:space="preserve">PAGEREF _Toc221027843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895"/>
                <wp:effectExtent l="0" t="0" r="0" b="0"/>
                <wp:wrapNone/>
                <wp:docPr id="416" name="Frame4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44">
        <w:r>
          <w:rPr>
            <w:rStyle w:val="InternetLink"/>
            <w:rFonts w:ascii="Times New Roman;Times;serif" w:hAnsi="Times New Roman;Times;serif"/>
            <w:b w:val="false"/>
            <w:i w:val="false"/>
            <w:caps w:val="false"/>
            <w:smallCaps w:val="false"/>
            <w:sz w:val="24"/>
            <w:shd w:fill="FFFFFF" w:val="clear"/>
          </w:rPr>
          <w:t>SECTION 6.</w:t>
        </w:r>
      </w:hyperlink>
      <w:r>
        <w:rPr>
          <w:rFonts w:ascii="Times New Roman;Times;serif" w:hAnsi="Times New Roman;Times;serif"/>
          <w:sz w:val="24"/>
          <w:shd w:fill="FFFFFF" w:val="clear"/>
        </w:rPr>
        <w:tab/>
      </w:r>
      <w:hyperlink w:anchor="_Toc221027844">
        <w:r>
          <w:rPr>
            <w:rStyle w:val="InternetLink"/>
            <w:rFonts w:ascii="Times New Roman;Times;serif" w:hAnsi="Times New Roman;Times;serif"/>
            <w:b w:val="false"/>
            <w:i w:val="false"/>
            <w:caps w:val="false"/>
            <w:smallCaps w:val="false"/>
            <w:sz w:val="24"/>
            <w:shd w:fill="FFFFFF" w:val="clear"/>
          </w:rPr>
          <w:t>Representations and Warranties.</w:t>
        </w:r>
      </w:hyperlink>
      <w:hyperlink w:anchor="_Toc221027844">
        <w:r>
          <w:rPr>
            <w:webHidden/>
          </w:rPr>
          <w:fldChar w:fldCharType="begin"/>
        </w:r>
        <w:r>
          <w:rPr>
            <w:webHidden/>
          </w:rPr>
          <w:instrText xml:space="preserve">PAGEREF _Toc221027844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418">
                <wp:simplePos x="0" y="0"/>
                <wp:positionH relativeFrom="page">
                  <wp:posOffset>0</wp:posOffset>
                </wp:positionH>
                <wp:positionV relativeFrom="line">
                  <wp:posOffset>635</wp:posOffset>
                </wp:positionV>
                <wp:extent cx="6480175" cy="175895"/>
                <wp:effectExtent l="0" t="0" r="0" b="0"/>
                <wp:wrapNone/>
                <wp:docPr id="417" name="Frame4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5">
        <w:r>
          <w:rPr>
            <w:rStyle w:val="InternetLink"/>
            <w:rFonts w:ascii="Times New Roman;Times;serif" w:hAnsi="Times New Roman;Times;serif"/>
            <w:b w:val="false"/>
            <w:i w:val="false"/>
            <w:caps w:val="false"/>
            <w:smallCaps w:val="false"/>
            <w:sz w:val="24"/>
            <w:shd w:fill="FFFFFF" w:val="clear"/>
          </w:rPr>
          <w:t>Section 6.1.</w:t>
        </w:r>
      </w:hyperlink>
      <w:r>
        <w:rPr>
          <w:rFonts w:ascii="Times New Roman;Times;serif" w:hAnsi="Times New Roman;Times;serif"/>
          <w:sz w:val="24"/>
          <w:shd w:fill="FFFFFF" w:val="clear"/>
        </w:rPr>
        <w:tab/>
      </w:r>
      <w:hyperlink w:anchor="_Toc221027845">
        <w:r>
          <w:rPr>
            <w:rStyle w:val="InternetLink"/>
            <w:rFonts w:ascii="Times New Roman;Times;serif" w:hAnsi="Times New Roman;Times;serif"/>
            <w:b w:val="false"/>
            <w:i w:val="false"/>
            <w:caps w:val="false"/>
            <w:smallCaps w:val="false"/>
            <w:sz w:val="24"/>
            <w:shd w:fill="FFFFFF" w:val="clear"/>
          </w:rPr>
          <w:t>Organization and Qualification; Limited Operations.</w:t>
        </w:r>
      </w:hyperlink>
      <w:hyperlink w:anchor="_Toc221027845">
        <w:r>
          <w:rPr>
            <w:webHidden/>
          </w:rPr>
          <w:fldChar w:fldCharType="begin"/>
        </w:r>
        <w:r>
          <w:rPr>
            <w:webHidden/>
          </w:rPr>
          <w:instrText xml:space="preserve">PAGEREF _Toc221027845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895"/>
                <wp:effectExtent l="0" t="0" r="0" b="0"/>
                <wp:wrapNone/>
                <wp:docPr id="418" name="Frame4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6">
        <w:r>
          <w:rPr>
            <w:rStyle w:val="InternetLink"/>
            <w:rFonts w:ascii="Times New Roman;Times;serif" w:hAnsi="Times New Roman;Times;serif"/>
            <w:b w:val="false"/>
            <w:i w:val="false"/>
            <w:caps w:val="false"/>
            <w:smallCaps w:val="false"/>
            <w:sz w:val="24"/>
            <w:shd w:fill="FFFFFF" w:val="clear"/>
          </w:rPr>
          <w:t>Section 6.2.</w:t>
        </w:r>
      </w:hyperlink>
      <w:r>
        <w:rPr>
          <w:rFonts w:ascii="Times New Roman;Times;serif" w:hAnsi="Times New Roman;Times;serif"/>
          <w:sz w:val="24"/>
          <w:shd w:fill="FFFFFF" w:val="clear"/>
        </w:rPr>
        <w:tab/>
      </w:r>
      <w:hyperlink w:anchor="_Toc221027846">
        <w:r>
          <w:rPr>
            <w:rStyle w:val="InternetLink"/>
            <w:rFonts w:ascii="Times New Roman;Times;serif" w:hAnsi="Times New Roman;Times;serif"/>
            <w:b w:val="false"/>
            <w:i w:val="false"/>
            <w:caps w:val="false"/>
            <w:smallCaps w:val="false"/>
            <w:sz w:val="24"/>
            <w:shd w:fill="FFFFFF" w:val="clear"/>
          </w:rPr>
          <w:t>Subsidiaries</w:t>
        </w:r>
      </w:hyperlink>
      <w:hyperlink w:anchor="_Toc221027846">
        <w:r>
          <w:rPr>
            <w:webHidden/>
          </w:rPr>
          <w:fldChar w:fldCharType="begin"/>
        </w:r>
        <w:r>
          <w:rPr>
            <w:webHidden/>
          </w:rPr>
          <w:instrText xml:space="preserve">PAGEREF _Toc221027846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895"/>
                <wp:effectExtent l="0" t="0" r="0" b="0"/>
                <wp:wrapNone/>
                <wp:docPr id="419" name="Frame4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7">
        <w:r>
          <w:rPr>
            <w:rStyle w:val="InternetLink"/>
            <w:rFonts w:ascii="Times New Roman;Times;serif" w:hAnsi="Times New Roman;Times;serif"/>
            <w:b w:val="false"/>
            <w:i w:val="false"/>
            <w:caps w:val="false"/>
            <w:smallCaps w:val="false"/>
            <w:sz w:val="24"/>
            <w:shd w:fill="FFFFFF" w:val="clear"/>
          </w:rPr>
          <w:t>Section 6.3.</w:t>
        </w:r>
      </w:hyperlink>
      <w:r>
        <w:rPr>
          <w:rFonts w:ascii="Times New Roman;Times;serif" w:hAnsi="Times New Roman;Times;serif"/>
          <w:sz w:val="24"/>
          <w:shd w:fill="FFFFFF" w:val="clear"/>
        </w:rPr>
        <w:tab/>
      </w:r>
      <w:hyperlink w:anchor="_Toc221027847">
        <w:r>
          <w:rPr>
            <w:rStyle w:val="InternetLink"/>
            <w:rFonts w:ascii="Times New Roman;Times;serif" w:hAnsi="Times New Roman;Times;serif"/>
            <w:b w:val="false"/>
            <w:i w:val="false"/>
            <w:caps w:val="false"/>
            <w:smallCaps w:val="false"/>
            <w:sz w:val="24"/>
            <w:shd w:fill="FFFFFF" w:val="clear"/>
          </w:rPr>
          <w:t>Authority and Validity of Obligations</w:t>
        </w:r>
      </w:hyperlink>
      <w:hyperlink w:anchor="_Toc221027847">
        <w:r>
          <w:rPr>
            <w:webHidden/>
          </w:rPr>
          <w:fldChar w:fldCharType="begin"/>
        </w:r>
        <w:r>
          <w:rPr>
            <w:webHidden/>
          </w:rPr>
          <w:instrText xml:space="preserve">PAGEREF _Toc221027847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895"/>
                <wp:effectExtent l="0" t="0" r="0" b="0"/>
                <wp:wrapNone/>
                <wp:docPr id="420" name="Frame4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i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360" w:right="0" w:hanging="0"/>
        <w:jc w:val="left"/>
        <w:rPr/>
      </w:pPr>
      <w:hyperlink w:anchor="_Toc221027848">
        <w:r>
          <w:rPr>
            <w:rStyle w:val="InternetLink"/>
            <w:rFonts w:ascii="Times New Roman;Times;serif" w:hAnsi="Times New Roman;Times;serif"/>
            <w:b w:val="false"/>
            <w:i w:val="false"/>
            <w:caps w:val="false"/>
            <w:smallCaps w:val="false"/>
            <w:sz w:val="24"/>
            <w:shd w:fill="FFFFFF" w:val="clear"/>
          </w:rPr>
          <w:t>Section 6.4.</w:t>
        </w:r>
      </w:hyperlink>
      <w:r>
        <w:rPr>
          <w:rFonts w:ascii="Times New Roman;Times;serif" w:hAnsi="Times New Roman;Times;serif"/>
          <w:sz w:val="24"/>
          <w:shd w:fill="FFFFFF" w:val="clear"/>
        </w:rPr>
        <w:tab/>
      </w:r>
      <w:hyperlink w:anchor="_Toc221027848">
        <w:r>
          <w:rPr>
            <w:rStyle w:val="InternetLink"/>
            <w:rFonts w:ascii="Times New Roman;Times;serif" w:hAnsi="Times New Roman;Times;serif"/>
            <w:b w:val="false"/>
            <w:i w:val="false"/>
            <w:caps w:val="false"/>
            <w:smallCaps w:val="false"/>
            <w:sz w:val="24"/>
            <w:shd w:fill="FFFFFF" w:val="clear"/>
          </w:rPr>
          <w:t>Use of Proceeds; Margin Stock</w:t>
        </w:r>
      </w:hyperlink>
      <w:hyperlink w:anchor="_Toc221027848">
        <w:r>
          <w:rPr>
            <w:webHidden/>
          </w:rPr>
          <w:fldChar w:fldCharType="begin"/>
        </w:r>
        <w:r>
          <w:rPr>
            <w:webHidden/>
          </w:rPr>
          <w:instrText xml:space="preserve">PAGEREF _Toc221027848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895"/>
                <wp:effectExtent l="0" t="0" r="0" b="0"/>
                <wp:wrapNone/>
                <wp:docPr id="421" name="Frame4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49">
        <w:r>
          <w:rPr>
            <w:rStyle w:val="InternetLink"/>
            <w:rFonts w:ascii="Times New Roman;Times;serif" w:hAnsi="Times New Roman;Times;serif"/>
            <w:b w:val="false"/>
            <w:i w:val="false"/>
            <w:caps w:val="false"/>
            <w:smallCaps w:val="false"/>
            <w:sz w:val="24"/>
            <w:shd w:fill="FFFFFF" w:val="clear"/>
          </w:rPr>
          <w:t>Section 6.5.</w:t>
        </w:r>
      </w:hyperlink>
      <w:r>
        <w:rPr>
          <w:rFonts w:ascii="Times New Roman;Times;serif" w:hAnsi="Times New Roman;Times;serif"/>
          <w:sz w:val="24"/>
          <w:shd w:fill="FFFFFF" w:val="clear"/>
        </w:rPr>
        <w:tab/>
      </w:r>
      <w:hyperlink w:anchor="_Toc221027849">
        <w:r>
          <w:rPr>
            <w:rStyle w:val="InternetLink"/>
            <w:rFonts w:ascii="Times New Roman;Times;serif" w:hAnsi="Times New Roman;Times;serif"/>
            <w:b w:val="false"/>
            <w:i w:val="false"/>
            <w:caps w:val="false"/>
            <w:smallCaps w:val="false"/>
            <w:sz w:val="24"/>
            <w:shd w:fill="FFFFFF" w:val="clear"/>
          </w:rPr>
          <w:t>Financial Reports</w:t>
        </w:r>
      </w:hyperlink>
      <w:hyperlink w:anchor="_Toc221027849">
        <w:r>
          <w:rPr>
            <w:webHidden/>
          </w:rPr>
          <w:fldChar w:fldCharType="begin"/>
        </w:r>
        <w:r>
          <w:rPr>
            <w:webHidden/>
          </w:rPr>
          <w:instrText xml:space="preserve">PAGEREF _Toc221027849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895"/>
                <wp:effectExtent l="0" t="0" r="0" b="0"/>
                <wp:wrapNone/>
                <wp:docPr id="422" name="Frame4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0">
        <w:r>
          <w:rPr>
            <w:rStyle w:val="InternetLink"/>
            <w:rFonts w:ascii="Times New Roman;Times;serif" w:hAnsi="Times New Roman;Times;serif"/>
            <w:b w:val="false"/>
            <w:i w:val="false"/>
            <w:caps w:val="false"/>
            <w:smallCaps w:val="false"/>
            <w:sz w:val="24"/>
            <w:shd w:fill="FFFFFF" w:val="clear"/>
          </w:rPr>
          <w:t>Section 6.6.</w:t>
        </w:r>
      </w:hyperlink>
      <w:r>
        <w:rPr>
          <w:rFonts w:ascii="Times New Roman;Times;serif" w:hAnsi="Times New Roman;Times;serif"/>
          <w:sz w:val="24"/>
          <w:shd w:fill="FFFFFF" w:val="clear"/>
        </w:rPr>
        <w:tab/>
      </w:r>
      <w:hyperlink w:anchor="_Toc221027850">
        <w:r>
          <w:rPr>
            <w:rStyle w:val="InternetLink"/>
            <w:rFonts w:ascii="Times New Roman;Times;serif" w:hAnsi="Times New Roman;Times;serif"/>
            <w:b w:val="false"/>
            <w:i w:val="false"/>
            <w:caps w:val="false"/>
            <w:smallCaps w:val="false"/>
            <w:sz w:val="24"/>
            <w:shd w:fill="FFFFFF" w:val="clear"/>
          </w:rPr>
          <w:t>No Material Adverse Effect</w:t>
        </w:r>
      </w:hyperlink>
      <w:hyperlink w:anchor="_Toc221027850">
        <w:r>
          <w:rPr>
            <w:webHidden/>
          </w:rPr>
          <w:fldChar w:fldCharType="begin"/>
        </w:r>
        <w:r>
          <w:rPr>
            <w:webHidden/>
          </w:rPr>
          <w:instrText xml:space="preserve">PAGEREF _Toc221027850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62</w:t>
        </w:r>
        <w:r>
          <w:rPr>
            <w:webHidden/>
          </w:rPr>
          <w:fldChar w:fldCharType="end"/>
        </w:r>
      </w:hyperlink>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895"/>
                <wp:effectExtent l="0" t="0" r="0" b="0"/>
                <wp:wrapNone/>
                <wp:docPr id="423" name="Frame4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1">
        <w:r>
          <w:rPr>
            <w:rStyle w:val="InternetLink"/>
            <w:rFonts w:ascii="Times New Roman;Times;serif" w:hAnsi="Times New Roman;Times;serif"/>
            <w:b w:val="false"/>
            <w:i w:val="false"/>
            <w:caps w:val="false"/>
            <w:smallCaps w:val="false"/>
            <w:sz w:val="24"/>
            <w:shd w:fill="FFFFFF" w:val="clear"/>
          </w:rPr>
          <w:t>Section 6.7.</w:t>
        </w:r>
      </w:hyperlink>
      <w:r>
        <w:rPr>
          <w:rFonts w:ascii="Times New Roman;Times;serif" w:hAnsi="Times New Roman;Times;serif"/>
          <w:sz w:val="24"/>
          <w:shd w:fill="FFFFFF" w:val="clear"/>
        </w:rPr>
        <w:tab/>
      </w:r>
      <w:hyperlink w:anchor="_Toc221027851">
        <w:r>
          <w:rPr>
            <w:rStyle w:val="InternetLink"/>
            <w:rFonts w:ascii="Times New Roman;Times;serif" w:hAnsi="Times New Roman;Times;serif"/>
            <w:b w:val="false"/>
            <w:i w:val="false"/>
            <w:caps w:val="false"/>
            <w:smallCaps w:val="false"/>
            <w:sz w:val="24"/>
            <w:shd w:fill="FFFFFF" w:val="clear"/>
          </w:rPr>
          <w:t>Full Disclosure</w:t>
        </w:r>
      </w:hyperlink>
      <w:hyperlink w:anchor="_Toc221027851">
        <w:r>
          <w:rPr>
            <w:webHidden/>
          </w:rPr>
          <w:fldChar w:fldCharType="begin"/>
        </w:r>
        <w:r>
          <w:rPr>
            <w:webHidden/>
          </w:rPr>
          <w:instrText xml:space="preserve">PAGEREF _Toc221027851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62</w:t>
        </w:r>
        <w:r>
          <w:rPr>
            <w:webHidden/>
          </w:rPr>
          <w:fldChar w:fldCharType="end"/>
        </w:r>
      </w:hyperlink>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895"/>
                <wp:effectExtent l="0" t="0" r="0" b="0"/>
                <wp:wrapNone/>
                <wp:docPr id="424" name="Frame4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2">
        <w:r>
          <w:rPr>
            <w:rStyle w:val="InternetLink"/>
            <w:rFonts w:ascii="Times New Roman;Times;serif" w:hAnsi="Times New Roman;Times;serif"/>
            <w:b w:val="false"/>
            <w:i w:val="false"/>
            <w:caps w:val="false"/>
            <w:smallCaps w:val="false"/>
            <w:sz w:val="24"/>
            <w:shd w:fill="FFFFFF" w:val="clear"/>
          </w:rPr>
          <w:t>Section 6.8.</w:t>
        </w:r>
      </w:hyperlink>
      <w:r>
        <w:rPr>
          <w:rFonts w:ascii="Times New Roman;Times;serif" w:hAnsi="Times New Roman;Times;serif"/>
          <w:sz w:val="24"/>
          <w:shd w:fill="FFFFFF" w:val="clear"/>
        </w:rPr>
        <w:tab/>
      </w:r>
      <w:hyperlink w:anchor="_Toc221027852">
        <w:r>
          <w:rPr>
            <w:rStyle w:val="InternetLink"/>
            <w:rFonts w:ascii="Times New Roman;Times;serif" w:hAnsi="Times New Roman;Times;serif"/>
            <w:b w:val="false"/>
            <w:i w:val="false"/>
            <w:caps w:val="false"/>
            <w:smallCaps w:val="false"/>
            <w:sz w:val="24"/>
            <w:shd w:fill="FFFFFF" w:val="clear"/>
          </w:rPr>
          <w:t>Trademarks, Franchises, and Licenses</w:t>
        </w:r>
      </w:hyperlink>
      <w:hyperlink w:anchor="_Toc221027852">
        <w:r>
          <w:rPr>
            <w:webHidden/>
          </w:rPr>
          <w:fldChar w:fldCharType="begin"/>
        </w:r>
        <w:r>
          <w:rPr>
            <w:webHidden/>
          </w:rPr>
          <w:instrText xml:space="preserve">PAGEREF _Toc221027852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62</w:t>
        </w:r>
        <w:r>
          <w:rPr>
            <w:webHidden/>
          </w:rPr>
          <w:fldChar w:fldCharType="end"/>
        </w:r>
      </w:hyperlink>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895"/>
                <wp:effectExtent l="0" t="0" r="0" b="0"/>
                <wp:wrapNone/>
                <wp:docPr id="425" name="Frame4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3">
        <w:r>
          <w:rPr>
            <w:rStyle w:val="InternetLink"/>
            <w:rFonts w:ascii="Times New Roman;Times;serif" w:hAnsi="Times New Roman;Times;serif"/>
            <w:b w:val="false"/>
            <w:i w:val="false"/>
            <w:caps w:val="false"/>
            <w:smallCaps w:val="false"/>
            <w:sz w:val="24"/>
            <w:shd w:fill="FFFFFF" w:val="clear"/>
          </w:rPr>
          <w:t>Section 6.9.</w:t>
        </w:r>
      </w:hyperlink>
      <w:r>
        <w:rPr>
          <w:rFonts w:ascii="Times New Roman;Times;serif" w:hAnsi="Times New Roman;Times;serif"/>
          <w:sz w:val="24"/>
          <w:shd w:fill="FFFFFF" w:val="clear"/>
        </w:rPr>
        <w:tab/>
      </w:r>
      <w:hyperlink w:anchor="_Toc221027853">
        <w:r>
          <w:rPr>
            <w:rStyle w:val="InternetLink"/>
            <w:rFonts w:ascii="Times New Roman;Times;serif" w:hAnsi="Times New Roman;Times;serif"/>
            <w:b w:val="false"/>
            <w:i w:val="false"/>
            <w:caps w:val="false"/>
            <w:smallCaps w:val="false"/>
            <w:sz w:val="24"/>
            <w:shd w:fill="FFFFFF" w:val="clear"/>
          </w:rPr>
          <w:t>Governmental Authority and Licensing</w:t>
        </w:r>
      </w:hyperlink>
      <w:hyperlink w:anchor="_Toc221027853">
        <w:r>
          <w:rPr>
            <w:webHidden/>
          </w:rPr>
          <w:fldChar w:fldCharType="begin"/>
        </w:r>
        <w:r>
          <w:rPr>
            <w:webHidden/>
          </w:rPr>
          <w:instrText xml:space="preserve">PAGEREF _Toc221027853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62</w:t>
        </w:r>
        <w:r>
          <w:rPr>
            <w:webHidden/>
          </w:rPr>
          <w:fldChar w:fldCharType="end"/>
        </w:r>
      </w:hyperlink>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895"/>
                <wp:effectExtent l="0" t="0" r="0" b="0"/>
                <wp:wrapNone/>
                <wp:docPr id="426" name="Frame4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4">
        <w:r>
          <w:rPr>
            <w:rStyle w:val="InternetLink"/>
            <w:rFonts w:ascii="Times New Roman;Times;serif" w:hAnsi="Times New Roman;Times;serif"/>
            <w:b w:val="false"/>
            <w:i w:val="false"/>
            <w:caps w:val="false"/>
            <w:smallCaps w:val="false"/>
            <w:sz w:val="24"/>
            <w:shd w:fill="FFFFFF" w:val="clear"/>
          </w:rPr>
          <w:t>Section 6.10.</w:t>
        </w:r>
      </w:hyperlink>
      <w:r>
        <w:rPr>
          <w:rFonts w:ascii="Times New Roman;Times;serif" w:hAnsi="Times New Roman;Times;serif"/>
          <w:sz w:val="24"/>
          <w:shd w:fill="FFFFFF" w:val="clear"/>
        </w:rPr>
        <w:tab/>
      </w:r>
      <w:hyperlink w:anchor="_Toc221027854">
        <w:r>
          <w:rPr>
            <w:rStyle w:val="InternetLink"/>
            <w:rFonts w:ascii="Times New Roman;Times;serif" w:hAnsi="Times New Roman;Times;serif"/>
            <w:b w:val="false"/>
            <w:i w:val="false"/>
            <w:caps w:val="false"/>
            <w:smallCaps w:val="false"/>
            <w:sz w:val="24"/>
            <w:shd w:fill="FFFFFF" w:val="clear"/>
          </w:rPr>
          <w:t>Good Title</w:t>
        </w:r>
      </w:hyperlink>
      <w:hyperlink w:anchor="_Toc221027854">
        <w:r>
          <w:rPr>
            <w:webHidden/>
          </w:rPr>
          <w:fldChar w:fldCharType="begin"/>
        </w:r>
        <w:r>
          <w:rPr>
            <w:webHidden/>
          </w:rPr>
          <w:instrText xml:space="preserve">PAGEREF _Toc221027854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62</w:t>
        </w:r>
        <w:r>
          <w:rPr>
            <w:webHidden/>
          </w:rPr>
          <w:fldChar w:fldCharType="end"/>
        </w:r>
      </w:hyperlink>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895"/>
                <wp:effectExtent l="0" t="0" r="0" b="0"/>
                <wp:wrapNone/>
                <wp:docPr id="427" name="Frame4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5">
        <w:r>
          <w:rPr>
            <w:rStyle w:val="InternetLink"/>
            <w:rFonts w:ascii="Times New Roman;Times;serif" w:hAnsi="Times New Roman;Times;serif"/>
            <w:b w:val="false"/>
            <w:i w:val="false"/>
            <w:caps w:val="false"/>
            <w:smallCaps w:val="false"/>
            <w:sz w:val="24"/>
            <w:shd w:fill="FFFFFF" w:val="clear"/>
          </w:rPr>
          <w:t>Section 6.11.</w:t>
        </w:r>
      </w:hyperlink>
      <w:r>
        <w:rPr>
          <w:rFonts w:ascii="Times New Roman;Times;serif" w:hAnsi="Times New Roman;Times;serif"/>
          <w:sz w:val="24"/>
          <w:shd w:fill="FFFFFF" w:val="clear"/>
        </w:rPr>
        <w:tab/>
      </w:r>
      <w:hyperlink w:anchor="_Toc221027855">
        <w:r>
          <w:rPr>
            <w:rStyle w:val="InternetLink"/>
            <w:rFonts w:ascii="Times New Roman;Times;serif" w:hAnsi="Times New Roman;Times;serif"/>
            <w:b w:val="false"/>
            <w:i w:val="false"/>
            <w:caps w:val="false"/>
            <w:smallCaps w:val="false"/>
            <w:sz w:val="24"/>
            <w:shd w:fill="FFFFFF" w:val="clear"/>
          </w:rPr>
          <w:t>Litigation and Other Controversies</w:t>
        </w:r>
      </w:hyperlink>
      <w:hyperlink w:anchor="_Toc221027855">
        <w:r>
          <w:rPr>
            <w:webHidden/>
          </w:rPr>
          <w:fldChar w:fldCharType="begin"/>
        </w:r>
        <w:r>
          <w:rPr>
            <w:webHidden/>
          </w:rPr>
          <w:instrText xml:space="preserve">PAGEREF _Toc221027855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895"/>
                <wp:effectExtent l="0" t="0" r="0" b="0"/>
                <wp:wrapNone/>
                <wp:docPr id="428" name="Frame4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0.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6">
        <w:r>
          <w:rPr>
            <w:rStyle w:val="InternetLink"/>
            <w:rFonts w:ascii="Times New Roman;Times;serif" w:hAnsi="Times New Roman;Times;serif"/>
            <w:b w:val="false"/>
            <w:i w:val="false"/>
            <w:caps w:val="false"/>
            <w:smallCaps w:val="false"/>
            <w:sz w:val="24"/>
            <w:shd w:fill="FFFFFF" w:val="clear"/>
          </w:rPr>
          <w:t>Section 6.12.</w:t>
        </w:r>
      </w:hyperlink>
      <w:r>
        <w:rPr>
          <w:rFonts w:ascii="Times New Roman;Times;serif" w:hAnsi="Times New Roman;Times;serif"/>
          <w:sz w:val="24"/>
          <w:shd w:fill="FFFFFF" w:val="clear"/>
        </w:rPr>
        <w:tab/>
      </w:r>
      <w:hyperlink w:anchor="_Toc221027856">
        <w:r>
          <w:rPr>
            <w:rStyle w:val="InternetLink"/>
            <w:rFonts w:ascii="Times New Roman;Times;serif" w:hAnsi="Times New Roman;Times;serif"/>
            <w:b w:val="false"/>
            <w:i w:val="false"/>
            <w:caps w:val="false"/>
            <w:smallCaps w:val="false"/>
            <w:sz w:val="24"/>
            <w:shd w:fill="FFFFFF" w:val="clear"/>
          </w:rPr>
          <w:t>Taxes</w:t>
        </w:r>
      </w:hyperlink>
      <w:hyperlink w:anchor="_Toc221027856">
        <w:r>
          <w:rPr>
            <w:webHidden/>
          </w:rPr>
          <w:fldChar w:fldCharType="begin"/>
        </w:r>
        <w:r>
          <w:rPr>
            <w:webHidden/>
          </w:rPr>
          <w:instrText xml:space="preserve">PAGEREF _Toc221027856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895"/>
                <wp:effectExtent l="0" t="0" r="0" b="0"/>
                <wp:wrapNone/>
                <wp:docPr id="429" name="Frame4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7">
        <w:r>
          <w:rPr>
            <w:rStyle w:val="InternetLink"/>
            <w:rFonts w:ascii="Times New Roman;Times;serif" w:hAnsi="Times New Roman;Times;serif"/>
            <w:b w:val="false"/>
            <w:i w:val="false"/>
            <w:caps w:val="false"/>
            <w:smallCaps w:val="false"/>
            <w:sz w:val="24"/>
            <w:shd w:fill="FFFFFF" w:val="clear"/>
          </w:rPr>
          <w:t>Section 6.13.</w:t>
        </w:r>
      </w:hyperlink>
      <w:r>
        <w:rPr>
          <w:rFonts w:ascii="Times New Roman;Times;serif" w:hAnsi="Times New Roman;Times;serif"/>
          <w:sz w:val="24"/>
          <w:shd w:fill="FFFFFF" w:val="clear"/>
        </w:rPr>
        <w:tab/>
      </w:r>
      <w:hyperlink w:anchor="_Toc221027857">
        <w:r>
          <w:rPr>
            <w:rStyle w:val="InternetLink"/>
            <w:rFonts w:ascii="Times New Roman;Times;serif" w:hAnsi="Times New Roman;Times;serif"/>
            <w:b w:val="false"/>
            <w:i w:val="false"/>
            <w:caps w:val="false"/>
            <w:smallCaps w:val="false"/>
            <w:sz w:val="24"/>
            <w:shd w:fill="FFFFFF" w:val="clear"/>
          </w:rPr>
          <w:t>Approvals</w:t>
        </w:r>
      </w:hyperlink>
      <w:hyperlink w:anchor="_Toc221027857">
        <w:r>
          <w:rPr>
            <w:webHidden/>
          </w:rPr>
          <w:fldChar w:fldCharType="begin"/>
        </w:r>
        <w:r>
          <w:rPr>
            <w:webHidden/>
          </w:rPr>
          <w:instrText xml:space="preserve">PAGEREF _Toc221027857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895"/>
                <wp:effectExtent l="0" t="0" r="0" b="0"/>
                <wp:wrapNone/>
                <wp:docPr id="430" name="Frame4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8">
        <w:r>
          <w:rPr>
            <w:rStyle w:val="InternetLink"/>
            <w:rFonts w:ascii="Times New Roman;Times;serif" w:hAnsi="Times New Roman;Times;serif"/>
            <w:b w:val="false"/>
            <w:i w:val="false"/>
            <w:caps w:val="false"/>
            <w:smallCaps w:val="false"/>
            <w:sz w:val="24"/>
            <w:shd w:fill="FFFFFF" w:val="clear"/>
          </w:rPr>
          <w:t>Section 6.14.</w:t>
        </w:r>
      </w:hyperlink>
      <w:r>
        <w:rPr>
          <w:rFonts w:ascii="Times New Roman;Times;serif" w:hAnsi="Times New Roman;Times;serif"/>
          <w:sz w:val="24"/>
          <w:shd w:fill="FFFFFF" w:val="clear"/>
        </w:rPr>
        <w:tab/>
      </w:r>
      <w:hyperlink w:anchor="_Toc221027858">
        <w:r>
          <w:rPr>
            <w:rStyle w:val="InternetLink"/>
            <w:rFonts w:ascii="Times New Roman;Times;serif" w:hAnsi="Times New Roman;Times;serif"/>
            <w:b w:val="false"/>
            <w:i w:val="false"/>
            <w:caps w:val="false"/>
            <w:smallCaps w:val="false"/>
            <w:sz w:val="24"/>
            <w:shd w:fill="FFFFFF" w:val="clear"/>
          </w:rPr>
          <w:t>Affiliate Transactions</w:t>
        </w:r>
      </w:hyperlink>
      <w:hyperlink w:anchor="_Toc221027858">
        <w:r>
          <w:rPr>
            <w:webHidden/>
          </w:rPr>
          <w:fldChar w:fldCharType="begin"/>
        </w:r>
        <w:r>
          <w:rPr>
            <w:webHidden/>
          </w:rPr>
          <w:instrText xml:space="preserve">PAGEREF _Toc221027858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895"/>
                <wp:effectExtent l="0" t="0" r="0" b="0"/>
                <wp:wrapNone/>
                <wp:docPr id="431" name="Frame4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59">
        <w:r>
          <w:rPr>
            <w:rStyle w:val="InternetLink"/>
            <w:rFonts w:ascii="Times New Roman;Times;serif" w:hAnsi="Times New Roman;Times;serif"/>
            <w:b w:val="false"/>
            <w:i w:val="false"/>
            <w:caps w:val="false"/>
            <w:smallCaps w:val="false"/>
            <w:sz w:val="24"/>
            <w:shd w:fill="FFFFFF" w:val="clear"/>
          </w:rPr>
          <w:t>Section 6.15.</w:t>
        </w:r>
      </w:hyperlink>
      <w:r>
        <w:rPr>
          <w:rFonts w:ascii="Times New Roman;Times;serif" w:hAnsi="Times New Roman;Times;serif"/>
          <w:sz w:val="24"/>
          <w:shd w:fill="FFFFFF" w:val="clear"/>
        </w:rPr>
        <w:tab/>
      </w:r>
      <w:hyperlink w:anchor="_Toc221027859">
        <w:r>
          <w:rPr>
            <w:rStyle w:val="InternetLink"/>
            <w:rFonts w:ascii="Times New Roman;Times;serif" w:hAnsi="Times New Roman;Times;serif"/>
            <w:b w:val="false"/>
            <w:i w:val="false"/>
            <w:caps w:val="false"/>
            <w:smallCaps w:val="false"/>
            <w:sz w:val="24"/>
            <w:shd w:fill="FFFFFF" w:val="clear"/>
          </w:rPr>
          <w:t>Investment Company</w:t>
        </w:r>
      </w:hyperlink>
      <w:hyperlink w:anchor="_Toc221027859">
        <w:r>
          <w:rPr>
            <w:webHidden/>
          </w:rPr>
          <w:fldChar w:fldCharType="begin"/>
        </w:r>
        <w:r>
          <w:rPr>
            <w:webHidden/>
          </w:rPr>
          <w:instrText xml:space="preserve">PAGEREF _Toc221027859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895"/>
                <wp:effectExtent l="0" t="0" r="0" b="0"/>
                <wp:wrapNone/>
                <wp:docPr id="432" name="Frame4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6.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0">
        <w:r>
          <w:rPr>
            <w:rStyle w:val="InternetLink"/>
            <w:rFonts w:ascii="Times New Roman;Times;serif" w:hAnsi="Times New Roman;Times;serif"/>
            <w:b w:val="false"/>
            <w:i w:val="false"/>
            <w:caps w:val="false"/>
            <w:smallCaps w:val="false"/>
            <w:sz w:val="24"/>
            <w:shd w:fill="FFFFFF" w:val="clear"/>
          </w:rPr>
          <w:t>Section 6.16.</w:t>
        </w:r>
      </w:hyperlink>
      <w:r>
        <w:rPr>
          <w:rFonts w:ascii="Times New Roman;Times;serif" w:hAnsi="Times New Roman;Times;serif"/>
          <w:sz w:val="24"/>
          <w:shd w:fill="FFFFFF" w:val="clear"/>
        </w:rPr>
        <w:tab/>
      </w:r>
      <w:hyperlink w:anchor="_Toc221027860">
        <w:r>
          <w:rPr>
            <w:rStyle w:val="InternetLink"/>
            <w:rFonts w:ascii="Times New Roman;Times;serif" w:hAnsi="Times New Roman;Times;serif"/>
            <w:b w:val="false"/>
            <w:i w:val="false"/>
            <w:caps w:val="false"/>
            <w:smallCaps w:val="false"/>
            <w:sz w:val="24"/>
            <w:shd w:fill="FFFFFF" w:val="clear"/>
          </w:rPr>
          <w:t>ERISA</w:t>
        </w:r>
      </w:hyperlink>
      <w:hyperlink w:anchor="_Toc221027860">
        <w:r>
          <w:rPr>
            <w:webHidden/>
          </w:rPr>
          <w:fldChar w:fldCharType="begin"/>
        </w:r>
        <w:r>
          <w:rPr>
            <w:webHidden/>
          </w:rPr>
          <w:instrText xml:space="preserve">PAGEREF _Toc221027860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895"/>
                <wp:effectExtent l="0" t="0" r="0" b="0"/>
                <wp:wrapNone/>
                <wp:docPr id="433" name="Frame4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1">
        <w:r>
          <w:rPr>
            <w:rStyle w:val="InternetLink"/>
            <w:rFonts w:ascii="Times New Roman;Times;serif" w:hAnsi="Times New Roman;Times;serif"/>
            <w:b w:val="false"/>
            <w:i w:val="false"/>
            <w:caps w:val="false"/>
            <w:smallCaps w:val="false"/>
            <w:sz w:val="24"/>
            <w:shd w:fill="FFFFFF" w:val="clear"/>
          </w:rPr>
          <w:t>Section 6.17.</w:t>
        </w:r>
      </w:hyperlink>
      <w:r>
        <w:rPr>
          <w:rFonts w:ascii="Times New Roman;Times;serif" w:hAnsi="Times New Roman;Times;serif"/>
          <w:sz w:val="24"/>
          <w:shd w:fill="FFFFFF" w:val="clear"/>
        </w:rPr>
        <w:tab/>
      </w:r>
      <w:hyperlink w:anchor="_Toc221027861">
        <w:r>
          <w:rPr>
            <w:rStyle w:val="InternetLink"/>
            <w:rFonts w:ascii="Times New Roman;Times;serif" w:hAnsi="Times New Roman;Times;serif"/>
            <w:b w:val="false"/>
            <w:i w:val="false"/>
            <w:caps w:val="false"/>
            <w:smallCaps w:val="false"/>
            <w:sz w:val="24"/>
            <w:shd w:fill="FFFFFF" w:val="clear"/>
          </w:rPr>
          <w:t>Compliance with Laws</w:t>
        </w:r>
      </w:hyperlink>
      <w:hyperlink w:anchor="_Toc221027861">
        <w:r>
          <w:rPr>
            <w:webHidden/>
          </w:rPr>
          <w:fldChar w:fldCharType="begin"/>
        </w:r>
        <w:r>
          <w:rPr>
            <w:webHidden/>
          </w:rPr>
          <w:instrText xml:space="preserve">PAGEREF _Toc221027861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895"/>
                <wp:effectExtent l="0" t="0" r="0" b="0"/>
                <wp:wrapNone/>
                <wp:docPr id="434" name="Frame4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2">
        <w:r>
          <w:rPr>
            <w:rStyle w:val="InternetLink"/>
            <w:rFonts w:ascii="Times New Roman;Times;serif" w:hAnsi="Times New Roman;Times;serif"/>
            <w:b w:val="false"/>
            <w:i w:val="false"/>
            <w:caps w:val="false"/>
            <w:smallCaps w:val="false"/>
            <w:sz w:val="24"/>
            <w:shd w:fill="FFFFFF" w:val="clear"/>
          </w:rPr>
          <w:t>Section 6.18.</w:t>
        </w:r>
      </w:hyperlink>
      <w:r>
        <w:rPr>
          <w:rFonts w:ascii="Times New Roman;Times;serif" w:hAnsi="Times New Roman;Times;serif"/>
          <w:sz w:val="24"/>
          <w:shd w:fill="FFFFFF" w:val="clear"/>
        </w:rPr>
        <w:tab/>
      </w:r>
      <w:hyperlink w:anchor="_Toc221027862">
        <w:r>
          <w:rPr>
            <w:rStyle w:val="InternetLink"/>
            <w:rFonts w:ascii="Times New Roman;Times;serif" w:hAnsi="Times New Roman;Times;serif"/>
            <w:b w:val="false"/>
            <w:i w:val="false"/>
            <w:caps w:val="false"/>
            <w:smallCaps w:val="false"/>
            <w:sz w:val="24"/>
            <w:shd w:fill="FFFFFF" w:val="clear"/>
          </w:rPr>
          <w:t>OFAC; Patriot Act</w:t>
        </w:r>
      </w:hyperlink>
      <w:hyperlink w:anchor="_Toc221027862">
        <w:r>
          <w:rPr>
            <w:webHidden/>
          </w:rPr>
          <w:fldChar w:fldCharType="begin"/>
        </w:r>
        <w:r>
          <w:rPr>
            <w:webHidden/>
          </w:rPr>
          <w:instrText xml:space="preserve">PAGEREF _Toc221027862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65</w:t>
        </w:r>
        <w:r>
          <w:rPr>
            <w:webHidden/>
          </w:rPr>
          <w:fldChar w:fldCharType="end"/>
        </w:r>
      </w:hyperlink>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895"/>
                <wp:effectExtent l="0" t="0" r="0" b="0"/>
                <wp:wrapNone/>
                <wp:docPr id="435" name="Frame4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3">
        <w:r>
          <w:rPr>
            <w:rStyle w:val="InternetLink"/>
            <w:rFonts w:ascii="Times New Roman;Times;serif" w:hAnsi="Times New Roman;Times;serif"/>
            <w:b w:val="false"/>
            <w:i w:val="false"/>
            <w:caps w:val="false"/>
            <w:smallCaps w:val="false"/>
            <w:sz w:val="24"/>
            <w:shd w:fill="FFFFFF" w:val="clear"/>
          </w:rPr>
          <w:t>Section 6.19.</w:t>
        </w:r>
      </w:hyperlink>
      <w:r>
        <w:rPr>
          <w:rFonts w:ascii="Times New Roman;Times;serif" w:hAnsi="Times New Roman;Times;serif"/>
          <w:sz w:val="24"/>
          <w:shd w:fill="FFFFFF" w:val="clear"/>
        </w:rPr>
        <w:tab/>
      </w:r>
      <w:hyperlink w:anchor="_Toc221027863">
        <w:r>
          <w:rPr>
            <w:rStyle w:val="InternetLink"/>
            <w:rFonts w:ascii="Times New Roman;Times;serif" w:hAnsi="Times New Roman;Times;serif"/>
            <w:b w:val="false"/>
            <w:i w:val="false"/>
            <w:caps w:val="false"/>
            <w:smallCaps w:val="false"/>
            <w:sz w:val="24"/>
            <w:shd w:fill="FFFFFF" w:val="clear"/>
          </w:rPr>
          <w:t>Other Agreements</w:t>
        </w:r>
      </w:hyperlink>
      <w:hyperlink w:anchor="_Toc221027863">
        <w:r>
          <w:rPr>
            <w:webHidden/>
          </w:rPr>
          <w:fldChar w:fldCharType="begin"/>
        </w:r>
        <w:r>
          <w:rPr>
            <w:webHidden/>
          </w:rPr>
          <w:instrText xml:space="preserve">PAGEREF _Toc221027863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65</w:t>
        </w:r>
        <w:r>
          <w:rPr>
            <w:webHidden/>
          </w:rPr>
          <w:fldChar w:fldCharType="end"/>
        </w:r>
      </w:hyperlink>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895"/>
                <wp:effectExtent l="0" t="0" r="0" b="0"/>
                <wp:wrapNone/>
                <wp:docPr id="436" name="Frame4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4">
        <w:r>
          <w:rPr>
            <w:rStyle w:val="InternetLink"/>
            <w:rFonts w:ascii="Times New Roman;Times;serif" w:hAnsi="Times New Roman;Times;serif"/>
            <w:b w:val="false"/>
            <w:i w:val="false"/>
            <w:caps w:val="false"/>
            <w:smallCaps w:val="false"/>
            <w:sz w:val="24"/>
            <w:shd w:fill="FFFFFF" w:val="clear"/>
          </w:rPr>
          <w:t>Section 6.20.</w:t>
        </w:r>
      </w:hyperlink>
      <w:r>
        <w:rPr>
          <w:rFonts w:ascii="Times New Roman;Times;serif" w:hAnsi="Times New Roman;Times;serif"/>
          <w:sz w:val="24"/>
          <w:shd w:fill="FFFFFF" w:val="clear"/>
        </w:rPr>
        <w:tab/>
      </w:r>
      <w:hyperlink w:anchor="_Toc221027864">
        <w:r>
          <w:rPr>
            <w:rStyle w:val="InternetLink"/>
            <w:rFonts w:ascii="Times New Roman;Times;serif" w:hAnsi="Times New Roman;Times;serif"/>
            <w:b w:val="false"/>
            <w:i w:val="false"/>
            <w:caps w:val="false"/>
            <w:smallCaps w:val="false"/>
            <w:sz w:val="24"/>
            <w:shd w:fill="FFFFFF" w:val="clear"/>
          </w:rPr>
          <w:t>Solvency</w:t>
        </w:r>
      </w:hyperlink>
      <w:hyperlink w:anchor="_Toc221027864">
        <w:r>
          <w:rPr>
            <w:webHidden/>
          </w:rPr>
          <w:fldChar w:fldCharType="begin"/>
        </w:r>
        <w:r>
          <w:rPr>
            <w:webHidden/>
          </w:rPr>
          <w:instrText xml:space="preserve">PAGEREF _Toc221027864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895"/>
                <wp:effectExtent l="0" t="0" r="0" b="0"/>
                <wp:wrapNone/>
                <wp:docPr id="437" name="Frame4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5">
        <w:r>
          <w:rPr>
            <w:rStyle w:val="InternetLink"/>
            <w:rFonts w:ascii="Times New Roman;Times;serif" w:hAnsi="Times New Roman;Times;serif"/>
            <w:b w:val="false"/>
            <w:i w:val="false"/>
            <w:caps w:val="false"/>
            <w:smallCaps w:val="false"/>
            <w:sz w:val="24"/>
            <w:shd w:fill="FFFFFF" w:val="clear"/>
          </w:rPr>
          <w:t>Section 6.21.</w:t>
        </w:r>
      </w:hyperlink>
      <w:r>
        <w:rPr>
          <w:rFonts w:ascii="Times New Roman;Times;serif" w:hAnsi="Times New Roman;Times;serif"/>
          <w:sz w:val="24"/>
          <w:shd w:fill="FFFFFF" w:val="clear"/>
        </w:rPr>
        <w:tab/>
      </w:r>
      <w:hyperlink w:anchor="_Toc221027865">
        <w:r>
          <w:rPr>
            <w:rStyle w:val="InternetLink"/>
            <w:rFonts w:ascii="Times New Roman;Times;serif" w:hAnsi="Times New Roman;Times;serif"/>
            <w:b w:val="false"/>
            <w:i w:val="false"/>
            <w:caps w:val="false"/>
            <w:smallCaps w:val="false"/>
            <w:sz w:val="24"/>
            <w:shd w:fill="FFFFFF" w:val="clear"/>
          </w:rPr>
          <w:t>No Default</w:t>
        </w:r>
      </w:hyperlink>
      <w:hyperlink w:anchor="_Toc221027865">
        <w:r>
          <w:rPr>
            <w:webHidden/>
          </w:rPr>
          <w:fldChar w:fldCharType="begin"/>
        </w:r>
        <w:r>
          <w:rPr>
            <w:webHidden/>
          </w:rPr>
          <w:instrText xml:space="preserve">PAGEREF _Toc221027865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895"/>
                <wp:effectExtent l="0" t="0" r="0" b="0"/>
                <wp:wrapNone/>
                <wp:docPr id="438" name="Frame4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6">
        <w:r>
          <w:rPr>
            <w:rStyle w:val="InternetLink"/>
            <w:rFonts w:ascii="Times New Roman;Times;serif" w:hAnsi="Times New Roman;Times;serif"/>
            <w:b w:val="false"/>
            <w:i w:val="false"/>
            <w:caps w:val="false"/>
            <w:smallCaps w:val="false"/>
            <w:sz w:val="24"/>
            <w:shd w:fill="FFFFFF" w:val="clear"/>
          </w:rPr>
          <w:t>Section 6.22.</w:t>
        </w:r>
      </w:hyperlink>
      <w:r>
        <w:rPr>
          <w:rFonts w:ascii="Times New Roman;Times;serif" w:hAnsi="Times New Roman;Times;serif"/>
          <w:sz w:val="24"/>
          <w:shd w:fill="FFFFFF" w:val="clear"/>
        </w:rPr>
        <w:tab/>
      </w:r>
      <w:hyperlink w:anchor="_Toc221027866">
        <w:r>
          <w:rPr>
            <w:rStyle w:val="InternetLink"/>
            <w:rFonts w:ascii="Times New Roman;Times;serif" w:hAnsi="Times New Roman;Times;serif"/>
            <w:b w:val="false"/>
            <w:i w:val="false"/>
            <w:caps w:val="false"/>
            <w:smallCaps w:val="false"/>
            <w:sz w:val="24"/>
            <w:shd w:fill="FFFFFF" w:val="clear"/>
          </w:rPr>
          <w:t>No Broker Fees</w:t>
        </w:r>
      </w:hyperlink>
      <w:hyperlink w:anchor="_Toc221027866">
        <w:r>
          <w:rPr>
            <w:webHidden/>
          </w:rPr>
          <w:fldChar w:fldCharType="begin"/>
        </w:r>
        <w:r>
          <w:rPr>
            <w:webHidden/>
          </w:rPr>
          <w:instrText xml:space="preserve">PAGEREF _Toc221027866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895"/>
                <wp:effectExtent l="0" t="0" r="0" b="0"/>
                <wp:wrapNone/>
                <wp:docPr id="439" name="Frame4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7">
        <w:r>
          <w:rPr>
            <w:rStyle w:val="InternetLink"/>
            <w:rFonts w:ascii="Times New Roman;Times;serif" w:hAnsi="Times New Roman;Times;serif"/>
            <w:b w:val="false"/>
            <w:i w:val="false"/>
            <w:caps w:val="false"/>
            <w:smallCaps w:val="false"/>
            <w:sz w:val="24"/>
            <w:shd w:fill="FFFFFF" w:val="clear"/>
          </w:rPr>
          <w:t>Section 6.23.</w:t>
        </w:r>
      </w:hyperlink>
      <w:r>
        <w:rPr>
          <w:rFonts w:ascii="Times New Roman;Times;serif" w:hAnsi="Times New Roman;Times;serif"/>
          <w:sz w:val="24"/>
          <w:shd w:fill="FFFFFF" w:val="clear"/>
        </w:rPr>
        <w:tab/>
      </w:r>
      <w:hyperlink w:anchor="_Toc221027867">
        <w:r>
          <w:rPr>
            <w:rStyle w:val="InternetLink"/>
            <w:rFonts w:ascii="Times New Roman;Times;serif" w:hAnsi="Times New Roman;Times;serif"/>
            <w:b w:val="false"/>
            <w:i w:val="false"/>
            <w:caps w:val="false"/>
            <w:smallCaps w:val="false"/>
            <w:sz w:val="24"/>
            <w:shd w:fill="FFFFFF" w:val="clear"/>
          </w:rPr>
          <w:t>Condition of Property; Casualties; Condemnation</w:t>
        </w:r>
      </w:hyperlink>
      <w:hyperlink w:anchor="_Toc221027867">
        <w:r>
          <w:rPr>
            <w:webHidden/>
          </w:rPr>
          <w:fldChar w:fldCharType="begin"/>
        </w:r>
        <w:r>
          <w:rPr>
            <w:webHidden/>
          </w:rPr>
          <w:instrText xml:space="preserve">PAGEREF _Toc221027867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895"/>
                <wp:effectExtent l="0" t="0" r="0" b="0"/>
                <wp:wrapNone/>
                <wp:docPr id="440" name="Frame4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8">
        <w:r>
          <w:rPr>
            <w:rStyle w:val="InternetLink"/>
            <w:rFonts w:ascii="Times New Roman;Times;serif" w:hAnsi="Times New Roman;Times;serif"/>
            <w:b w:val="false"/>
            <w:i w:val="false"/>
            <w:caps w:val="false"/>
            <w:smallCaps w:val="false"/>
            <w:sz w:val="24"/>
            <w:shd w:fill="FFFFFF" w:val="clear"/>
          </w:rPr>
          <w:t>Section 6.24.</w:t>
        </w:r>
      </w:hyperlink>
      <w:r>
        <w:rPr>
          <w:rFonts w:ascii="Times New Roman;Times;serif" w:hAnsi="Times New Roman;Times;serif"/>
          <w:sz w:val="24"/>
          <w:shd w:fill="FFFFFF" w:val="clear"/>
        </w:rPr>
        <w:tab/>
      </w:r>
      <w:hyperlink w:anchor="_Toc221027868">
        <w:r>
          <w:rPr>
            <w:rStyle w:val="InternetLink"/>
            <w:rFonts w:ascii="Times New Roman;Times;serif" w:hAnsi="Times New Roman;Times;serif"/>
            <w:b w:val="false"/>
            <w:i w:val="false"/>
            <w:caps w:val="false"/>
            <w:smallCaps w:val="false"/>
            <w:sz w:val="24"/>
            <w:shd w:fill="FFFFFF" w:val="clear"/>
          </w:rPr>
          <w:t>Legal Requirements and Zoning</w:t>
        </w:r>
      </w:hyperlink>
      <w:hyperlink w:anchor="_Toc221027868">
        <w:r>
          <w:rPr>
            <w:webHidden/>
          </w:rPr>
          <w:fldChar w:fldCharType="begin"/>
        </w:r>
        <w:r>
          <w:rPr>
            <w:webHidden/>
          </w:rPr>
          <w:instrText xml:space="preserve">PAGEREF _Toc221027868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895"/>
                <wp:effectExtent l="0" t="0" r="0" b="0"/>
                <wp:wrapNone/>
                <wp:docPr id="441" name="Frame4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69">
        <w:r>
          <w:rPr>
            <w:rStyle w:val="InternetLink"/>
            <w:rFonts w:ascii="Times New Roman;Times;serif" w:hAnsi="Times New Roman;Times;serif"/>
            <w:b w:val="false"/>
            <w:i w:val="false"/>
            <w:caps w:val="false"/>
            <w:smallCaps w:val="false"/>
            <w:sz w:val="24"/>
            <w:shd w:fill="FFFFFF" w:val="clear"/>
          </w:rPr>
          <w:t>Section 6.25.</w:t>
        </w:r>
      </w:hyperlink>
      <w:r>
        <w:rPr>
          <w:rFonts w:ascii="Times New Roman;Times;serif" w:hAnsi="Times New Roman;Times;serif"/>
          <w:sz w:val="24"/>
          <w:shd w:fill="FFFFFF" w:val="clear"/>
        </w:rPr>
        <w:tab/>
      </w:r>
      <w:hyperlink w:anchor="_Toc221027869">
        <w:r>
          <w:rPr>
            <w:rStyle w:val="InternetLink"/>
            <w:rFonts w:ascii="Times New Roman;Times;serif" w:hAnsi="Times New Roman;Times;serif"/>
            <w:b w:val="false"/>
            <w:i w:val="false"/>
            <w:caps w:val="false"/>
            <w:smallCaps w:val="false"/>
            <w:sz w:val="24"/>
            <w:shd w:fill="FFFFFF" w:val="clear"/>
          </w:rPr>
          <w:t>No Defaults; Landlord is in Compliance with Leases</w:t>
        </w:r>
      </w:hyperlink>
      <w:hyperlink w:anchor="_Toc221027869">
        <w:r>
          <w:rPr>
            <w:webHidden/>
          </w:rPr>
          <w:fldChar w:fldCharType="begin"/>
        </w:r>
        <w:r>
          <w:rPr>
            <w:webHidden/>
          </w:rPr>
          <w:instrText xml:space="preserve">PAGEREF _Toc221027869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895"/>
                <wp:effectExtent l="0" t="0" r="0" b="0"/>
                <wp:wrapNone/>
                <wp:docPr id="442" name="Frame4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0">
        <w:r>
          <w:rPr>
            <w:rStyle w:val="InternetLink"/>
            <w:rFonts w:ascii="Times New Roman;Times;serif" w:hAnsi="Times New Roman;Times;serif"/>
            <w:b w:val="false"/>
            <w:i w:val="false"/>
            <w:caps w:val="false"/>
            <w:smallCaps w:val="false"/>
            <w:sz w:val="24"/>
            <w:shd w:fill="FFFFFF" w:val="clear"/>
          </w:rPr>
          <w:t>Section 6.26.</w:t>
        </w:r>
      </w:hyperlink>
      <w:r>
        <w:rPr>
          <w:rFonts w:ascii="Times New Roman;Times;serif" w:hAnsi="Times New Roman;Times;serif"/>
          <w:sz w:val="24"/>
          <w:shd w:fill="FFFFFF" w:val="clear"/>
        </w:rPr>
        <w:tab/>
      </w:r>
      <w:hyperlink w:anchor="_Toc221027870">
        <w:r>
          <w:rPr>
            <w:rStyle w:val="InternetLink"/>
            <w:rFonts w:ascii="Times New Roman;Times;serif" w:hAnsi="Times New Roman;Times;serif"/>
            <w:b w:val="false"/>
            <w:i w:val="false"/>
            <w:caps w:val="false"/>
            <w:smallCaps w:val="false"/>
            <w:sz w:val="24"/>
            <w:shd w:fill="FFFFFF" w:val="clear"/>
          </w:rPr>
          <w:t>Affected Financial Institution</w:t>
        </w:r>
      </w:hyperlink>
      <w:hyperlink w:anchor="_Toc221027870">
        <w:r>
          <w:rPr>
            <w:webHidden/>
          </w:rPr>
          <w:fldChar w:fldCharType="begin"/>
        </w:r>
        <w:r>
          <w:rPr>
            <w:webHidden/>
          </w:rPr>
          <w:instrText xml:space="preserve">PAGEREF _Toc221027870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895"/>
                <wp:effectExtent l="0" t="0" r="0" b="0"/>
                <wp:wrapNone/>
                <wp:docPr id="443" name="Frame4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1">
        <w:r>
          <w:rPr>
            <w:rStyle w:val="InternetLink"/>
            <w:rFonts w:ascii="Times New Roman;Times;serif" w:hAnsi="Times New Roman;Times;serif"/>
            <w:b w:val="false"/>
            <w:i w:val="false"/>
            <w:caps w:val="false"/>
            <w:smallCaps w:val="false"/>
            <w:sz w:val="24"/>
            <w:shd w:fill="FFFFFF" w:val="clear"/>
          </w:rPr>
          <w:t>Section 6.27.</w:t>
        </w:r>
      </w:hyperlink>
      <w:r>
        <w:rPr>
          <w:rFonts w:ascii="Times New Roman;Times;serif" w:hAnsi="Times New Roman;Times;serif"/>
          <w:sz w:val="24"/>
          <w:shd w:fill="FFFFFF" w:val="clear"/>
        </w:rPr>
        <w:tab/>
      </w:r>
      <w:hyperlink w:anchor="_Toc221027871">
        <w:r>
          <w:rPr>
            <w:rStyle w:val="InternetLink"/>
            <w:rFonts w:ascii="Times New Roman;Times;serif" w:hAnsi="Times New Roman;Times;serif"/>
            <w:b w:val="false"/>
            <w:i w:val="false"/>
            <w:caps w:val="false"/>
            <w:smallCaps w:val="false"/>
            <w:sz w:val="24"/>
            <w:shd w:fill="FFFFFF" w:val="clear"/>
          </w:rPr>
          <w:t>REIT Status</w:t>
        </w:r>
      </w:hyperlink>
      <w:hyperlink w:anchor="_Toc221027871">
        <w:r>
          <w:rPr>
            <w:webHidden/>
          </w:rPr>
          <w:fldChar w:fldCharType="begin"/>
        </w:r>
        <w:r>
          <w:rPr>
            <w:webHidden/>
          </w:rPr>
          <w:instrText xml:space="preserve">PAGEREF _Toc221027871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895"/>
                <wp:effectExtent l="0" t="0" r="0" b="0"/>
                <wp:wrapNone/>
                <wp:docPr id="444" name="Frame4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2">
        <w:r>
          <w:rPr>
            <w:rStyle w:val="InternetLink"/>
            <w:rFonts w:ascii="Times New Roman;Times;serif" w:hAnsi="Times New Roman;Times;serif"/>
            <w:b w:val="false"/>
            <w:i w:val="false"/>
            <w:caps w:val="false"/>
            <w:smallCaps w:val="false"/>
            <w:sz w:val="24"/>
            <w:shd w:fill="FFFFFF" w:val="clear"/>
          </w:rPr>
          <w:t>Section 6.28.</w:t>
        </w:r>
      </w:hyperlink>
      <w:r>
        <w:rPr>
          <w:rFonts w:ascii="Times New Roman;Times;serif" w:hAnsi="Times New Roman;Times;serif"/>
          <w:sz w:val="24"/>
          <w:shd w:fill="FFFFFF" w:val="clear"/>
        </w:rPr>
        <w:tab/>
      </w:r>
      <w:hyperlink w:anchor="_Toc221027872">
        <w:r>
          <w:rPr>
            <w:rStyle w:val="InternetLink"/>
            <w:rFonts w:ascii="Times New Roman;Times;serif" w:hAnsi="Times New Roman;Times;serif"/>
            <w:b w:val="false"/>
            <w:i w:val="false"/>
            <w:caps w:val="false"/>
            <w:smallCaps w:val="false"/>
            <w:sz w:val="24"/>
            <w:shd w:fill="FFFFFF" w:val="clear"/>
          </w:rPr>
          <w:t>Covered Entities</w:t>
        </w:r>
      </w:hyperlink>
      <w:hyperlink w:anchor="_Toc221027872">
        <w:r>
          <w:rPr>
            <w:webHidden/>
          </w:rPr>
          <w:fldChar w:fldCharType="begin"/>
        </w:r>
        <w:r>
          <w:rPr>
            <w:webHidden/>
          </w:rPr>
          <w:instrText xml:space="preserve">PAGEREF _Toc221027872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895"/>
                <wp:effectExtent l="0" t="0" r="0" b="0"/>
                <wp:wrapNone/>
                <wp:docPr id="445" name="Frame4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3">
        <w:r>
          <w:rPr>
            <w:rStyle w:val="InternetLink"/>
            <w:rFonts w:ascii="Times New Roman;Times;serif" w:hAnsi="Times New Roman;Times;serif"/>
            <w:b w:val="false"/>
            <w:i w:val="false"/>
            <w:caps w:val="false"/>
            <w:smallCaps w:val="false"/>
            <w:sz w:val="24"/>
            <w:shd w:fill="FFFFFF" w:val="clear"/>
          </w:rPr>
          <w:t>Section 6.29.</w:t>
        </w:r>
      </w:hyperlink>
      <w:r>
        <w:rPr>
          <w:rFonts w:ascii="Times New Roman;Times;serif" w:hAnsi="Times New Roman;Times;serif"/>
          <w:sz w:val="24"/>
          <w:shd w:fill="FFFFFF" w:val="clear"/>
        </w:rPr>
        <w:tab/>
      </w:r>
      <w:hyperlink w:anchor="_Toc221027873">
        <w:r>
          <w:rPr>
            <w:rStyle w:val="InternetLink"/>
            <w:rFonts w:ascii="Times New Roman;Times;serif" w:hAnsi="Times New Roman;Times;serif"/>
            <w:b w:val="false"/>
            <w:i w:val="false"/>
            <w:caps w:val="false"/>
            <w:smallCaps w:val="false"/>
            <w:sz w:val="24"/>
            <w:shd w:fill="FFFFFF" w:val="clear"/>
          </w:rPr>
          <w:t>Outbound Investment Rules</w:t>
        </w:r>
      </w:hyperlink>
      <w:hyperlink w:anchor="_Toc221027873">
        <w:r>
          <w:rPr>
            <w:webHidden/>
          </w:rPr>
          <w:fldChar w:fldCharType="begin"/>
        </w:r>
        <w:r>
          <w:rPr>
            <w:webHidden/>
          </w:rPr>
          <w:instrText xml:space="preserve">PAGEREF _Toc221027873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895"/>
                <wp:effectExtent l="0" t="0" r="0" b="0"/>
                <wp:wrapNone/>
                <wp:docPr id="446" name="Frame4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74">
        <w:r>
          <w:rPr>
            <w:rStyle w:val="InternetLink"/>
            <w:rFonts w:ascii="Times New Roman;Times;serif" w:hAnsi="Times New Roman;Times;serif"/>
            <w:b w:val="false"/>
            <w:i w:val="false"/>
            <w:caps w:val="false"/>
            <w:smallCaps w:val="false"/>
            <w:sz w:val="24"/>
            <w:shd w:fill="FFFFFF" w:val="clear"/>
          </w:rPr>
          <w:t>SECTION 7.</w:t>
        </w:r>
      </w:hyperlink>
      <w:r>
        <w:rPr>
          <w:rFonts w:ascii="Times New Roman;Times;serif" w:hAnsi="Times New Roman;Times;serif"/>
          <w:sz w:val="24"/>
          <w:shd w:fill="FFFFFF" w:val="clear"/>
        </w:rPr>
        <w:tab/>
      </w:r>
      <w:hyperlink w:anchor="_Toc221027874">
        <w:r>
          <w:rPr>
            <w:rStyle w:val="InternetLink"/>
            <w:rFonts w:ascii="Times New Roman;Times;serif" w:hAnsi="Times New Roman;Times;serif"/>
            <w:b w:val="false"/>
            <w:i w:val="false"/>
            <w:caps w:val="false"/>
            <w:smallCaps w:val="false"/>
            <w:sz w:val="24"/>
            <w:shd w:fill="FFFFFF" w:val="clear"/>
          </w:rPr>
          <w:t>Conditions Precedent.</w:t>
        </w:r>
      </w:hyperlink>
      <w:hyperlink w:anchor="_Toc221027874">
        <w:r>
          <w:rPr>
            <w:webHidden/>
          </w:rPr>
          <w:fldChar w:fldCharType="begin"/>
        </w:r>
        <w:r>
          <w:rPr>
            <w:webHidden/>
          </w:rPr>
          <w:instrText xml:space="preserve">PAGEREF _Toc221027874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48">
                <wp:simplePos x="0" y="0"/>
                <wp:positionH relativeFrom="page">
                  <wp:posOffset>0</wp:posOffset>
                </wp:positionH>
                <wp:positionV relativeFrom="line">
                  <wp:posOffset>635</wp:posOffset>
                </wp:positionV>
                <wp:extent cx="6480175" cy="175895"/>
                <wp:effectExtent l="0" t="0" r="0" b="0"/>
                <wp:wrapNone/>
                <wp:docPr id="447" name="Frame4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5">
        <w:r>
          <w:rPr>
            <w:rStyle w:val="InternetLink"/>
            <w:rFonts w:ascii="Times New Roman;Times;serif" w:hAnsi="Times New Roman;Times;serif"/>
            <w:b w:val="false"/>
            <w:i w:val="false"/>
            <w:caps w:val="false"/>
            <w:smallCaps w:val="false"/>
            <w:sz w:val="24"/>
            <w:shd w:fill="FFFFFF" w:val="clear"/>
          </w:rPr>
          <w:t>Section 7.1.</w:t>
        </w:r>
      </w:hyperlink>
      <w:r>
        <w:rPr>
          <w:rFonts w:ascii="Times New Roman;Times;serif" w:hAnsi="Times New Roman;Times;serif"/>
          <w:sz w:val="24"/>
          <w:shd w:fill="FFFFFF" w:val="clear"/>
        </w:rPr>
        <w:tab/>
      </w:r>
      <w:hyperlink w:anchor="_Toc221027875">
        <w:r>
          <w:rPr>
            <w:rStyle w:val="InternetLink"/>
            <w:rFonts w:ascii="Times New Roman;Times;serif" w:hAnsi="Times New Roman;Times;serif"/>
            <w:b w:val="false"/>
            <w:i w:val="false"/>
            <w:caps w:val="false"/>
            <w:smallCaps w:val="false"/>
            <w:sz w:val="24"/>
            <w:shd w:fill="FFFFFF" w:val="clear"/>
          </w:rPr>
          <w:t>All Credit Events</w:t>
        </w:r>
      </w:hyperlink>
      <w:hyperlink w:anchor="_Toc221027875">
        <w:r>
          <w:rPr>
            <w:webHidden/>
          </w:rPr>
          <w:fldChar w:fldCharType="begin"/>
        </w:r>
        <w:r>
          <w:rPr>
            <w:webHidden/>
          </w:rPr>
          <w:instrText xml:space="preserve">PAGEREF _Toc221027875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895"/>
                <wp:effectExtent l="0" t="0" r="0" b="0"/>
                <wp:wrapNone/>
                <wp:docPr id="448" name="Frame4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6">
        <w:r>
          <w:rPr>
            <w:rStyle w:val="InternetLink"/>
            <w:rFonts w:ascii="Times New Roman;Times;serif" w:hAnsi="Times New Roman;Times;serif"/>
            <w:b w:val="false"/>
            <w:i w:val="false"/>
            <w:caps w:val="false"/>
            <w:smallCaps w:val="false"/>
            <w:sz w:val="24"/>
            <w:shd w:fill="FFFFFF" w:val="clear"/>
          </w:rPr>
          <w:t>Section 7.2.</w:t>
        </w:r>
      </w:hyperlink>
      <w:r>
        <w:rPr>
          <w:rFonts w:ascii="Times New Roman;Times;serif" w:hAnsi="Times New Roman;Times;serif"/>
          <w:sz w:val="24"/>
          <w:shd w:fill="FFFFFF" w:val="clear"/>
        </w:rPr>
        <w:tab/>
      </w:r>
      <w:hyperlink w:anchor="_Toc221027876">
        <w:r>
          <w:rPr>
            <w:rStyle w:val="InternetLink"/>
            <w:rFonts w:ascii="Times New Roman;Times;serif" w:hAnsi="Times New Roman;Times;serif"/>
            <w:b w:val="false"/>
            <w:i w:val="false"/>
            <w:caps w:val="false"/>
            <w:smallCaps w:val="false"/>
            <w:sz w:val="24"/>
            <w:shd w:fill="FFFFFF" w:val="clear"/>
          </w:rPr>
          <w:t>Closing Date Credit Event</w:t>
        </w:r>
      </w:hyperlink>
      <w:hyperlink w:anchor="_Toc221027876">
        <w:r>
          <w:rPr>
            <w:webHidden/>
          </w:rPr>
          <w:fldChar w:fldCharType="begin"/>
        </w:r>
        <w:r>
          <w:rPr>
            <w:webHidden/>
          </w:rPr>
          <w:instrText xml:space="preserve">PAGEREF _Toc221027876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68</w:t>
        </w:r>
        <w:r>
          <w:rPr>
            <w:webHidden/>
          </w:rPr>
          <w:fldChar w:fldCharType="end"/>
        </w:r>
      </w:hyperlink>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895"/>
                <wp:effectExtent l="0" t="0" r="0" b="0"/>
                <wp:wrapNone/>
                <wp:docPr id="449" name="Frame4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7">
        <w:r>
          <w:rPr>
            <w:rStyle w:val="InternetLink"/>
            <w:rFonts w:ascii="Times New Roman;Times;serif" w:hAnsi="Times New Roman;Times;serif"/>
            <w:b w:val="false"/>
            <w:i w:val="false"/>
            <w:caps w:val="false"/>
            <w:smallCaps w:val="false"/>
            <w:sz w:val="24"/>
            <w:shd w:fill="FFFFFF" w:val="clear"/>
          </w:rPr>
          <w:t>Section 7.3.</w:t>
        </w:r>
      </w:hyperlink>
      <w:r>
        <w:rPr>
          <w:rFonts w:ascii="Times New Roman;Times;serif" w:hAnsi="Times New Roman;Times;serif"/>
          <w:sz w:val="24"/>
          <w:shd w:fill="FFFFFF" w:val="clear"/>
        </w:rPr>
        <w:tab/>
      </w:r>
      <w:hyperlink w:anchor="_Toc221027877">
        <w:r>
          <w:rPr>
            <w:rStyle w:val="InternetLink"/>
            <w:rFonts w:ascii="Times New Roman;Times;serif" w:hAnsi="Times New Roman;Times;serif"/>
            <w:b w:val="false"/>
            <w:i w:val="false"/>
            <w:caps w:val="false"/>
            <w:smallCaps w:val="false"/>
            <w:sz w:val="24"/>
            <w:shd w:fill="FFFFFF" w:val="clear"/>
          </w:rPr>
          <w:t>Unencumbered Assets Additions and Deletions to the Unencumbered Pool</w:t>
        </w:r>
      </w:hyperlink>
      <w:hyperlink w:anchor="_Toc221027877">
        <w:r>
          <w:rPr>
            <w:webHidden/>
          </w:rPr>
          <w:fldChar w:fldCharType="begin"/>
        </w:r>
        <w:r>
          <w:rPr>
            <w:webHidden/>
          </w:rPr>
          <w:instrText xml:space="preserve">PAGEREF _Toc221027877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895"/>
                <wp:effectExtent l="0" t="0" r="0" b="0"/>
                <wp:wrapNone/>
                <wp:docPr id="450" name="Frame4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6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878">
        <w:r>
          <w:rPr>
            <w:rStyle w:val="InternetLink"/>
            <w:rFonts w:ascii="Times New Roman;Times;serif" w:hAnsi="Times New Roman;Times;serif"/>
            <w:b w:val="false"/>
            <w:i w:val="false"/>
            <w:caps w:val="false"/>
            <w:smallCaps w:val="false"/>
            <w:sz w:val="24"/>
            <w:shd w:fill="FFFFFF" w:val="clear"/>
          </w:rPr>
          <w:t>SECTION 8.</w:t>
        </w:r>
      </w:hyperlink>
      <w:r>
        <w:rPr>
          <w:rFonts w:ascii="Times New Roman;Times;serif" w:hAnsi="Times New Roman;Times;serif"/>
          <w:sz w:val="24"/>
          <w:shd w:fill="FFFFFF" w:val="clear"/>
        </w:rPr>
        <w:tab/>
      </w:r>
      <w:hyperlink w:anchor="_Toc221027878">
        <w:r>
          <w:rPr>
            <w:rStyle w:val="InternetLink"/>
            <w:rFonts w:ascii="Times New Roman;Times;serif" w:hAnsi="Times New Roman;Times;serif"/>
            <w:b w:val="false"/>
            <w:i w:val="false"/>
            <w:caps w:val="false"/>
            <w:smallCaps w:val="false"/>
            <w:sz w:val="24"/>
            <w:shd w:fill="FFFFFF" w:val="clear"/>
          </w:rPr>
          <w:t>Covenants.</w:t>
        </w:r>
      </w:hyperlink>
      <w:hyperlink w:anchor="_Toc221027878">
        <w:r>
          <w:rPr>
            <w:webHidden/>
          </w:rPr>
          <w:fldChar w:fldCharType="begin"/>
        </w:r>
        <w:r>
          <w:rPr>
            <w:webHidden/>
          </w:rPr>
          <w:instrText xml:space="preserve">PAGEREF _Toc221027878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452">
                <wp:simplePos x="0" y="0"/>
                <wp:positionH relativeFrom="page">
                  <wp:posOffset>0</wp:posOffset>
                </wp:positionH>
                <wp:positionV relativeFrom="line">
                  <wp:posOffset>635</wp:posOffset>
                </wp:positionV>
                <wp:extent cx="6480175" cy="175895"/>
                <wp:effectExtent l="0" t="0" r="0" b="0"/>
                <wp:wrapNone/>
                <wp:docPr id="451" name="Frame4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79">
        <w:r>
          <w:rPr>
            <w:rStyle w:val="InternetLink"/>
            <w:rFonts w:ascii="Times New Roman;Times;serif" w:hAnsi="Times New Roman;Times;serif"/>
            <w:b w:val="false"/>
            <w:i w:val="false"/>
            <w:caps w:val="false"/>
            <w:smallCaps w:val="false"/>
            <w:sz w:val="24"/>
            <w:shd w:fill="FFFFFF" w:val="clear"/>
          </w:rPr>
          <w:t>Section 8.1.</w:t>
        </w:r>
      </w:hyperlink>
      <w:r>
        <w:rPr>
          <w:rFonts w:ascii="Times New Roman;Times;serif" w:hAnsi="Times New Roman;Times;serif"/>
          <w:sz w:val="24"/>
          <w:shd w:fill="FFFFFF" w:val="clear"/>
        </w:rPr>
        <w:tab/>
      </w:r>
      <w:hyperlink w:anchor="_Toc221027879">
        <w:r>
          <w:rPr>
            <w:rStyle w:val="InternetLink"/>
            <w:rFonts w:ascii="Times New Roman;Times;serif" w:hAnsi="Times New Roman;Times;serif"/>
            <w:b w:val="false"/>
            <w:i w:val="false"/>
            <w:caps w:val="false"/>
            <w:smallCaps w:val="false"/>
            <w:sz w:val="24"/>
            <w:shd w:fill="FFFFFF" w:val="clear"/>
          </w:rPr>
          <w:t>Maintenance of Existence</w:t>
        </w:r>
      </w:hyperlink>
      <w:hyperlink w:anchor="_Toc221027879">
        <w:r>
          <w:rPr>
            <w:webHidden/>
          </w:rPr>
          <w:fldChar w:fldCharType="begin"/>
        </w:r>
        <w:r>
          <w:rPr>
            <w:webHidden/>
          </w:rPr>
          <w:instrText xml:space="preserve">PAGEREF _Toc221027879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895"/>
                <wp:effectExtent l="0" t="0" r="0" b="0"/>
                <wp:wrapNone/>
                <wp:docPr id="452" name="Frame4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0">
        <w:r>
          <w:rPr>
            <w:rStyle w:val="InternetLink"/>
            <w:rFonts w:ascii="Times New Roman;Times;serif" w:hAnsi="Times New Roman;Times;serif"/>
            <w:b w:val="false"/>
            <w:i w:val="false"/>
            <w:caps w:val="false"/>
            <w:smallCaps w:val="false"/>
            <w:sz w:val="24"/>
            <w:shd w:fill="FFFFFF" w:val="clear"/>
          </w:rPr>
          <w:t>Section 8.2.</w:t>
        </w:r>
      </w:hyperlink>
      <w:r>
        <w:rPr>
          <w:rFonts w:ascii="Times New Roman;Times;serif" w:hAnsi="Times New Roman;Times;serif"/>
          <w:sz w:val="24"/>
          <w:shd w:fill="FFFFFF" w:val="clear"/>
        </w:rPr>
        <w:tab/>
      </w:r>
      <w:hyperlink w:anchor="_Toc221027880">
        <w:r>
          <w:rPr>
            <w:rStyle w:val="InternetLink"/>
            <w:rFonts w:ascii="Times New Roman;Times;serif" w:hAnsi="Times New Roman;Times;serif"/>
            <w:b w:val="false"/>
            <w:i w:val="false"/>
            <w:caps w:val="false"/>
            <w:smallCaps w:val="false"/>
            <w:sz w:val="24"/>
            <w:shd w:fill="FFFFFF" w:val="clear"/>
          </w:rPr>
          <w:t>Maintenance of Properties, Agreements</w:t>
        </w:r>
      </w:hyperlink>
      <w:hyperlink w:anchor="_Toc221027880">
        <w:r>
          <w:rPr>
            <w:webHidden/>
          </w:rPr>
          <w:fldChar w:fldCharType="begin"/>
        </w:r>
        <w:r>
          <w:rPr>
            <w:webHidden/>
          </w:rPr>
          <w:instrText xml:space="preserve">PAGEREF _Toc221027880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895"/>
                <wp:effectExtent l="0" t="0" r="0" b="0"/>
                <wp:wrapNone/>
                <wp:docPr id="453" name="Frame4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1">
        <w:r>
          <w:rPr>
            <w:rStyle w:val="InternetLink"/>
            <w:rFonts w:ascii="Times New Roman;Times;serif" w:hAnsi="Times New Roman;Times;serif"/>
            <w:b w:val="false"/>
            <w:i w:val="false"/>
            <w:caps w:val="false"/>
            <w:smallCaps w:val="false"/>
            <w:sz w:val="24"/>
            <w:shd w:fill="FFFFFF" w:val="clear"/>
          </w:rPr>
          <w:t>Section 8.3.</w:t>
        </w:r>
      </w:hyperlink>
      <w:r>
        <w:rPr>
          <w:rFonts w:ascii="Times New Roman;Times;serif" w:hAnsi="Times New Roman;Times;serif"/>
          <w:sz w:val="24"/>
          <w:shd w:fill="FFFFFF" w:val="clear"/>
        </w:rPr>
        <w:tab/>
      </w:r>
      <w:hyperlink w:anchor="_Toc221027881">
        <w:r>
          <w:rPr>
            <w:rStyle w:val="InternetLink"/>
            <w:rFonts w:ascii="Times New Roman;Times;serif" w:hAnsi="Times New Roman;Times;serif"/>
            <w:b w:val="false"/>
            <w:i w:val="false"/>
            <w:caps w:val="false"/>
            <w:smallCaps w:val="false"/>
            <w:sz w:val="24"/>
            <w:shd w:fill="FFFFFF" w:val="clear"/>
          </w:rPr>
          <w:t>Taxes and Assessments</w:t>
        </w:r>
      </w:hyperlink>
      <w:hyperlink w:anchor="_Toc221027881">
        <w:r>
          <w:rPr>
            <w:webHidden/>
          </w:rPr>
          <w:fldChar w:fldCharType="begin"/>
        </w:r>
        <w:r>
          <w:rPr>
            <w:webHidden/>
          </w:rPr>
          <w:instrText xml:space="preserve">PAGEREF _Toc221027881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895"/>
                <wp:effectExtent l="0" t="0" r="0" b="0"/>
                <wp:wrapNone/>
                <wp:docPr id="454" name="Frame4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2">
        <w:r>
          <w:rPr>
            <w:rStyle w:val="InternetLink"/>
            <w:rFonts w:ascii="Times New Roman;Times;serif" w:hAnsi="Times New Roman;Times;serif"/>
            <w:b w:val="false"/>
            <w:i w:val="false"/>
            <w:caps w:val="false"/>
            <w:smallCaps w:val="false"/>
            <w:sz w:val="24"/>
            <w:shd w:fill="FFFFFF" w:val="clear"/>
          </w:rPr>
          <w:t>Section 8.4.</w:t>
        </w:r>
      </w:hyperlink>
      <w:r>
        <w:rPr>
          <w:rFonts w:ascii="Times New Roman;Times;serif" w:hAnsi="Times New Roman;Times;serif"/>
          <w:sz w:val="24"/>
          <w:shd w:fill="FFFFFF" w:val="clear"/>
        </w:rPr>
        <w:tab/>
      </w:r>
      <w:hyperlink w:anchor="_Toc221027882">
        <w:r>
          <w:rPr>
            <w:rStyle w:val="InternetLink"/>
            <w:rFonts w:ascii="Times New Roman;Times;serif" w:hAnsi="Times New Roman;Times;serif"/>
            <w:b w:val="false"/>
            <w:i w:val="false"/>
            <w:caps w:val="false"/>
            <w:smallCaps w:val="false"/>
            <w:sz w:val="24"/>
            <w:shd w:fill="FFFFFF" w:val="clear"/>
          </w:rPr>
          <w:t>Insurance</w:t>
        </w:r>
      </w:hyperlink>
      <w:hyperlink w:anchor="_Toc221027882">
        <w:r>
          <w:rPr>
            <w:webHidden/>
          </w:rPr>
          <w:fldChar w:fldCharType="begin"/>
        </w:r>
        <w:r>
          <w:rPr>
            <w:webHidden/>
          </w:rPr>
          <w:instrText xml:space="preserve">PAGEREF _Toc221027882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895"/>
                <wp:effectExtent l="0" t="0" r="0" b="0"/>
                <wp:wrapNone/>
                <wp:docPr id="455" name="Frame4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3">
        <w:r>
          <w:rPr>
            <w:rStyle w:val="InternetLink"/>
            <w:rFonts w:ascii="Times New Roman;Times;serif" w:hAnsi="Times New Roman;Times;serif"/>
            <w:b w:val="false"/>
            <w:i w:val="false"/>
            <w:caps w:val="false"/>
            <w:smallCaps w:val="false"/>
            <w:sz w:val="24"/>
            <w:shd w:fill="FFFFFF" w:val="clear"/>
          </w:rPr>
          <w:t>Section 8.5.</w:t>
        </w:r>
      </w:hyperlink>
      <w:r>
        <w:rPr>
          <w:rFonts w:ascii="Times New Roman;Times;serif" w:hAnsi="Times New Roman;Times;serif"/>
          <w:sz w:val="24"/>
          <w:shd w:fill="FFFFFF" w:val="clear"/>
        </w:rPr>
        <w:tab/>
      </w:r>
      <w:hyperlink w:anchor="_Toc221027883">
        <w:r>
          <w:rPr>
            <w:rStyle w:val="InternetLink"/>
            <w:rFonts w:ascii="Times New Roman;Times;serif" w:hAnsi="Times New Roman;Times;serif"/>
            <w:b w:val="false"/>
            <w:i w:val="false"/>
            <w:caps w:val="false"/>
            <w:smallCaps w:val="false"/>
            <w:sz w:val="24"/>
            <w:shd w:fill="FFFFFF" w:val="clear"/>
          </w:rPr>
          <w:t>Financial Reports</w:t>
        </w:r>
      </w:hyperlink>
      <w:hyperlink w:anchor="_Toc221027883">
        <w:r>
          <w:rPr>
            <w:webHidden/>
          </w:rPr>
          <w:fldChar w:fldCharType="begin"/>
        </w:r>
        <w:r>
          <w:rPr>
            <w:webHidden/>
          </w:rPr>
          <w:instrText xml:space="preserve">PAGEREF _Toc221027883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72</w:t>
        </w:r>
        <w:r>
          <w:rPr>
            <w:webHidden/>
          </w:rPr>
          <w:fldChar w:fldCharType="end"/>
        </w:r>
      </w:hyperlink>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895"/>
                <wp:effectExtent l="0" t="0" r="0" b="0"/>
                <wp:wrapNone/>
                <wp:docPr id="456" name="Frame4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4">
        <w:r>
          <w:rPr>
            <w:rStyle w:val="InternetLink"/>
            <w:rFonts w:ascii="Times New Roman;Times;serif" w:hAnsi="Times New Roman;Times;serif"/>
            <w:b w:val="false"/>
            <w:i w:val="false"/>
            <w:caps w:val="false"/>
            <w:smallCaps w:val="false"/>
            <w:sz w:val="24"/>
            <w:shd w:fill="FFFFFF" w:val="clear"/>
          </w:rPr>
          <w:t>Section 8.6.</w:t>
        </w:r>
      </w:hyperlink>
      <w:r>
        <w:rPr>
          <w:rFonts w:ascii="Times New Roman;Times;serif" w:hAnsi="Times New Roman;Times;serif"/>
          <w:sz w:val="24"/>
          <w:shd w:fill="FFFFFF" w:val="clear"/>
        </w:rPr>
        <w:tab/>
      </w:r>
      <w:hyperlink w:anchor="_Toc221027884">
        <w:r>
          <w:rPr>
            <w:rStyle w:val="InternetLink"/>
            <w:rFonts w:ascii="Times New Roman;Times;serif" w:hAnsi="Times New Roman;Times;serif"/>
            <w:b w:val="false"/>
            <w:i w:val="false"/>
            <w:caps w:val="false"/>
            <w:smallCaps w:val="false"/>
            <w:sz w:val="24"/>
            <w:shd w:fill="FFFFFF" w:val="clear"/>
          </w:rPr>
          <w:t>Inspection</w:t>
        </w:r>
      </w:hyperlink>
      <w:hyperlink w:anchor="_Toc221027884">
        <w:r>
          <w:rPr>
            <w:webHidden/>
          </w:rPr>
          <w:fldChar w:fldCharType="begin"/>
        </w:r>
        <w:r>
          <w:rPr>
            <w:webHidden/>
          </w:rPr>
          <w:instrText xml:space="preserve">PAGEREF _Toc221027884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895"/>
                <wp:effectExtent l="0" t="0" r="0" b="0"/>
                <wp:wrapNone/>
                <wp:docPr id="457" name="Frame4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5">
        <w:r>
          <w:rPr>
            <w:rStyle w:val="InternetLink"/>
            <w:rFonts w:ascii="Times New Roman;Times;serif" w:hAnsi="Times New Roman;Times;serif"/>
            <w:b w:val="false"/>
            <w:i w:val="false"/>
            <w:caps w:val="false"/>
            <w:smallCaps w:val="false"/>
            <w:sz w:val="24"/>
            <w:shd w:fill="FFFFFF" w:val="clear"/>
          </w:rPr>
          <w:t>Section 8.7.</w:t>
        </w:r>
      </w:hyperlink>
      <w:r>
        <w:rPr>
          <w:rFonts w:ascii="Times New Roman;Times;serif" w:hAnsi="Times New Roman;Times;serif"/>
          <w:sz w:val="24"/>
          <w:shd w:fill="FFFFFF" w:val="clear"/>
        </w:rPr>
        <w:tab/>
      </w:r>
      <w:hyperlink w:anchor="_Toc221027885">
        <w:r>
          <w:rPr>
            <w:rStyle w:val="InternetLink"/>
            <w:rFonts w:ascii="Times New Roman;Times;serif" w:hAnsi="Times New Roman;Times;serif"/>
            <w:b w:val="false"/>
            <w:i w:val="false"/>
            <w:caps w:val="false"/>
            <w:smallCaps w:val="false"/>
            <w:sz w:val="24"/>
            <w:shd w:fill="FFFFFF" w:val="clear"/>
          </w:rPr>
          <w:t>Liens</w:t>
        </w:r>
      </w:hyperlink>
      <w:hyperlink w:anchor="_Toc221027885">
        <w:r>
          <w:rPr>
            <w:webHidden/>
          </w:rPr>
          <w:fldChar w:fldCharType="begin"/>
        </w:r>
        <w:r>
          <w:rPr>
            <w:webHidden/>
          </w:rPr>
          <w:instrText xml:space="preserve">PAGEREF _Toc221027885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895"/>
                <wp:effectExtent l="0" t="0" r="0" b="0"/>
                <wp:wrapNone/>
                <wp:docPr id="458" name="Frame4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6">
        <w:r>
          <w:rPr>
            <w:rStyle w:val="InternetLink"/>
            <w:rFonts w:ascii="Times New Roman;Times;serif" w:hAnsi="Times New Roman;Times;serif"/>
            <w:b w:val="false"/>
            <w:i w:val="false"/>
            <w:caps w:val="false"/>
            <w:smallCaps w:val="false"/>
            <w:sz w:val="24"/>
            <w:shd w:fill="FFFFFF" w:val="clear"/>
          </w:rPr>
          <w:t>Section 8.8.</w:t>
        </w:r>
      </w:hyperlink>
      <w:r>
        <w:rPr>
          <w:rFonts w:ascii="Times New Roman;Times;serif" w:hAnsi="Times New Roman;Times;serif"/>
          <w:sz w:val="24"/>
          <w:shd w:fill="FFFFFF" w:val="clear"/>
        </w:rPr>
        <w:tab/>
      </w:r>
      <w:hyperlink w:anchor="_Toc221027886">
        <w:r>
          <w:rPr>
            <w:rStyle w:val="InternetLink"/>
            <w:rFonts w:ascii="Times New Roman;Times;serif" w:hAnsi="Times New Roman;Times;serif"/>
            <w:b w:val="false"/>
            <w:i w:val="false"/>
            <w:caps w:val="false"/>
            <w:smallCaps w:val="false"/>
            <w:sz w:val="24"/>
            <w:shd w:fill="FFFFFF" w:val="clear"/>
          </w:rPr>
          <w:t>Investments, Acquisitions, Loans and Advances</w:t>
        </w:r>
      </w:hyperlink>
      <w:hyperlink w:anchor="_Toc221027886">
        <w:r>
          <w:rPr>
            <w:webHidden/>
          </w:rPr>
          <w:fldChar w:fldCharType="begin"/>
        </w:r>
        <w:r>
          <w:rPr>
            <w:webHidden/>
          </w:rPr>
          <w:instrText xml:space="preserve">PAGEREF _Toc221027886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895"/>
                <wp:effectExtent l="0" t="0" r="0" b="0"/>
                <wp:wrapNone/>
                <wp:docPr id="459" name="Frame4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7">
        <w:r>
          <w:rPr>
            <w:rStyle w:val="InternetLink"/>
            <w:rFonts w:ascii="Times New Roman;Times;serif" w:hAnsi="Times New Roman;Times;serif"/>
            <w:b w:val="false"/>
            <w:i w:val="false"/>
            <w:caps w:val="false"/>
            <w:smallCaps w:val="false"/>
            <w:sz w:val="24"/>
            <w:shd w:fill="FFFFFF" w:val="clear"/>
          </w:rPr>
          <w:t>Section 8.9.</w:t>
        </w:r>
      </w:hyperlink>
      <w:r>
        <w:rPr>
          <w:rFonts w:ascii="Times New Roman;Times;serif" w:hAnsi="Times New Roman;Times;serif"/>
          <w:sz w:val="24"/>
          <w:shd w:fill="FFFFFF" w:val="clear"/>
        </w:rPr>
        <w:tab/>
      </w:r>
      <w:hyperlink w:anchor="_Toc221027887">
        <w:r>
          <w:rPr>
            <w:rStyle w:val="InternetLink"/>
            <w:rFonts w:ascii="Times New Roman;Times;serif" w:hAnsi="Times New Roman;Times;serif"/>
            <w:b w:val="false"/>
            <w:i w:val="false"/>
            <w:caps w:val="false"/>
            <w:smallCaps w:val="false"/>
            <w:sz w:val="24"/>
            <w:shd w:fill="FFFFFF" w:val="clear"/>
          </w:rPr>
          <w:t>Mergers, Consolidations and Sales</w:t>
        </w:r>
      </w:hyperlink>
      <w:hyperlink w:anchor="_Toc221027887">
        <w:r>
          <w:rPr>
            <w:webHidden/>
          </w:rPr>
          <w:fldChar w:fldCharType="begin"/>
        </w:r>
        <w:r>
          <w:rPr>
            <w:webHidden/>
          </w:rPr>
          <w:instrText xml:space="preserve">PAGEREF _Toc221027887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895"/>
                <wp:effectExtent l="0" t="0" r="0" b="0"/>
                <wp:wrapNone/>
                <wp:docPr id="460" name="Frame4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8">
        <w:r>
          <w:rPr>
            <w:rStyle w:val="InternetLink"/>
            <w:rFonts w:ascii="Times New Roman;Times;serif" w:hAnsi="Times New Roman;Times;serif"/>
            <w:b w:val="false"/>
            <w:i w:val="false"/>
            <w:caps w:val="false"/>
            <w:smallCaps w:val="false"/>
            <w:sz w:val="24"/>
            <w:shd w:fill="FFFFFF" w:val="clear"/>
          </w:rPr>
          <w:t>Section 8.10.</w:t>
        </w:r>
      </w:hyperlink>
      <w:r>
        <w:rPr>
          <w:rFonts w:ascii="Times New Roman;Times;serif" w:hAnsi="Times New Roman;Times;serif"/>
          <w:sz w:val="24"/>
          <w:shd w:fill="FFFFFF" w:val="clear"/>
        </w:rPr>
        <w:tab/>
      </w:r>
      <w:hyperlink w:anchor="_Toc221027888">
        <w:r>
          <w:rPr>
            <w:rStyle w:val="InternetLink"/>
            <w:rFonts w:ascii="Times New Roman;Times;serif" w:hAnsi="Times New Roman;Times;serif"/>
            <w:b w:val="false"/>
            <w:i w:val="false"/>
            <w:caps w:val="false"/>
            <w:smallCaps w:val="false"/>
            <w:sz w:val="24"/>
            <w:shd w:fill="FFFFFF" w:val="clear"/>
          </w:rPr>
          <w:t>Maintenance of Subsidiaries</w:t>
        </w:r>
      </w:hyperlink>
      <w:hyperlink w:anchor="_Toc221027888">
        <w:r>
          <w:rPr>
            <w:webHidden/>
          </w:rPr>
          <w:fldChar w:fldCharType="begin"/>
        </w:r>
        <w:r>
          <w:rPr>
            <w:webHidden/>
          </w:rPr>
          <w:instrText xml:space="preserve">PAGEREF _Toc221027888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895"/>
                <wp:effectExtent l="0" t="0" r="0" b="0"/>
                <wp:wrapNone/>
                <wp:docPr id="461" name="Frame4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89">
        <w:r>
          <w:rPr>
            <w:rStyle w:val="InternetLink"/>
            <w:rFonts w:ascii="Times New Roman;Times;serif" w:hAnsi="Times New Roman;Times;serif"/>
            <w:b w:val="false"/>
            <w:i w:val="false"/>
            <w:caps w:val="false"/>
            <w:smallCaps w:val="false"/>
            <w:sz w:val="24"/>
            <w:shd w:fill="FFFFFF" w:val="clear"/>
          </w:rPr>
          <w:t>Section 8.11.</w:t>
        </w:r>
      </w:hyperlink>
      <w:r>
        <w:rPr>
          <w:rFonts w:ascii="Times New Roman;Times;serif" w:hAnsi="Times New Roman;Times;serif"/>
          <w:sz w:val="24"/>
          <w:shd w:fill="FFFFFF" w:val="clear"/>
        </w:rPr>
        <w:tab/>
      </w:r>
      <w:hyperlink w:anchor="_Toc221027889">
        <w:r>
          <w:rPr>
            <w:rStyle w:val="InternetLink"/>
            <w:rFonts w:ascii="Times New Roman;Times;serif" w:hAnsi="Times New Roman;Times;serif"/>
            <w:b w:val="false"/>
            <w:i w:val="false"/>
            <w:caps w:val="false"/>
            <w:smallCaps w:val="false"/>
            <w:sz w:val="24"/>
            <w:shd w:fill="FFFFFF" w:val="clear"/>
          </w:rPr>
          <w:t>ERISA</w:t>
        </w:r>
      </w:hyperlink>
      <w:hyperlink w:anchor="_Toc221027889">
        <w:r>
          <w:rPr>
            <w:webHidden/>
          </w:rPr>
          <w:fldChar w:fldCharType="begin"/>
        </w:r>
        <w:r>
          <w:rPr>
            <w:webHidden/>
          </w:rPr>
          <w:instrText xml:space="preserve">PAGEREF _Toc221027889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895"/>
                <wp:effectExtent l="0" t="0" r="0" b="0"/>
                <wp:wrapNone/>
                <wp:docPr id="462" name="Frame4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0">
        <w:r>
          <w:rPr>
            <w:rStyle w:val="InternetLink"/>
            <w:rFonts w:ascii="Times New Roman;Times;serif" w:hAnsi="Times New Roman;Times;serif"/>
            <w:b w:val="false"/>
            <w:i w:val="false"/>
            <w:caps w:val="false"/>
            <w:smallCaps w:val="false"/>
            <w:sz w:val="24"/>
            <w:shd w:fill="FFFFFF" w:val="clear"/>
          </w:rPr>
          <w:t>Section 8.12.</w:t>
        </w:r>
      </w:hyperlink>
      <w:r>
        <w:rPr>
          <w:rFonts w:ascii="Times New Roman;Times;serif" w:hAnsi="Times New Roman;Times;serif"/>
          <w:sz w:val="24"/>
          <w:shd w:fill="FFFFFF" w:val="clear"/>
        </w:rPr>
        <w:tab/>
      </w:r>
      <w:hyperlink w:anchor="_Toc221027890">
        <w:r>
          <w:rPr>
            <w:rStyle w:val="InternetLink"/>
            <w:rFonts w:ascii="Times New Roman;Times;serif" w:hAnsi="Times New Roman;Times;serif"/>
            <w:b w:val="false"/>
            <w:i w:val="false"/>
            <w:caps w:val="false"/>
            <w:smallCaps w:val="false"/>
            <w:sz w:val="24"/>
            <w:shd w:fill="FFFFFF" w:val="clear"/>
          </w:rPr>
          <w:t>Compliance with Laws</w:t>
        </w:r>
      </w:hyperlink>
      <w:hyperlink w:anchor="_Toc221027890">
        <w:r>
          <w:rPr>
            <w:webHidden/>
          </w:rPr>
          <w:fldChar w:fldCharType="begin"/>
        </w:r>
        <w:r>
          <w:rPr>
            <w:webHidden/>
          </w:rPr>
          <w:instrText xml:space="preserve">PAGEREF _Toc221027890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77</w:t>
        </w:r>
        <w:r>
          <w:rPr>
            <w:webHidden/>
          </w:rPr>
          <w:fldChar w:fldCharType="end"/>
        </w:r>
      </w:hyperlink>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895"/>
                <wp:effectExtent l="0" t="0" r="0" b="0"/>
                <wp:wrapNone/>
                <wp:docPr id="463" name="Frame4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1">
        <w:r>
          <w:rPr>
            <w:rStyle w:val="InternetLink"/>
            <w:rFonts w:ascii="Times New Roman;Times;serif" w:hAnsi="Times New Roman;Times;serif"/>
            <w:b w:val="false"/>
            <w:i w:val="false"/>
            <w:caps w:val="false"/>
            <w:smallCaps w:val="false"/>
            <w:sz w:val="24"/>
            <w:shd w:fill="FFFFFF" w:val="clear"/>
          </w:rPr>
          <w:t>Section 8.13.</w:t>
        </w:r>
      </w:hyperlink>
      <w:r>
        <w:rPr>
          <w:rFonts w:ascii="Times New Roman;Times;serif" w:hAnsi="Times New Roman;Times;serif"/>
          <w:sz w:val="24"/>
          <w:shd w:fill="FFFFFF" w:val="clear"/>
        </w:rPr>
        <w:tab/>
      </w:r>
      <w:hyperlink w:anchor="_Toc221027891">
        <w:r>
          <w:rPr>
            <w:rStyle w:val="InternetLink"/>
            <w:rFonts w:ascii="Times New Roman;Times;serif" w:hAnsi="Times New Roman;Times;serif"/>
            <w:b w:val="false"/>
            <w:i w:val="false"/>
            <w:caps w:val="false"/>
            <w:smallCaps w:val="false"/>
            <w:sz w:val="24"/>
            <w:shd w:fill="FFFFFF" w:val="clear"/>
          </w:rPr>
          <w:t>Compliance with Sanctions and Anti-Corruption Laws</w:t>
        </w:r>
      </w:hyperlink>
      <w:hyperlink w:anchor="_Toc221027891">
        <w:r>
          <w:rPr>
            <w:webHidden/>
          </w:rPr>
          <w:fldChar w:fldCharType="begin"/>
        </w:r>
        <w:r>
          <w:rPr>
            <w:webHidden/>
          </w:rPr>
          <w:instrText xml:space="preserve">PAGEREF _Toc221027891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78</w:t>
        </w:r>
        <w:r>
          <w:rPr>
            <w:webHidden/>
          </w:rPr>
          <w:fldChar w:fldCharType="end"/>
        </w:r>
      </w:hyperlink>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895"/>
                <wp:effectExtent l="0" t="0" r="0" b="0"/>
                <wp:wrapNone/>
                <wp:docPr id="464" name="Frame4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6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360" w:right="0" w:hanging="0"/>
        <w:jc w:val="left"/>
        <w:rPr/>
      </w:pPr>
      <w:hyperlink w:anchor="_Toc221027892">
        <w:r>
          <w:rPr>
            <w:rStyle w:val="InternetLink"/>
            <w:rFonts w:ascii="Times New Roman;Times;serif" w:hAnsi="Times New Roman;Times;serif"/>
            <w:b w:val="false"/>
            <w:i w:val="false"/>
            <w:caps w:val="false"/>
            <w:smallCaps w:val="false"/>
            <w:sz w:val="24"/>
            <w:shd w:fill="FFFFFF" w:val="clear"/>
          </w:rPr>
          <w:t>Section 8.14.</w:t>
        </w:r>
      </w:hyperlink>
      <w:r>
        <w:rPr>
          <w:rFonts w:ascii="Times New Roman;Times;serif" w:hAnsi="Times New Roman;Times;serif"/>
          <w:sz w:val="24"/>
          <w:shd w:fill="FFFFFF" w:val="clear"/>
        </w:rPr>
        <w:tab/>
      </w:r>
      <w:hyperlink w:anchor="_Toc221027892">
        <w:r>
          <w:rPr>
            <w:rStyle w:val="InternetLink"/>
            <w:rFonts w:ascii="Times New Roman;Times;serif" w:hAnsi="Times New Roman;Times;serif"/>
            <w:b w:val="false"/>
            <w:i w:val="false"/>
            <w:caps w:val="false"/>
            <w:smallCaps w:val="false"/>
            <w:sz w:val="24"/>
            <w:shd w:fill="FFFFFF" w:val="clear"/>
          </w:rPr>
          <w:t>Burdensome Contracts With Affiliates</w:t>
        </w:r>
      </w:hyperlink>
      <w:hyperlink w:anchor="_Toc221027892">
        <w:r>
          <w:rPr>
            <w:webHidden/>
          </w:rPr>
          <w:fldChar w:fldCharType="begin"/>
        </w:r>
        <w:r>
          <w:rPr>
            <w:webHidden/>
          </w:rPr>
          <w:instrText xml:space="preserve">PAGEREF _Toc221027892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895"/>
                <wp:effectExtent l="0" t="0" r="0" b="0"/>
                <wp:wrapNone/>
                <wp:docPr id="465" name="Frame4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3">
        <w:r>
          <w:rPr>
            <w:rStyle w:val="InternetLink"/>
            <w:rFonts w:ascii="Times New Roman;Times;serif" w:hAnsi="Times New Roman;Times;serif"/>
            <w:b w:val="false"/>
            <w:i w:val="false"/>
            <w:caps w:val="false"/>
            <w:smallCaps w:val="false"/>
            <w:sz w:val="24"/>
            <w:shd w:fill="FFFFFF" w:val="clear"/>
          </w:rPr>
          <w:t>Section 8.15.</w:t>
        </w:r>
      </w:hyperlink>
      <w:r>
        <w:rPr>
          <w:rFonts w:ascii="Times New Roman;Times;serif" w:hAnsi="Times New Roman;Times;serif"/>
          <w:sz w:val="24"/>
          <w:shd w:fill="FFFFFF" w:val="clear"/>
        </w:rPr>
        <w:tab/>
      </w:r>
      <w:hyperlink w:anchor="_Toc221027893">
        <w:r>
          <w:rPr>
            <w:rStyle w:val="InternetLink"/>
            <w:rFonts w:ascii="Times New Roman;Times;serif" w:hAnsi="Times New Roman;Times;serif"/>
            <w:b w:val="false"/>
            <w:i w:val="false"/>
            <w:caps w:val="false"/>
            <w:smallCaps w:val="false"/>
            <w:sz w:val="24"/>
            <w:shd w:fill="FFFFFF" w:val="clear"/>
          </w:rPr>
          <w:t>No Changes in Fiscal Year</w:t>
        </w:r>
      </w:hyperlink>
      <w:hyperlink w:anchor="_Toc221027893">
        <w:r>
          <w:rPr>
            <w:webHidden/>
          </w:rPr>
          <w:fldChar w:fldCharType="begin"/>
        </w:r>
        <w:r>
          <w:rPr>
            <w:webHidden/>
          </w:rPr>
          <w:instrText xml:space="preserve">PAGEREF _Toc221027893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895"/>
                <wp:effectExtent l="0" t="0" r="0" b="0"/>
                <wp:wrapNone/>
                <wp:docPr id="466" name="Frame4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4">
        <w:r>
          <w:rPr>
            <w:rStyle w:val="InternetLink"/>
            <w:rFonts w:ascii="Times New Roman;Times;serif" w:hAnsi="Times New Roman;Times;serif"/>
            <w:b w:val="false"/>
            <w:i w:val="false"/>
            <w:caps w:val="false"/>
            <w:smallCaps w:val="false"/>
            <w:sz w:val="24"/>
            <w:shd w:fill="FFFFFF" w:val="clear"/>
          </w:rPr>
          <w:t>Section 8.16.</w:t>
        </w:r>
      </w:hyperlink>
      <w:r>
        <w:rPr>
          <w:rFonts w:ascii="Times New Roman;Times;serif" w:hAnsi="Times New Roman;Times;serif"/>
          <w:sz w:val="24"/>
          <w:shd w:fill="FFFFFF" w:val="clear"/>
        </w:rPr>
        <w:tab/>
      </w:r>
      <w:hyperlink w:anchor="_Toc221027894">
        <w:r>
          <w:rPr>
            <w:rStyle w:val="InternetLink"/>
            <w:rFonts w:ascii="Times New Roman;Times;serif" w:hAnsi="Times New Roman;Times;serif"/>
            <w:b w:val="false"/>
            <w:i w:val="false"/>
            <w:caps w:val="false"/>
            <w:smallCaps w:val="false"/>
            <w:sz w:val="24"/>
            <w:shd w:fill="FFFFFF" w:val="clear"/>
          </w:rPr>
          <w:t>Formation of Subsidiaries</w:t>
        </w:r>
      </w:hyperlink>
      <w:hyperlink w:anchor="_Toc221027894">
        <w:r>
          <w:rPr>
            <w:webHidden/>
          </w:rPr>
          <w:fldChar w:fldCharType="begin"/>
        </w:r>
        <w:r>
          <w:rPr>
            <w:webHidden/>
          </w:rPr>
          <w:instrText xml:space="preserve">PAGEREF _Toc221027894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895"/>
                <wp:effectExtent l="0" t="0" r="0" b="0"/>
                <wp:wrapNone/>
                <wp:docPr id="467" name="Frame4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5">
        <w:r>
          <w:rPr>
            <w:rStyle w:val="InternetLink"/>
            <w:rFonts w:ascii="Times New Roman;Times;serif" w:hAnsi="Times New Roman;Times;serif"/>
            <w:b w:val="false"/>
            <w:i w:val="false"/>
            <w:caps w:val="false"/>
            <w:smallCaps w:val="false"/>
            <w:sz w:val="24"/>
            <w:shd w:fill="FFFFFF" w:val="clear"/>
          </w:rPr>
          <w:t>Section 8.17.</w:t>
        </w:r>
      </w:hyperlink>
      <w:r>
        <w:rPr>
          <w:rFonts w:ascii="Times New Roman;Times;serif" w:hAnsi="Times New Roman;Times;serif"/>
          <w:sz w:val="24"/>
          <w:shd w:fill="FFFFFF" w:val="clear"/>
        </w:rPr>
        <w:tab/>
      </w:r>
      <w:hyperlink w:anchor="_Toc221027895">
        <w:r>
          <w:rPr>
            <w:rStyle w:val="InternetLink"/>
            <w:rFonts w:ascii="Times New Roman;Times;serif" w:hAnsi="Times New Roman;Times;serif"/>
            <w:b w:val="false"/>
            <w:i w:val="false"/>
            <w:caps w:val="false"/>
            <w:smallCaps w:val="false"/>
            <w:sz w:val="24"/>
            <w:shd w:fill="FFFFFF" w:val="clear"/>
          </w:rPr>
          <w:t>Change in the Nature of Business</w:t>
        </w:r>
      </w:hyperlink>
      <w:hyperlink w:anchor="_Toc221027895">
        <w:r>
          <w:rPr>
            <w:webHidden/>
          </w:rPr>
          <w:fldChar w:fldCharType="begin"/>
        </w:r>
        <w:r>
          <w:rPr>
            <w:webHidden/>
          </w:rPr>
          <w:instrText xml:space="preserve">PAGEREF _Toc221027895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895"/>
                <wp:effectExtent l="0" t="0" r="0" b="0"/>
                <wp:wrapNone/>
                <wp:docPr id="468" name="Frame4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6">
        <w:r>
          <w:rPr>
            <w:rStyle w:val="InternetLink"/>
            <w:rFonts w:ascii="Times New Roman;Times;serif" w:hAnsi="Times New Roman;Times;serif"/>
            <w:b w:val="false"/>
            <w:i w:val="false"/>
            <w:caps w:val="false"/>
            <w:smallCaps w:val="false"/>
            <w:sz w:val="24"/>
            <w:shd w:fill="FFFFFF" w:val="clear"/>
          </w:rPr>
          <w:t>Section 8.18.</w:t>
        </w:r>
      </w:hyperlink>
      <w:r>
        <w:rPr>
          <w:rFonts w:ascii="Times New Roman;Times;serif" w:hAnsi="Times New Roman;Times;serif"/>
          <w:sz w:val="24"/>
          <w:shd w:fill="FFFFFF" w:val="clear"/>
        </w:rPr>
        <w:tab/>
      </w:r>
      <w:hyperlink w:anchor="_Toc221027896">
        <w:r>
          <w:rPr>
            <w:rStyle w:val="InternetLink"/>
            <w:rFonts w:ascii="Times New Roman;Times;serif" w:hAnsi="Times New Roman;Times;serif"/>
            <w:b w:val="false"/>
            <w:i w:val="false"/>
            <w:caps w:val="false"/>
            <w:smallCaps w:val="false"/>
            <w:sz w:val="24"/>
            <w:shd w:fill="FFFFFF" w:val="clear"/>
          </w:rPr>
          <w:t>Use of Proceeds</w:t>
        </w:r>
      </w:hyperlink>
      <w:hyperlink w:anchor="_Toc221027896">
        <w:r>
          <w:rPr>
            <w:webHidden/>
          </w:rPr>
          <w:fldChar w:fldCharType="begin"/>
        </w:r>
        <w:r>
          <w:rPr>
            <w:webHidden/>
          </w:rPr>
          <w:instrText xml:space="preserve">PAGEREF _Toc221027896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895"/>
                <wp:effectExtent l="0" t="0" r="0" b="0"/>
                <wp:wrapNone/>
                <wp:docPr id="469" name="Frame4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1.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7">
        <w:r>
          <w:rPr>
            <w:rStyle w:val="InternetLink"/>
            <w:rFonts w:ascii="Times New Roman;Times;serif" w:hAnsi="Times New Roman;Times;serif"/>
            <w:b w:val="false"/>
            <w:i w:val="false"/>
            <w:caps w:val="false"/>
            <w:smallCaps w:val="false"/>
            <w:sz w:val="24"/>
            <w:shd w:fill="FFFFFF" w:val="clear"/>
          </w:rPr>
          <w:t>Section 8.19.</w:t>
        </w:r>
      </w:hyperlink>
      <w:r>
        <w:rPr>
          <w:rFonts w:ascii="Times New Roman;Times;serif" w:hAnsi="Times New Roman;Times;serif"/>
          <w:sz w:val="24"/>
          <w:shd w:fill="FFFFFF" w:val="clear"/>
        </w:rPr>
        <w:tab/>
      </w:r>
      <w:hyperlink w:anchor="_Toc221027897">
        <w:r>
          <w:rPr>
            <w:rStyle w:val="InternetLink"/>
            <w:rFonts w:ascii="Times New Roman;Times;serif" w:hAnsi="Times New Roman;Times;serif"/>
            <w:b w:val="false"/>
            <w:i w:val="false"/>
            <w:caps w:val="false"/>
            <w:smallCaps w:val="false"/>
            <w:sz w:val="24"/>
            <w:shd w:fill="FFFFFF" w:val="clear"/>
          </w:rPr>
          <w:t>No Restrictions</w:t>
        </w:r>
      </w:hyperlink>
      <w:hyperlink w:anchor="_Toc221027897">
        <w:r>
          <w:rPr>
            <w:webHidden/>
          </w:rPr>
          <w:fldChar w:fldCharType="begin"/>
        </w:r>
        <w:r>
          <w:rPr>
            <w:webHidden/>
          </w:rPr>
          <w:instrText xml:space="preserve">PAGEREF _Toc221027897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895"/>
                <wp:effectExtent l="0" t="0" r="0" b="0"/>
                <wp:wrapNone/>
                <wp:docPr id="470" name="Frame4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8">
        <w:r>
          <w:rPr>
            <w:rStyle w:val="InternetLink"/>
            <w:rFonts w:ascii="Times New Roman;Times;serif" w:hAnsi="Times New Roman;Times;serif"/>
            <w:b w:val="false"/>
            <w:i w:val="false"/>
            <w:caps w:val="false"/>
            <w:smallCaps w:val="false"/>
            <w:sz w:val="24"/>
            <w:shd w:fill="FFFFFF" w:val="clear"/>
          </w:rPr>
          <w:t>Section 8.20.</w:t>
        </w:r>
      </w:hyperlink>
      <w:r>
        <w:rPr>
          <w:rFonts w:ascii="Times New Roman;Times;serif" w:hAnsi="Times New Roman;Times;serif"/>
          <w:sz w:val="24"/>
          <w:shd w:fill="FFFFFF" w:val="clear"/>
        </w:rPr>
        <w:tab/>
      </w:r>
      <w:hyperlink w:anchor="_Toc221027898">
        <w:r>
          <w:rPr>
            <w:rStyle w:val="InternetLink"/>
            <w:rFonts w:ascii="Times New Roman;Times;serif" w:hAnsi="Times New Roman;Times;serif"/>
            <w:b w:val="false"/>
            <w:i w:val="false"/>
            <w:caps w:val="false"/>
            <w:smallCaps w:val="false"/>
            <w:sz w:val="24"/>
            <w:shd w:fill="FFFFFF" w:val="clear"/>
          </w:rPr>
          <w:t>Financial Covenants</w:t>
        </w:r>
      </w:hyperlink>
      <w:hyperlink w:anchor="_Toc221027898">
        <w:r>
          <w:rPr>
            <w:webHidden/>
          </w:rPr>
          <w:fldChar w:fldCharType="begin"/>
        </w:r>
        <w:r>
          <w:rPr>
            <w:webHidden/>
          </w:rPr>
          <w:instrText xml:space="preserve">PAGEREF _Toc221027898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895"/>
                <wp:effectExtent l="0" t="0" r="0" b="0"/>
                <wp:wrapNone/>
                <wp:docPr id="471" name="Frame4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899">
        <w:r>
          <w:rPr>
            <w:rStyle w:val="InternetLink"/>
            <w:rFonts w:ascii="Times New Roman;Times;serif" w:hAnsi="Times New Roman;Times;serif"/>
            <w:b w:val="false"/>
            <w:i w:val="false"/>
            <w:caps w:val="false"/>
            <w:smallCaps w:val="false"/>
            <w:sz w:val="24"/>
            <w:shd w:fill="FFFFFF" w:val="clear"/>
          </w:rPr>
          <w:t>Section 8.21.</w:t>
        </w:r>
      </w:hyperlink>
      <w:r>
        <w:rPr>
          <w:rFonts w:ascii="Times New Roman;Times;serif" w:hAnsi="Times New Roman;Times;serif"/>
          <w:sz w:val="24"/>
          <w:shd w:fill="FFFFFF" w:val="clear"/>
        </w:rPr>
        <w:tab/>
      </w:r>
      <w:hyperlink w:anchor="_Toc221027899">
        <w:r>
          <w:rPr>
            <w:rStyle w:val="InternetLink"/>
            <w:rFonts w:ascii="Times New Roman;Times;serif" w:hAnsi="Times New Roman;Times;serif"/>
            <w:b w:val="false"/>
            <w:i w:val="false"/>
            <w:caps w:val="false"/>
            <w:smallCaps w:val="false"/>
            <w:sz w:val="24"/>
            <w:shd w:fill="FFFFFF" w:val="clear"/>
          </w:rPr>
          <w:t>Pool Covenants</w:t>
        </w:r>
      </w:hyperlink>
      <w:hyperlink w:anchor="_Toc221027899">
        <w:r>
          <w:rPr>
            <w:webHidden/>
          </w:rPr>
          <w:fldChar w:fldCharType="begin"/>
        </w:r>
        <w:r>
          <w:rPr>
            <w:webHidden/>
          </w:rPr>
          <w:instrText xml:space="preserve">PAGEREF _Toc221027899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80</w:t>
        </w:r>
        <w:r>
          <w:rPr>
            <w:webHidden/>
          </w:rPr>
          <w:fldChar w:fldCharType="end"/>
        </w:r>
      </w:hyperlink>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895"/>
                <wp:effectExtent l="0" t="0" r="0" b="0"/>
                <wp:wrapNone/>
                <wp:docPr id="472" name="Frame4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0">
        <w:r>
          <w:rPr>
            <w:rStyle w:val="InternetLink"/>
            <w:rFonts w:ascii="Times New Roman;Times;serif" w:hAnsi="Times New Roman;Times;serif"/>
            <w:b w:val="false"/>
            <w:i w:val="false"/>
            <w:caps w:val="false"/>
            <w:smallCaps w:val="false"/>
            <w:sz w:val="24"/>
            <w:shd w:fill="FFFFFF" w:val="clear"/>
          </w:rPr>
          <w:t>Section 8.22.</w:t>
        </w:r>
      </w:hyperlink>
      <w:r>
        <w:rPr>
          <w:rFonts w:ascii="Times New Roman;Times;serif" w:hAnsi="Times New Roman;Times;serif"/>
          <w:sz w:val="24"/>
          <w:shd w:fill="FFFFFF" w:val="clear"/>
        </w:rPr>
        <w:tab/>
      </w:r>
      <w:hyperlink w:anchor="_Toc221027900">
        <w:r>
          <w:rPr>
            <w:rStyle w:val="InternetLink"/>
            <w:rFonts w:ascii="Times New Roman;Times;serif" w:hAnsi="Times New Roman;Times;serif"/>
            <w:b w:val="false"/>
            <w:i w:val="false"/>
            <w:caps w:val="false"/>
            <w:smallCaps w:val="false"/>
            <w:sz w:val="24"/>
            <w:shd w:fill="FFFFFF" w:val="clear"/>
          </w:rPr>
          <w:t>Electronic Delivery of Certain Information</w:t>
        </w:r>
      </w:hyperlink>
      <w:hyperlink w:anchor="_Toc221027900">
        <w:r>
          <w:rPr>
            <w:webHidden/>
          </w:rPr>
          <w:fldChar w:fldCharType="begin"/>
        </w:r>
        <w:r>
          <w:rPr>
            <w:webHidden/>
          </w:rPr>
          <w:instrText xml:space="preserve">PAGEREF _Toc221027900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81</w:t>
        </w:r>
        <w:r>
          <w:rPr>
            <w:webHidden/>
          </w:rPr>
          <w:fldChar w:fldCharType="end"/>
        </w:r>
      </w:hyperlink>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895"/>
                <wp:effectExtent l="0" t="0" r="0" b="0"/>
                <wp:wrapNone/>
                <wp:docPr id="473" name="Frame4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1">
        <w:r>
          <w:rPr>
            <w:rStyle w:val="InternetLink"/>
            <w:rFonts w:ascii="Times New Roman;Times;serif" w:hAnsi="Times New Roman;Times;serif"/>
            <w:b w:val="false"/>
            <w:i w:val="false"/>
            <w:caps w:val="false"/>
            <w:smallCaps w:val="false"/>
            <w:sz w:val="24"/>
            <w:shd w:fill="FFFFFF" w:val="clear"/>
          </w:rPr>
          <w:t>Section 8.23.</w:t>
        </w:r>
      </w:hyperlink>
      <w:r>
        <w:rPr>
          <w:rFonts w:ascii="Times New Roman;Times;serif" w:hAnsi="Times New Roman;Times;serif"/>
          <w:sz w:val="24"/>
          <w:shd w:fill="FFFFFF" w:val="clear"/>
        </w:rPr>
        <w:tab/>
      </w:r>
      <w:hyperlink w:anchor="_Toc221027901">
        <w:r>
          <w:rPr>
            <w:rStyle w:val="InternetLink"/>
            <w:rFonts w:ascii="Times New Roman;Times;serif" w:hAnsi="Times New Roman;Times;serif"/>
            <w:b w:val="false"/>
            <w:i w:val="false"/>
            <w:caps w:val="false"/>
            <w:smallCaps w:val="false"/>
            <w:sz w:val="24"/>
            <w:shd w:fill="FFFFFF" w:val="clear"/>
          </w:rPr>
          <w:t>Reserved.</w:t>
        </w:r>
      </w:hyperlink>
      <w:hyperlink w:anchor="_Toc221027901">
        <w:r>
          <w:rPr>
            <w:webHidden/>
          </w:rPr>
          <w:fldChar w:fldCharType="begin"/>
        </w:r>
        <w:r>
          <w:rPr>
            <w:webHidden/>
          </w:rPr>
          <w:instrText xml:space="preserve">PAGEREF _Toc221027901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895"/>
                <wp:effectExtent l="0" t="0" r="0" b="0"/>
                <wp:wrapNone/>
                <wp:docPr id="474" name="Frame4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0.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2">
        <w:r>
          <w:rPr>
            <w:rStyle w:val="InternetLink"/>
            <w:rFonts w:ascii="Times New Roman;Times;serif" w:hAnsi="Times New Roman;Times;serif"/>
            <w:b w:val="false"/>
            <w:i w:val="false"/>
            <w:caps w:val="false"/>
            <w:smallCaps w:val="false"/>
            <w:sz w:val="24"/>
            <w:shd w:fill="FFFFFF" w:val="clear"/>
          </w:rPr>
          <w:t>Section 8.24.</w:t>
        </w:r>
      </w:hyperlink>
      <w:r>
        <w:rPr>
          <w:rFonts w:ascii="Times New Roman;Times;serif" w:hAnsi="Times New Roman;Times;serif"/>
          <w:sz w:val="24"/>
          <w:shd w:fill="FFFFFF" w:val="clear"/>
        </w:rPr>
        <w:tab/>
      </w:r>
      <w:hyperlink w:anchor="_Toc221027902">
        <w:r>
          <w:rPr>
            <w:rStyle w:val="InternetLink"/>
            <w:rFonts w:ascii="Times New Roman;Times;serif" w:hAnsi="Times New Roman;Times;serif"/>
            <w:b w:val="false"/>
            <w:i w:val="false"/>
            <w:caps w:val="false"/>
            <w:smallCaps w:val="false"/>
            <w:sz w:val="24"/>
            <w:shd w:fill="FFFFFF" w:val="clear"/>
          </w:rPr>
          <w:t>REIT Status</w:t>
        </w:r>
      </w:hyperlink>
      <w:hyperlink w:anchor="_Toc221027902">
        <w:r>
          <w:rPr>
            <w:webHidden/>
          </w:rPr>
          <w:fldChar w:fldCharType="begin"/>
        </w:r>
        <w:r>
          <w:rPr>
            <w:webHidden/>
          </w:rPr>
          <w:instrText xml:space="preserve">PAGEREF _Toc221027902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75895"/>
                <wp:effectExtent l="0" t="0" r="0" b="0"/>
                <wp:wrapNone/>
                <wp:docPr id="475" name="Frame4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3">
        <w:r>
          <w:rPr>
            <w:rStyle w:val="InternetLink"/>
            <w:rFonts w:ascii="Times New Roman;Times;serif" w:hAnsi="Times New Roman;Times;serif"/>
            <w:b w:val="false"/>
            <w:i w:val="false"/>
            <w:caps w:val="false"/>
            <w:smallCaps w:val="false"/>
            <w:sz w:val="24"/>
            <w:shd w:fill="FFFFFF" w:val="clear"/>
          </w:rPr>
          <w:t>Section 8.25.</w:t>
        </w:r>
      </w:hyperlink>
      <w:r>
        <w:rPr>
          <w:rFonts w:ascii="Times New Roman;Times;serif" w:hAnsi="Times New Roman;Times;serif"/>
          <w:sz w:val="24"/>
          <w:shd w:fill="FFFFFF" w:val="clear"/>
        </w:rPr>
        <w:tab/>
      </w:r>
      <w:hyperlink w:anchor="_Toc221027903">
        <w:r>
          <w:rPr>
            <w:rStyle w:val="InternetLink"/>
            <w:rFonts w:ascii="Times New Roman;Times;serif" w:hAnsi="Times New Roman;Times;serif"/>
            <w:b w:val="false"/>
            <w:i w:val="false"/>
            <w:caps w:val="false"/>
            <w:smallCaps w:val="false"/>
            <w:sz w:val="24"/>
            <w:shd w:fill="FFFFFF" w:val="clear"/>
          </w:rPr>
          <w:t>Restricted Payments</w:t>
        </w:r>
      </w:hyperlink>
      <w:hyperlink w:anchor="_Toc221027903">
        <w:r>
          <w:rPr>
            <w:webHidden/>
          </w:rPr>
          <w:fldChar w:fldCharType="begin"/>
        </w:r>
        <w:r>
          <w:rPr>
            <w:webHidden/>
          </w:rPr>
          <w:instrText xml:space="preserve">PAGEREF _Toc221027903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895"/>
                <wp:effectExtent l="0" t="0" r="0" b="0"/>
                <wp:wrapNone/>
                <wp:docPr id="476" name="Frame4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4">
        <w:r>
          <w:rPr>
            <w:rStyle w:val="InternetLink"/>
            <w:rFonts w:ascii="Times New Roman;Times;serif" w:hAnsi="Times New Roman;Times;serif"/>
            <w:b w:val="false"/>
            <w:i w:val="false"/>
            <w:caps w:val="false"/>
            <w:smallCaps w:val="false"/>
            <w:sz w:val="24"/>
            <w:shd w:fill="FFFFFF" w:val="clear"/>
          </w:rPr>
          <w:t>Section 8.26.</w:t>
        </w:r>
      </w:hyperlink>
      <w:r>
        <w:rPr>
          <w:rFonts w:ascii="Times New Roman;Times;serif" w:hAnsi="Times New Roman;Times;serif"/>
          <w:sz w:val="24"/>
          <w:shd w:fill="FFFFFF" w:val="clear"/>
        </w:rPr>
        <w:tab/>
      </w:r>
      <w:hyperlink w:anchor="_Toc221027904">
        <w:r>
          <w:rPr>
            <w:rStyle w:val="InternetLink"/>
            <w:rFonts w:ascii="Times New Roman;Times;serif" w:hAnsi="Times New Roman;Times;serif"/>
            <w:b w:val="false"/>
            <w:i w:val="false"/>
            <w:caps w:val="false"/>
            <w:smallCaps w:val="false"/>
            <w:sz w:val="24"/>
            <w:shd w:fill="FFFFFF" w:val="clear"/>
          </w:rPr>
          <w:t>Other Unsecured Indebtedness Guarantees</w:t>
        </w:r>
      </w:hyperlink>
      <w:hyperlink w:anchor="_Toc221027904">
        <w:r>
          <w:rPr>
            <w:webHidden/>
          </w:rPr>
          <w:fldChar w:fldCharType="begin"/>
        </w:r>
        <w:r>
          <w:rPr>
            <w:webHidden/>
          </w:rPr>
          <w:instrText xml:space="preserve">PAGEREF _Toc221027904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895"/>
                <wp:effectExtent l="0" t="0" r="0" b="0"/>
                <wp:wrapNone/>
                <wp:docPr id="477" name="Frame4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5">
        <w:r>
          <w:rPr>
            <w:rStyle w:val="InternetLink"/>
            <w:rFonts w:ascii="Times New Roman;Times;serif" w:hAnsi="Times New Roman;Times;serif"/>
            <w:b w:val="false"/>
            <w:i w:val="false"/>
            <w:caps w:val="false"/>
            <w:smallCaps w:val="false"/>
            <w:sz w:val="24"/>
            <w:shd w:fill="FFFFFF" w:val="clear"/>
          </w:rPr>
          <w:t>Section 8.27.</w:t>
        </w:r>
      </w:hyperlink>
      <w:r>
        <w:rPr>
          <w:rFonts w:ascii="Times New Roman;Times;serif" w:hAnsi="Times New Roman;Times;serif"/>
          <w:sz w:val="24"/>
          <w:shd w:fill="FFFFFF" w:val="clear"/>
        </w:rPr>
        <w:tab/>
      </w:r>
      <w:hyperlink w:anchor="_Toc221027905">
        <w:r>
          <w:rPr>
            <w:rStyle w:val="InternetLink"/>
            <w:rFonts w:ascii="Times New Roman;Times;serif" w:hAnsi="Times New Roman;Times;serif"/>
            <w:b w:val="false"/>
            <w:i w:val="false"/>
            <w:caps w:val="false"/>
            <w:smallCaps w:val="false"/>
            <w:sz w:val="24"/>
            <w:shd w:fill="FFFFFF" w:val="clear"/>
          </w:rPr>
          <w:t>Outbound Investment Rules</w:t>
        </w:r>
      </w:hyperlink>
      <w:hyperlink w:anchor="_Toc221027905">
        <w:r>
          <w:rPr>
            <w:webHidden/>
          </w:rPr>
          <w:fldChar w:fldCharType="begin"/>
        </w:r>
        <w:r>
          <w:rPr>
            <w:webHidden/>
          </w:rPr>
          <w:instrText xml:space="preserve">PAGEREF _Toc221027905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895"/>
                <wp:effectExtent l="0" t="0" r="0" b="0"/>
                <wp:wrapNone/>
                <wp:docPr id="478" name="Frame4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906">
        <w:r>
          <w:rPr>
            <w:rStyle w:val="InternetLink"/>
            <w:rFonts w:ascii="Times New Roman;Times;serif" w:hAnsi="Times New Roman;Times;serif"/>
            <w:b w:val="false"/>
            <w:i w:val="false"/>
            <w:caps w:val="false"/>
            <w:smallCaps w:val="false"/>
            <w:sz w:val="24"/>
            <w:shd w:fill="FFFFFF" w:val="clear"/>
          </w:rPr>
          <w:t>SECTION 9.</w:t>
        </w:r>
      </w:hyperlink>
      <w:r>
        <w:rPr>
          <w:rFonts w:ascii="Times New Roman;Times;serif" w:hAnsi="Times New Roman;Times;serif"/>
          <w:sz w:val="24"/>
          <w:shd w:fill="FFFFFF" w:val="clear"/>
        </w:rPr>
        <w:tab/>
      </w:r>
      <w:hyperlink w:anchor="_Toc221027906">
        <w:r>
          <w:rPr>
            <w:rStyle w:val="InternetLink"/>
            <w:rFonts w:ascii="Times New Roman;Times;serif" w:hAnsi="Times New Roman;Times;serif"/>
            <w:b w:val="false"/>
            <w:i w:val="false"/>
            <w:caps w:val="false"/>
            <w:smallCaps w:val="false"/>
            <w:sz w:val="24"/>
            <w:shd w:fill="FFFFFF" w:val="clear"/>
          </w:rPr>
          <w:t>Events of Default and Remedies</w:t>
        </w:r>
      </w:hyperlink>
      <w:hyperlink w:anchor="_Toc221027906">
        <w:r>
          <w:rPr>
            <w:webHidden/>
          </w:rPr>
          <w:fldChar w:fldCharType="begin"/>
        </w:r>
        <w:r>
          <w:rPr>
            <w:webHidden/>
          </w:rPr>
          <w:instrText xml:space="preserve">PAGEREF _Toc221027906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480">
                <wp:simplePos x="0" y="0"/>
                <wp:positionH relativeFrom="page">
                  <wp:posOffset>0</wp:posOffset>
                </wp:positionH>
                <wp:positionV relativeFrom="line">
                  <wp:posOffset>635</wp:posOffset>
                </wp:positionV>
                <wp:extent cx="6480175" cy="175895"/>
                <wp:effectExtent l="0" t="0" r="0" b="0"/>
                <wp:wrapNone/>
                <wp:docPr id="479" name="Frame4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7">
        <w:r>
          <w:rPr>
            <w:rStyle w:val="InternetLink"/>
            <w:rFonts w:ascii="Times New Roman;Times;serif" w:hAnsi="Times New Roman;Times;serif"/>
            <w:b w:val="false"/>
            <w:i w:val="false"/>
            <w:caps w:val="false"/>
            <w:smallCaps w:val="false"/>
            <w:sz w:val="24"/>
            <w:shd w:fill="FFFFFF" w:val="clear"/>
          </w:rPr>
          <w:t>Section 9.1.</w:t>
        </w:r>
      </w:hyperlink>
      <w:r>
        <w:rPr>
          <w:rFonts w:ascii="Times New Roman;Times;serif" w:hAnsi="Times New Roman;Times;serif"/>
          <w:sz w:val="24"/>
          <w:shd w:fill="FFFFFF" w:val="clear"/>
        </w:rPr>
        <w:tab/>
      </w:r>
      <w:hyperlink w:anchor="_Toc221027907">
        <w:r>
          <w:rPr>
            <w:rStyle w:val="InternetLink"/>
            <w:rFonts w:ascii="Times New Roman;Times;serif" w:hAnsi="Times New Roman;Times;serif"/>
            <w:b w:val="false"/>
            <w:i w:val="false"/>
            <w:caps w:val="false"/>
            <w:smallCaps w:val="false"/>
            <w:sz w:val="24"/>
            <w:shd w:fill="FFFFFF" w:val="clear"/>
          </w:rPr>
          <w:t>Events of Default</w:t>
        </w:r>
      </w:hyperlink>
      <w:hyperlink w:anchor="_Toc221027907">
        <w:r>
          <w:rPr>
            <w:webHidden/>
          </w:rPr>
          <w:fldChar w:fldCharType="begin"/>
        </w:r>
        <w:r>
          <w:rPr>
            <w:webHidden/>
          </w:rPr>
          <w:instrText xml:space="preserve">PAGEREF _Toc221027907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84</w:t>
        </w:r>
        <w:r>
          <w:rPr>
            <w:webHidden/>
          </w:rPr>
          <w:fldChar w:fldCharType="end"/>
        </w:r>
      </w:hyperlink>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895"/>
                <wp:effectExtent l="0" t="0" r="0" b="0"/>
                <wp:wrapNone/>
                <wp:docPr id="480" name="Frame4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8">
        <w:r>
          <w:rPr>
            <w:rStyle w:val="InternetLink"/>
            <w:rFonts w:ascii="Times New Roman;Times;serif" w:hAnsi="Times New Roman;Times;serif"/>
            <w:b w:val="false"/>
            <w:i w:val="false"/>
            <w:caps w:val="false"/>
            <w:smallCaps w:val="false"/>
            <w:sz w:val="24"/>
            <w:shd w:fill="FFFFFF" w:val="clear"/>
          </w:rPr>
          <w:t>Section 9.2.</w:t>
        </w:r>
      </w:hyperlink>
      <w:r>
        <w:rPr>
          <w:rFonts w:ascii="Times New Roman;Times;serif" w:hAnsi="Times New Roman;Times;serif"/>
          <w:sz w:val="24"/>
          <w:shd w:fill="FFFFFF" w:val="clear"/>
        </w:rPr>
        <w:tab/>
      </w:r>
      <w:hyperlink w:anchor="_Toc221027908">
        <w:r>
          <w:rPr>
            <w:rStyle w:val="InternetLink"/>
            <w:rFonts w:ascii="Times New Roman;Times;serif" w:hAnsi="Times New Roman;Times;serif"/>
            <w:b w:val="false"/>
            <w:i w:val="false"/>
            <w:caps w:val="false"/>
            <w:smallCaps w:val="false"/>
            <w:sz w:val="24"/>
            <w:shd w:fill="FFFFFF" w:val="clear"/>
          </w:rPr>
          <w:t>NonBankruptcy Defaults</w:t>
        </w:r>
      </w:hyperlink>
      <w:hyperlink w:anchor="_Toc221027908">
        <w:r>
          <w:rPr>
            <w:webHidden/>
          </w:rPr>
          <w:fldChar w:fldCharType="begin"/>
        </w:r>
        <w:r>
          <w:rPr>
            <w:webHidden/>
          </w:rPr>
          <w:instrText xml:space="preserve">PAGEREF _Toc221027908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895"/>
                <wp:effectExtent l="0" t="0" r="0" b="0"/>
                <wp:wrapNone/>
                <wp:docPr id="481" name="Frame4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09">
        <w:r>
          <w:rPr>
            <w:rStyle w:val="InternetLink"/>
            <w:rFonts w:ascii="Times New Roman;Times;serif" w:hAnsi="Times New Roman;Times;serif"/>
            <w:b w:val="false"/>
            <w:i w:val="false"/>
            <w:caps w:val="false"/>
            <w:smallCaps w:val="false"/>
            <w:sz w:val="24"/>
            <w:shd w:fill="FFFFFF" w:val="clear"/>
          </w:rPr>
          <w:t>Section 9.3.</w:t>
        </w:r>
      </w:hyperlink>
      <w:r>
        <w:rPr>
          <w:rFonts w:ascii="Times New Roman;Times;serif" w:hAnsi="Times New Roman;Times;serif"/>
          <w:sz w:val="24"/>
          <w:shd w:fill="FFFFFF" w:val="clear"/>
        </w:rPr>
        <w:tab/>
      </w:r>
      <w:hyperlink w:anchor="_Toc221027909">
        <w:r>
          <w:rPr>
            <w:rStyle w:val="InternetLink"/>
            <w:rFonts w:ascii="Times New Roman;Times;serif" w:hAnsi="Times New Roman;Times;serif"/>
            <w:b w:val="false"/>
            <w:i w:val="false"/>
            <w:caps w:val="false"/>
            <w:smallCaps w:val="false"/>
            <w:sz w:val="24"/>
            <w:shd w:fill="FFFFFF" w:val="clear"/>
          </w:rPr>
          <w:t>Bankruptcy Defaults</w:t>
        </w:r>
      </w:hyperlink>
      <w:hyperlink w:anchor="_Toc221027909">
        <w:r>
          <w:rPr>
            <w:webHidden/>
          </w:rPr>
          <w:fldChar w:fldCharType="begin"/>
        </w:r>
        <w:r>
          <w:rPr>
            <w:webHidden/>
          </w:rPr>
          <w:instrText xml:space="preserve">PAGEREF _Toc221027909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895"/>
                <wp:effectExtent l="0" t="0" r="0" b="0"/>
                <wp:wrapNone/>
                <wp:docPr id="482" name="Frame4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0">
        <w:r>
          <w:rPr>
            <w:rStyle w:val="InternetLink"/>
            <w:rFonts w:ascii="Times New Roman;Times;serif" w:hAnsi="Times New Roman;Times;serif"/>
            <w:b w:val="false"/>
            <w:i w:val="false"/>
            <w:caps w:val="false"/>
            <w:smallCaps w:val="false"/>
            <w:sz w:val="24"/>
            <w:shd w:fill="FFFFFF" w:val="clear"/>
          </w:rPr>
          <w:t>Section 9.4.</w:t>
        </w:r>
      </w:hyperlink>
      <w:r>
        <w:rPr>
          <w:rFonts w:ascii="Times New Roman;Times;serif" w:hAnsi="Times New Roman;Times;serif"/>
          <w:sz w:val="24"/>
          <w:shd w:fill="FFFFFF" w:val="clear"/>
        </w:rPr>
        <w:tab/>
      </w:r>
      <w:hyperlink w:anchor="_Toc221027910">
        <w:r>
          <w:rPr>
            <w:rStyle w:val="InternetLink"/>
            <w:rFonts w:ascii="Times New Roman;Times;serif" w:hAnsi="Times New Roman;Times;serif"/>
            <w:b w:val="false"/>
            <w:i w:val="false"/>
            <w:caps w:val="false"/>
            <w:smallCaps w:val="false"/>
            <w:sz w:val="24"/>
            <w:shd w:fill="FFFFFF" w:val="clear"/>
          </w:rPr>
          <w:t>Collateral for Undrawn Letters of Credit</w:t>
        </w:r>
      </w:hyperlink>
      <w:hyperlink w:anchor="_Toc221027910">
        <w:r>
          <w:rPr>
            <w:webHidden/>
          </w:rPr>
          <w:fldChar w:fldCharType="begin"/>
        </w:r>
        <w:r>
          <w:rPr>
            <w:webHidden/>
          </w:rPr>
          <w:instrText xml:space="preserve">PAGEREF _Toc221027910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895"/>
                <wp:effectExtent l="0" t="0" r="0" b="0"/>
                <wp:wrapNone/>
                <wp:docPr id="483" name="Frame4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1">
        <w:r>
          <w:rPr>
            <w:rStyle w:val="InternetLink"/>
            <w:rFonts w:ascii="Times New Roman;Times;serif" w:hAnsi="Times New Roman;Times;serif"/>
            <w:b w:val="false"/>
            <w:i w:val="false"/>
            <w:caps w:val="false"/>
            <w:smallCaps w:val="false"/>
            <w:sz w:val="24"/>
            <w:shd w:fill="FFFFFF" w:val="clear"/>
          </w:rPr>
          <w:t>Section 9.5.</w:t>
        </w:r>
      </w:hyperlink>
      <w:r>
        <w:rPr>
          <w:rFonts w:ascii="Times New Roman;Times;serif" w:hAnsi="Times New Roman;Times;serif"/>
          <w:sz w:val="24"/>
          <w:shd w:fill="FFFFFF" w:val="clear"/>
        </w:rPr>
        <w:tab/>
      </w:r>
      <w:hyperlink w:anchor="_Toc221027911">
        <w:r>
          <w:rPr>
            <w:rStyle w:val="InternetLink"/>
            <w:rFonts w:ascii="Times New Roman;Times;serif" w:hAnsi="Times New Roman;Times;serif"/>
            <w:b w:val="false"/>
            <w:i w:val="false"/>
            <w:caps w:val="false"/>
            <w:smallCaps w:val="false"/>
            <w:sz w:val="24"/>
            <w:shd w:fill="FFFFFF" w:val="clear"/>
          </w:rPr>
          <w:t>Notice of Default</w:t>
        </w:r>
      </w:hyperlink>
      <w:hyperlink w:anchor="_Toc221027911">
        <w:r>
          <w:rPr>
            <w:webHidden/>
          </w:rPr>
          <w:fldChar w:fldCharType="begin"/>
        </w:r>
        <w:r>
          <w:rPr>
            <w:webHidden/>
          </w:rPr>
          <w:instrText xml:space="preserve">PAGEREF _Toc221027911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87</w:t>
        </w:r>
        <w:r>
          <w:rPr>
            <w:webHidden/>
          </w:rPr>
          <w:fldChar w:fldCharType="end"/>
        </w:r>
      </w:hyperlink>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895"/>
                <wp:effectExtent l="0" t="0" r="0" b="0"/>
                <wp:wrapNone/>
                <wp:docPr id="484" name="Frame4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912">
        <w:r>
          <w:rPr>
            <w:rStyle w:val="InternetLink"/>
            <w:rFonts w:ascii="Times New Roman;Times;serif" w:hAnsi="Times New Roman;Times;serif"/>
            <w:b w:val="false"/>
            <w:i w:val="false"/>
            <w:caps w:val="false"/>
            <w:smallCaps w:val="false"/>
            <w:sz w:val="24"/>
            <w:shd w:fill="FFFFFF" w:val="clear"/>
          </w:rPr>
          <w:t>SECTION 10.</w:t>
        </w:r>
      </w:hyperlink>
      <w:r>
        <w:rPr>
          <w:rFonts w:ascii="Times New Roman;Times;serif" w:hAnsi="Times New Roman;Times;serif"/>
          <w:sz w:val="24"/>
          <w:shd w:fill="FFFFFF" w:val="clear"/>
        </w:rPr>
        <w:tab/>
      </w:r>
      <w:hyperlink w:anchor="_Toc221027912">
        <w:r>
          <w:rPr>
            <w:rStyle w:val="InternetLink"/>
            <w:rFonts w:ascii="Times New Roman;Times;serif" w:hAnsi="Times New Roman;Times;serif"/>
            <w:b w:val="false"/>
            <w:i w:val="false"/>
            <w:caps w:val="false"/>
            <w:smallCaps w:val="false"/>
            <w:sz w:val="24"/>
            <w:shd w:fill="FFFFFF" w:val="clear"/>
          </w:rPr>
          <w:t>Change in Circumstances.</w:t>
        </w:r>
      </w:hyperlink>
      <w:hyperlink w:anchor="_Toc221027912">
        <w:r>
          <w:rPr>
            <w:webHidden/>
          </w:rPr>
          <w:fldChar w:fldCharType="begin"/>
        </w:r>
        <w:r>
          <w:rPr>
            <w:webHidden/>
          </w:rPr>
          <w:instrText xml:space="preserve">PAGEREF _Toc221027912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87</w:t>
        </w:r>
        <w:r>
          <w:rPr>
            <w:webHidden/>
          </w:rPr>
          <w:fldChar w:fldCharType="end"/>
        </w:r>
      </w:hyperlink>
      <w:r>
        <mc:AlternateContent>
          <mc:Choice Requires="wps">
            <w:drawing>
              <wp:anchor behindDoc="0" distT="0" distB="0" distL="0" distR="0" simplePos="0" locked="0" layoutInCell="1" allowOverlap="1" relativeHeight="486">
                <wp:simplePos x="0" y="0"/>
                <wp:positionH relativeFrom="page">
                  <wp:posOffset>0</wp:posOffset>
                </wp:positionH>
                <wp:positionV relativeFrom="line">
                  <wp:posOffset>635</wp:posOffset>
                </wp:positionV>
                <wp:extent cx="6480175" cy="175895"/>
                <wp:effectExtent l="0" t="0" r="0" b="0"/>
                <wp:wrapNone/>
                <wp:docPr id="485" name="Frame4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3">
        <w:r>
          <w:rPr>
            <w:rStyle w:val="InternetLink"/>
            <w:rFonts w:ascii="Times New Roman;Times;serif" w:hAnsi="Times New Roman;Times;serif"/>
            <w:b w:val="false"/>
            <w:i w:val="false"/>
            <w:caps w:val="false"/>
            <w:smallCaps w:val="false"/>
            <w:sz w:val="24"/>
            <w:shd w:fill="FFFFFF" w:val="clear"/>
          </w:rPr>
          <w:t>Section 10.1.</w:t>
        </w:r>
      </w:hyperlink>
      <w:r>
        <w:rPr>
          <w:rFonts w:ascii="Times New Roman;Times;serif" w:hAnsi="Times New Roman;Times;serif"/>
          <w:sz w:val="24"/>
          <w:shd w:fill="FFFFFF" w:val="clear"/>
        </w:rPr>
        <w:tab/>
      </w:r>
      <w:hyperlink w:anchor="_Toc221027913">
        <w:r>
          <w:rPr>
            <w:rStyle w:val="InternetLink"/>
            <w:rFonts w:ascii="Times New Roman;Times;serif" w:hAnsi="Times New Roman;Times;serif"/>
            <w:b w:val="false"/>
            <w:i w:val="false"/>
            <w:caps w:val="false"/>
            <w:smallCaps w:val="false"/>
            <w:sz w:val="24"/>
            <w:shd w:fill="FFFFFF" w:val="clear"/>
          </w:rPr>
          <w:t>Change of Law</w:t>
        </w:r>
      </w:hyperlink>
      <w:hyperlink w:anchor="_Toc221027913">
        <w:r>
          <w:rPr>
            <w:webHidden/>
          </w:rPr>
          <w:fldChar w:fldCharType="begin"/>
        </w:r>
        <w:r>
          <w:rPr>
            <w:webHidden/>
          </w:rPr>
          <w:instrText xml:space="preserve">PAGEREF _Toc221027913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87</w:t>
        </w:r>
        <w:r>
          <w:rPr>
            <w:webHidden/>
          </w:rPr>
          <w:fldChar w:fldCharType="end"/>
        </w:r>
      </w:hyperlink>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895"/>
                <wp:effectExtent l="0" t="0" r="0" b="0"/>
                <wp:wrapNone/>
                <wp:docPr id="486" name="Frame4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4">
        <w:r>
          <w:rPr>
            <w:rStyle w:val="InternetLink"/>
            <w:rFonts w:ascii="Times New Roman;Times;serif" w:hAnsi="Times New Roman;Times;serif"/>
            <w:b w:val="false"/>
            <w:i w:val="false"/>
            <w:caps w:val="false"/>
            <w:smallCaps w:val="false"/>
            <w:sz w:val="24"/>
            <w:shd w:fill="FFFFFF" w:val="clear"/>
          </w:rPr>
          <w:t>Section 10.2.</w:t>
        </w:r>
      </w:hyperlink>
      <w:r>
        <w:rPr>
          <w:rFonts w:ascii="Times New Roman;Times;serif" w:hAnsi="Times New Roman;Times;serif"/>
          <w:sz w:val="24"/>
          <w:shd w:fill="FFFFFF" w:val="clear"/>
        </w:rPr>
        <w:tab/>
      </w:r>
      <w:hyperlink w:anchor="_Toc221027914">
        <w:r>
          <w:rPr>
            <w:rStyle w:val="InternetLink"/>
            <w:rFonts w:ascii="Times New Roman;Times;serif" w:hAnsi="Times New Roman;Times;serif"/>
            <w:b w:val="false"/>
            <w:i w:val="false"/>
            <w:caps w:val="false"/>
            <w:smallCaps w:val="false"/>
            <w:sz w:val="24"/>
            <w:shd w:fill="FFFFFF" w:val="clear"/>
          </w:rPr>
          <w:t>Temporary Inability to Determine Rates Alternate Rate of Interest</w:t>
        </w:r>
      </w:hyperlink>
      <w:hyperlink w:anchor="_Toc221027914">
        <w:r>
          <w:rPr>
            <w:webHidden/>
          </w:rPr>
          <w:fldChar w:fldCharType="begin"/>
        </w:r>
        <w:r>
          <w:rPr>
            <w:webHidden/>
          </w:rPr>
          <w:instrText xml:space="preserve">PAGEREF _Toc221027914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895"/>
                <wp:effectExtent l="0" t="0" r="0" b="0"/>
                <wp:wrapNone/>
                <wp:docPr id="487" name="Frame4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2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5">
        <w:r>
          <w:rPr>
            <w:rStyle w:val="InternetLink"/>
            <w:rFonts w:ascii="Times New Roman;Times;serif" w:hAnsi="Times New Roman;Times;serif"/>
            <w:b w:val="false"/>
            <w:i w:val="false"/>
            <w:caps w:val="false"/>
            <w:smallCaps w:val="false"/>
            <w:sz w:val="24"/>
            <w:shd w:fill="FFFFFF" w:val="clear"/>
          </w:rPr>
          <w:t>Section 10.3.</w:t>
        </w:r>
      </w:hyperlink>
      <w:r>
        <w:rPr>
          <w:rFonts w:ascii="Times New Roman;Times;serif" w:hAnsi="Times New Roman;Times;serif"/>
          <w:sz w:val="24"/>
          <w:shd w:fill="FFFFFF" w:val="clear"/>
        </w:rPr>
        <w:tab/>
      </w:r>
      <w:hyperlink w:anchor="_Toc221027915">
        <w:r>
          <w:rPr>
            <w:rStyle w:val="InternetLink"/>
            <w:rFonts w:ascii="Times New Roman;Times;serif" w:hAnsi="Times New Roman;Times;serif"/>
            <w:b w:val="false"/>
            <w:i w:val="false"/>
            <w:caps w:val="false"/>
            <w:smallCaps w:val="false"/>
            <w:sz w:val="24"/>
            <w:shd w:fill="FFFFFF" w:val="clear"/>
          </w:rPr>
          <w:t>Increased Cost and Reduced Return</w:t>
        </w:r>
      </w:hyperlink>
      <w:hyperlink w:anchor="_Toc221027915">
        <w:r>
          <w:rPr>
            <w:webHidden/>
          </w:rPr>
          <w:fldChar w:fldCharType="begin"/>
        </w:r>
        <w:r>
          <w:rPr>
            <w:webHidden/>
          </w:rPr>
          <w:instrText xml:space="preserve">PAGEREF _Toc221027915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895"/>
                <wp:effectExtent l="0" t="0" r="0" b="0"/>
                <wp:wrapNone/>
                <wp:docPr id="488" name="Frame4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6">
        <w:r>
          <w:rPr>
            <w:rStyle w:val="InternetLink"/>
            <w:rFonts w:ascii="Times New Roman;Times;serif" w:hAnsi="Times New Roman;Times;serif"/>
            <w:b w:val="false"/>
            <w:i w:val="false"/>
            <w:caps w:val="false"/>
            <w:smallCaps w:val="false"/>
            <w:sz w:val="24"/>
            <w:shd w:fill="FFFFFF" w:val="clear"/>
          </w:rPr>
          <w:t>Section 10.4.</w:t>
        </w:r>
      </w:hyperlink>
      <w:r>
        <w:rPr>
          <w:rFonts w:ascii="Times New Roman;Times;serif" w:hAnsi="Times New Roman;Times;serif"/>
          <w:sz w:val="24"/>
          <w:shd w:fill="FFFFFF" w:val="clear"/>
        </w:rPr>
        <w:tab/>
      </w:r>
      <w:hyperlink w:anchor="_Toc221027916">
        <w:r>
          <w:rPr>
            <w:rStyle w:val="InternetLink"/>
            <w:rFonts w:ascii="Times New Roman;Times;serif" w:hAnsi="Times New Roman;Times;serif"/>
            <w:b w:val="false"/>
            <w:i w:val="false"/>
            <w:caps w:val="false"/>
            <w:smallCaps w:val="false"/>
            <w:sz w:val="24"/>
            <w:shd w:fill="FFFFFF" w:val="clear"/>
          </w:rPr>
          <w:t>Lending Offices</w:t>
        </w:r>
      </w:hyperlink>
      <w:hyperlink w:anchor="_Toc221027916">
        <w:r>
          <w:rPr>
            <w:webHidden/>
          </w:rPr>
          <w:fldChar w:fldCharType="begin"/>
        </w:r>
        <w:r>
          <w:rPr>
            <w:webHidden/>
          </w:rPr>
          <w:instrText xml:space="preserve">PAGEREF _Toc221027916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89</w:t>
        </w:r>
        <w:r>
          <w:rPr>
            <w:webHidden/>
          </w:rPr>
          <w:fldChar w:fldCharType="end"/>
        </w:r>
      </w:hyperlink>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895"/>
                <wp:effectExtent l="0" t="0" r="0" b="0"/>
                <wp:wrapNone/>
                <wp:docPr id="489" name="Frame4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7">
        <w:r>
          <w:rPr>
            <w:rStyle w:val="InternetLink"/>
            <w:rFonts w:ascii="Times New Roman;Times;serif" w:hAnsi="Times New Roman;Times;serif"/>
            <w:b w:val="false"/>
            <w:i w:val="false"/>
            <w:caps w:val="false"/>
            <w:smallCaps w:val="false"/>
            <w:sz w:val="24"/>
            <w:shd w:fill="FFFFFF" w:val="clear"/>
          </w:rPr>
          <w:t>Section 10.5.</w:t>
        </w:r>
      </w:hyperlink>
      <w:r>
        <w:rPr>
          <w:rFonts w:ascii="Times New Roman;Times;serif" w:hAnsi="Times New Roman;Times;serif"/>
          <w:sz w:val="24"/>
          <w:shd w:fill="FFFFFF" w:val="clear"/>
        </w:rPr>
        <w:tab/>
      </w:r>
      <w:hyperlink w:anchor="_Toc221027917">
        <w:r>
          <w:rPr>
            <w:rStyle w:val="InternetLink"/>
            <w:rFonts w:ascii="Times New Roman;Times;serif" w:hAnsi="Times New Roman;Times;serif"/>
            <w:b w:val="false"/>
            <w:i w:val="false"/>
            <w:caps w:val="false"/>
            <w:smallCaps w:val="false"/>
            <w:sz w:val="24"/>
            <w:shd w:fill="FFFFFF" w:val="clear"/>
          </w:rPr>
          <w:t>Discretion of Lender as to Manner of Funding</w:t>
        </w:r>
      </w:hyperlink>
      <w:hyperlink w:anchor="_Toc221027917">
        <w:r>
          <w:rPr>
            <w:webHidden/>
          </w:rPr>
          <w:fldChar w:fldCharType="begin"/>
        </w:r>
        <w:r>
          <w:rPr>
            <w:webHidden/>
          </w:rPr>
          <w:instrText xml:space="preserve">PAGEREF _Toc221027917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90</w:t>
        </w:r>
        <w:r>
          <w:rPr>
            <w:webHidden/>
          </w:rPr>
          <w:fldChar w:fldCharType="end"/>
        </w:r>
      </w:hyperlink>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895"/>
                <wp:effectExtent l="0" t="0" r="0" b="0"/>
                <wp:wrapNone/>
                <wp:docPr id="490" name="Frame4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18">
        <w:r>
          <w:rPr>
            <w:rStyle w:val="InternetLink"/>
            <w:rFonts w:ascii="Times New Roman;Times;serif" w:hAnsi="Times New Roman;Times;serif"/>
            <w:b w:val="false"/>
            <w:i w:val="false"/>
            <w:caps w:val="false"/>
            <w:smallCaps w:val="false"/>
            <w:sz w:val="24"/>
            <w:shd w:fill="FFFFFF" w:val="clear"/>
          </w:rPr>
          <w:t>Section 10.6.</w:t>
        </w:r>
      </w:hyperlink>
      <w:r>
        <w:rPr>
          <w:rFonts w:ascii="Times New Roman;Times;serif" w:hAnsi="Times New Roman;Times;serif"/>
          <w:sz w:val="24"/>
          <w:shd w:fill="FFFFFF" w:val="clear"/>
        </w:rPr>
        <w:tab/>
      </w:r>
      <w:hyperlink w:anchor="_Toc221027918">
        <w:r>
          <w:rPr>
            <w:rStyle w:val="InternetLink"/>
            <w:rFonts w:ascii="Times New Roman;Times;serif" w:hAnsi="Times New Roman;Times;serif"/>
            <w:b w:val="false"/>
            <w:i w:val="false"/>
            <w:caps w:val="false"/>
            <w:smallCaps w:val="false"/>
            <w:sz w:val="24"/>
            <w:shd w:fill="FFFFFF" w:val="clear"/>
          </w:rPr>
          <w:t>Permanent Inability to Determine Rate; Benchmark Replacement</w:t>
        </w:r>
      </w:hyperlink>
      <w:hyperlink w:anchor="_Toc221027918">
        <w:r>
          <w:rPr>
            <w:webHidden/>
          </w:rPr>
          <w:fldChar w:fldCharType="begin"/>
        </w:r>
        <w:r>
          <w:rPr>
            <w:webHidden/>
          </w:rPr>
          <w:instrText xml:space="preserve">PAGEREF _Toc221027918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90</w:t>
        </w:r>
        <w:r>
          <w:rPr>
            <w:webHidden/>
          </w:rPr>
          <w:fldChar w:fldCharType="end"/>
        </w:r>
      </w:hyperlink>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895"/>
                <wp:effectExtent l="0" t="0" r="0" b="0"/>
                <wp:wrapNone/>
                <wp:docPr id="491" name="Frame4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16.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919">
        <w:r>
          <w:rPr>
            <w:rStyle w:val="InternetLink"/>
            <w:rFonts w:ascii="Times New Roman;Times;serif" w:hAnsi="Times New Roman;Times;serif"/>
            <w:b w:val="false"/>
            <w:i w:val="false"/>
            <w:caps w:val="false"/>
            <w:smallCaps w:val="false"/>
            <w:sz w:val="24"/>
            <w:shd w:fill="FFFFFF" w:val="clear"/>
          </w:rPr>
          <w:t>SECTION 11.</w:t>
        </w:r>
      </w:hyperlink>
      <w:r>
        <w:rPr>
          <w:rFonts w:ascii="Times New Roman;Times;serif" w:hAnsi="Times New Roman;Times;serif"/>
          <w:sz w:val="24"/>
          <w:shd w:fill="FFFFFF" w:val="clear"/>
        </w:rPr>
        <w:tab/>
      </w:r>
      <w:hyperlink w:anchor="_Toc221027919">
        <w:r>
          <w:rPr>
            <w:rStyle w:val="InternetLink"/>
            <w:rFonts w:ascii="Times New Roman;Times;serif" w:hAnsi="Times New Roman;Times;serif"/>
            <w:b w:val="false"/>
            <w:i w:val="false"/>
            <w:caps w:val="false"/>
            <w:smallCaps w:val="false"/>
            <w:sz w:val="24"/>
            <w:shd w:fill="FFFFFF" w:val="clear"/>
          </w:rPr>
          <w:t>The Administrative Agent.</w:t>
        </w:r>
      </w:hyperlink>
      <w:hyperlink w:anchor="_Toc221027919">
        <w:r>
          <w:rPr>
            <w:webHidden/>
          </w:rPr>
          <w:fldChar w:fldCharType="begin"/>
        </w:r>
        <w:r>
          <w:rPr>
            <w:webHidden/>
          </w:rPr>
          <w:instrText xml:space="preserve">PAGEREF _Toc221027919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493">
                <wp:simplePos x="0" y="0"/>
                <wp:positionH relativeFrom="page">
                  <wp:posOffset>0</wp:posOffset>
                </wp:positionH>
                <wp:positionV relativeFrom="line">
                  <wp:posOffset>635</wp:posOffset>
                </wp:positionV>
                <wp:extent cx="6480175" cy="175895"/>
                <wp:effectExtent l="0" t="0" r="0" b="0"/>
                <wp:wrapNone/>
                <wp:docPr id="492" name="Frame4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0">
        <w:r>
          <w:rPr>
            <w:rStyle w:val="InternetLink"/>
            <w:rFonts w:ascii="Times New Roman;Times;serif" w:hAnsi="Times New Roman;Times;serif"/>
            <w:b w:val="false"/>
            <w:i w:val="false"/>
            <w:caps w:val="false"/>
            <w:smallCaps w:val="false"/>
            <w:sz w:val="24"/>
            <w:shd w:fill="FFFFFF" w:val="clear"/>
          </w:rPr>
          <w:t>Section 11.1.</w:t>
        </w:r>
      </w:hyperlink>
      <w:r>
        <w:rPr>
          <w:rFonts w:ascii="Times New Roman;Times;serif" w:hAnsi="Times New Roman;Times;serif"/>
          <w:sz w:val="24"/>
          <w:shd w:fill="FFFFFF" w:val="clear"/>
        </w:rPr>
        <w:tab/>
      </w:r>
      <w:hyperlink w:anchor="_Toc221027920">
        <w:r>
          <w:rPr>
            <w:rStyle w:val="InternetLink"/>
            <w:rFonts w:ascii="Times New Roman;Times;serif" w:hAnsi="Times New Roman;Times;serif"/>
            <w:b w:val="false"/>
            <w:i w:val="false"/>
            <w:caps w:val="false"/>
            <w:smallCaps w:val="false"/>
            <w:sz w:val="24"/>
            <w:shd w:fill="FFFFFF" w:val="clear"/>
          </w:rPr>
          <w:t>Appointment and Authority</w:t>
        </w:r>
      </w:hyperlink>
      <w:hyperlink w:anchor="_Toc221027920">
        <w:r>
          <w:rPr>
            <w:webHidden/>
          </w:rPr>
          <w:fldChar w:fldCharType="begin"/>
        </w:r>
        <w:r>
          <w:rPr>
            <w:webHidden/>
          </w:rPr>
          <w:instrText xml:space="preserve">PAGEREF _Toc221027920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895"/>
                <wp:effectExtent l="0" t="0" r="0" b="0"/>
                <wp:wrapNone/>
                <wp:docPr id="493" name="Frame4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1">
        <w:r>
          <w:rPr>
            <w:rStyle w:val="InternetLink"/>
            <w:rFonts w:ascii="Times New Roman;Times;serif" w:hAnsi="Times New Roman;Times;serif"/>
            <w:b w:val="false"/>
            <w:i w:val="false"/>
            <w:caps w:val="false"/>
            <w:smallCaps w:val="false"/>
            <w:sz w:val="24"/>
            <w:shd w:fill="FFFFFF" w:val="clear"/>
          </w:rPr>
          <w:t>Section 11.2.</w:t>
        </w:r>
      </w:hyperlink>
      <w:r>
        <w:rPr>
          <w:rFonts w:ascii="Times New Roman;Times;serif" w:hAnsi="Times New Roman;Times;serif"/>
          <w:sz w:val="24"/>
          <w:shd w:fill="FFFFFF" w:val="clear"/>
        </w:rPr>
        <w:tab/>
      </w:r>
      <w:hyperlink w:anchor="_Toc221027921">
        <w:r>
          <w:rPr>
            <w:rStyle w:val="InternetLink"/>
            <w:rFonts w:ascii="Times New Roman;Times;serif" w:hAnsi="Times New Roman;Times;serif"/>
            <w:b w:val="false"/>
            <w:i w:val="false"/>
            <w:caps w:val="false"/>
            <w:smallCaps w:val="false"/>
            <w:sz w:val="24"/>
            <w:shd w:fill="FFFFFF" w:val="clear"/>
          </w:rPr>
          <w:t>Rights as a Lender</w:t>
        </w:r>
      </w:hyperlink>
      <w:hyperlink w:anchor="_Toc221027921">
        <w:r>
          <w:rPr>
            <w:webHidden/>
          </w:rPr>
          <w:fldChar w:fldCharType="begin"/>
        </w:r>
        <w:r>
          <w:rPr>
            <w:webHidden/>
          </w:rPr>
          <w:instrText xml:space="preserve">PAGEREF _Toc221027921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895"/>
                <wp:effectExtent l="0" t="0" r="0" b="0"/>
                <wp:wrapNone/>
                <wp:docPr id="494" name="Frame4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2">
        <w:r>
          <w:rPr>
            <w:rStyle w:val="InternetLink"/>
            <w:rFonts w:ascii="Times New Roman;Times;serif" w:hAnsi="Times New Roman;Times;serif"/>
            <w:b w:val="false"/>
            <w:i w:val="false"/>
            <w:caps w:val="false"/>
            <w:smallCaps w:val="false"/>
            <w:sz w:val="24"/>
            <w:shd w:fill="FFFFFF" w:val="clear"/>
          </w:rPr>
          <w:t>Section 11.3.</w:t>
        </w:r>
      </w:hyperlink>
      <w:r>
        <w:rPr>
          <w:rFonts w:ascii="Times New Roman;Times;serif" w:hAnsi="Times New Roman;Times;serif"/>
          <w:sz w:val="24"/>
          <w:shd w:fill="FFFFFF" w:val="clear"/>
        </w:rPr>
        <w:tab/>
      </w:r>
      <w:hyperlink w:anchor="_Toc221027922">
        <w:r>
          <w:rPr>
            <w:rStyle w:val="InternetLink"/>
            <w:rFonts w:ascii="Times New Roman;Times;serif" w:hAnsi="Times New Roman;Times;serif"/>
            <w:b w:val="false"/>
            <w:i w:val="false"/>
            <w:caps w:val="false"/>
            <w:smallCaps w:val="false"/>
            <w:sz w:val="24"/>
            <w:shd w:fill="FFFFFF" w:val="clear"/>
          </w:rPr>
          <w:t>Action by Administrative Agent; Exculpatory Provisions</w:t>
        </w:r>
      </w:hyperlink>
      <w:hyperlink w:anchor="_Toc221027922">
        <w:r>
          <w:rPr>
            <w:webHidden/>
          </w:rPr>
          <w:fldChar w:fldCharType="begin"/>
        </w:r>
        <w:r>
          <w:rPr>
            <w:webHidden/>
          </w:rPr>
          <w:instrText xml:space="preserve">PAGEREF _Toc221027922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92</w:t>
        </w:r>
        <w:r>
          <w:rPr>
            <w:webHidden/>
          </w:rPr>
          <w:fldChar w:fldCharType="end"/>
        </w:r>
      </w:hyperlink>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895"/>
                <wp:effectExtent l="0" t="0" r="0" b="0"/>
                <wp:wrapNone/>
                <wp:docPr id="495" name="Frame4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7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3">
        <w:r>
          <w:rPr>
            <w:rStyle w:val="InternetLink"/>
            <w:rFonts w:ascii="Times New Roman;Times;serif" w:hAnsi="Times New Roman;Times;serif"/>
            <w:b w:val="false"/>
            <w:i w:val="false"/>
            <w:caps w:val="false"/>
            <w:smallCaps w:val="false"/>
            <w:sz w:val="24"/>
            <w:shd w:fill="FFFFFF" w:val="clear"/>
          </w:rPr>
          <w:t>Section 11.4.</w:t>
        </w:r>
      </w:hyperlink>
      <w:r>
        <w:rPr>
          <w:rFonts w:ascii="Times New Roman;Times;serif" w:hAnsi="Times New Roman;Times;serif"/>
          <w:sz w:val="24"/>
          <w:shd w:fill="FFFFFF" w:val="clear"/>
        </w:rPr>
        <w:tab/>
      </w:r>
      <w:hyperlink w:anchor="_Toc221027923">
        <w:r>
          <w:rPr>
            <w:rStyle w:val="InternetLink"/>
            <w:rFonts w:ascii="Times New Roman;Times;serif" w:hAnsi="Times New Roman;Times;serif"/>
            <w:b w:val="false"/>
            <w:i w:val="false"/>
            <w:caps w:val="false"/>
            <w:smallCaps w:val="false"/>
            <w:sz w:val="24"/>
            <w:shd w:fill="FFFFFF" w:val="clear"/>
          </w:rPr>
          <w:t>Reliance by Administrative Agent</w:t>
        </w:r>
      </w:hyperlink>
      <w:hyperlink w:anchor="_Toc221027923">
        <w:r>
          <w:rPr>
            <w:webHidden/>
          </w:rPr>
          <w:fldChar w:fldCharType="begin"/>
        </w:r>
        <w:r>
          <w:rPr>
            <w:webHidden/>
          </w:rPr>
          <w:instrText xml:space="preserve">PAGEREF _Toc221027923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93</w:t>
        </w:r>
        <w:r>
          <w:rPr>
            <w:webHidden/>
          </w:rPr>
          <w:fldChar w:fldCharType="end"/>
        </w:r>
      </w:hyperlink>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895"/>
                <wp:effectExtent l="0" t="0" r="0" b="0"/>
                <wp:wrapNone/>
                <wp:docPr id="496" name="Frame4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4">
        <w:r>
          <w:rPr>
            <w:rStyle w:val="InternetLink"/>
            <w:rFonts w:ascii="Times New Roman;Times;serif" w:hAnsi="Times New Roman;Times;serif"/>
            <w:b w:val="false"/>
            <w:i w:val="false"/>
            <w:caps w:val="false"/>
            <w:smallCaps w:val="false"/>
            <w:sz w:val="24"/>
            <w:shd w:fill="FFFFFF" w:val="clear"/>
          </w:rPr>
          <w:t>Section 11.5.</w:t>
        </w:r>
      </w:hyperlink>
      <w:r>
        <w:rPr>
          <w:rFonts w:ascii="Times New Roman;Times;serif" w:hAnsi="Times New Roman;Times;serif"/>
          <w:sz w:val="24"/>
          <w:shd w:fill="FFFFFF" w:val="clear"/>
        </w:rPr>
        <w:tab/>
      </w:r>
      <w:hyperlink w:anchor="_Toc221027924">
        <w:r>
          <w:rPr>
            <w:rStyle w:val="InternetLink"/>
            <w:rFonts w:ascii="Times New Roman;Times;serif" w:hAnsi="Times New Roman;Times;serif"/>
            <w:b w:val="false"/>
            <w:i w:val="false"/>
            <w:caps w:val="false"/>
            <w:smallCaps w:val="false"/>
            <w:sz w:val="24"/>
            <w:shd w:fill="FFFFFF" w:val="clear"/>
          </w:rPr>
          <w:t>Delegation of Duties</w:t>
        </w:r>
      </w:hyperlink>
      <w:hyperlink w:anchor="_Toc221027924">
        <w:r>
          <w:rPr>
            <w:webHidden/>
          </w:rPr>
          <w:fldChar w:fldCharType="begin"/>
        </w:r>
        <w:r>
          <w:rPr>
            <w:webHidden/>
          </w:rPr>
          <w:instrText xml:space="preserve">PAGEREF _Toc221027924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93</w:t>
        </w:r>
        <w:r>
          <w:rPr>
            <w:webHidden/>
          </w:rPr>
          <w:fldChar w:fldCharType="end"/>
        </w:r>
      </w:hyperlink>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895"/>
                <wp:effectExtent l="0" t="0" r="0" b="0"/>
                <wp:wrapNone/>
                <wp:docPr id="497" name="Frame4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5">
        <w:r>
          <w:rPr>
            <w:rStyle w:val="InternetLink"/>
            <w:rFonts w:ascii="Times New Roman;Times;serif" w:hAnsi="Times New Roman;Times;serif"/>
            <w:b w:val="false"/>
            <w:i w:val="false"/>
            <w:caps w:val="false"/>
            <w:smallCaps w:val="false"/>
            <w:sz w:val="24"/>
            <w:shd w:fill="FFFFFF" w:val="clear"/>
          </w:rPr>
          <w:t>Section 11.6.</w:t>
        </w:r>
      </w:hyperlink>
      <w:r>
        <w:rPr>
          <w:rFonts w:ascii="Times New Roman;Times;serif" w:hAnsi="Times New Roman;Times;serif"/>
          <w:sz w:val="24"/>
          <w:shd w:fill="FFFFFF" w:val="clear"/>
        </w:rPr>
        <w:tab/>
      </w:r>
      <w:hyperlink w:anchor="_Toc221027925">
        <w:r>
          <w:rPr>
            <w:rStyle w:val="InternetLink"/>
            <w:rFonts w:ascii="Times New Roman;Times;serif" w:hAnsi="Times New Roman;Times;serif"/>
            <w:b w:val="false"/>
            <w:i w:val="false"/>
            <w:caps w:val="false"/>
            <w:smallCaps w:val="false"/>
            <w:sz w:val="24"/>
            <w:shd w:fill="FFFFFF" w:val="clear"/>
          </w:rPr>
          <w:t>Resignation of Administrative Agent; Removal of Administrative Agent</w:t>
        </w:r>
      </w:hyperlink>
      <w:hyperlink w:anchor="_Toc221027925">
        <w:r>
          <w:rPr>
            <w:webHidden/>
          </w:rPr>
          <w:fldChar w:fldCharType="begin"/>
        </w:r>
        <w:r>
          <w:rPr>
            <w:webHidden/>
          </w:rPr>
          <w:instrText xml:space="preserve">PAGEREF _Toc221027925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93</w:t>
        </w:r>
        <w:r>
          <w:rPr>
            <w:webHidden/>
          </w:rPr>
          <w:fldChar w:fldCharType="end"/>
        </w:r>
      </w:hyperlink>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895"/>
                <wp:effectExtent l="0" t="0" r="0" b="0"/>
                <wp:wrapNone/>
                <wp:docPr id="498" name="Frame4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5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6">
        <w:r>
          <w:rPr>
            <w:rStyle w:val="InternetLink"/>
            <w:rFonts w:ascii="Times New Roman;Times;serif" w:hAnsi="Times New Roman;Times;serif"/>
            <w:b w:val="false"/>
            <w:i w:val="false"/>
            <w:caps w:val="false"/>
            <w:smallCaps w:val="false"/>
            <w:sz w:val="24"/>
            <w:shd w:fill="FFFFFF" w:val="clear"/>
          </w:rPr>
          <w:t>Section 11.7.</w:t>
        </w:r>
      </w:hyperlink>
      <w:r>
        <w:rPr>
          <w:rFonts w:ascii="Times New Roman;Times;serif" w:hAnsi="Times New Roman;Times;serif"/>
          <w:sz w:val="24"/>
          <w:shd w:fill="FFFFFF" w:val="clear"/>
        </w:rPr>
        <w:tab/>
      </w:r>
      <w:hyperlink w:anchor="_Toc221027926">
        <w:r>
          <w:rPr>
            <w:rStyle w:val="InternetLink"/>
            <w:rFonts w:ascii="Times New Roman;Times;serif" w:hAnsi="Times New Roman;Times;serif"/>
            <w:b w:val="false"/>
            <w:i w:val="false"/>
            <w:caps w:val="false"/>
            <w:smallCaps w:val="false"/>
            <w:sz w:val="24"/>
            <w:shd w:fill="FFFFFF" w:val="clear"/>
          </w:rPr>
          <w:t>NonReliance on Administrative Agent and Other Lenders</w:t>
        </w:r>
      </w:hyperlink>
      <w:hyperlink w:anchor="_Toc221027926">
        <w:r>
          <w:rPr>
            <w:webHidden/>
          </w:rPr>
          <w:fldChar w:fldCharType="begin"/>
        </w:r>
        <w:r>
          <w:rPr>
            <w:webHidden/>
          </w:rPr>
          <w:instrText xml:space="preserve">PAGEREF _Toc221027926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94</w:t>
        </w:r>
        <w:r>
          <w:rPr>
            <w:webHidden/>
          </w:rPr>
          <w:fldChar w:fldCharType="end"/>
        </w:r>
      </w:hyperlink>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895"/>
                <wp:effectExtent l="0" t="0" r="0" b="0"/>
                <wp:wrapNone/>
                <wp:docPr id="499" name="Frame4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8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7">
        <w:r>
          <w:rPr>
            <w:rStyle w:val="InternetLink"/>
            <w:rFonts w:ascii="Times New Roman;Times;serif" w:hAnsi="Times New Roman;Times;serif"/>
            <w:b w:val="false"/>
            <w:i w:val="false"/>
            <w:caps w:val="false"/>
            <w:smallCaps w:val="false"/>
            <w:sz w:val="24"/>
            <w:shd w:fill="FFFFFF" w:val="clear"/>
          </w:rPr>
          <w:t>Section 11.8.</w:t>
        </w:r>
      </w:hyperlink>
      <w:r>
        <w:rPr>
          <w:rFonts w:ascii="Times New Roman;Times;serif" w:hAnsi="Times New Roman;Times;serif"/>
          <w:sz w:val="24"/>
          <w:shd w:fill="FFFFFF" w:val="clear"/>
        </w:rPr>
        <w:tab/>
      </w:r>
      <w:hyperlink w:anchor="_Toc221027927">
        <w:r>
          <w:rPr>
            <w:rStyle w:val="InternetLink"/>
            <w:rFonts w:ascii="Times New Roman;Times;serif" w:hAnsi="Times New Roman;Times;serif"/>
            <w:b w:val="false"/>
            <w:i w:val="false"/>
            <w:caps w:val="false"/>
            <w:smallCaps w:val="false"/>
            <w:sz w:val="24"/>
            <w:shd w:fill="FFFFFF" w:val="clear"/>
          </w:rPr>
          <w:t>L/C Issuer</w:t>
        </w:r>
      </w:hyperlink>
      <w:hyperlink w:anchor="_Toc221027927">
        <w:r>
          <w:rPr>
            <w:webHidden/>
          </w:rPr>
          <w:fldChar w:fldCharType="begin"/>
        </w:r>
        <w:r>
          <w:rPr>
            <w:webHidden/>
          </w:rPr>
          <w:instrText xml:space="preserve">PAGEREF _Toc221027927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95</w:t>
        </w:r>
        <w:r>
          <w:rPr>
            <w:webHidden/>
          </w:rPr>
          <w:fldChar w:fldCharType="end"/>
        </w:r>
      </w:hyperlink>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895"/>
                <wp:effectExtent l="0" t="0" r="0" b="0"/>
                <wp:wrapNone/>
                <wp:docPr id="500" name="Frame5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8">
        <w:r>
          <w:rPr>
            <w:rStyle w:val="InternetLink"/>
            <w:rFonts w:ascii="Times New Roman;Times;serif" w:hAnsi="Times New Roman;Times;serif"/>
            <w:b w:val="false"/>
            <w:i w:val="false"/>
            <w:caps w:val="false"/>
            <w:smallCaps w:val="false"/>
            <w:sz w:val="24"/>
            <w:shd w:fill="FFFFFF" w:val="clear"/>
          </w:rPr>
          <w:t>Section 11.9.</w:t>
        </w:r>
      </w:hyperlink>
      <w:r>
        <w:rPr>
          <w:rFonts w:ascii="Times New Roman;Times;serif" w:hAnsi="Times New Roman;Times;serif"/>
          <w:sz w:val="24"/>
          <w:shd w:fill="FFFFFF" w:val="clear"/>
        </w:rPr>
        <w:tab/>
      </w:r>
      <w:hyperlink w:anchor="_Toc221027928">
        <w:r>
          <w:rPr>
            <w:rStyle w:val="InternetLink"/>
            <w:rFonts w:ascii="Times New Roman;Times;serif" w:hAnsi="Times New Roman;Times;serif"/>
            <w:b w:val="false"/>
            <w:i w:val="false"/>
            <w:caps w:val="false"/>
            <w:smallCaps w:val="false"/>
            <w:sz w:val="24"/>
            <w:shd w:fill="FFFFFF" w:val="clear"/>
          </w:rPr>
          <w:t>Hedging Liability and Funds Transfer and Deposit Account Liability</w:t>
        </w:r>
      </w:hyperlink>
      <w:hyperlink w:anchor="_Toc221027928">
        <w:r>
          <w:rPr>
            <w:webHidden/>
          </w:rPr>
          <w:fldChar w:fldCharType="begin"/>
        </w:r>
        <w:r>
          <w:rPr>
            <w:webHidden/>
          </w:rPr>
          <w:instrText xml:space="preserve">PAGEREF _Toc221027928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96</w:t>
        </w:r>
        <w:r>
          <w:rPr>
            <w:webHidden/>
          </w:rPr>
          <w:fldChar w:fldCharType="end"/>
        </w:r>
      </w:hyperlink>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895"/>
                <wp:effectExtent l="0" t="0" r="0" b="0"/>
                <wp:wrapNone/>
                <wp:docPr id="501" name="Frame5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3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29">
        <w:r>
          <w:rPr>
            <w:rStyle w:val="InternetLink"/>
            <w:rFonts w:ascii="Times New Roman;Times;serif" w:hAnsi="Times New Roman;Times;serif"/>
            <w:b w:val="false"/>
            <w:i w:val="false"/>
            <w:caps w:val="false"/>
            <w:smallCaps w:val="false"/>
            <w:sz w:val="24"/>
            <w:shd w:fill="FFFFFF" w:val="clear"/>
          </w:rPr>
          <w:t>Section 11.10.</w:t>
        </w:r>
      </w:hyperlink>
      <w:r>
        <w:rPr>
          <w:rFonts w:ascii="Times New Roman;Times;serif" w:hAnsi="Times New Roman;Times;serif"/>
          <w:sz w:val="24"/>
          <w:shd w:fill="FFFFFF" w:val="clear"/>
        </w:rPr>
        <w:tab/>
      </w:r>
      <w:hyperlink w:anchor="_Toc221027929">
        <w:r>
          <w:rPr>
            <w:rStyle w:val="InternetLink"/>
            <w:rFonts w:ascii="Times New Roman;Times;serif" w:hAnsi="Times New Roman;Times;serif"/>
            <w:b w:val="false"/>
            <w:i w:val="false"/>
            <w:caps w:val="false"/>
            <w:smallCaps w:val="false"/>
            <w:sz w:val="24"/>
            <w:shd w:fill="FFFFFF" w:val="clear"/>
          </w:rPr>
          <w:t>Designation of Additional Agents</w:t>
        </w:r>
      </w:hyperlink>
      <w:hyperlink w:anchor="_Toc221027929">
        <w:r>
          <w:rPr>
            <w:webHidden/>
          </w:rPr>
          <w:fldChar w:fldCharType="begin"/>
        </w:r>
        <w:r>
          <w:rPr>
            <w:webHidden/>
          </w:rPr>
          <w:instrText xml:space="preserve">PAGEREF _Toc221027929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96</w:t>
        </w:r>
        <w:r>
          <w:rPr>
            <w:webHidden/>
          </w:rPr>
          <w:fldChar w:fldCharType="end"/>
        </w:r>
      </w:hyperlink>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895"/>
                <wp:effectExtent l="0" t="0" r="0" b="0"/>
                <wp:wrapNone/>
                <wp:docPr id="502" name="Frame5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0">
        <w:r>
          <w:rPr>
            <w:rStyle w:val="InternetLink"/>
            <w:rFonts w:ascii="Times New Roman;Times;serif" w:hAnsi="Times New Roman;Times;serif"/>
            <w:b w:val="false"/>
            <w:i w:val="false"/>
            <w:caps w:val="false"/>
            <w:smallCaps w:val="false"/>
            <w:sz w:val="24"/>
            <w:shd w:fill="FFFFFF" w:val="clear"/>
          </w:rPr>
          <w:t>Section 11.11.</w:t>
        </w:r>
      </w:hyperlink>
      <w:r>
        <w:rPr>
          <w:rFonts w:ascii="Times New Roman;Times;serif" w:hAnsi="Times New Roman;Times;serif"/>
          <w:sz w:val="24"/>
          <w:shd w:fill="FFFFFF" w:val="clear"/>
        </w:rPr>
        <w:tab/>
      </w:r>
      <w:hyperlink w:anchor="_Toc221027930">
        <w:r>
          <w:rPr>
            <w:rStyle w:val="InternetLink"/>
            <w:rFonts w:ascii="Times New Roman;Times;serif" w:hAnsi="Times New Roman;Times;serif"/>
            <w:b w:val="false"/>
            <w:i w:val="false"/>
            <w:caps w:val="false"/>
            <w:smallCaps w:val="false"/>
            <w:sz w:val="24"/>
            <w:shd w:fill="FFFFFF" w:val="clear"/>
          </w:rPr>
          <w:t>Reserved</w:t>
        </w:r>
      </w:hyperlink>
      <w:hyperlink w:anchor="_Toc221027930">
        <w:r>
          <w:rPr>
            <w:webHidden/>
          </w:rPr>
          <w:fldChar w:fldCharType="begin"/>
        </w:r>
        <w:r>
          <w:rPr>
            <w:webHidden/>
          </w:rPr>
          <w:instrText xml:space="preserve">PAGEREF _Toc221027930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96</w:t>
        </w:r>
        <w:r>
          <w:rPr>
            <w:webHidden/>
          </w:rPr>
          <w:fldChar w:fldCharType="end"/>
        </w:r>
      </w:hyperlink>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895"/>
                <wp:effectExtent l="0" t="0" r="0" b="0"/>
                <wp:wrapNone/>
                <wp:docPr id="503" name="Frame5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1">
        <w:r>
          <w:rPr>
            <w:rStyle w:val="InternetLink"/>
            <w:rFonts w:ascii="Times New Roman;Times;serif" w:hAnsi="Times New Roman;Times;serif"/>
            <w:b w:val="false"/>
            <w:i w:val="false"/>
            <w:caps w:val="false"/>
            <w:smallCaps w:val="false"/>
            <w:sz w:val="24"/>
            <w:shd w:fill="FFFFFF" w:val="clear"/>
          </w:rPr>
          <w:t>Section 11.12.</w:t>
        </w:r>
      </w:hyperlink>
      <w:r>
        <w:rPr>
          <w:rFonts w:ascii="Times New Roman;Times;serif" w:hAnsi="Times New Roman;Times;serif"/>
          <w:sz w:val="24"/>
          <w:shd w:fill="FFFFFF" w:val="clear"/>
        </w:rPr>
        <w:tab/>
      </w:r>
      <w:hyperlink w:anchor="_Toc221027931">
        <w:r>
          <w:rPr>
            <w:rStyle w:val="InternetLink"/>
            <w:rFonts w:ascii="Times New Roman;Times;serif" w:hAnsi="Times New Roman;Times;serif"/>
            <w:b w:val="false"/>
            <w:i w:val="false"/>
            <w:caps w:val="false"/>
            <w:smallCaps w:val="false"/>
            <w:sz w:val="24"/>
            <w:shd w:fill="FFFFFF" w:val="clear"/>
          </w:rPr>
          <w:t>Authorization to Release Guaranties</w:t>
        </w:r>
      </w:hyperlink>
      <w:hyperlink w:anchor="_Toc221027931">
        <w:r>
          <w:rPr>
            <w:webHidden/>
          </w:rPr>
          <w:fldChar w:fldCharType="begin"/>
        </w:r>
        <w:r>
          <w:rPr>
            <w:webHidden/>
          </w:rPr>
          <w:instrText xml:space="preserve">PAGEREF _Toc221027931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895"/>
                <wp:effectExtent l="0" t="0" r="0" b="0"/>
                <wp:wrapNone/>
                <wp:docPr id="504" name="Frame5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2">
        <w:r>
          <w:rPr>
            <w:rStyle w:val="InternetLink"/>
            <w:rFonts w:ascii="Times New Roman;Times;serif" w:hAnsi="Times New Roman;Times;serif"/>
            <w:b w:val="false"/>
            <w:i w:val="false"/>
            <w:caps w:val="false"/>
            <w:smallCaps w:val="false"/>
            <w:sz w:val="24"/>
            <w:shd w:fill="FFFFFF" w:val="clear"/>
          </w:rPr>
          <w:t>Section 11.13.</w:t>
        </w:r>
      </w:hyperlink>
      <w:r>
        <w:rPr>
          <w:rFonts w:ascii="Times New Roman;Times;serif" w:hAnsi="Times New Roman;Times;serif"/>
          <w:sz w:val="24"/>
          <w:shd w:fill="FFFFFF" w:val="clear"/>
        </w:rPr>
        <w:tab/>
      </w:r>
      <w:hyperlink w:anchor="_Toc221027932">
        <w:r>
          <w:rPr>
            <w:rStyle w:val="InternetLink"/>
            <w:rFonts w:ascii="Times New Roman;Times;serif" w:hAnsi="Times New Roman;Times;serif"/>
            <w:b w:val="false"/>
            <w:i w:val="false"/>
            <w:caps w:val="false"/>
            <w:smallCaps w:val="false"/>
            <w:sz w:val="24"/>
            <w:shd w:fill="FFFFFF" w:val="clear"/>
          </w:rPr>
          <w:t>Authorization of Administrative Agent to File Proofs of Claim</w:t>
        </w:r>
      </w:hyperlink>
      <w:hyperlink w:anchor="_Toc221027932">
        <w:r>
          <w:rPr>
            <w:webHidden/>
          </w:rPr>
          <w:fldChar w:fldCharType="begin"/>
        </w:r>
        <w:r>
          <w:rPr>
            <w:webHidden/>
          </w:rPr>
          <w:instrText xml:space="preserve">PAGEREF _Toc221027932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895"/>
                <wp:effectExtent l="0" t="0" r="0" b="0"/>
                <wp:wrapNone/>
                <wp:docPr id="505" name="Frame5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933">
        <w:r>
          <w:rPr>
            <w:rStyle w:val="InternetLink"/>
            <w:rFonts w:ascii="Times New Roman;Times;serif" w:hAnsi="Times New Roman;Times;serif"/>
            <w:b w:val="false"/>
            <w:i w:val="false"/>
            <w:caps w:val="false"/>
            <w:smallCaps w:val="false"/>
            <w:sz w:val="24"/>
            <w:shd w:fill="FFFFFF" w:val="clear"/>
          </w:rPr>
          <w:t>SECTION 12.</w:t>
        </w:r>
      </w:hyperlink>
      <w:r>
        <w:rPr>
          <w:rFonts w:ascii="Times New Roman;Times;serif" w:hAnsi="Times New Roman;Times;serif"/>
          <w:sz w:val="24"/>
          <w:shd w:fill="FFFFFF" w:val="clear"/>
        </w:rPr>
        <w:tab/>
      </w:r>
      <w:hyperlink w:anchor="_Toc221027933">
        <w:r>
          <w:rPr>
            <w:rStyle w:val="InternetLink"/>
            <w:rFonts w:ascii="Times New Roman;Times;serif" w:hAnsi="Times New Roman;Times;serif"/>
            <w:b w:val="false"/>
            <w:i w:val="false"/>
            <w:smallCaps/>
            <w:sz w:val="24"/>
            <w:shd w:fill="FFFFFF" w:val="clear"/>
          </w:rPr>
          <w:t>Miscellaneous</w:t>
        </w:r>
      </w:hyperlink>
      <w:hyperlink w:anchor="_Toc221027933">
        <w:r>
          <w:rPr>
            <w:webHidden/>
          </w:rPr>
          <w:fldChar w:fldCharType="begin"/>
        </w:r>
        <w:r>
          <w:rPr>
            <w:webHidden/>
          </w:rPr>
          <w:instrText xml:space="preserve">PAGEREF _Toc221027933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w:t>
        </w:r>
        <w:r>
          <w:rPr>
            <w:webHidden/>
          </w:rPr>
          <w:fldChar w:fldCharType="end"/>
        </w:r>
      </w:hyperlink>
      <w:hyperlink w:anchor="_Toc221027933">
        <w:r>
          <w:rPr>
            <w:webHidden/>
          </w:rPr>
          <w:fldChar w:fldCharType="begin"/>
        </w:r>
        <w:r>
          <w:rPr>
            <w:webHidden/>
          </w:rPr>
          <w:instrText xml:space="preserve">PAGEREF _Toc221027933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507">
                <wp:simplePos x="0" y="0"/>
                <wp:positionH relativeFrom="page">
                  <wp:posOffset>0</wp:posOffset>
                </wp:positionH>
                <wp:positionV relativeFrom="line">
                  <wp:posOffset>635</wp:posOffset>
                </wp:positionV>
                <wp:extent cx="6480175" cy="175895"/>
                <wp:effectExtent l="0" t="0" r="0" b="0"/>
                <wp:wrapNone/>
                <wp:docPr id="506" name="Frame5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360" w:right="0" w:hanging="0"/>
        <w:jc w:val="left"/>
        <w:rPr/>
      </w:pPr>
      <w:hyperlink w:anchor="_Toc221027934">
        <w:r>
          <w:rPr>
            <w:rStyle w:val="InternetLink"/>
            <w:rFonts w:ascii="Times New Roman;Times;serif" w:hAnsi="Times New Roman;Times;serif"/>
            <w:b w:val="false"/>
            <w:i w:val="false"/>
            <w:caps w:val="false"/>
            <w:smallCaps w:val="false"/>
            <w:sz w:val="24"/>
            <w:shd w:fill="FFFFFF" w:val="clear"/>
          </w:rPr>
          <w:t>Section 12.1.</w:t>
        </w:r>
      </w:hyperlink>
      <w:r>
        <w:rPr>
          <w:rFonts w:ascii="Times New Roman;Times;serif" w:hAnsi="Times New Roman;Times;serif"/>
          <w:sz w:val="24"/>
          <w:shd w:fill="FFFFFF" w:val="clear"/>
        </w:rPr>
        <w:tab/>
      </w:r>
      <w:hyperlink w:anchor="_Toc221027934">
        <w:r>
          <w:rPr>
            <w:rStyle w:val="InternetLink"/>
            <w:rFonts w:ascii="Times New Roman;Times;serif" w:hAnsi="Times New Roman;Times;serif"/>
            <w:b w:val="false"/>
            <w:i w:val="false"/>
            <w:caps w:val="false"/>
            <w:smallCaps w:val="false"/>
            <w:sz w:val="24"/>
            <w:shd w:fill="FFFFFF" w:val="clear"/>
          </w:rPr>
          <w:t>Withholding Taxes</w:t>
        </w:r>
      </w:hyperlink>
      <w:hyperlink w:anchor="_Toc221027934">
        <w:r>
          <w:rPr>
            <w:webHidden/>
          </w:rPr>
          <w:fldChar w:fldCharType="begin"/>
        </w:r>
        <w:r>
          <w:rPr>
            <w:webHidden/>
          </w:rPr>
          <w:instrText xml:space="preserve">PAGEREF _Toc221027934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895"/>
                <wp:effectExtent l="0" t="0" r="0" b="0"/>
                <wp:wrapNone/>
                <wp:docPr id="507" name="Frame5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5">
        <w:r>
          <w:rPr>
            <w:rStyle w:val="InternetLink"/>
            <w:rFonts w:ascii="Times New Roman;Times;serif" w:hAnsi="Times New Roman;Times;serif"/>
            <w:b w:val="false"/>
            <w:i w:val="false"/>
            <w:caps w:val="false"/>
            <w:smallCaps w:val="false"/>
            <w:sz w:val="24"/>
            <w:shd w:fill="FFFFFF" w:val="clear"/>
          </w:rPr>
          <w:t>Section 12.2.</w:t>
        </w:r>
      </w:hyperlink>
      <w:r>
        <w:rPr>
          <w:rFonts w:ascii="Times New Roman;Times;serif" w:hAnsi="Times New Roman;Times;serif"/>
          <w:sz w:val="24"/>
          <w:shd w:fill="FFFFFF" w:val="clear"/>
        </w:rPr>
        <w:tab/>
      </w:r>
      <w:hyperlink w:anchor="_Toc221027935">
        <w:r>
          <w:rPr>
            <w:rStyle w:val="InternetLink"/>
            <w:rFonts w:ascii="Times New Roman;Times;serif" w:hAnsi="Times New Roman;Times;serif"/>
            <w:b w:val="false"/>
            <w:i w:val="false"/>
            <w:caps w:val="false"/>
            <w:smallCaps w:val="false"/>
            <w:sz w:val="24"/>
            <w:shd w:fill="FFFFFF" w:val="clear"/>
          </w:rPr>
          <w:t>No Waiver, Cumulative Remedies</w:t>
        </w:r>
      </w:hyperlink>
      <w:hyperlink w:anchor="_Toc221027935">
        <w:r>
          <w:rPr>
            <w:webHidden/>
          </w:rPr>
          <w:fldChar w:fldCharType="begin"/>
        </w:r>
        <w:r>
          <w:rPr>
            <w:webHidden/>
          </w:rPr>
          <w:instrText xml:space="preserve">PAGEREF _Toc221027935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895"/>
                <wp:effectExtent l="0" t="0" r="0" b="0"/>
                <wp:wrapNone/>
                <wp:docPr id="508" name="Frame5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6">
        <w:r>
          <w:rPr>
            <w:rStyle w:val="InternetLink"/>
            <w:rFonts w:ascii="Times New Roman;Times;serif" w:hAnsi="Times New Roman;Times;serif"/>
            <w:b w:val="false"/>
            <w:i w:val="false"/>
            <w:caps w:val="false"/>
            <w:smallCaps w:val="false"/>
            <w:sz w:val="24"/>
            <w:shd w:fill="FFFFFF" w:val="clear"/>
          </w:rPr>
          <w:t>Section 12.3.</w:t>
        </w:r>
      </w:hyperlink>
      <w:r>
        <w:rPr>
          <w:rFonts w:ascii="Times New Roman;Times;serif" w:hAnsi="Times New Roman;Times;serif"/>
          <w:sz w:val="24"/>
          <w:shd w:fill="FFFFFF" w:val="clear"/>
        </w:rPr>
        <w:tab/>
      </w:r>
      <w:hyperlink w:anchor="_Toc221027936">
        <w:r>
          <w:rPr>
            <w:rStyle w:val="InternetLink"/>
            <w:rFonts w:ascii="Times New Roman;Times;serif" w:hAnsi="Times New Roman;Times;serif"/>
            <w:b w:val="false"/>
            <w:i w:val="false"/>
            <w:caps w:val="false"/>
            <w:smallCaps w:val="false"/>
            <w:sz w:val="24"/>
            <w:shd w:fill="FFFFFF" w:val="clear"/>
          </w:rPr>
          <w:t>NonBusiness Days</w:t>
        </w:r>
      </w:hyperlink>
      <w:hyperlink w:anchor="_Toc221027936">
        <w:r>
          <w:rPr>
            <w:webHidden/>
          </w:rPr>
          <w:fldChar w:fldCharType="begin"/>
        </w:r>
        <w:r>
          <w:rPr>
            <w:webHidden/>
          </w:rPr>
          <w:instrText xml:space="preserve">PAGEREF _Toc221027936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895"/>
                <wp:effectExtent l="0" t="0" r="0" b="0"/>
                <wp:wrapNone/>
                <wp:docPr id="509" name="Frame5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4.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7">
        <w:r>
          <w:rPr>
            <w:rStyle w:val="InternetLink"/>
            <w:rFonts w:ascii="Times New Roman;Times;serif" w:hAnsi="Times New Roman;Times;serif"/>
            <w:b w:val="false"/>
            <w:i w:val="false"/>
            <w:caps w:val="false"/>
            <w:smallCaps w:val="false"/>
            <w:sz w:val="24"/>
            <w:shd w:fill="FFFFFF" w:val="clear"/>
          </w:rPr>
          <w:t>Section 12.4.</w:t>
        </w:r>
      </w:hyperlink>
      <w:r>
        <w:rPr>
          <w:rFonts w:ascii="Times New Roman;Times;serif" w:hAnsi="Times New Roman;Times;serif"/>
          <w:sz w:val="24"/>
          <w:shd w:fill="FFFFFF" w:val="clear"/>
        </w:rPr>
        <w:tab/>
      </w:r>
      <w:hyperlink w:anchor="_Toc221027937">
        <w:r>
          <w:rPr>
            <w:rStyle w:val="InternetLink"/>
            <w:rFonts w:ascii="Times New Roman;Times;serif" w:hAnsi="Times New Roman;Times;serif"/>
            <w:b w:val="false"/>
            <w:i w:val="false"/>
            <w:caps w:val="false"/>
            <w:smallCaps w:val="false"/>
            <w:sz w:val="24"/>
            <w:shd w:fill="FFFFFF" w:val="clear"/>
          </w:rPr>
          <w:t>Documentary Taxes</w:t>
        </w:r>
      </w:hyperlink>
      <w:hyperlink w:anchor="_Toc221027937">
        <w:r>
          <w:rPr>
            <w:webHidden/>
          </w:rPr>
          <w:fldChar w:fldCharType="begin"/>
        </w:r>
        <w:r>
          <w:rPr>
            <w:webHidden/>
          </w:rPr>
          <w:instrText xml:space="preserve">PAGEREF _Toc221027937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895"/>
                <wp:effectExtent l="0" t="0" r="0" b="0"/>
                <wp:wrapNone/>
                <wp:docPr id="510" name="Frame5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8">
        <w:r>
          <w:rPr>
            <w:rStyle w:val="InternetLink"/>
            <w:rFonts w:ascii="Times New Roman;Times;serif" w:hAnsi="Times New Roman;Times;serif"/>
            <w:b w:val="false"/>
            <w:i w:val="false"/>
            <w:caps w:val="false"/>
            <w:smallCaps w:val="false"/>
            <w:sz w:val="24"/>
            <w:shd w:fill="FFFFFF" w:val="clear"/>
          </w:rPr>
          <w:t>Section 12.5.</w:t>
        </w:r>
      </w:hyperlink>
      <w:r>
        <w:rPr>
          <w:rFonts w:ascii="Times New Roman;Times;serif" w:hAnsi="Times New Roman;Times;serif"/>
          <w:sz w:val="24"/>
          <w:shd w:fill="FFFFFF" w:val="clear"/>
        </w:rPr>
        <w:tab/>
      </w:r>
      <w:hyperlink w:anchor="_Toc221027938">
        <w:r>
          <w:rPr>
            <w:rStyle w:val="InternetLink"/>
            <w:rFonts w:ascii="Times New Roman;Times;serif" w:hAnsi="Times New Roman;Times;serif"/>
            <w:b w:val="false"/>
            <w:i w:val="false"/>
            <w:caps w:val="false"/>
            <w:smallCaps w:val="false"/>
            <w:sz w:val="24"/>
            <w:shd w:fill="FFFFFF" w:val="clear"/>
          </w:rPr>
          <w:t>Survival of Representations</w:t>
        </w:r>
      </w:hyperlink>
      <w:hyperlink w:anchor="_Toc221027938">
        <w:r>
          <w:rPr>
            <w:webHidden/>
          </w:rPr>
          <w:fldChar w:fldCharType="begin"/>
        </w:r>
        <w:r>
          <w:rPr>
            <w:webHidden/>
          </w:rPr>
          <w:instrText xml:space="preserve">PAGEREF _Toc221027938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895"/>
                <wp:effectExtent l="0" t="0" r="0" b="0"/>
                <wp:wrapNone/>
                <wp:docPr id="511" name="Frame5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39">
        <w:r>
          <w:rPr>
            <w:rStyle w:val="InternetLink"/>
            <w:rFonts w:ascii="Times New Roman;Times;serif" w:hAnsi="Times New Roman;Times;serif"/>
            <w:b w:val="false"/>
            <w:i w:val="false"/>
            <w:caps w:val="false"/>
            <w:smallCaps w:val="false"/>
            <w:sz w:val="24"/>
            <w:shd w:fill="FFFFFF" w:val="clear"/>
          </w:rPr>
          <w:t>Section 12.6.</w:t>
        </w:r>
      </w:hyperlink>
      <w:r>
        <w:rPr>
          <w:rFonts w:ascii="Times New Roman;Times;serif" w:hAnsi="Times New Roman;Times;serif"/>
          <w:sz w:val="24"/>
          <w:shd w:fill="FFFFFF" w:val="clear"/>
        </w:rPr>
        <w:tab/>
      </w:r>
      <w:hyperlink w:anchor="_Toc221027939">
        <w:r>
          <w:rPr>
            <w:rStyle w:val="InternetLink"/>
            <w:rFonts w:ascii="Times New Roman;Times;serif" w:hAnsi="Times New Roman;Times;serif"/>
            <w:b w:val="false"/>
            <w:i w:val="false"/>
            <w:caps w:val="false"/>
            <w:smallCaps w:val="false"/>
            <w:sz w:val="24"/>
            <w:shd w:fill="FFFFFF" w:val="clear"/>
          </w:rPr>
          <w:t>Survival of Indemnities</w:t>
        </w:r>
      </w:hyperlink>
      <w:hyperlink w:anchor="_Toc221027939">
        <w:r>
          <w:rPr>
            <w:webHidden/>
          </w:rPr>
          <w:fldChar w:fldCharType="begin"/>
        </w:r>
        <w:r>
          <w:rPr>
            <w:webHidden/>
          </w:rPr>
          <w:instrText xml:space="preserve">PAGEREF _Toc221027939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895"/>
                <wp:effectExtent l="0" t="0" r="0" b="0"/>
                <wp:wrapNone/>
                <wp:docPr id="512" name="Frame5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0">
        <w:r>
          <w:rPr>
            <w:rStyle w:val="InternetLink"/>
            <w:rFonts w:ascii="Times New Roman;Times;serif" w:hAnsi="Times New Roman;Times;serif"/>
            <w:b w:val="false"/>
            <w:i w:val="false"/>
            <w:caps w:val="false"/>
            <w:smallCaps w:val="false"/>
            <w:sz w:val="24"/>
            <w:shd w:fill="FFFFFF" w:val="clear"/>
          </w:rPr>
          <w:t>Section 12.7.</w:t>
        </w:r>
      </w:hyperlink>
      <w:r>
        <w:rPr>
          <w:rFonts w:ascii="Times New Roman;Times;serif" w:hAnsi="Times New Roman;Times;serif"/>
          <w:sz w:val="24"/>
          <w:shd w:fill="FFFFFF" w:val="clear"/>
        </w:rPr>
        <w:tab/>
      </w:r>
      <w:hyperlink w:anchor="_Toc221027940">
        <w:r>
          <w:rPr>
            <w:rStyle w:val="InternetLink"/>
            <w:rFonts w:ascii="Times New Roman;Times;serif" w:hAnsi="Times New Roman;Times;serif"/>
            <w:b w:val="false"/>
            <w:i w:val="false"/>
            <w:caps w:val="false"/>
            <w:smallCaps w:val="false"/>
            <w:sz w:val="24"/>
            <w:shd w:fill="FFFFFF" w:val="clear"/>
          </w:rPr>
          <w:t>Sharing of SetOff</w:t>
        </w:r>
      </w:hyperlink>
      <w:hyperlink w:anchor="_Toc221027940">
        <w:r>
          <w:rPr>
            <w:webHidden/>
          </w:rPr>
          <w:fldChar w:fldCharType="begin"/>
        </w:r>
        <w:r>
          <w:rPr>
            <w:webHidden/>
          </w:rPr>
          <w:instrText xml:space="preserve">PAGEREF _Toc221027940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101</w:t>
        </w:r>
        <w:r>
          <w:rPr>
            <w:webHidden/>
          </w:rPr>
          <w:fldChar w:fldCharType="end"/>
        </w:r>
      </w:hyperlink>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895"/>
                <wp:effectExtent l="0" t="0" r="0" b="0"/>
                <wp:wrapNone/>
                <wp:docPr id="513" name="Frame5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1">
        <w:r>
          <w:rPr>
            <w:rStyle w:val="InternetLink"/>
            <w:rFonts w:ascii="Times New Roman;Times;serif" w:hAnsi="Times New Roman;Times;serif"/>
            <w:b w:val="false"/>
            <w:i w:val="false"/>
            <w:caps w:val="false"/>
            <w:smallCaps w:val="false"/>
            <w:sz w:val="24"/>
            <w:shd w:fill="FFFFFF" w:val="clear"/>
          </w:rPr>
          <w:t>Section 12.8.</w:t>
        </w:r>
      </w:hyperlink>
      <w:r>
        <w:rPr>
          <w:rFonts w:ascii="Times New Roman;Times;serif" w:hAnsi="Times New Roman;Times;serif"/>
          <w:sz w:val="24"/>
          <w:shd w:fill="FFFFFF" w:val="clear"/>
        </w:rPr>
        <w:tab/>
      </w:r>
      <w:hyperlink w:anchor="_Toc221027941">
        <w:r>
          <w:rPr>
            <w:rStyle w:val="InternetLink"/>
            <w:rFonts w:ascii="Times New Roman;Times;serif" w:hAnsi="Times New Roman;Times;serif"/>
            <w:b w:val="false"/>
            <w:i w:val="false"/>
            <w:caps w:val="false"/>
            <w:smallCaps w:val="false"/>
            <w:sz w:val="24"/>
            <w:shd w:fill="FFFFFF" w:val="clear"/>
          </w:rPr>
          <w:t>Notices</w:t>
        </w:r>
      </w:hyperlink>
      <w:hyperlink w:anchor="_Toc221027941">
        <w:r>
          <w:rPr>
            <w:webHidden/>
          </w:rPr>
          <w:fldChar w:fldCharType="begin"/>
        </w:r>
        <w:r>
          <w:rPr>
            <w:webHidden/>
          </w:rPr>
          <w:instrText xml:space="preserve">PAGEREF _Toc221027941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101</w:t>
        </w:r>
        <w:r>
          <w:rPr>
            <w:webHidden/>
          </w:rPr>
          <w:fldChar w:fldCharType="end"/>
        </w:r>
      </w:hyperlink>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895"/>
                <wp:effectExtent l="0" t="0" r="0" b="0"/>
                <wp:wrapNone/>
                <wp:docPr id="514" name="Frame5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2">
        <w:r>
          <w:rPr>
            <w:rStyle w:val="InternetLink"/>
            <w:rFonts w:ascii="Times New Roman;Times;serif" w:hAnsi="Times New Roman;Times;serif"/>
            <w:b w:val="false"/>
            <w:i w:val="false"/>
            <w:caps w:val="false"/>
            <w:smallCaps w:val="false"/>
            <w:sz w:val="24"/>
            <w:shd w:fill="FFFFFF" w:val="clear"/>
          </w:rPr>
          <w:t>Section 12.9.</w:t>
        </w:r>
      </w:hyperlink>
      <w:r>
        <w:rPr>
          <w:rFonts w:ascii="Times New Roman;Times;serif" w:hAnsi="Times New Roman;Times;serif"/>
          <w:sz w:val="24"/>
          <w:shd w:fill="FFFFFF" w:val="clear"/>
        </w:rPr>
        <w:tab/>
      </w:r>
      <w:hyperlink w:anchor="_Toc221027942">
        <w:r>
          <w:rPr>
            <w:rStyle w:val="InternetLink"/>
            <w:rFonts w:ascii="Times New Roman;Times;serif" w:hAnsi="Times New Roman;Times;serif"/>
            <w:b w:val="false"/>
            <w:i w:val="false"/>
            <w:caps w:val="false"/>
            <w:smallCaps w:val="false"/>
            <w:sz w:val="24"/>
            <w:shd w:fill="FFFFFF" w:val="clear"/>
          </w:rPr>
          <w:t>Counterparts</w:t>
        </w:r>
      </w:hyperlink>
      <w:hyperlink w:anchor="_Toc221027942">
        <w:r>
          <w:rPr>
            <w:webHidden/>
          </w:rPr>
          <w:fldChar w:fldCharType="begin"/>
        </w:r>
        <w:r>
          <w:rPr>
            <w:webHidden/>
          </w:rPr>
          <w:instrText xml:space="preserve">PAGEREF _Toc221027942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102</w:t>
        </w:r>
        <w:r>
          <w:rPr>
            <w:webHidden/>
          </w:rPr>
          <w:fldChar w:fldCharType="end"/>
        </w:r>
      </w:hyperlink>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895"/>
                <wp:effectExtent l="0" t="0" r="0" b="0"/>
                <wp:wrapNone/>
                <wp:docPr id="515" name="Frame5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3">
        <w:r>
          <w:rPr>
            <w:rStyle w:val="InternetLink"/>
            <w:rFonts w:ascii="Times New Roman;Times;serif" w:hAnsi="Times New Roman;Times;serif"/>
            <w:b w:val="false"/>
            <w:i w:val="false"/>
            <w:caps w:val="false"/>
            <w:smallCaps w:val="false"/>
            <w:sz w:val="24"/>
            <w:shd w:fill="FFFFFF" w:val="clear"/>
          </w:rPr>
          <w:t>Section 12.10.</w:t>
        </w:r>
      </w:hyperlink>
      <w:r>
        <w:rPr>
          <w:rFonts w:ascii="Times New Roman;Times;serif" w:hAnsi="Times New Roman;Times;serif"/>
          <w:sz w:val="24"/>
          <w:shd w:fill="FFFFFF" w:val="clear"/>
        </w:rPr>
        <w:tab/>
      </w:r>
      <w:hyperlink w:anchor="_Toc221027943">
        <w:r>
          <w:rPr>
            <w:rStyle w:val="InternetLink"/>
            <w:rFonts w:ascii="Times New Roman;Times;serif" w:hAnsi="Times New Roman;Times;serif"/>
            <w:b w:val="false"/>
            <w:i w:val="false"/>
            <w:caps w:val="false"/>
            <w:smallCaps w:val="false"/>
            <w:sz w:val="24"/>
            <w:shd w:fill="FFFFFF" w:val="clear"/>
          </w:rPr>
          <w:t>Successors and Assigns</w:t>
        </w:r>
      </w:hyperlink>
      <w:hyperlink w:anchor="_Toc221027943">
        <w:r>
          <w:rPr>
            <w:webHidden/>
          </w:rPr>
          <w:fldChar w:fldCharType="begin"/>
        </w:r>
        <w:r>
          <w:rPr>
            <w:webHidden/>
          </w:rPr>
          <w:instrText xml:space="preserve">PAGEREF _Toc221027943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102</w:t>
        </w:r>
        <w:r>
          <w:rPr>
            <w:webHidden/>
          </w:rPr>
          <w:fldChar w:fldCharType="end"/>
        </w:r>
      </w:hyperlink>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895"/>
                <wp:effectExtent l="0" t="0" r="0" b="0"/>
                <wp:wrapNone/>
                <wp:docPr id="516" name="Frame5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4">
        <w:r>
          <w:rPr>
            <w:rStyle w:val="InternetLink"/>
            <w:rFonts w:ascii="Times New Roman;Times;serif" w:hAnsi="Times New Roman;Times;serif"/>
            <w:b w:val="false"/>
            <w:i w:val="false"/>
            <w:caps w:val="false"/>
            <w:smallCaps w:val="false"/>
            <w:sz w:val="24"/>
            <w:shd w:fill="FFFFFF" w:val="clear"/>
          </w:rPr>
          <w:t>Section 12.11.</w:t>
        </w:r>
      </w:hyperlink>
      <w:r>
        <w:rPr>
          <w:rFonts w:ascii="Times New Roman;Times;serif" w:hAnsi="Times New Roman;Times;serif"/>
          <w:sz w:val="24"/>
          <w:shd w:fill="FFFFFF" w:val="clear"/>
        </w:rPr>
        <w:tab/>
      </w:r>
      <w:hyperlink w:anchor="_Toc221027944">
        <w:r>
          <w:rPr>
            <w:rStyle w:val="InternetLink"/>
            <w:rFonts w:ascii="Times New Roman;Times;serif" w:hAnsi="Times New Roman;Times;serif"/>
            <w:b w:val="false"/>
            <w:i w:val="false"/>
            <w:caps w:val="false"/>
            <w:smallCaps w:val="false"/>
            <w:sz w:val="24"/>
            <w:shd w:fill="FFFFFF" w:val="clear"/>
          </w:rPr>
          <w:t>Participants</w:t>
        </w:r>
      </w:hyperlink>
      <w:hyperlink w:anchor="_Toc221027944">
        <w:r>
          <w:rPr>
            <w:webHidden/>
          </w:rPr>
          <w:fldChar w:fldCharType="begin"/>
        </w:r>
        <w:r>
          <w:rPr>
            <w:webHidden/>
          </w:rPr>
          <w:instrText xml:space="preserve">PAGEREF _Toc221027944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102</w:t>
        </w:r>
        <w:r>
          <w:rPr>
            <w:webHidden/>
          </w:rPr>
          <w:fldChar w:fldCharType="end"/>
        </w:r>
      </w:hyperlink>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75895"/>
                <wp:effectExtent l="0" t="0" r="0" b="0"/>
                <wp:wrapNone/>
                <wp:docPr id="517" name="Frame5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5">
        <w:r>
          <w:rPr>
            <w:rStyle w:val="InternetLink"/>
            <w:rFonts w:ascii="Times New Roman;Times;serif" w:hAnsi="Times New Roman;Times;serif"/>
            <w:b w:val="false"/>
            <w:i w:val="false"/>
            <w:caps w:val="false"/>
            <w:smallCaps w:val="false"/>
            <w:sz w:val="24"/>
            <w:shd w:fill="FFFFFF" w:val="clear"/>
          </w:rPr>
          <w:t>Section 12.12.</w:t>
        </w:r>
      </w:hyperlink>
      <w:r>
        <w:rPr>
          <w:rFonts w:ascii="Times New Roman;Times;serif" w:hAnsi="Times New Roman;Times;serif"/>
          <w:sz w:val="24"/>
          <w:shd w:fill="FFFFFF" w:val="clear"/>
        </w:rPr>
        <w:tab/>
      </w:r>
      <w:hyperlink w:anchor="_Toc221027945">
        <w:r>
          <w:rPr>
            <w:rStyle w:val="InternetLink"/>
            <w:rFonts w:ascii="Times New Roman;Times;serif" w:hAnsi="Times New Roman;Times;serif"/>
            <w:b w:val="false"/>
            <w:i w:val="false"/>
            <w:caps w:val="false"/>
            <w:smallCaps w:val="false"/>
            <w:sz w:val="24"/>
            <w:shd w:fill="FFFFFF" w:val="clear"/>
          </w:rPr>
          <w:t>Assignments</w:t>
        </w:r>
      </w:hyperlink>
      <w:hyperlink w:anchor="_Toc221027945">
        <w:r>
          <w:rPr>
            <w:webHidden/>
          </w:rPr>
          <w:fldChar w:fldCharType="begin"/>
        </w:r>
        <w:r>
          <w:rPr>
            <w:webHidden/>
          </w:rPr>
          <w:instrText xml:space="preserve">PAGEREF _Toc221027945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103</w:t>
        </w:r>
        <w:r>
          <w:rPr>
            <w:webHidden/>
          </w:rPr>
          <w:fldChar w:fldCharType="end"/>
        </w:r>
      </w:hyperlink>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895"/>
                <wp:effectExtent l="0" t="0" r="0" b="0"/>
                <wp:wrapNone/>
                <wp:docPr id="518" name="Frame5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6">
        <w:r>
          <w:rPr>
            <w:rStyle w:val="InternetLink"/>
            <w:rFonts w:ascii="Times New Roman;Times;serif" w:hAnsi="Times New Roman;Times;serif"/>
            <w:b w:val="false"/>
            <w:i w:val="false"/>
            <w:caps w:val="false"/>
            <w:smallCaps w:val="false"/>
            <w:sz w:val="24"/>
            <w:shd w:fill="FFFFFF" w:val="clear"/>
          </w:rPr>
          <w:t>Section 12.13.</w:t>
        </w:r>
      </w:hyperlink>
      <w:r>
        <w:rPr>
          <w:rFonts w:ascii="Times New Roman;Times;serif" w:hAnsi="Times New Roman;Times;serif"/>
          <w:sz w:val="24"/>
          <w:shd w:fill="FFFFFF" w:val="clear"/>
        </w:rPr>
        <w:tab/>
      </w:r>
      <w:hyperlink w:anchor="_Toc221027946">
        <w:r>
          <w:rPr>
            <w:rStyle w:val="InternetLink"/>
            <w:rFonts w:ascii="Times New Roman;Times;serif" w:hAnsi="Times New Roman;Times;serif"/>
            <w:b w:val="false"/>
            <w:i w:val="false"/>
            <w:caps w:val="false"/>
            <w:smallCaps w:val="false"/>
            <w:sz w:val="24"/>
            <w:shd w:fill="FFFFFF" w:val="clear"/>
          </w:rPr>
          <w:t>Amendments</w:t>
        </w:r>
      </w:hyperlink>
      <w:hyperlink w:anchor="_Toc221027946">
        <w:r>
          <w:rPr>
            <w:webHidden/>
          </w:rPr>
          <w:fldChar w:fldCharType="begin"/>
        </w:r>
        <w:r>
          <w:rPr>
            <w:webHidden/>
          </w:rPr>
          <w:instrText xml:space="preserve">PAGEREF _Toc221027946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105</w:t>
        </w:r>
        <w:r>
          <w:rPr>
            <w:webHidden/>
          </w:rPr>
          <w:fldChar w:fldCharType="end"/>
        </w:r>
      </w:hyperlink>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895"/>
                <wp:effectExtent l="0" t="0" r="0" b="0"/>
                <wp:wrapNone/>
                <wp:docPr id="519" name="Frame5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7">
        <w:r>
          <w:rPr>
            <w:rStyle w:val="InternetLink"/>
            <w:rFonts w:ascii="Times New Roman;Times;serif" w:hAnsi="Times New Roman;Times;serif"/>
            <w:b w:val="false"/>
            <w:i w:val="false"/>
            <w:caps w:val="false"/>
            <w:smallCaps w:val="false"/>
            <w:sz w:val="24"/>
            <w:shd w:fill="FFFFFF" w:val="clear"/>
          </w:rPr>
          <w:t>Section 12.14.</w:t>
        </w:r>
      </w:hyperlink>
      <w:r>
        <w:rPr>
          <w:rFonts w:ascii="Times New Roman;Times;serif" w:hAnsi="Times New Roman;Times;serif"/>
          <w:sz w:val="24"/>
          <w:shd w:fill="FFFFFF" w:val="clear"/>
        </w:rPr>
        <w:tab/>
      </w:r>
      <w:hyperlink w:anchor="_Toc221027947">
        <w:r>
          <w:rPr>
            <w:rStyle w:val="InternetLink"/>
            <w:rFonts w:ascii="Times New Roman;Times;serif" w:hAnsi="Times New Roman;Times;serif"/>
            <w:b w:val="false"/>
            <w:i w:val="false"/>
            <w:caps w:val="false"/>
            <w:smallCaps w:val="false"/>
            <w:sz w:val="24"/>
            <w:shd w:fill="FFFFFF" w:val="clear"/>
          </w:rPr>
          <w:t>Headings</w:t>
        </w:r>
      </w:hyperlink>
      <w:hyperlink w:anchor="_Toc221027947">
        <w:r>
          <w:rPr>
            <w:webHidden/>
          </w:rPr>
          <w:fldChar w:fldCharType="begin"/>
        </w:r>
        <w:r>
          <w:rPr>
            <w:webHidden/>
          </w:rPr>
          <w:instrText xml:space="preserve">PAGEREF _Toc221027947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107</w:t>
        </w:r>
        <w:r>
          <w:rPr>
            <w:webHidden/>
          </w:rPr>
          <w:fldChar w:fldCharType="end"/>
        </w:r>
      </w:hyperlink>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895"/>
                <wp:effectExtent l="0" t="0" r="0" b="0"/>
                <wp:wrapNone/>
                <wp:docPr id="520" name="Frame5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8">
        <w:r>
          <w:rPr>
            <w:rStyle w:val="InternetLink"/>
            <w:rFonts w:ascii="Times New Roman;Times;serif" w:hAnsi="Times New Roman;Times;serif"/>
            <w:b w:val="false"/>
            <w:i w:val="false"/>
            <w:caps w:val="false"/>
            <w:smallCaps w:val="false"/>
            <w:sz w:val="24"/>
            <w:shd w:fill="FFFFFF" w:val="clear"/>
          </w:rPr>
          <w:t>Section 12.15.</w:t>
        </w:r>
      </w:hyperlink>
      <w:r>
        <w:rPr>
          <w:rFonts w:ascii="Times New Roman;Times;serif" w:hAnsi="Times New Roman;Times;serif"/>
          <w:sz w:val="24"/>
          <w:shd w:fill="FFFFFF" w:val="clear"/>
        </w:rPr>
        <w:tab/>
      </w:r>
      <w:hyperlink w:anchor="_Toc221027948">
        <w:r>
          <w:rPr>
            <w:rStyle w:val="InternetLink"/>
            <w:rFonts w:ascii="Times New Roman;Times;serif" w:hAnsi="Times New Roman;Times;serif"/>
            <w:b w:val="false"/>
            <w:i w:val="false"/>
            <w:caps w:val="false"/>
            <w:smallCaps w:val="false"/>
            <w:sz w:val="24"/>
            <w:shd w:fill="FFFFFF" w:val="clear"/>
          </w:rPr>
          <w:t>Costs and Expenses; Indemnification</w:t>
        </w:r>
      </w:hyperlink>
      <w:hyperlink w:anchor="_Toc221027948">
        <w:r>
          <w:rPr>
            <w:webHidden/>
          </w:rPr>
          <w:fldChar w:fldCharType="begin"/>
        </w:r>
        <w:r>
          <w:rPr>
            <w:webHidden/>
          </w:rPr>
          <w:instrText xml:space="preserve">PAGEREF _Toc221027948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107</w:t>
        </w:r>
        <w:r>
          <w:rPr>
            <w:webHidden/>
          </w:rPr>
          <w:fldChar w:fldCharType="end"/>
        </w:r>
      </w:hyperlink>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895"/>
                <wp:effectExtent l="0" t="0" r="0" b="0"/>
                <wp:wrapNone/>
                <wp:docPr id="521" name="Frame5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49">
        <w:r>
          <w:rPr>
            <w:rStyle w:val="InternetLink"/>
            <w:rFonts w:ascii="Times New Roman;Times;serif" w:hAnsi="Times New Roman;Times;serif"/>
            <w:b w:val="false"/>
            <w:i w:val="false"/>
            <w:caps w:val="false"/>
            <w:smallCaps w:val="false"/>
            <w:sz w:val="24"/>
            <w:shd w:fill="FFFFFF" w:val="clear"/>
          </w:rPr>
          <w:t>Section 12.16.</w:t>
        </w:r>
      </w:hyperlink>
      <w:r>
        <w:rPr>
          <w:rFonts w:ascii="Times New Roman;Times;serif" w:hAnsi="Times New Roman;Times;serif"/>
          <w:sz w:val="24"/>
          <w:shd w:fill="FFFFFF" w:val="clear"/>
        </w:rPr>
        <w:tab/>
      </w:r>
      <w:hyperlink w:anchor="_Toc221027949">
        <w:r>
          <w:rPr>
            <w:rStyle w:val="InternetLink"/>
            <w:rFonts w:ascii="Times New Roman;Times;serif" w:hAnsi="Times New Roman;Times;serif"/>
            <w:b w:val="false"/>
            <w:i w:val="false"/>
            <w:caps w:val="false"/>
            <w:smallCaps w:val="false"/>
            <w:sz w:val="24"/>
            <w:shd w:fill="FFFFFF" w:val="clear"/>
          </w:rPr>
          <w:t>Setoff</w:t>
        </w:r>
      </w:hyperlink>
      <w:hyperlink w:anchor="_Toc221027949">
        <w:r>
          <w:rPr>
            <w:webHidden/>
          </w:rPr>
          <w:fldChar w:fldCharType="begin"/>
        </w:r>
        <w:r>
          <w:rPr>
            <w:webHidden/>
          </w:rPr>
          <w:instrText xml:space="preserve">PAGEREF _Toc221027949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75895"/>
                <wp:effectExtent l="0" t="0" r="0" b="0"/>
                <wp:wrapNone/>
                <wp:docPr id="522" name="Frame5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0">
        <w:r>
          <w:rPr>
            <w:rStyle w:val="InternetLink"/>
            <w:rFonts w:ascii="Times New Roman;Times;serif" w:hAnsi="Times New Roman;Times;serif"/>
            <w:b w:val="false"/>
            <w:i w:val="false"/>
            <w:caps w:val="false"/>
            <w:smallCaps w:val="false"/>
            <w:sz w:val="24"/>
            <w:shd w:fill="FFFFFF" w:val="clear"/>
          </w:rPr>
          <w:t>Section 12.17.</w:t>
        </w:r>
      </w:hyperlink>
      <w:r>
        <w:rPr>
          <w:rFonts w:ascii="Times New Roman;Times;serif" w:hAnsi="Times New Roman;Times;serif"/>
          <w:sz w:val="24"/>
          <w:shd w:fill="FFFFFF" w:val="clear"/>
        </w:rPr>
        <w:tab/>
      </w:r>
      <w:hyperlink w:anchor="_Toc221027950">
        <w:r>
          <w:rPr>
            <w:rStyle w:val="InternetLink"/>
            <w:rFonts w:ascii="Times New Roman;Times;serif" w:hAnsi="Times New Roman;Times;serif"/>
            <w:b w:val="false"/>
            <w:i w:val="false"/>
            <w:caps w:val="false"/>
            <w:smallCaps w:val="false"/>
            <w:sz w:val="24"/>
            <w:shd w:fill="FFFFFF" w:val="clear"/>
          </w:rPr>
          <w:t>Entire Agreement</w:t>
        </w:r>
      </w:hyperlink>
      <w:hyperlink w:anchor="_Toc221027950">
        <w:r>
          <w:rPr>
            <w:webHidden/>
          </w:rPr>
          <w:fldChar w:fldCharType="begin"/>
        </w:r>
        <w:r>
          <w:rPr>
            <w:webHidden/>
          </w:rPr>
          <w:instrText xml:space="preserve">PAGEREF _Toc221027950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75895"/>
                <wp:effectExtent l="0" t="0" r="0" b="0"/>
                <wp:wrapNone/>
                <wp:docPr id="523" name="Frame5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1">
        <w:r>
          <w:rPr>
            <w:rStyle w:val="InternetLink"/>
            <w:rFonts w:ascii="Times New Roman;Times;serif" w:hAnsi="Times New Roman;Times;serif"/>
            <w:b w:val="false"/>
            <w:i w:val="false"/>
            <w:caps w:val="false"/>
            <w:smallCaps w:val="false"/>
            <w:sz w:val="24"/>
            <w:shd w:fill="FFFFFF" w:val="clear"/>
          </w:rPr>
          <w:t>Section 12.18.</w:t>
        </w:r>
      </w:hyperlink>
      <w:r>
        <w:rPr>
          <w:rFonts w:ascii="Times New Roman;Times;serif" w:hAnsi="Times New Roman;Times;serif"/>
          <w:sz w:val="24"/>
          <w:shd w:fill="FFFFFF" w:val="clear"/>
        </w:rPr>
        <w:tab/>
      </w:r>
      <w:hyperlink w:anchor="_Toc221027951">
        <w:r>
          <w:rPr>
            <w:rStyle w:val="InternetLink"/>
            <w:rFonts w:ascii="Times New Roman;Times;serif" w:hAnsi="Times New Roman;Times;serif"/>
            <w:b w:val="false"/>
            <w:i w:val="false"/>
            <w:caps w:val="false"/>
            <w:smallCaps w:val="false"/>
            <w:sz w:val="24"/>
            <w:shd w:fill="FFFFFF" w:val="clear"/>
          </w:rPr>
          <w:t>Governing Law</w:t>
        </w:r>
      </w:hyperlink>
      <w:hyperlink w:anchor="_Toc221027951">
        <w:r>
          <w:rPr>
            <w:webHidden/>
          </w:rPr>
          <w:fldChar w:fldCharType="begin"/>
        </w:r>
        <w:r>
          <w:rPr>
            <w:webHidden/>
          </w:rPr>
          <w:instrText xml:space="preserve">PAGEREF _Toc221027951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895"/>
                <wp:effectExtent l="0" t="0" r="0" b="0"/>
                <wp:wrapNone/>
                <wp:docPr id="524" name="Frame5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2">
        <w:r>
          <w:rPr>
            <w:rStyle w:val="InternetLink"/>
            <w:rFonts w:ascii="Times New Roman;Times;serif" w:hAnsi="Times New Roman;Times;serif"/>
            <w:b w:val="false"/>
            <w:i w:val="false"/>
            <w:caps w:val="false"/>
            <w:smallCaps w:val="false"/>
            <w:sz w:val="24"/>
            <w:shd w:fill="FFFFFF" w:val="clear"/>
          </w:rPr>
          <w:t>Section 12.19.</w:t>
        </w:r>
      </w:hyperlink>
      <w:r>
        <w:rPr>
          <w:rFonts w:ascii="Times New Roman;Times;serif" w:hAnsi="Times New Roman;Times;serif"/>
          <w:sz w:val="24"/>
          <w:shd w:fill="FFFFFF" w:val="clear"/>
        </w:rPr>
        <w:tab/>
      </w:r>
      <w:hyperlink w:anchor="_Toc221027952">
        <w:r>
          <w:rPr>
            <w:rStyle w:val="InternetLink"/>
            <w:rFonts w:ascii="Times New Roman;Times;serif" w:hAnsi="Times New Roman;Times;serif"/>
            <w:b w:val="false"/>
            <w:i w:val="false"/>
            <w:caps w:val="false"/>
            <w:smallCaps w:val="false"/>
            <w:sz w:val="24"/>
            <w:shd w:fill="FFFFFF" w:val="clear"/>
          </w:rPr>
          <w:t>Severability of Provisions</w:t>
        </w:r>
      </w:hyperlink>
      <w:hyperlink w:anchor="_Toc221027952">
        <w:r>
          <w:rPr>
            <w:webHidden/>
          </w:rPr>
          <w:fldChar w:fldCharType="begin"/>
        </w:r>
        <w:r>
          <w:rPr>
            <w:webHidden/>
          </w:rPr>
          <w:instrText xml:space="preserve">PAGEREF _Toc221027952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75895"/>
                <wp:effectExtent l="0" t="0" r="0" b="0"/>
                <wp:wrapNone/>
                <wp:docPr id="525" name="Frame5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3">
        <w:r>
          <w:rPr>
            <w:rStyle w:val="InternetLink"/>
            <w:rFonts w:ascii="Times New Roman;Times;serif" w:hAnsi="Times New Roman;Times;serif"/>
            <w:b w:val="false"/>
            <w:i w:val="false"/>
            <w:caps w:val="false"/>
            <w:smallCaps w:val="false"/>
            <w:sz w:val="24"/>
            <w:shd w:fill="FFFFFF" w:val="clear"/>
          </w:rPr>
          <w:t>Section 12.20.</w:t>
        </w:r>
      </w:hyperlink>
      <w:r>
        <w:rPr>
          <w:rFonts w:ascii="Times New Roman;Times;serif" w:hAnsi="Times New Roman;Times;serif"/>
          <w:sz w:val="24"/>
          <w:shd w:fill="FFFFFF" w:val="clear"/>
        </w:rPr>
        <w:tab/>
      </w:r>
      <w:hyperlink w:anchor="_Toc221027953">
        <w:r>
          <w:rPr>
            <w:rStyle w:val="InternetLink"/>
            <w:rFonts w:ascii="Times New Roman;Times;serif" w:hAnsi="Times New Roman;Times;serif"/>
            <w:b w:val="false"/>
            <w:i w:val="false"/>
            <w:caps w:val="false"/>
            <w:smallCaps w:val="false"/>
            <w:sz w:val="24"/>
            <w:shd w:fill="FFFFFF" w:val="clear"/>
          </w:rPr>
          <w:t>Excess Interest</w:t>
        </w:r>
      </w:hyperlink>
      <w:hyperlink w:anchor="_Toc221027953">
        <w:r>
          <w:rPr>
            <w:webHidden/>
          </w:rPr>
          <w:fldChar w:fldCharType="begin"/>
        </w:r>
        <w:r>
          <w:rPr>
            <w:webHidden/>
          </w:rPr>
          <w:instrText xml:space="preserve">PAGEREF _Toc221027953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109</w:t>
        </w:r>
        <w:r>
          <w:rPr>
            <w:webHidden/>
          </w:rPr>
          <w:fldChar w:fldCharType="end"/>
        </w:r>
      </w:hyperlink>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895"/>
                <wp:effectExtent l="0" t="0" r="0" b="0"/>
                <wp:wrapNone/>
                <wp:docPr id="526" name="Frame5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4">
        <w:r>
          <w:rPr>
            <w:rStyle w:val="InternetLink"/>
            <w:rFonts w:ascii="Times New Roman;Times;serif" w:hAnsi="Times New Roman;Times;serif"/>
            <w:b w:val="false"/>
            <w:i w:val="false"/>
            <w:caps w:val="false"/>
            <w:smallCaps w:val="false"/>
            <w:sz w:val="24"/>
            <w:shd w:fill="FFFFFF" w:val="clear"/>
          </w:rPr>
          <w:t>Section 12.21.</w:t>
        </w:r>
      </w:hyperlink>
      <w:r>
        <w:rPr>
          <w:rFonts w:ascii="Times New Roman;Times;serif" w:hAnsi="Times New Roman;Times;serif"/>
          <w:sz w:val="24"/>
          <w:shd w:fill="FFFFFF" w:val="clear"/>
        </w:rPr>
        <w:tab/>
      </w:r>
      <w:hyperlink w:anchor="_Toc221027954">
        <w:r>
          <w:rPr>
            <w:rStyle w:val="InternetLink"/>
            <w:rFonts w:ascii="Times New Roman;Times;serif" w:hAnsi="Times New Roman;Times;serif"/>
            <w:b w:val="false"/>
            <w:i w:val="false"/>
            <w:caps w:val="false"/>
            <w:smallCaps w:val="false"/>
            <w:sz w:val="24"/>
            <w:shd w:fill="FFFFFF" w:val="clear"/>
          </w:rPr>
          <w:t>Construction</w:t>
        </w:r>
      </w:hyperlink>
      <w:hyperlink w:anchor="_Toc221027954">
        <w:r>
          <w:rPr>
            <w:webHidden/>
          </w:rPr>
          <w:fldChar w:fldCharType="begin"/>
        </w:r>
        <w:r>
          <w:rPr>
            <w:webHidden/>
          </w:rPr>
          <w:instrText xml:space="preserve">PAGEREF _Toc221027954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109</w:t>
        </w:r>
        <w:r>
          <w:rPr>
            <w:webHidden/>
          </w:rPr>
          <w:fldChar w:fldCharType="end"/>
        </w:r>
      </w:hyperlink>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75895"/>
                <wp:effectExtent l="0" t="0" r="0" b="0"/>
                <wp:wrapNone/>
                <wp:docPr id="527" name="Frame5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5">
        <w:r>
          <w:rPr>
            <w:rStyle w:val="InternetLink"/>
            <w:rFonts w:ascii="Times New Roman;Times;serif" w:hAnsi="Times New Roman;Times;serif"/>
            <w:b w:val="false"/>
            <w:i w:val="false"/>
            <w:caps w:val="false"/>
            <w:smallCaps w:val="false"/>
            <w:sz w:val="24"/>
            <w:shd w:fill="FFFFFF" w:val="clear"/>
          </w:rPr>
          <w:t>Section 12.22.</w:t>
        </w:r>
      </w:hyperlink>
      <w:r>
        <w:rPr>
          <w:rFonts w:ascii="Times New Roman;Times;serif" w:hAnsi="Times New Roman;Times;serif"/>
          <w:sz w:val="24"/>
          <w:shd w:fill="FFFFFF" w:val="clear"/>
        </w:rPr>
        <w:tab/>
      </w:r>
      <w:hyperlink w:anchor="_Toc221027955">
        <w:r>
          <w:rPr>
            <w:rStyle w:val="InternetLink"/>
            <w:rFonts w:ascii="Times New Roman;Times;serif" w:hAnsi="Times New Roman;Times;serif"/>
            <w:b w:val="false"/>
            <w:i w:val="false"/>
            <w:caps w:val="false"/>
            <w:smallCaps w:val="false"/>
            <w:sz w:val="24"/>
            <w:shd w:fill="FFFFFF" w:val="clear"/>
          </w:rPr>
          <w:t>Lender’s Obligations Several</w:t>
        </w:r>
      </w:hyperlink>
      <w:hyperlink w:anchor="_Toc221027955">
        <w:r>
          <w:rPr>
            <w:webHidden/>
          </w:rPr>
          <w:fldChar w:fldCharType="begin"/>
        </w:r>
        <w:r>
          <w:rPr>
            <w:webHidden/>
          </w:rPr>
          <w:instrText xml:space="preserve">PAGEREF _Toc221027955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109</w:t>
        </w:r>
        <w:r>
          <w:rPr>
            <w:webHidden/>
          </w:rPr>
          <w:fldChar w:fldCharType="end"/>
        </w:r>
      </w:hyperlink>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75895"/>
                <wp:effectExtent l="0" t="0" r="0" b="0"/>
                <wp:wrapNone/>
                <wp:docPr id="528" name="Frame5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6">
        <w:r>
          <w:rPr>
            <w:rStyle w:val="InternetLink"/>
            <w:rFonts w:ascii="Times New Roman;Times;serif" w:hAnsi="Times New Roman;Times;serif"/>
            <w:b w:val="false"/>
            <w:i w:val="false"/>
            <w:smallCaps/>
            <w:sz w:val="24"/>
            <w:shd w:fill="FFFFFF" w:val="clear"/>
          </w:rPr>
          <w:t>Section 12.23.</w:t>
        </w:r>
      </w:hyperlink>
      <w:r>
        <w:rPr>
          <w:rFonts w:ascii="Times New Roman;Times;serif" w:hAnsi="Times New Roman;Times;serif"/>
          <w:sz w:val="24"/>
          <w:shd w:fill="FFFFFF" w:val="clear"/>
        </w:rPr>
        <w:tab/>
      </w:r>
      <w:hyperlink w:anchor="_Toc221027956">
        <w:r>
          <w:rPr>
            <w:rStyle w:val="InternetLink"/>
            <w:rFonts w:ascii="Times New Roman;Times;serif" w:hAnsi="Times New Roman;Times;serif"/>
            <w:b w:val="false"/>
            <w:i w:val="false"/>
            <w:caps w:val="false"/>
            <w:smallCaps w:val="false"/>
            <w:sz w:val="24"/>
            <w:shd w:fill="FFFFFF" w:val="clear"/>
          </w:rPr>
          <w:t>Submission to Jurisdiction; Waiver of Jury Trial</w:t>
        </w:r>
      </w:hyperlink>
      <w:hyperlink w:anchor="_Toc221027956">
        <w:r>
          <w:rPr>
            <w:webHidden/>
          </w:rPr>
          <w:fldChar w:fldCharType="begin"/>
        </w:r>
        <w:r>
          <w:rPr>
            <w:webHidden/>
          </w:rPr>
          <w:instrText xml:space="preserve">PAGEREF _Toc221027956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109</w:t>
        </w:r>
        <w:r>
          <w:rPr>
            <w:webHidden/>
          </w:rPr>
          <w:fldChar w:fldCharType="end"/>
        </w:r>
      </w:hyperlink>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75895"/>
                <wp:effectExtent l="0" t="0" r="0" b="0"/>
                <wp:wrapNone/>
                <wp:docPr id="529" name="Frame5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7">
        <w:r>
          <w:rPr>
            <w:rStyle w:val="InternetLink"/>
            <w:rFonts w:ascii="Times New Roman;Times;serif" w:hAnsi="Times New Roman;Times;serif"/>
            <w:b w:val="false"/>
            <w:i w:val="false"/>
            <w:caps w:val="false"/>
            <w:smallCaps w:val="false"/>
            <w:sz w:val="24"/>
            <w:shd w:fill="FFFFFF" w:val="clear"/>
          </w:rPr>
          <w:t>Section 12.24.</w:t>
        </w:r>
      </w:hyperlink>
      <w:r>
        <w:rPr>
          <w:rFonts w:ascii="Times New Roman;Times;serif" w:hAnsi="Times New Roman;Times;serif"/>
          <w:sz w:val="24"/>
          <w:shd w:fill="FFFFFF" w:val="clear"/>
        </w:rPr>
        <w:tab/>
      </w:r>
      <w:hyperlink w:anchor="_Toc221027957">
        <w:r>
          <w:rPr>
            <w:rStyle w:val="InternetLink"/>
            <w:rFonts w:ascii="Times New Roman;Times;serif" w:hAnsi="Times New Roman;Times;serif"/>
            <w:b w:val="false"/>
            <w:i w:val="false"/>
            <w:caps w:val="false"/>
            <w:smallCaps w:val="false"/>
            <w:sz w:val="24"/>
            <w:shd w:fill="FFFFFF" w:val="clear"/>
          </w:rPr>
          <w:t>USA Patriot Act</w:t>
        </w:r>
      </w:hyperlink>
      <w:hyperlink w:anchor="_Toc221027957">
        <w:r>
          <w:rPr>
            <w:webHidden/>
          </w:rPr>
          <w:fldChar w:fldCharType="begin"/>
        </w:r>
        <w:r>
          <w:rPr>
            <w:webHidden/>
          </w:rPr>
          <w:instrText xml:space="preserve">PAGEREF _Toc221027957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110</w:t>
        </w:r>
        <w:r>
          <w:rPr>
            <w:webHidden/>
          </w:rPr>
          <w:fldChar w:fldCharType="end"/>
        </w:r>
      </w:hyperlink>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75895"/>
                <wp:effectExtent l="0" t="0" r="0" b="0"/>
                <wp:wrapNone/>
                <wp:docPr id="530" name="Frame5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8">
        <w:r>
          <w:rPr>
            <w:rStyle w:val="InternetLink"/>
            <w:rFonts w:ascii="Times New Roman;Times;serif" w:hAnsi="Times New Roman;Times;serif"/>
            <w:b w:val="false"/>
            <w:i w:val="false"/>
            <w:caps w:val="false"/>
            <w:smallCaps w:val="false"/>
            <w:sz w:val="24"/>
            <w:shd w:fill="FFFFFF" w:val="clear"/>
          </w:rPr>
          <w:t>Section 12.25.</w:t>
        </w:r>
      </w:hyperlink>
      <w:r>
        <w:rPr>
          <w:rFonts w:ascii="Times New Roman;Times;serif" w:hAnsi="Times New Roman;Times;serif"/>
          <w:sz w:val="24"/>
          <w:shd w:fill="FFFFFF" w:val="clear"/>
        </w:rPr>
        <w:tab/>
      </w:r>
      <w:hyperlink w:anchor="_Toc221027958">
        <w:r>
          <w:rPr>
            <w:rStyle w:val="InternetLink"/>
            <w:rFonts w:ascii="Times New Roman;Times;serif" w:hAnsi="Times New Roman;Times;serif"/>
            <w:b w:val="false"/>
            <w:i w:val="false"/>
            <w:caps w:val="false"/>
            <w:smallCaps w:val="false"/>
            <w:sz w:val="24"/>
            <w:shd w:fill="FFFFFF" w:val="clear"/>
          </w:rPr>
          <w:t>Confidentiality</w:t>
        </w:r>
      </w:hyperlink>
      <w:hyperlink w:anchor="_Toc221027958">
        <w:r>
          <w:rPr>
            <w:webHidden/>
          </w:rPr>
          <w:fldChar w:fldCharType="begin"/>
        </w:r>
        <w:r>
          <w:rPr>
            <w:webHidden/>
          </w:rPr>
          <w:instrText xml:space="preserve">PAGEREF _Toc221027958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110</w:t>
        </w:r>
        <w:r>
          <w:rPr>
            <w:webHidden/>
          </w:rPr>
          <w:fldChar w:fldCharType="end"/>
        </w:r>
      </w:hyperlink>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75895"/>
                <wp:effectExtent l="0" t="0" r="0" b="0"/>
                <wp:wrapNone/>
                <wp:docPr id="531" name="Frame5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59">
        <w:r>
          <w:rPr>
            <w:rStyle w:val="InternetLink"/>
            <w:rFonts w:ascii="Times New Roman;Times;serif" w:hAnsi="Times New Roman;Times;serif"/>
            <w:b w:val="false"/>
            <w:i w:val="false"/>
            <w:caps w:val="false"/>
            <w:smallCaps w:val="false"/>
            <w:sz w:val="24"/>
            <w:shd w:fill="FFFFFF" w:val="clear"/>
          </w:rPr>
          <w:t>Section 12.26.</w:t>
        </w:r>
      </w:hyperlink>
      <w:r>
        <w:rPr>
          <w:rFonts w:ascii="Times New Roman;Times;serif" w:hAnsi="Times New Roman;Times;serif"/>
          <w:sz w:val="24"/>
          <w:shd w:fill="FFFFFF" w:val="clear"/>
        </w:rPr>
        <w:tab/>
      </w:r>
      <w:hyperlink w:anchor="_Toc221027959">
        <w:r>
          <w:rPr>
            <w:rStyle w:val="InternetLink"/>
            <w:rFonts w:ascii="Times New Roman;Times;serif" w:hAnsi="Times New Roman;Times;serif"/>
            <w:b w:val="false"/>
            <w:i w:val="false"/>
            <w:caps w:val="false"/>
            <w:smallCaps w:val="false"/>
            <w:sz w:val="24"/>
            <w:shd w:fill="FFFFFF" w:val="clear"/>
          </w:rPr>
          <w:t>Limitation of Recourse</w:t>
        </w:r>
      </w:hyperlink>
      <w:hyperlink w:anchor="_Toc221027959">
        <w:r>
          <w:rPr>
            <w:webHidden/>
          </w:rPr>
          <w:fldChar w:fldCharType="begin"/>
        </w:r>
        <w:r>
          <w:rPr>
            <w:webHidden/>
          </w:rPr>
          <w:instrText xml:space="preserve">PAGEREF _Toc221027959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111</w:t>
        </w:r>
        <w:r>
          <w:rPr>
            <w:webHidden/>
          </w:rPr>
          <w:fldChar w:fldCharType="end"/>
        </w:r>
      </w:hyperlink>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75895"/>
                <wp:effectExtent l="0" t="0" r="0" b="0"/>
                <wp:wrapNone/>
                <wp:docPr id="532" name="Frame5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0">
        <w:r>
          <w:rPr>
            <w:rStyle w:val="InternetLink"/>
            <w:rFonts w:ascii="Times New Roman;Times;serif" w:hAnsi="Times New Roman;Times;serif"/>
            <w:b w:val="false"/>
            <w:i w:val="false"/>
            <w:caps w:val="false"/>
            <w:smallCaps w:val="false"/>
            <w:sz w:val="24"/>
            <w:shd w:fill="FFFFFF" w:val="clear"/>
          </w:rPr>
          <w:t>Section 12.27.</w:t>
        </w:r>
      </w:hyperlink>
      <w:r>
        <w:rPr>
          <w:rFonts w:ascii="Times New Roman;Times;serif" w:hAnsi="Times New Roman;Times;serif"/>
          <w:sz w:val="24"/>
          <w:shd w:fill="FFFFFF" w:val="clear"/>
        </w:rPr>
        <w:tab/>
      </w:r>
      <w:hyperlink w:anchor="_Toc221027960">
        <w:r>
          <w:rPr>
            <w:rStyle w:val="InternetLink"/>
            <w:rFonts w:ascii="Times New Roman;Times;serif" w:hAnsi="Times New Roman;Times;serif"/>
            <w:b w:val="false"/>
            <w:i w:val="false"/>
            <w:caps w:val="false"/>
            <w:smallCaps w:val="false"/>
            <w:sz w:val="24"/>
            <w:shd w:fill="FFFFFF" w:val="clear"/>
          </w:rPr>
          <w:t>Other Taxes.</w:t>
        </w:r>
      </w:hyperlink>
      <w:hyperlink w:anchor="_Toc221027960">
        <w:r>
          <w:rPr>
            <w:webHidden/>
          </w:rPr>
          <w:fldChar w:fldCharType="begin"/>
        </w:r>
        <w:r>
          <w:rPr>
            <w:webHidden/>
          </w:rPr>
          <w:instrText xml:space="preserve">PAGEREF _Toc221027960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111</w:t>
        </w:r>
        <w:r>
          <w:rPr>
            <w:webHidden/>
          </w:rPr>
          <w:fldChar w:fldCharType="end"/>
        </w:r>
      </w:hyperlink>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75895"/>
                <wp:effectExtent l="0" t="0" r="0" b="0"/>
                <wp:wrapNone/>
                <wp:docPr id="533" name="Frame5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1">
        <w:r>
          <w:rPr>
            <w:rStyle w:val="InternetLink"/>
            <w:rFonts w:ascii="Times New Roman;Times;serif" w:hAnsi="Times New Roman;Times;serif"/>
            <w:b w:val="false"/>
            <w:i w:val="false"/>
            <w:caps w:val="false"/>
            <w:smallCaps w:val="false"/>
            <w:sz w:val="24"/>
            <w:shd w:fill="FFFFFF" w:val="clear"/>
          </w:rPr>
          <w:t>Section 12.28.</w:t>
        </w:r>
      </w:hyperlink>
      <w:r>
        <w:rPr>
          <w:rFonts w:ascii="Times New Roman;Times;serif" w:hAnsi="Times New Roman;Times;serif"/>
          <w:sz w:val="24"/>
          <w:shd w:fill="FFFFFF" w:val="clear"/>
        </w:rPr>
        <w:tab/>
      </w:r>
      <w:hyperlink w:anchor="_Toc221027961">
        <w:r>
          <w:rPr>
            <w:rStyle w:val="InternetLink"/>
            <w:rFonts w:ascii="Times New Roman;Times;serif" w:hAnsi="Times New Roman;Times;serif"/>
            <w:b w:val="false"/>
            <w:i w:val="false"/>
            <w:caps w:val="false"/>
            <w:smallCaps w:val="false"/>
            <w:sz w:val="24"/>
            <w:shd w:fill="FFFFFF" w:val="clear"/>
          </w:rPr>
          <w:t>Amendment and Restatement; No Novation</w:t>
        </w:r>
      </w:hyperlink>
      <w:hyperlink w:anchor="_Toc221027961">
        <w:r>
          <w:rPr>
            <w:webHidden/>
          </w:rPr>
          <w:fldChar w:fldCharType="begin"/>
        </w:r>
        <w:r>
          <w:rPr>
            <w:webHidden/>
          </w:rPr>
          <w:instrText xml:space="preserve">PAGEREF _Toc221027961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112</w:t>
        </w:r>
        <w:r>
          <w:rPr>
            <w:webHidden/>
          </w:rPr>
          <w:fldChar w:fldCharType="end"/>
        </w:r>
      </w:hyperlink>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75895"/>
                <wp:effectExtent l="0" t="0" r="0" b="0"/>
                <wp:wrapNone/>
                <wp:docPr id="534" name="Frame5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2">
        <w:r>
          <w:rPr>
            <w:rStyle w:val="InternetLink"/>
            <w:rFonts w:ascii="Times New Roman;Times;serif" w:hAnsi="Times New Roman;Times;serif"/>
            <w:b w:val="false"/>
            <w:i w:val="false"/>
            <w:caps w:val="false"/>
            <w:smallCaps w:val="false"/>
            <w:sz w:val="24"/>
            <w:shd w:fill="FFFFFF" w:val="clear"/>
          </w:rPr>
          <w:t>Section 12.29.</w:t>
        </w:r>
      </w:hyperlink>
      <w:r>
        <w:rPr>
          <w:rFonts w:ascii="Times New Roman;Times;serif" w:hAnsi="Times New Roman;Times;serif"/>
          <w:sz w:val="24"/>
          <w:shd w:fill="FFFFFF" w:val="clear"/>
        </w:rPr>
        <w:tab/>
      </w:r>
      <w:hyperlink w:anchor="_Toc221027962">
        <w:r>
          <w:rPr>
            <w:rStyle w:val="InternetLink"/>
            <w:rFonts w:ascii="Times New Roman;Times;serif" w:hAnsi="Times New Roman;Times;serif"/>
            <w:b w:val="false"/>
            <w:i w:val="false"/>
            <w:caps w:val="false"/>
            <w:smallCaps w:val="false"/>
            <w:sz w:val="24"/>
            <w:shd w:fill="FFFFFF" w:val="clear"/>
          </w:rPr>
          <w:t>Acknowledgement and Consent to Bail-In of Affected Financial Institutions</w:t>
        </w:r>
      </w:hyperlink>
      <w:hyperlink w:anchor="_Toc221027962">
        <w:r>
          <w:rPr>
            <w:webHidden/>
          </w:rPr>
          <w:fldChar w:fldCharType="begin"/>
        </w:r>
        <w:r>
          <w:rPr>
            <w:webHidden/>
          </w:rPr>
          <w:instrText xml:space="preserve">PAGEREF _Toc221027962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112</w:t>
        </w:r>
        <w:r>
          <w:rPr>
            <w:webHidden/>
          </w:rPr>
          <w:fldChar w:fldCharType="end"/>
        </w:r>
      </w:hyperlink>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75895"/>
                <wp:effectExtent l="0" t="0" r="0" b="0"/>
                <wp:wrapNone/>
                <wp:docPr id="535" name="Frame5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3">
        <w:r>
          <w:rPr>
            <w:rStyle w:val="InternetLink"/>
            <w:rFonts w:ascii="Times New Roman;Times;serif" w:hAnsi="Times New Roman;Times;serif"/>
            <w:b w:val="false"/>
            <w:i w:val="false"/>
            <w:caps w:val="false"/>
            <w:smallCaps w:val="false"/>
            <w:sz w:val="24"/>
            <w:shd w:fill="FFFFFF" w:val="clear"/>
          </w:rPr>
          <w:t>Section 12.30.</w:t>
        </w:r>
      </w:hyperlink>
      <w:r>
        <w:rPr>
          <w:rFonts w:ascii="Times New Roman;Times;serif" w:hAnsi="Times New Roman;Times;serif"/>
          <w:sz w:val="24"/>
          <w:shd w:fill="FFFFFF" w:val="clear"/>
        </w:rPr>
        <w:tab/>
      </w:r>
      <w:hyperlink w:anchor="_Toc221027963">
        <w:r>
          <w:rPr>
            <w:rStyle w:val="InternetLink"/>
            <w:rFonts w:ascii="Times New Roman;Times;serif" w:hAnsi="Times New Roman;Times;serif"/>
            <w:b w:val="false"/>
            <w:i w:val="false"/>
            <w:caps w:val="false"/>
            <w:smallCaps w:val="false"/>
            <w:sz w:val="24"/>
            <w:shd w:fill="FFFFFF" w:val="clear"/>
          </w:rPr>
          <w:t>Acknowledgement Regarding Any Supported QFCs</w:t>
        </w:r>
      </w:hyperlink>
      <w:hyperlink w:anchor="_Toc221027963">
        <w:r>
          <w:rPr>
            <w:webHidden/>
          </w:rPr>
          <w:fldChar w:fldCharType="begin"/>
        </w:r>
        <w:r>
          <w:rPr>
            <w:webHidden/>
          </w:rPr>
          <w:instrText xml:space="preserve">PAGEREF _Toc221027963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112</w:t>
        </w:r>
        <w:r>
          <w:rPr>
            <w:webHidden/>
          </w:rPr>
          <w:fldChar w:fldCharType="end"/>
        </w:r>
      </w:hyperlink>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75895"/>
                <wp:effectExtent l="0" t="0" r="0" b="0"/>
                <wp:wrapNone/>
                <wp:docPr id="536" name="Frame5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4">
        <w:r>
          <w:rPr>
            <w:rStyle w:val="InternetLink"/>
            <w:rFonts w:ascii="Times New Roman;Times;serif" w:hAnsi="Times New Roman;Times;serif"/>
            <w:b w:val="false"/>
            <w:i w:val="false"/>
            <w:caps w:val="false"/>
            <w:smallCaps w:val="false"/>
            <w:sz w:val="24"/>
            <w:shd w:fill="FFFFFF" w:val="clear"/>
          </w:rPr>
          <w:t>Section 12.31.</w:t>
        </w:r>
      </w:hyperlink>
      <w:r>
        <w:rPr>
          <w:rFonts w:ascii="Times New Roman;Times;serif" w:hAnsi="Times New Roman;Times;serif"/>
          <w:sz w:val="24"/>
          <w:shd w:fill="FFFFFF" w:val="clear"/>
        </w:rPr>
        <w:tab/>
      </w:r>
      <w:hyperlink w:anchor="_Toc221027964">
        <w:r>
          <w:rPr>
            <w:rStyle w:val="InternetLink"/>
            <w:rFonts w:ascii="Times New Roman;Times;serif" w:hAnsi="Times New Roman;Times;serif"/>
            <w:b w:val="false"/>
            <w:i w:val="false"/>
            <w:caps w:val="false"/>
            <w:smallCaps w:val="false"/>
            <w:sz w:val="24"/>
            <w:shd w:fill="FFFFFF" w:val="clear"/>
          </w:rPr>
          <w:t>Erroneous Payment</w:t>
        </w:r>
      </w:hyperlink>
      <w:hyperlink w:anchor="_Toc221027964">
        <w:r>
          <w:rPr>
            <w:webHidden/>
          </w:rPr>
          <w:fldChar w:fldCharType="begin"/>
        </w:r>
        <w:r>
          <w:rPr>
            <w:webHidden/>
          </w:rPr>
          <w:instrText xml:space="preserve">PAGEREF _Toc221027964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113</w:t>
        </w:r>
        <w:r>
          <w:rPr>
            <w:webHidden/>
          </w:rPr>
          <w:fldChar w:fldCharType="end"/>
        </w:r>
      </w:hyperlink>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895"/>
                <wp:effectExtent l="0" t="0" r="0" b="0"/>
                <wp:wrapNone/>
                <wp:docPr id="537" name="Frame5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21027965">
        <w:r>
          <w:rPr>
            <w:rStyle w:val="InternetLink"/>
            <w:rFonts w:ascii="Times New Roman;Times;serif" w:hAnsi="Times New Roman;Times;serif"/>
            <w:b w:val="false"/>
            <w:i w:val="false"/>
            <w:caps w:val="false"/>
            <w:smallCaps w:val="false"/>
            <w:sz w:val="24"/>
            <w:shd w:fill="FFFFFF" w:val="clear"/>
          </w:rPr>
          <w:t>SECTION 13.</w:t>
        </w:r>
      </w:hyperlink>
      <w:r>
        <w:rPr>
          <w:rFonts w:ascii="Times New Roman;Times;serif" w:hAnsi="Times New Roman;Times;serif"/>
          <w:sz w:val="24"/>
          <w:shd w:fill="FFFFFF" w:val="clear"/>
        </w:rPr>
        <w:tab/>
      </w:r>
      <w:hyperlink w:anchor="_Toc221027965">
        <w:r>
          <w:rPr>
            <w:rStyle w:val="InternetLink"/>
            <w:rFonts w:ascii="Times New Roman;Times;serif" w:hAnsi="Times New Roman;Times;serif"/>
            <w:b w:val="false"/>
            <w:i w:val="false"/>
            <w:caps w:val="false"/>
            <w:smallCaps w:val="false"/>
            <w:sz w:val="24"/>
            <w:shd w:fill="FFFFFF" w:val="clear"/>
          </w:rPr>
          <w:t>The Guarantees.</w:t>
        </w:r>
      </w:hyperlink>
      <w:hyperlink w:anchor="_Toc221027965">
        <w:r>
          <w:rPr>
            <w:webHidden/>
          </w:rPr>
          <w:fldChar w:fldCharType="begin"/>
        </w:r>
        <w:r>
          <w:rPr>
            <w:webHidden/>
          </w:rPr>
          <w:instrText xml:space="preserve">PAGEREF _Toc221027965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116</w:t>
        </w:r>
        <w:r>
          <w:rPr>
            <w:webHidden/>
          </w:rPr>
          <w:fldChar w:fldCharType="end"/>
        </w:r>
      </w:hyperlink>
      <w:r>
        <mc:AlternateContent>
          <mc:Choice Requires="wps">
            <w:drawing>
              <wp:anchor behindDoc="0" distT="0" distB="0" distL="0" distR="0" simplePos="0" locked="0" layoutInCell="1" allowOverlap="1" relativeHeight="539">
                <wp:simplePos x="0" y="0"/>
                <wp:positionH relativeFrom="page">
                  <wp:posOffset>0</wp:posOffset>
                </wp:positionH>
                <wp:positionV relativeFrom="line">
                  <wp:posOffset>635</wp:posOffset>
                </wp:positionV>
                <wp:extent cx="6480175" cy="175895"/>
                <wp:effectExtent l="0" t="0" r="0" b="0"/>
                <wp:wrapNone/>
                <wp:docPr id="538" name="Frame5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6">
        <w:r>
          <w:rPr>
            <w:rStyle w:val="InternetLink"/>
            <w:rFonts w:ascii="Times New Roman;Times;serif" w:hAnsi="Times New Roman;Times;serif"/>
            <w:b w:val="false"/>
            <w:i w:val="false"/>
            <w:caps w:val="false"/>
            <w:smallCaps w:val="false"/>
            <w:sz w:val="24"/>
            <w:shd w:fill="FFFFFF" w:val="clear"/>
          </w:rPr>
          <w:t>Section 13.1.</w:t>
        </w:r>
      </w:hyperlink>
      <w:r>
        <w:rPr>
          <w:rFonts w:ascii="Times New Roman;Times;serif" w:hAnsi="Times New Roman;Times;serif"/>
          <w:sz w:val="24"/>
          <w:shd w:fill="FFFFFF" w:val="clear"/>
        </w:rPr>
        <w:tab/>
      </w:r>
      <w:hyperlink w:anchor="_Toc221027966">
        <w:r>
          <w:rPr>
            <w:rStyle w:val="InternetLink"/>
            <w:rFonts w:ascii="Times New Roman;Times;serif" w:hAnsi="Times New Roman;Times;serif"/>
            <w:b w:val="false"/>
            <w:i w:val="false"/>
            <w:caps w:val="false"/>
            <w:smallCaps w:val="false"/>
            <w:sz w:val="24"/>
            <w:shd w:fill="FFFFFF" w:val="clear"/>
          </w:rPr>
          <w:t>The Guarantees</w:t>
        </w:r>
      </w:hyperlink>
      <w:hyperlink w:anchor="_Toc221027966">
        <w:r>
          <w:rPr>
            <w:webHidden/>
          </w:rPr>
          <w:fldChar w:fldCharType="begin"/>
        </w:r>
        <w:r>
          <w:rPr>
            <w:webHidden/>
          </w:rPr>
          <w:instrText xml:space="preserve">PAGEREF _Toc221027966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116</w:t>
        </w:r>
        <w:r>
          <w:rPr>
            <w:webHidden/>
          </w:rPr>
          <w:fldChar w:fldCharType="end"/>
        </w:r>
      </w:hyperlink>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895"/>
                <wp:effectExtent l="0" t="0" r="0" b="0"/>
                <wp:wrapNone/>
                <wp:docPr id="539" name="Frame5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7">
        <w:r>
          <w:rPr>
            <w:rStyle w:val="InternetLink"/>
            <w:rFonts w:ascii="Times New Roman;Times;serif" w:hAnsi="Times New Roman;Times;serif"/>
            <w:b w:val="false"/>
            <w:i w:val="false"/>
            <w:caps w:val="false"/>
            <w:smallCaps w:val="false"/>
            <w:sz w:val="24"/>
            <w:shd w:fill="FFFFFF" w:val="clear"/>
          </w:rPr>
          <w:t>Section 13.2.</w:t>
        </w:r>
      </w:hyperlink>
      <w:r>
        <w:rPr>
          <w:rFonts w:ascii="Times New Roman;Times;serif" w:hAnsi="Times New Roman;Times;serif"/>
          <w:sz w:val="24"/>
          <w:shd w:fill="FFFFFF" w:val="clear"/>
        </w:rPr>
        <w:tab/>
      </w:r>
      <w:hyperlink w:anchor="_Toc221027967">
        <w:r>
          <w:rPr>
            <w:rStyle w:val="InternetLink"/>
            <w:rFonts w:ascii="Times New Roman;Times;serif" w:hAnsi="Times New Roman;Times;serif"/>
            <w:b w:val="false"/>
            <w:i w:val="false"/>
            <w:caps w:val="false"/>
            <w:smallCaps w:val="false"/>
            <w:sz w:val="24"/>
            <w:shd w:fill="FFFFFF" w:val="clear"/>
          </w:rPr>
          <w:t>Guarantee Unconditional</w:t>
        </w:r>
      </w:hyperlink>
      <w:hyperlink w:anchor="_Toc221027967">
        <w:r>
          <w:rPr>
            <w:webHidden/>
          </w:rPr>
          <w:fldChar w:fldCharType="begin"/>
        </w:r>
        <w:r>
          <w:rPr>
            <w:webHidden/>
          </w:rPr>
          <w:instrText xml:space="preserve">PAGEREF _Toc221027967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117</w:t>
        </w:r>
        <w:r>
          <w:rPr>
            <w:webHidden/>
          </w:rPr>
          <w:fldChar w:fldCharType="end"/>
        </w:r>
      </w:hyperlink>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895"/>
                <wp:effectExtent l="0" t="0" r="0" b="0"/>
                <wp:wrapNone/>
                <wp:docPr id="540" name="Frame5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8">
        <w:r>
          <w:rPr>
            <w:rStyle w:val="InternetLink"/>
            <w:rFonts w:ascii="Times New Roman;Times;serif" w:hAnsi="Times New Roman;Times;serif"/>
            <w:b w:val="false"/>
            <w:i w:val="false"/>
            <w:caps w:val="false"/>
            <w:smallCaps w:val="false"/>
            <w:sz w:val="24"/>
            <w:shd w:fill="FFFFFF" w:val="clear"/>
          </w:rPr>
          <w:t>Section 13.3.</w:t>
        </w:r>
      </w:hyperlink>
      <w:r>
        <w:rPr>
          <w:rFonts w:ascii="Times New Roman;Times;serif" w:hAnsi="Times New Roman;Times;serif"/>
          <w:sz w:val="24"/>
          <w:shd w:fill="FFFFFF" w:val="clear"/>
        </w:rPr>
        <w:tab/>
      </w:r>
      <w:hyperlink w:anchor="_Toc221027968">
        <w:r>
          <w:rPr>
            <w:rStyle w:val="InternetLink"/>
            <w:rFonts w:ascii="Times New Roman;Times;serif" w:hAnsi="Times New Roman;Times;serif"/>
            <w:b w:val="false"/>
            <w:i w:val="false"/>
            <w:caps w:val="false"/>
            <w:smallCaps w:val="false"/>
            <w:sz w:val="24"/>
            <w:shd w:fill="FFFFFF" w:val="clear"/>
          </w:rPr>
          <w:t>Discharge Only upon Payment in Full; Reinstatement in Certain Circumstances</w:t>
        </w:r>
      </w:hyperlink>
      <w:hyperlink w:anchor="_Toc221027968">
        <w:r>
          <w:rPr>
            <w:webHidden/>
          </w:rPr>
          <w:fldChar w:fldCharType="begin"/>
        </w:r>
        <w:r>
          <w:rPr>
            <w:webHidden/>
          </w:rPr>
          <w:instrText xml:space="preserve">PAGEREF _Toc221027968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895"/>
                <wp:effectExtent l="0" t="0" r="0" b="0"/>
                <wp:wrapNone/>
                <wp:docPr id="541" name="Frame5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69">
        <w:r>
          <w:rPr>
            <w:rStyle w:val="InternetLink"/>
            <w:rFonts w:ascii="Times New Roman;Times;serif" w:hAnsi="Times New Roman;Times;serif"/>
            <w:b w:val="false"/>
            <w:i w:val="false"/>
            <w:caps w:val="false"/>
            <w:smallCaps w:val="false"/>
            <w:sz w:val="24"/>
            <w:shd w:fill="FFFFFF" w:val="clear"/>
          </w:rPr>
          <w:t>Section 13.4.</w:t>
        </w:r>
      </w:hyperlink>
      <w:r>
        <w:rPr>
          <w:rFonts w:ascii="Times New Roman;Times;serif" w:hAnsi="Times New Roman;Times;serif"/>
          <w:sz w:val="24"/>
          <w:shd w:fill="FFFFFF" w:val="clear"/>
        </w:rPr>
        <w:tab/>
      </w:r>
      <w:hyperlink w:anchor="_Toc221027969">
        <w:r>
          <w:rPr>
            <w:rStyle w:val="InternetLink"/>
            <w:rFonts w:ascii="Times New Roman;Times;serif" w:hAnsi="Times New Roman;Times;serif"/>
            <w:b w:val="false"/>
            <w:i w:val="false"/>
            <w:caps w:val="false"/>
            <w:smallCaps w:val="false"/>
            <w:sz w:val="24"/>
            <w:shd w:fill="FFFFFF" w:val="clear"/>
          </w:rPr>
          <w:t>Subrogation</w:t>
        </w:r>
      </w:hyperlink>
      <w:hyperlink w:anchor="_Toc221027969">
        <w:r>
          <w:rPr>
            <w:webHidden/>
          </w:rPr>
          <w:fldChar w:fldCharType="begin"/>
        </w:r>
        <w:r>
          <w:rPr>
            <w:webHidden/>
          </w:rPr>
          <w:instrText xml:space="preserve">PAGEREF _Toc221027969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895"/>
                <wp:effectExtent l="0" t="0" r="0" b="0"/>
                <wp:wrapNone/>
                <wp:docPr id="542" name="Frame5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70">
        <w:r>
          <w:rPr>
            <w:rStyle w:val="InternetLink"/>
            <w:rFonts w:ascii="Times New Roman;Times;serif" w:hAnsi="Times New Roman;Times;serif"/>
            <w:b w:val="false"/>
            <w:i w:val="false"/>
            <w:caps w:val="false"/>
            <w:smallCaps w:val="false"/>
            <w:sz w:val="24"/>
            <w:shd w:fill="FFFFFF" w:val="clear"/>
          </w:rPr>
          <w:t>Section 13.5.</w:t>
        </w:r>
      </w:hyperlink>
      <w:r>
        <w:rPr>
          <w:rFonts w:ascii="Times New Roman;Times;serif" w:hAnsi="Times New Roman;Times;serif"/>
          <w:sz w:val="24"/>
          <w:shd w:fill="FFFFFF" w:val="clear"/>
        </w:rPr>
        <w:tab/>
      </w:r>
      <w:hyperlink w:anchor="_Toc221027970">
        <w:r>
          <w:rPr>
            <w:rStyle w:val="InternetLink"/>
            <w:rFonts w:ascii="Times New Roman;Times;serif" w:hAnsi="Times New Roman;Times;serif"/>
            <w:b w:val="false"/>
            <w:i w:val="false"/>
            <w:caps w:val="false"/>
            <w:smallCaps w:val="false"/>
            <w:sz w:val="24"/>
            <w:shd w:fill="FFFFFF" w:val="clear"/>
          </w:rPr>
          <w:t>Waivers</w:t>
        </w:r>
      </w:hyperlink>
      <w:hyperlink w:anchor="_Toc221027970">
        <w:r>
          <w:rPr>
            <w:webHidden/>
          </w:rPr>
          <w:fldChar w:fldCharType="begin"/>
        </w:r>
        <w:r>
          <w:rPr>
            <w:webHidden/>
          </w:rPr>
          <w:instrText xml:space="preserve">PAGEREF _Toc221027970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895"/>
                <wp:effectExtent l="0" t="0" r="0" b="0"/>
                <wp:wrapNone/>
                <wp:docPr id="543" name="Frame5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71">
        <w:r>
          <w:rPr>
            <w:rStyle w:val="InternetLink"/>
            <w:rFonts w:ascii="Times New Roman;Times;serif" w:hAnsi="Times New Roman;Times;serif"/>
            <w:b w:val="false"/>
            <w:i w:val="false"/>
            <w:caps w:val="false"/>
            <w:smallCaps w:val="false"/>
            <w:sz w:val="24"/>
            <w:shd w:fill="FFFFFF" w:val="clear"/>
          </w:rPr>
          <w:t>Section 13.6.</w:t>
        </w:r>
      </w:hyperlink>
      <w:r>
        <w:rPr>
          <w:rFonts w:ascii="Times New Roman;Times;serif" w:hAnsi="Times New Roman;Times;serif"/>
          <w:sz w:val="24"/>
          <w:shd w:fill="FFFFFF" w:val="clear"/>
        </w:rPr>
        <w:tab/>
      </w:r>
      <w:hyperlink w:anchor="_Toc221027971">
        <w:r>
          <w:rPr>
            <w:rStyle w:val="InternetLink"/>
            <w:rFonts w:ascii="Times New Roman;Times;serif" w:hAnsi="Times New Roman;Times;serif"/>
            <w:b w:val="false"/>
            <w:i w:val="false"/>
            <w:caps w:val="false"/>
            <w:smallCaps w:val="false"/>
            <w:sz w:val="24"/>
            <w:shd w:fill="FFFFFF" w:val="clear"/>
          </w:rPr>
          <w:t>Limit on Recovery</w:t>
        </w:r>
      </w:hyperlink>
      <w:hyperlink w:anchor="_Toc221027971">
        <w:r>
          <w:rPr>
            <w:webHidden/>
          </w:rPr>
          <w:fldChar w:fldCharType="begin"/>
        </w:r>
        <w:r>
          <w:rPr>
            <w:webHidden/>
          </w:rPr>
          <w:instrText xml:space="preserve">PAGEREF _Toc221027971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119</w:t>
        </w:r>
        <w:r>
          <w:rPr>
            <w:webHidden/>
          </w:rPr>
          <w:fldChar w:fldCharType="end"/>
        </w:r>
      </w:hyperlink>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895"/>
                <wp:effectExtent l="0" t="0" r="0" b="0"/>
                <wp:wrapNone/>
                <wp:docPr id="544" name="Frame5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72">
        <w:r>
          <w:rPr>
            <w:rStyle w:val="InternetLink"/>
            <w:rFonts w:ascii="Times New Roman;Times;serif" w:hAnsi="Times New Roman;Times;serif"/>
            <w:b w:val="false"/>
            <w:i w:val="false"/>
            <w:caps w:val="false"/>
            <w:smallCaps w:val="false"/>
            <w:sz w:val="24"/>
            <w:shd w:fill="FFFFFF" w:val="clear"/>
          </w:rPr>
          <w:t>Section 13.7.</w:t>
        </w:r>
      </w:hyperlink>
      <w:r>
        <w:rPr>
          <w:rFonts w:ascii="Times New Roman;Times;serif" w:hAnsi="Times New Roman;Times;serif"/>
          <w:sz w:val="24"/>
          <w:shd w:fill="FFFFFF" w:val="clear"/>
        </w:rPr>
        <w:tab/>
      </w:r>
      <w:hyperlink w:anchor="_Toc221027972">
        <w:r>
          <w:rPr>
            <w:rStyle w:val="InternetLink"/>
            <w:rFonts w:ascii="Times New Roman;Times;serif" w:hAnsi="Times New Roman;Times;serif"/>
            <w:b w:val="false"/>
            <w:i w:val="false"/>
            <w:caps w:val="false"/>
            <w:smallCaps w:val="false"/>
            <w:sz w:val="24"/>
            <w:shd w:fill="FFFFFF" w:val="clear"/>
          </w:rPr>
          <w:t>Stay of Acceleration</w:t>
        </w:r>
      </w:hyperlink>
      <w:hyperlink w:anchor="_Toc221027972">
        <w:r>
          <w:rPr>
            <w:webHidden/>
          </w:rPr>
          <w:fldChar w:fldCharType="begin"/>
        </w:r>
        <w:r>
          <w:rPr>
            <w:webHidden/>
          </w:rPr>
          <w:instrText xml:space="preserve">PAGEREF _Toc221027972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119</w:t>
        </w:r>
        <w:r>
          <w:rPr>
            <w:webHidden/>
          </w:rPr>
          <w:fldChar w:fldCharType="end"/>
        </w:r>
      </w:hyperlink>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895"/>
                <wp:effectExtent l="0" t="0" r="0" b="0"/>
                <wp:wrapNone/>
                <wp:docPr id="545" name="Frame5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73">
        <w:r>
          <w:rPr>
            <w:rStyle w:val="InternetLink"/>
            <w:rFonts w:ascii="Times New Roman;Times;serif" w:hAnsi="Times New Roman;Times;serif"/>
            <w:b w:val="false"/>
            <w:i w:val="false"/>
            <w:caps w:val="false"/>
            <w:smallCaps w:val="false"/>
            <w:sz w:val="24"/>
            <w:shd w:fill="FFFFFF" w:val="clear"/>
          </w:rPr>
          <w:t>Section 13.8.</w:t>
        </w:r>
      </w:hyperlink>
      <w:r>
        <w:rPr>
          <w:rFonts w:ascii="Times New Roman;Times;serif" w:hAnsi="Times New Roman;Times;serif"/>
          <w:sz w:val="24"/>
          <w:shd w:fill="FFFFFF" w:val="clear"/>
        </w:rPr>
        <w:tab/>
      </w:r>
      <w:hyperlink w:anchor="_Toc221027973">
        <w:r>
          <w:rPr>
            <w:rStyle w:val="InternetLink"/>
            <w:rFonts w:ascii="Times New Roman;Times;serif" w:hAnsi="Times New Roman;Times;serif"/>
            <w:b w:val="false"/>
            <w:i w:val="false"/>
            <w:caps w:val="false"/>
            <w:smallCaps w:val="false"/>
            <w:sz w:val="24"/>
            <w:shd w:fill="FFFFFF" w:val="clear"/>
          </w:rPr>
          <w:t>Benefit to Guarantors</w:t>
        </w:r>
      </w:hyperlink>
      <w:hyperlink w:anchor="_Toc221027973">
        <w:r>
          <w:rPr>
            <w:webHidden/>
          </w:rPr>
          <w:fldChar w:fldCharType="begin"/>
        </w:r>
        <w:r>
          <w:rPr>
            <w:webHidden/>
          </w:rPr>
          <w:instrText xml:space="preserve">PAGEREF _Toc221027973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119</w:t>
        </w:r>
        <w:r>
          <w:rPr>
            <w:webHidden/>
          </w:rPr>
          <w:fldChar w:fldCharType="end"/>
        </w:r>
      </w:hyperlink>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895"/>
                <wp:effectExtent l="0" t="0" r="0" b="0"/>
                <wp:wrapNone/>
                <wp:docPr id="546" name="Frame5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74">
        <w:r>
          <w:rPr>
            <w:rStyle w:val="InternetLink"/>
            <w:rFonts w:ascii="Times New Roman;Times;serif" w:hAnsi="Times New Roman;Times;serif"/>
            <w:b w:val="false"/>
            <w:i w:val="false"/>
            <w:caps w:val="false"/>
            <w:smallCaps w:val="false"/>
            <w:sz w:val="24"/>
            <w:shd w:fill="FFFFFF" w:val="clear"/>
          </w:rPr>
          <w:t>Section 13.9.</w:t>
        </w:r>
      </w:hyperlink>
      <w:r>
        <w:rPr>
          <w:rFonts w:ascii="Times New Roman;Times;serif" w:hAnsi="Times New Roman;Times;serif"/>
          <w:sz w:val="24"/>
          <w:shd w:fill="FFFFFF" w:val="clear"/>
        </w:rPr>
        <w:tab/>
      </w:r>
      <w:hyperlink w:anchor="_Toc221027974">
        <w:r>
          <w:rPr>
            <w:rStyle w:val="InternetLink"/>
            <w:rFonts w:ascii="Times New Roman;Times;serif" w:hAnsi="Times New Roman;Times;serif"/>
            <w:b w:val="false"/>
            <w:i w:val="false"/>
            <w:caps w:val="false"/>
            <w:smallCaps w:val="false"/>
            <w:sz w:val="24"/>
            <w:shd w:fill="FFFFFF" w:val="clear"/>
          </w:rPr>
          <w:t>Guarantor Covenants</w:t>
        </w:r>
      </w:hyperlink>
      <w:hyperlink w:anchor="_Toc221027974">
        <w:r>
          <w:rPr>
            <w:webHidden/>
          </w:rPr>
          <w:fldChar w:fldCharType="begin"/>
        </w:r>
        <w:r>
          <w:rPr>
            <w:webHidden/>
          </w:rPr>
          <w:instrText xml:space="preserve">PAGEREF _Toc221027974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119</w:t>
        </w:r>
        <w:r>
          <w:rPr>
            <w:webHidden/>
          </w:rPr>
          <w:fldChar w:fldCharType="end"/>
        </w:r>
      </w:hyperlink>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895"/>
                <wp:effectExtent l="0" t="0" r="0" b="0"/>
                <wp:wrapNone/>
                <wp:docPr id="547" name="Frame5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21027975">
        <w:r>
          <w:rPr>
            <w:rStyle w:val="InternetLink"/>
            <w:rFonts w:ascii="Times New Roman;Times;serif" w:hAnsi="Times New Roman;Times;serif"/>
            <w:b w:val="false"/>
            <w:i w:val="false"/>
            <w:caps w:val="false"/>
            <w:smallCaps w:val="false"/>
            <w:sz w:val="24"/>
            <w:shd w:fill="FFFFFF" w:val="clear"/>
          </w:rPr>
          <w:t>Section 13.10.</w:t>
        </w:r>
      </w:hyperlink>
      <w:r>
        <w:rPr>
          <w:rFonts w:ascii="Times New Roman;Times;serif" w:hAnsi="Times New Roman;Times;serif"/>
          <w:sz w:val="24"/>
          <w:shd w:fill="FFFFFF" w:val="clear"/>
        </w:rPr>
        <w:tab/>
      </w:r>
      <w:hyperlink w:anchor="_Toc221027975">
        <w:r>
          <w:rPr>
            <w:rStyle w:val="InternetLink"/>
            <w:rFonts w:ascii="Times New Roman;Times;serif" w:hAnsi="Times New Roman;Times;serif"/>
            <w:b w:val="false"/>
            <w:i w:val="false"/>
            <w:caps w:val="false"/>
            <w:smallCaps w:val="false"/>
            <w:sz w:val="24"/>
            <w:shd w:fill="FFFFFF" w:val="clear"/>
          </w:rPr>
          <w:t>Keepwell</w:t>
        </w:r>
      </w:hyperlink>
      <w:hyperlink w:anchor="_Toc221027975">
        <w:r>
          <w:rPr>
            <w:webHidden/>
          </w:rPr>
          <w:fldChar w:fldCharType="begin"/>
        </w:r>
        <w:r>
          <w:rPr>
            <w:webHidden/>
          </w:rPr>
          <w:instrText xml:space="preserve">PAGEREF _Toc221027975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119</w:t>
        </w:r>
        <w:r>
          <w:rPr>
            <w:webHidden/>
          </w:rPr>
          <w:fldChar w:fldCharType="end"/>
        </w:r>
      </w:hyperlink>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895"/>
                <wp:effectExtent l="0" t="0" r="0" b="0"/>
                <wp:wrapNone/>
                <wp:docPr id="548" name="Frame5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0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A</w:t>
      </w:r>
      <w:r>
        <w:rPr>
          <w:rFonts w:ascii="Times New Roman;Times;serif" w:hAnsi="Times New Roman;Times;serif"/>
          <w:sz w:val="24"/>
        </w:rPr>
        <w:t>—RESERVED</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B</w:t>
      </w:r>
      <w:r>
        <w:rPr>
          <w:rFonts w:ascii="Times New Roman;Times;serif" w:hAnsi="Times New Roman;Times;serif"/>
          <w:sz w:val="24"/>
        </w:rPr>
        <w:t>—Notice of Borrowing</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C</w:t>
      </w:r>
      <w:r>
        <w:rPr>
          <w:rFonts w:ascii="Times New Roman;Times;serif" w:hAnsi="Times New Roman;Times;serif"/>
          <w:sz w:val="24"/>
        </w:rPr>
        <w:t>—Notice of Continuation/Conversion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D-1</w:t>
      </w:r>
      <w:r>
        <w:rPr>
          <w:rFonts w:ascii="Times New Roman;Times;serif" w:hAnsi="Times New Roman;Times;serif"/>
          <w:sz w:val="24"/>
        </w:rPr>
        <w:t>—Revolving Note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D-2</w:t>
      </w:r>
      <w:r>
        <w:rPr>
          <w:rFonts w:ascii="Times New Roman;Times;serif" w:hAnsi="Times New Roman;Times;serif"/>
          <w:sz w:val="24"/>
        </w:rPr>
        <w:t>—RESERVED</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D-3</w:t>
      </w:r>
      <w:r>
        <w:rPr>
          <w:rFonts w:ascii="Times New Roman;Times;serif" w:hAnsi="Times New Roman;Times;serif"/>
          <w:sz w:val="24"/>
        </w:rPr>
        <w:t>—Term Note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D-4</w:t>
      </w:r>
      <w:r>
        <w:rPr>
          <w:rFonts w:ascii="Times New Roman;Times;serif" w:hAnsi="Times New Roman;Times;serif"/>
          <w:smallCaps/>
          <w:sz w:val="24"/>
        </w:rPr>
        <w:t>—</w:t>
      </w:r>
      <w:r>
        <w:rPr>
          <w:rFonts w:ascii="Times New Roman;Times;serif" w:hAnsi="Times New Roman;Times;serif"/>
          <w:sz w:val="24"/>
        </w:rPr>
        <w:t>Incremental Term Note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E</w:t>
      </w:r>
      <w:r>
        <w:rPr>
          <w:rFonts w:ascii="Times New Roman;Times;serif" w:hAnsi="Times New Roman;Times;serif"/>
          <w:sz w:val="24"/>
        </w:rPr>
        <w:t>—Compliance Certificate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F</w:t>
      </w:r>
      <w:r>
        <w:rPr>
          <w:rFonts w:ascii="Times New Roman;Times;serif" w:hAnsi="Times New Roman;Times;serif"/>
          <w:sz w:val="24"/>
        </w:rPr>
        <w:t>—Assignment and Acceptance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G</w:t>
      </w:r>
      <w:r>
        <w:rPr>
          <w:rFonts w:ascii="Times New Roman;Times;serif" w:hAnsi="Times New Roman;Times;serif"/>
          <w:sz w:val="24"/>
        </w:rPr>
        <w:t>—Additional Guarantor Supplement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H</w:t>
      </w:r>
      <w:r>
        <w:rPr>
          <w:rFonts w:ascii="Times New Roman;Times;serif" w:hAnsi="Times New Roman;Times;serif"/>
          <w:sz w:val="24"/>
        </w:rPr>
        <w:t>—Commitment Amount Increase Request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I</w:t>
      </w:r>
      <w:r>
        <w:rPr>
          <w:rFonts w:ascii="Times New Roman;Times;serif" w:hAnsi="Times New Roman;Times;serif"/>
          <w:sz w:val="24"/>
        </w:rPr>
        <w:t>—RESERVED</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1</w:t>
      </w:r>
      <w:r>
        <w:rPr>
          <w:rFonts w:ascii="Times New Roman;Times;serif" w:hAnsi="Times New Roman;Times;serif"/>
          <w:sz w:val="24"/>
        </w:rPr>
        <w:t>—Commitments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 1.1</w:t>
      </w:r>
      <w:r>
        <w:rPr>
          <w:rFonts w:ascii="Times New Roman;Times;serif" w:hAnsi="Times New Roman;Times;serif"/>
          <w:sz w:val="24"/>
        </w:rPr>
        <w:t>—Initial Properties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6.2</w:t>
      </w:r>
      <w:r>
        <w:rPr>
          <w:rFonts w:ascii="Times New Roman;Times;serif" w:hAnsi="Times New Roman;Times;serif"/>
          <w:sz w:val="24"/>
        </w:rPr>
        <w:t>—Subsidiaries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6.6</w:t>
      </w:r>
      <w:r>
        <w:rPr>
          <w:rFonts w:ascii="Times New Roman;Times;serif" w:hAnsi="Times New Roman;Times;serif"/>
          <w:sz w:val="24"/>
        </w:rPr>
        <w:t>—Material Adverse Effect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6.11</w:t>
      </w:r>
      <w:r>
        <w:rPr>
          <w:rFonts w:ascii="Times New Roman;Times;serif" w:hAnsi="Times New Roman;Times;serif"/>
          <w:sz w:val="24"/>
        </w:rPr>
        <w:t>—Litigation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Schedule 6.12 </w:t>
      </w:r>
      <w:r>
        <w:rPr>
          <w:rFonts w:ascii="Times New Roman;Times;serif" w:hAnsi="Times New Roman;Times;serif"/>
          <w:sz w:val="24"/>
        </w:rPr>
        <w:t>—Tax Returns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6.17</w:t>
      </w:r>
      <w:r>
        <w:rPr>
          <w:rFonts w:ascii="Times New Roman;Times;serif" w:hAnsi="Times New Roman;Times;serif"/>
          <w:sz w:val="24"/>
        </w:rPr>
        <w:t>—Environmental Issues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6.23</w:t>
      </w:r>
      <w:r>
        <w:rPr>
          <w:rFonts w:ascii="Times New Roman;Times;serif" w:hAnsi="Times New Roman;Times;serif"/>
          <w:sz w:val="24"/>
        </w:rPr>
        <w:t>—Maintenance and Condition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 8.7</w:t>
      </w:r>
      <w:r>
        <w:rPr>
          <w:rFonts w:ascii="Times New Roman;Times;serif" w:hAnsi="Times New Roman;Times;serif"/>
          <w:sz w:val="24"/>
        </w:rPr>
        <w:t>—Existing Liens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Amended and Restated Credit Agreement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Amended and Restated Credit Agreement (this “</w:t>
      </w:r>
      <w:r>
        <w:rPr>
          <w:rFonts w:ascii="Times New Roman;Times;serif" w:hAnsi="Times New Roman;Times;serif"/>
          <w:b/>
          <w:i/>
          <w:sz w:val="24"/>
        </w:rPr>
        <w:t>Agreement</w:t>
      </w:r>
      <w:r>
        <w:rPr>
          <w:rFonts w:ascii="Times New Roman;Times;serif" w:hAnsi="Times New Roman;Times;serif"/>
          <w:sz w:val="24"/>
        </w:rPr>
        <w:t xml:space="preserve">”) is entered into as of February 4, 2026, by and among </w:t>
      </w:r>
      <w:r>
        <w:rPr>
          <w:rFonts w:ascii="Times New Roman;Times;serif" w:hAnsi="Times New Roman;Times;serif"/>
          <w:b/>
          <w:smallCaps/>
          <w:sz w:val="24"/>
        </w:rPr>
        <w:t>Alpine Income Property OP, LP</w:t>
      </w:r>
      <w:r>
        <w:rPr>
          <w:rFonts w:ascii="Times New Roman;Times;serif" w:hAnsi="Times New Roman;Times;serif"/>
          <w:sz w:val="24"/>
        </w:rPr>
        <w:t>, a Delaware limited partnership (the “</w:t>
      </w:r>
      <w:r>
        <w:rPr>
          <w:rFonts w:ascii="Times New Roman;Times;serif" w:hAnsi="Times New Roman;Times;serif"/>
          <w:b/>
          <w:i/>
          <w:sz w:val="24"/>
        </w:rPr>
        <w:t>Borrower</w:t>
      </w:r>
      <w:r>
        <w:rPr>
          <w:rFonts w:ascii="Times New Roman;Times;serif" w:hAnsi="Times New Roman;Times;serif"/>
          <w:sz w:val="24"/>
        </w:rPr>
        <w:t xml:space="preserve">”), </w:t>
      </w:r>
      <w:r>
        <w:rPr>
          <w:rFonts w:ascii="Times New Roman;Times;serif" w:hAnsi="Times New Roman;Times;serif"/>
          <w:b/>
          <w:smallCaps/>
          <w:sz w:val="24"/>
        </w:rPr>
        <w:t>Alpine Income Property Trust, Inc.</w:t>
      </w:r>
      <w:r>
        <w:rPr>
          <w:rFonts w:ascii="Times New Roman;Times;serif" w:hAnsi="Times New Roman;Times;serif"/>
          <w:sz w:val="24"/>
        </w:rPr>
        <w:t>, a Maryland corporation, as a Guarantor (“</w:t>
      </w:r>
      <w:r>
        <w:rPr>
          <w:rFonts w:ascii="Times New Roman;Times;serif" w:hAnsi="Times New Roman;Times;serif"/>
          <w:b/>
          <w:i/>
          <w:sz w:val="24"/>
        </w:rPr>
        <w:t>Parent</w:t>
      </w:r>
      <w:r>
        <w:rPr>
          <w:rFonts w:ascii="Times New Roman;Times;serif" w:hAnsi="Times New Roman;Times;serif"/>
          <w:sz w:val="24"/>
        </w:rPr>
        <w:t xml:space="preserve">”), and each Material Subsidiary from time to time party to this Agreement, as Guarantors, the several financial institutions from time to time party to this Agreement, as Lenders, and </w:t>
      </w:r>
      <w:r>
        <w:rPr>
          <w:rFonts w:ascii="Times New Roman;Times;serif" w:hAnsi="Times New Roman;Times;serif"/>
          <w:b/>
          <w:smallCaps/>
          <w:sz w:val="24"/>
        </w:rPr>
        <w:t>Truist Bank (“</w:t>
      </w:r>
      <w:r>
        <w:rPr>
          <w:rFonts w:ascii="Times New Roman;Times;serif" w:hAnsi="Times New Roman;Times;serif"/>
          <w:sz w:val="24"/>
          <w:u w:val="single"/>
        </w:rPr>
        <w:t>Truist</w:t>
      </w:r>
      <w:r>
        <w:rPr>
          <w:rFonts w:ascii="Times New Roman;Times;serif" w:hAnsi="Times New Roman;Times;serif"/>
          <w:sz w:val="24"/>
        </w:rPr>
        <w:t>”</w:t>
      </w:r>
      <w:r>
        <w:rPr>
          <w:rFonts w:ascii="Times New Roman;Times;serif" w:hAnsi="Times New Roman;Times;serif"/>
          <w:b/>
          <w:smallCaps/>
          <w:sz w:val="24"/>
        </w:rPr>
        <w:t>)</w:t>
      </w:r>
      <w:r>
        <w:rPr>
          <w:rFonts w:ascii="Times New Roman;Times;serif" w:hAnsi="Times New Roman;Times;serif"/>
          <w:smallCaps/>
          <w:sz w:val="24"/>
        </w:rPr>
        <w:t xml:space="preserve">, </w:t>
      </w:r>
      <w:r>
        <w:rPr>
          <w:rFonts w:ascii="Times New Roman;Times;serif" w:hAnsi="Times New Roman;Times;serif"/>
          <w:sz w:val="24"/>
        </w:rPr>
        <w:t>as Administrative Agent, and Truist, as Sustainability Structuring Agent as provided herein.  All capitalized terms used herein without definition shall have the same meanings herein as such terms are defined in Section 5.1 hereof.</w:t>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Preliminary Statement</w:t>
      </w:r>
    </w:p>
    <w:p>
      <w:pPr>
        <w:pStyle w:val="TextBody"/>
        <w:bidi w:val="0"/>
        <w:spacing w:before="0" w:after="240"/>
        <w:ind w:left="0" w:right="0" w:firstLine="720"/>
        <w:jc w:val="both"/>
        <w:rPr>
          <w:rFonts w:ascii="Times" w:hAnsi="Times"/>
          <w:sz w:val="24"/>
        </w:rPr>
      </w:pPr>
      <w:r>
        <w:rPr>
          <w:rFonts w:ascii="Times" w:hAnsi="Times"/>
          <w:sz w:val="24"/>
        </w:rPr>
        <w:t>The Borrower has requested, and the Lenders have agreed to extend, certain credit facilities on the terms and conditions of this Agreement.</w:t>
      </w:r>
    </w:p>
    <w:p>
      <w:pPr>
        <w:pStyle w:val="TextBody"/>
        <w:bidi w:val="0"/>
        <w:spacing w:before="0" w:after="240"/>
        <w:ind w:left="0" w:right="0" w:firstLine="720"/>
        <w:jc w:val="both"/>
        <w:rPr>
          <w:rFonts w:ascii="Times" w:hAnsi="Times"/>
          <w:sz w:val="24"/>
        </w:rPr>
      </w:pPr>
      <w:r>
        <w:rPr>
          <w:rFonts w:ascii="Times" w:hAnsi="Times"/>
          <w:smallCaps/>
          <w:sz w:val="24"/>
        </w:rPr>
        <w:t>Whereas</w:t>
      </w:r>
      <w:r>
        <w:rPr>
          <w:rFonts w:ascii="Times" w:hAnsi="Times"/>
          <w:sz w:val="24"/>
        </w:rPr>
        <w:t>, the Borrower, Parent and certain Material Subsidiaries of the Borrower, as Guarantors, the financial institutions party thereto as “Lenders” and Truist, as Administrative Agent, previously entered into a Credit Agreement dated as of May 21, 2021, as amended by that certain Amendment, Increase and Joinder to Credit Agreement dated as of April 14, 2022, as amended by that certain Second Amendment to Credit Agreement dated as of October 5, 2022, and as further amended by that certain Third Amendment to Credit Agreement dated as of December 2024 (as heretofore extended, renewed, amended, modified, amended and restated or supplemented, the “</w:t>
      </w:r>
      <w:r>
        <w:rPr>
          <w:rFonts w:ascii="Times" w:hAnsi="Times"/>
          <w:i/>
          <w:sz w:val="24"/>
        </w:rPr>
        <w:t>Original Credit Agreement”</w:t>
      </w:r>
      <w:r>
        <w:rPr>
          <w:rFonts w:ascii="Times" w:hAnsi="Times"/>
          <w:sz w:val="24"/>
        </w:rPr>
        <w:t>).</w:t>
      </w:r>
    </w:p>
    <w:p>
      <w:pPr>
        <w:pStyle w:val="TextBody"/>
        <w:bidi w:val="0"/>
        <w:spacing w:before="0" w:after="240"/>
        <w:ind w:left="0" w:right="0" w:firstLine="720"/>
        <w:jc w:val="both"/>
        <w:rPr>
          <w:rFonts w:ascii="Times" w:hAnsi="Times"/>
          <w:sz w:val="24"/>
        </w:rPr>
      </w:pPr>
      <w:r>
        <w:rPr>
          <w:rFonts w:ascii="Times" w:hAnsi="Times"/>
          <w:smallCaps/>
          <w:sz w:val="24"/>
        </w:rPr>
        <w:t>Now, Therefore,</w:t>
      </w:r>
      <w:r>
        <w:rPr>
          <w:rFonts w:ascii="Times" w:hAnsi="Times"/>
          <w:sz w:val="24"/>
        </w:rPr>
        <w:t xml:space="preserve"> in consideration of the mutual agreements contained herein, and other good and valuable consideration, the receipt and sufficiency of which are hereby acknowledged, the parties hereto hereby agree to amend and restate the Original Credit Agreement in its entirety as follows:</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w:t>
      </w:r>
      <w:bookmarkStart w:id="1652" w:name="_Toc221027812"/>
      <w:bookmarkEnd w:id="1652"/>
      <w:r>
        <w:rPr>
          <w:rFonts w:ascii="Times New Roman;Times;serif" w:hAnsi="Times New Roman;Times;serif"/>
          <w:caps/>
          <w:sz w:val="24"/>
        </w:rPr>
        <w:t>The Credit Facility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w:t>
      </w:r>
      <w:bookmarkStart w:id="1653" w:name="_Toc221027813"/>
      <w:bookmarkEnd w:id="1653"/>
      <w:r>
        <w:rPr>
          <w:rFonts w:ascii="Times New Roman;Times;serif" w:hAnsi="Times New Roman;Times;serif"/>
          <w:i w:val="false"/>
          <w:caps w:val="false"/>
          <w:smallCaps w:val="false"/>
          <w:sz w:val="24"/>
          <w:u w:val="single"/>
        </w:rPr>
        <w:t>Revolving Credit Commitments</w:t>
      </w:r>
      <w:r>
        <w:rPr>
          <w:rFonts w:ascii="Times New Roman;Times;serif" w:hAnsi="Times New Roman;Times;serif"/>
          <w:i w:val="false"/>
          <w:caps w:val="false"/>
          <w:smallCaps w:val="false"/>
          <w:sz w:val="24"/>
        </w:rPr>
        <w:t>.  Subject to the terms and conditions hereof, each Revolving Lender, by its acceptance hereof, severally agrees to make a loan or loans (individually a “</w:t>
      </w:r>
      <w:r>
        <w:rPr>
          <w:rFonts w:ascii="Times New Roman;Times;serif" w:hAnsi="Times New Roman;Times;serif"/>
          <w:i w:val="false"/>
          <w:caps w:val="false"/>
          <w:smallCaps w:val="false"/>
          <w:sz w:val="24"/>
          <w:u w:val="single"/>
        </w:rPr>
        <w:t>Revolving Loan</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and collectively for all the Revolving Lenders the “</w:t>
      </w:r>
      <w:r>
        <w:rPr>
          <w:rFonts w:ascii="Times New Roman;Times;serif" w:hAnsi="Times New Roman;Times;serif"/>
          <w:i w:val="false"/>
          <w:caps w:val="false"/>
          <w:smallCaps w:val="false"/>
          <w:sz w:val="24"/>
          <w:u w:val="single"/>
        </w:rPr>
        <w:t>Revolving Loans</w:t>
      </w:r>
      <w:r>
        <w:rPr>
          <w:rFonts w:ascii="Times New Roman;Times;serif" w:hAnsi="Times New Roman;Times;serif"/>
          <w:i/>
          <w:caps w:val="false"/>
          <w:smallCaps w:val="false"/>
          <w:sz w:val="24"/>
        </w:rPr>
        <w:t>”</w:t>
      </w:r>
      <w:r>
        <w:rPr>
          <w:rFonts w:ascii="Times New Roman;Times;serif" w:hAnsi="Times New Roman;Times;serif"/>
          <w:i w:val="false"/>
          <w:caps w:val="false"/>
          <w:smallCaps w:val="false"/>
          <w:sz w:val="24"/>
        </w:rPr>
        <w:t>) in U.S. Dollars to the Borrower from time to time on a revolving basis up to the amount of such Revolving Lender’s Revolving Credit Commitment, subject to any reductions thereof pursuant to the terms hereof, before the Revolving Credit Termination Date.  The sum of the aggregate principal amount of Revolving Loans and L/C Obligations at any time outstanding, (x) may at no time exceed the Revolving Credit Commitments and (y) when taken together with the aggregate principal amount of Term Loans then outstanding, shall not exceed the Adjusted Availability as then determined and computed.  Each Borrowing of Revolving Loans shall be made ratably by the Revolving Lenders in proportion to their respective Applicable Percentages.  As provided in Section 1.6(a) hereof, the Borrower may elect that each Borrowing of Revolving Loans be either Base Rate Loans or SOFR Loans.  Revolving Loans may be repaid and the principal amount thereof reborrowed before the Revolving Credit Termination Date, subject to the terms and conditions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w:t>
      </w:r>
      <w:bookmarkStart w:id="1654" w:name="_Toc221027814"/>
      <w:bookmarkEnd w:id="1654"/>
      <w:r>
        <w:rPr>
          <w:rFonts w:ascii="Times New Roman;Times;serif" w:hAnsi="Times New Roman;Times;serif"/>
          <w:i w:val="false"/>
          <w:caps w:val="false"/>
          <w:smallCaps w:val="false"/>
          <w:sz w:val="24"/>
          <w:u w:val="single"/>
        </w:rPr>
        <w:t>Term Loans</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2029 Term Loans were advanced in full as “Term Loans” under and as defined in the Original Credit Agreement and are subject to the provisions of Section 12.28.  As of the Closing Date, the 2029 Term Loans outstanding under the Original Credit Agreement and held by the Lenders under the Original Credit Agreement shall continue and be deemed outstanding as 2029 Term Loans hereunder, in an aggregate principal amount equal to the outstanding principal amount thereof immediately prior to the Closing Date; provided, however, that the outstanding principal amount of such 2029 Term Loans may be reallocated among the 2029 Term Lenders in accordance with their respective Applicable Percentages as set forth on Schedule I attached hereto (the “</w:t>
      </w:r>
      <w:r>
        <w:rPr>
          <w:rFonts w:ascii="Times New Roman;Times;serif" w:hAnsi="Times New Roman;Times;serif"/>
          <w:sz w:val="24"/>
          <w:u w:val="single"/>
        </w:rPr>
        <w:t>Closing Date Percentages</w:t>
      </w:r>
      <w:r>
        <w:rPr>
          <w:rFonts w:ascii="Times New Roman;Times;serif" w:hAnsi="Times New Roman;Times;serif"/>
          <w:sz w:val="24"/>
        </w:rPr>
        <w:t>”). To effect such reallocations, each 2029 Term Lender whose Closing Date Percentage exceeds the amount of such 2029 Term Lender’s Applicable Percentage of its 2029 Term Loan Commitment immediately prior to the Closing Date and any 2029 Term Lender providing a new 2029 Term Loan Commitment shall make a 2029 Term Loan in such amount as is necessary so that the aggregate principal amount of the 2029 Term Loans held by such 2029 Term Lender shall equal such 2029 Term Lender’s Closing Date Percentage of the aggregate outstanding principal amount of the 2029 Term Loans as of the Closing Date.  As provided in Section 1.6(a) hereof, the Borrower may elect that the 2029 Term Loans be outstanding as Base Rate Loans or SOFR Loans.  No amount repaid or prepaid on the 2029 Term Loan may be borrowed again.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(b)Subject to the terms and conditions hereof, each 2031 Term Lender, by its acceptance hereof, severally agrees to make a term loan (each such loan, a “</w:t>
      </w:r>
      <w:r>
        <w:rPr>
          <w:rFonts w:ascii="Times New Roman;Times;serif" w:hAnsi="Times New Roman;Times;serif"/>
          <w:sz w:val="24"/>
          <w:u w:val="single"/>
        </w:rPr>
        <w:t>2031 Term Loan</w:t>
      </w:r>
      <w:r>
        <w:rPr>
          <w:rFonts w:ascii="Times New Roman;Times;serif" w:hAnsi="Times New Roman;Times;serif"/>
          <w:sz w:val="24"/>
        </w:rPr>
        <w:t>” and collectively, the “</w:t>
      </w:r>
      <w:r>
        <w:rPr>
          <w:rFonts w:ascii="Times New Roman;Times;serif" w:hAnsi="Times New Roman;Times;serif"/>
          <w:sz w:val="24"/>
          <w:u w:val="single"/>
        </w:rPr>
        <w:t>2031 Term Loans</w:t>
      </w:r>
      <w:r>
        <w:rPr>
          <w:rFonts w:ascii="Times New Roman;Times;serif" w:hAnsi="Times New Roman;Times;serif"/>
          <w:sz w:val="24"/>
        </w:rPr>
        <w:t>”) in U.S. Dollars to the Borrower on the Closing Date in an aggregate original principal amount not to exceed its Applicable Percentage of the 2031 Term Facility; provided that, after giving effect to such 2031 Term Borrowing, (i) the aggregate principal amount of the 2031 Term Loans shall not exceed the aggregate amount of the 2031 Term Loan Commitment, and (ii) the Outstanding Amount of each 2031 Term Lender’s 2031 Term Loans shall not exceed such Term Lender’s Applicable Percentage of the 2031 Term Facility and (iii) the Total Outstandings shall not exceed the Adjusted Availability as then determined and computed. The Borrowing shall consiste of the 2031 Term Loans made simulteanously by the 2031 Term Lenders in accordance with their respective Applicable Percentage of the 2031 Term Facility; provided that, if for any reason the full amount of the 2031 Term Facility is not fully drawn by Borrower on the Closing Date, the undrawn portion thereof shall automatically by cancelled. Upon a Term Lender’s funding of its 2031 Term Loan, such Term Lender’s unfunded 2031 Term Loan Commitment shall be permanently reduced to zero and terminate. Amounts borrowed under this Section 1.2(b) and repaid or prepaid may not be reborrowed. The 2031 Term Loans may be Base Rate Loans, Daily Simple SOFR Loans, or Term SOFR Loans, as further provided herein.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w:t>
      </w:r>
      <w:bookmarkStart w:id="1655" w:name="_Toc221027815"/>
      <w:bookmarkEnd w:id="1655"/>
      <w:r>
        <w:rPr>
          <w:rFonts w:ascii="Times New Roman;Times;serif" w:hAnsi="Times New Roman;Times;serif"/>
          <w:i w:val="false"/>
          <w:caps w:val="false"/>
          <w:smallCaps w:val="false"/>
          <w:sz w:val="24"/>
          <w:u w:val="single"/>
        </w:rPr>
        <w:t>Letters of Credit</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General Terms</w:t>
      </w:r>
      <w:r>
        <w:rPr>
          <w:rFonts w:ascii="Times New Roman;Times;serif" w:hAnsi="Times New Roman;Times;serif"/>
          <w:i/>
          <w:sz w:val="24"/>
        </w:rPr>
        <w:t>.</w:t>
      </w:r>
      <w:r>
        <w:rPr>
          <w:rFonts w:ascii="Times New Roman;Times;serif" w:hAnsi="Times New Roman;Times;serif"/>
          <w:sz w:val="24"/>
        </w:rPr>
        <w:t xml:space="preserve">  Subject to the terms and conditions hereof, as part of the Revolving Facility, the L/C Issuer shall issue standby and commercial letters of credit (each a “</w:t>
      </w:r>
      <w:r>
        <w:rPr>
          <w:rFonts w:ascii="Times New Roman;Times;serif" w:hAnsi="Times New Roman;Times;serif"/>
          <w:i/>
          <w:sz w:val="24"/>
        </w:rPr>
        <w:t>Letter of Credit”</w:t>
      </w:r>
      <w:r>
        <w:rPr>
          <w:rFonts w:ascii="Times New Roman;Times;serif" w:hAnsi="Times New Roman;Times;serif"/>
          <w:sz w:val="24"/>
        </w:rPr>
        <w:t xml:space="preserve">) or amend or extend Letters of Credit issued by it for the account of the Borrower or for the account of the Borrower and one or more of its Subsidiaries in an aggregate undrawn face amount up to the L/C Sublimit.  Each Letter of Credit shall be issued by the L/C Issuer, but each Revolving Lender shall be obligated to reimburse the L/C Issuer for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Revolving Lender’s Applicable Percentage of the amount of each drawing thereunder and, accordingly, each Letter of Credit shall constitute usage of the Revolving Credit Commitment of each Revolving Lender pro rata in an amount equal to its Applicable Percentage of the L/C Obligations then outstanding.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Applications</w:t>
      </w:r>
      <w:r>
        <w:rPr>
          <w:rFonts w:ascii="Times New Roman;Times;serif" w:hAnsi="Times New Roman;Times;serif"/>
          <w:sz w:val="24"/>
        </w:rPr>
        <w:t xml:space="preserve">.  At any time before the Revolving Credit Termination Date, the L/C Issuer shall, at the request of the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thirty (30) days prior to the Revolving Credit Termination Date (provided that such 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in an aggregate face amount as set forth above, upon the receipt of an application duly executed by the Borrower and, if such Letter of Credit is for the account of one of its Subsidiaries, such Subsidiary for the relevant Letter of Credit, in the form then customarily prescribed by the L/C Issuer for the Letter of Credit requested (each an “Application”).  Notwithstanding anything contained in any Application to the contrary:  (i) the Borrower shall pay fees in connection with each Letter of Credit as set forth in Section 2.1(b) hereof, (ii) except as otherwise provided in Section 1.8(b) or Section 1.14 hereof, unless an Event of Default exists, the L/C Issuer will not call for the funding by the Borrower of any amount under a Letter of Credit before being presented with a drawing thereunder, and (iii) if the L/C Issuer is not timely reimbursed for the amount of any drawing under a Letter of Credit on the date such drawing is paid, the Borrower’s obligation to reimburse the L/C Issuer for the amount of such drawing shall bear interest (which the Borrower hereby promises to pay) from and after the date such drawing is paid at a rate per annum equal to the sum of the Applicable Margin for Revolving Loans plus the Base Rate from time to time in effect (computed on the basis of a year of 365 or 366 days, as the case may be, and the actual number of days elapsed).  If the L/C Issuer issues any Letter of Credit with an expiration date that is automatically extended unless the L/C Issuer gives notice that the expiration date will not so extend beyond its then scheduled expiration date, then the L/C Issuer will give such notice of non renewal before the time necessary to prevent such automatic extension if before such required notice date:  (i) the expiration date of such Letter of Credit if so extended would be after the date that is thirty (30) days prior to the Revolving Credit Termination Date (provided that such 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(ii) the Revolving Credit Commitments have been terminated, or (iii) a Default or an Event of Default exists and either the Administrative Agent or the Required Lenders (with notice to the Administrative Agent) have given the L/C Issuer instructions to not permit the extension of the expiration date of such Letter of Credit.  The L/C Issuer agrees to issue amendments to the Letter(s) of Credit increasing the amount, or extending the expiration date, thereof at the request of the Borrower subject to the conditions of Section 7 hereof and the other terms of this Section 1.3.  Notwithstanding anything contained herein to the contrary, if a default of any Revolving Lender’s obligations to fund under Section 1.3(c) exists or any Revolving Lender is at such time a Defaulting Lender hereunder, the L/C Issuer shall be under no obligation to issue,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extend or amend any Letter of Credit unless the L/C Issuer has entered into arrangements with Borrower (including for cash collateralization as set forth above) or such Revolving Lender satisfactory to the L/C Issuer to eliminate the L/C Issuer’s risk with respect to such Revolving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The Reimbursement Obligations</w:t>
      </w:r>
      <w:r>
        <w:rPr>
          <w:rFonts w:ascii="Times New Roman;Times;serif" w:hAnsi="Times New Roman;Times;serif"/>
          <w:sz w:val="24"/>
        </w:rPr>
        <w:t>.  Upon receipt from the beneficiary of any Letter of Credit of any notice of a drawing under such Letter of Credit, the L/C Issuer shall promptly notify the Borrower and the Administrative Agent thereof.  Subject to Section 1.3(b) hereof, the obligation of the Borrower to reimburse the L/C Issuer for all drawings under a Letter of Credit (a “</w:t>
      </w:r>
      <w:r>
        <w:rPr>
          <w:rFonts w:ascii="Times New Roman;Times;serif" w:hAnsi="Times New Roman;Times;serif"/>
          <w:sz w:val="24"/>
          <w:u w:val="single"/>
        </w:rPr>
        <w:t>Reimbursement Obligation</w:t>
      </w:r>
      <w:r>
        <w:rPr>
          <w:rFonts w:ascii="Times New Roman;Times;serif" w:hAnsi="Times New Roman;Times;serif"/>
          <w:sz w:val="24"/>
        </w:rPr>
        <w:t>”) shall be governed by the Application related to such Letter of Credit, except that reimbursement shall be made by no later than 1:00 p.m. (New York time) on the date when each drawing is to be paid if the Borrower has been informed of such drawing by the L/C Issuer on or before 11:00 a.m. (New York time) on the date when such drawing is to be paid or, if notice of such drawing is given to the Borrower after 11:00 a.m. (New York time) on the date when such drawing is to be paid, by no later than 12:00 Noon (New York time) on the following Business Day, in immediately available funds at the Administrative Agent’s principal office in Cleveland, Ohio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1.3(e) below, then all payments thereafter received by the Administrative Agent in discharge of any of the relevant Reimbursement Obligations shall be distributed in accordance with Section 1.3(e) below; provided, however, if the Borrower does not make any such reimbursement payment on the due date, the Borrower shall be deemed to have requested a Borrowing of Base Rate Loans under the Revolving Facility and, subject to satisfaction of the conditions set forth in Section 7.1 except for 7.1(c) hereof, a Revolving Loan shall be made on such date in the amount of the Reimbursement Obligations then due which Revolving Loan proceeds shall be applied to pay the Reimbursement Obligations then due.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Obligations Absolute</w:t>
      </w:r>
      <w:r>
        <w:rPr>
          <w:rFonts w:ascii="Times New Roman;Times;serif" w:hAnsi="Times New Roman;Times;serif"/>
          <w:sz w:val="24"/>
        </w:rPr>
        <w:t xml:space="preserve">.  The Borrower's obligation to reimburse L/C Obligations as provided in subsection (c) of this Section shall be absolute, unconditional and irrevocable, and 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1.3, constitute a legal or equitable discharge of, or provide a right of setoff against, the Borrower's obligations hereunder, except for events or circumstances arising from the willful misconduct or gross negligence on behalf of the L/C Issuer. None of the Administrative Agent, the Revolving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Credit (including any document required to make a drawing thereunder), any error in interpretation of technical terms or any consequence arising from causes beyond the control of the L/C Issuer; provided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(i) failure to exercise care when determining whether drafts and other documents presented under a Letter of Credit comply with the terms thereof or (ii) willful misconduct or gross negligence.  The parties hereto expressly agree that, in the absence of gross negligence or willful misconduct on the part of the L/C Issuer (as finally determined by a court of competent jurisdiction),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good faith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The Participating Interests</w:t>
      </w:r>
      <w:r>
        <w:rPr>
          <w:rFonts w:ascii="Times New Roman;Times;serif" w:hAnsi="Times New Roman;Times;serif"/>
          <w:sz w:val="24"/>
        </w:rPr>
        <w:t xml:space="preserve">.  Each Revolving Lender (other than the Revolving Lender acting as L/C Issuer in issuing the relevant Letter of Credit), by its acceptance hereof, severally agrees to purchase from the L/C Issuer, and the L/C Issuer hereby agrees to sell to each such Revolving Lender (a “Participating Lender”), an undivided percentage participating interest (a “Participating Interest”), to the extent of its Applicable Percentage, in each Letter of Credit issued by, and each Reimbursement Obligation owed to, the L/C Issuer.  Upon any failure by the Borrower to pay any Reimbursement Obligation at the time required on the date the related drawing is to be paid, as set forth in Section 1.3(c) above,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the Administrative Agent) to such effect, if such certificate is received before 1:00 p.m. (New York time), or not later than 1:00 p.m. (New York time) the following Business Day, if such certificate is received after such time, pay to the Administrative Agent for the account of the L/C Issuer an amount equal to such Participating Lender’s Applicable Percentage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by the L/C Issuer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Applicable Percentage of each payment received in respect of the relevant Reimbursement Obligation and of interest paid thereon, with the L/C Issuer retaining its Applicable Percentage thereof as a Revolving Lender hereunder.  The several obligations of the Participating Lenders to the L/C Issuer under this Section 1.3 shall be absolute, irrevocable, and unconditional under any and all circumstances whatsoever and shall not be subject to any set off, counterclaim or defense to payment which any Participating Lender may have or have had against the Borrower, the L/C Issuer, the Administrative Agent,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Revolving Lender or any other Person whatsoever.  Without limiting the generality of the foregoing, such obligations shall not be affected by any Default or Event of Default or by any reduction or termination of any Revolving Credit Commitment of any Revolving Lender, and each payment by a Participating Lender under this Section 1.3 shall be made without any offset, abatement, withholding or reduction whatsoever.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Indemnification</w:t>
      </w:r>
      <w:r>
        <w:rPr>
          <w:rFonts w:ascii="Times New Roman;Times;serif" w:hAnsi="Times New Roman;Times;serif"/>
          <w:sz w:val="24"/>
        </w:rPr>
        <w:t>.  The Participating Lenders shall, to the extent of their respective Applicable Percentages, indemnify the L/C Issuer (to the extent not reimbursed by the Borrower) against any cost, expense (including reasonable counsel fees and disbursements), claim, demand, action, loss or liability (except such as result from such L/C Issuer’s gross negligence or willful misconduct) that the L/C Issuer may suffer or incur in connection with any Letter of Credit issued by it.  The obligations of the Participating Lenders under this Section 1.3(f) and all other parts of this Section 1.3 shall survive termination of this Agreement and of all Applications, Letters of Credit, and all drafts and other documents presented in connection with drawings 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Manner of Requesting a Letter of Credit</w:t>
      </w:r>
      <w:r>
        <w:rPr>
          <w:rFonts w:ascii="Times New Roman;Times;serif" w:hAnsi="Times New Roman;Times;serif"/>
          <w:sz w:val="24"/>
        </w:rPr>
        <w:t>.  The Borrower shall provide at least five (5) Business Days’ advance written notice to the Administrative Agent of each request for the 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Revolving Lenders) and the L/C Issuer shall promptly notify the Administrative Agent and the Revolving Lenders of the issuance of the Letter of Credit so requested.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Replacement of the L/C Issuer</w:t>
      </w:r>
      <w:r>
        <w:rPr>
          <w:rFonts w:ascii="Times New Roman;Times;serif" w:hAnsi="Times New Roman;Times;serif"/>
          <w:sz w:val="24"/>
        </w:rPr>
        <w:t>.  The L/C Issuer may be replaced at any time by written agreement among the Borrower, the Administrative Agent, the replaced L/C Issuer and the successor L/C Issuer.  The Administrative Agent shall notify the Revolving Lenders of any such replacement of the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shall be deemed to refer to 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1.4.</w:t>
      </w:r>
      <w:bookmarkStart w:id="1656" w:name="_Toc221027816"/>
      <w:bookmarkStart w:id="1657" w:name="_Ref99960901"/>
      <w:bookmarkEnd w:id="1656"/>
      <w:bookmarkEnd w:id="1657"/>
      <w:r>
        <w:rPr>
          <w:rFonts w:ascii="Times New Roman;Times;serif" w:hAnsi="Times New Roman;Times;serif"/>
          <w:i w:val="false"/>
          <w:caps w:val="false"/>
          <w:smallCaps w:val="false"/>
          <w:sz w:val="24"/>
          <w:u w:val="single"/>
        </w:rPr>
        <w:t>Applicable Interest Rates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Base Rate Loans</w:t>
      </w:r>
      <w:r>
        <w:rPr>
          <w:rFonts w:ascii="Times New Roman;Times;serif" w:hAnsi="Times New Roman;Times;serif"/>
          <w:i/>
          <w:sz w:val="24"/>
        </w:rPr>
        <w:t>.</w:t>
      </w:r>
      <w:r>
        <w:rPr>
          <w:rFonts w:ascii="Times New Roman;Times;serif" w:hAnsi="Times New Roman;Times;serif"/>
          <w:sz w:val="24"/>
        </w:rPr>
        <w:t xml:space="preserve">  Each Base Rate Loan of each Class made or maintained by a Lender shall bear interest (computed on the basis of a year of 365 or 366 days, as the case may be, and the actual days elapsed) on the unpaid principal amount thereof from the date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Loan is advanced, or created by conversion from a Term SOFR Loan or Daily Simple SOFR Loan, until maturity (whether by acceleration or otherwise) at a rate per annum equal to the sum of the Applicable Margin for the applicable Class plus the Base Rate from time to time in effect, payable by the Borrower on each Interest Payment Date and at maturity (whether by acceleration or otherwise).</w:t>
      </w:r>
    </w:p>
    <w:p>
      <w:pPr>
        <w:pStyle w:val="TextBody"/>
        <w:bidi w:val="0"/>
        <w:spacing w:before="0" w:after="240"/>
        <w:ind w:left="0" w:right="0" w:firstLine="720"/>
        <w:jc w:val="both"/>
        <w:rPr/>
      </w:pPr>
      <w:r>
        <w:rPr/>
        <w:t>“</w:t>
      </w:r>
      <w:r>
        <w:rPr>
          <w:rFonts w:ascii="Times" w:hAnsi="Times"/>
          <w:i/>
          <w:sz w:val="24"/>
        </w:rPr>
        <w:t>Base Rate”</w:t>
      </w:r>
      <w:r>
        <w:rPr>
          <w:rFonts w:ascii="Times" w:hAnsi="Times"/>
          <w:sz w:val="24"/>
        </w:rPr>
        <w:t xml:space="preserve"> means, for any day, the rate per annum equal to the greatest of:  (a) the rate of 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w:t>
      </w:r>
      <w:r>
        <w:rPr>
          <w:rFonts w:ascii="Times" w:hAnsi="Times"/>
          <w:i/>
          <w:sz w:val="24"/>
        </w:rPr>
        <w:t>plus</w:t>
      </w:r>
      <w:r>
        <w:rPr>
          <w:rFonts w:ascii="Times" w:hAnsi="Times"/>
          <w:sz w:val="24"/>
        </w:rPr>
        <w:t xml:space="preserve"> (ii) 1/2 of 1%, and (c) Term SOFR for an interest Period of one month for such day </w:t>
      </w:r>
      <w:r>
        <w:rPr>
          <w:rFonts w:ascii="Times" w:hAnsi="Times"/>
          <w:i/>
          <w:sz w:val="24"/>
        </w:rPr>
        <w:t>plus</w:t>
      </w:r>
      <w:r>
        <w:rPr>
          <w:rFonts w:ascii="Times" w:hAnsi="Times"/>
          <w:sz w:val="24"/>
        </w:rPr>
        <w:t xml:space="preserve"> 1.00%.  If the Base Rate is being used as an alternate rate of interest pursuant to Section 10.6 hereof, then the Base Rate shall be the greater of clauses (a) and (b) above and shall be determined without reference to clause (c) above.</w:t>
      </w:r>
    </w:p>
    <w:p>
      <w:pPr>
        <w:pStyle w:val="TextBody"/>
        <w:bidi w:val="0"/>
        <w:spacing w:before="0" w:after="240"/>
        <w:ind w:left="0" w:right="0" w:firstLine="720"/>
        <w:jc w:val="both"/>
        <w:rPr/>
      </w:pPr>
      <w:r>
        <w:rPr/>
        <w:t>“</w:t>
      </w:r>
      <w:r>
        <w:rPr>
          <w:rFonts w:ascii="Times" w:hAnsi="Times"/>
          <w:i/>
          <w:sz w:val="24"/>
        </w:rPr>
        <w:t>Federal Funds Rate”</w:t>
      </w:r>
      <w:r>
        <w:rPr>
          <w:rFonts w:ascii="Times" w:hAnsi="Times"/>
          <w:sz w:val="24"/>
        </w:rPr>
        <w:t xml:space="preserve"> means, for any day, the rate per annum (rounded upwards, if necessary, to the next 1/100</w:t>
      </w:r>
      <w:r>
        <w:rPr>
          <w:rFonts w:ascii="Times" w:hAnsi="Times"/>
          <w:sz w:val="18"/>
        </w:rPr>
        <w:t>th</w:t>
      </w:r>
      <w:r>
        <w:rPr>
          <w:rFonts w:ascii="Times" w:hAnsi="Times"/>
          <w:sz w:val="24"/>
        </w:rPr>
        <w:t xml:space="preserve">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upwards, if necessary, to the next 1/100</w:t>
      </w:r>
      <w:r>
        <w:rPr>
          <w:rFonts w:ascii="Times" w:hAnsi="Times"/>
          <w:sz w:val="18"/>
        </w:rPr>
        <w:t>th</w:t>
      </w:r>
      <w:r>
        <w:rPr>
          <w:rFonts w:ascii="Times" w:hAnsi="Times"/>
          <w:sz w:val="24"/>
        </w:rPr>
        <w:t xml:space="preserve"> of 1%  of the quotations for such day on such transactions received by the Administrative Agent from three federal funds brokers of recognized standing selected by Administrative Agent. For purposes of this Agreement the Federal Funds Rate shall not be less than zero percent (0.00%).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Term SOFR Loans</w:t>
      </w:r>
      <w:r>
        <w:rPr>
          <w:rFonts w:ascii="Times New Roman;Times;serif" w:hAnsi="Times New Roman;Times;serif"/>
          <w:i/>
          <w:sz w:val="24"/>
        </w:rPr>
        <w:t>.</w:t>
      </w:r>
      <w:r>
        <w:rPr>
          <w:rFonts w:ascii="Times New Roman;Times;serif" w:hAnsi="Times New Roman;Times;serif"/>
          <w:sz w:val="24"/>
        </w:rPr>
        <w:t xml:space="preserve">  Each Term SOFR Loan of each Class made or maintained 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or Daily Simple SOFR Loan, until maturity (whether by acceleration or otherwise) at a rate per annum equal to the sum of the Applicable Margin for the applicable Class plus the Term SOFR applicable for such Interest Period, payable by the Borrower on each Interest Payment Date and at maturity (whether by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Daily Simple SOFR Loans</w:t>
      </w:r>
      <w:r>
        <w:rPr>
          <w:rFonts w:ascii="Times New Roman;Times;serif" w:hAnsi="Times New Roman;Times;serif"/>
          <w:i/>
          <w:sz w:val="24"/>
        </w:rPr>
        <w:t>.</w:t>
      </w:r>
      <w:r>
        <w:rPr>
          <w:rFonts w:ascii="Times New Roman;Times;serif" w:hAnsi="Times New Roman;Times;serif"/>
          <w:sz w:val="24"/>
        </w:rPr>
        <w:t xml:space="preserve">  Each Daily Simple SOFR Loan of each Class made or maintained by a Lender shall bear interest (computed on the basis of a year of 365 or 366 days, as the case may be, and the actual days elapsed) on the unpaid principal amount thereof from the date such Loan is advanced, or created by conversion from a Term SOFR Loan or Base Rate Loan, until maturity (whether by acceleration or otherwise) at a rate per annum equal to the sum of the Applicable Margin for the applicable Class plus the Daily Simple SOFR from time to time in effect, payable by the Borrower on each Interest Payment Date and at maturity (whether by acceleration or otherwise).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Rate Determinations</w:t>
      </w:r>
      <w:r>
        <w:rPr>
          <w:rFonts w:ascii="Times New Roman;Times;serif" w:hAnsi="Times New Roman;Times;serif"/>
          <w:i/>
          <w:sz w:val="24"/>
        </w:rPr>
        <w:t xml:space="preserve">. </w:t>
      </w:r>
      <w:r>
        <w:rPr>
          <w:rFonts w:ascii="Times New Roman;Times;serif" w:hAnsi="Times New Roman;Times;serif"/>
          <w:sz w:val="24"/>
        </w:rPr>
        <w:t>The Administrative Agent shall determine each interest rate applicable to the Loans of any Class and the Reimbursement Obligations hereunder, and its determination thereof shall be conclusive and binding except in the case of manifest error.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1.5.</w:t>
      </w:r>
      <w:bookmarkStart w:id="1658" w:name="_Toc221027817"/>
      <w:bookmarkStart w:id="1659" w:name="_Ref70340760"/>
      <w:bookmarkStart w:id="1660" w:name="_Ref70340601"/>
      <w:bookmarkEnd w:id="1658"/>
      <w:bookmarkEnd w:id="1659"/>
      <w:bookmarkEnd w:id="1660"/>
      <w:r>
        <w:rPr>
          <w:rFonts w:ascii="Times New Roman;Times;serif" w:hAnsi="Times New Roman;Times;serif"/>
          <w:i w:val="false"/>
          <w:caps w:val="false"/>
          <w:smallCaps w:val="false"/>
          <w:sz w:val="24"/>
          <w:u w:val="single"/>
        </w:rPr>
        <w:t>Minimum Borrowing Amounts; Maximum Term SOFR Loans</w:t>
      </w:r>
      <w:r>
        <w:rPr>
          <w:rFonts w:ascii="Times New Roman;Times;serif" w:hAnsi="Times New Roman;Times;serif"/>
          <w:i/>
          <w:sz w:val="24"/>
        </w:rPr>
        <w:t>.  </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Each Borrowing of Base Rate Loans shall be in an amount not less than $100,000.  Each Borrowing of Term SOFR Loans advanced, continued or converted to a Term SOFR Loan shall be in an amount equal to $100,000 or such greater amount which is an integral multiple of $100,000.  Without the Administrative Agent’s consent, there shall not be more than eight (8) Borrowings of Term SOFR Loans outstanding hereunder.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1.6.</w:t>
      </w:r>
      <w:bookmarkStart w:id="1661" w:name="_Toc221027818"/>
      <w:bookmarkEnd w:id="1661"/>
      <w:r>
        <w:rPr>
          <w:rFonts w:ascii="Times New Roman;Times;serif" w:hAnsi="Times New Roman;Times;serif"/>
          <w:i w:val="false"/>
          <w:caps w:val="false"/>
          <w:smallCaps w:val="false"/>
          <w:sz w:val="24"/>
          <w:u w:val="single"/>
        </w:rPr>
        <w:t>Manner of Borrowing Loans and Designating Applicable Interest Rates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662" w:name="_Ref70340620"/>
      <w:bookmarkEnd w:id="1662"/>
      <w:r>
        <w:rPr>
          <w:rFonts w:ascii="Times New Roman;Times;serif" w:hAnsi="Times New Roman;Times;serif"/>
          <w:sz w:val="24"/>
          <w:u w:val="single"/>
        </w:rPr>
        <w:t>Notice to the Administrative Agent</w:t>
      </w:r>
      <w:r>
        <w:rPr>
          <w:rFonts w:ascii="Times New Roman;Times;serif" w:hAnsi="Times New Roman;Times;serif"/>
          <w:i/>
          <w:sz w:val="24"/>
        </w:rPr>
        <w:t>.</w:t>
      </w:r>
      <w:r>
        <w:rPr>
          <w:rFonts w:ascii="Times New Roman;Times;serif" w:hAnsi="Times New Roman;Times;serif"/>
          <w:sz w:val="24"/>
        </w:rPr>
        <w:t xml:space="preserve">  The Borrower shall give notice to the Administrative Agent by no later than 10:00 a.m. (New York time):  (i) at least three (3) Business Days before the date on which the Borrower requests the Lenders to advance a Borrowing of Term SOFR Loans of any Class and (ii) on the date the Borrower requests the Lenders to advance a Borrowing of Base Rate Loans or Daily Simple SOFR Loans of any Class.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Loans, on the last day of the Interest Period applicable thereto, the Borrower may continue part or all of such Borrowing as Term SOFR Loans or convert part or all of such Borrowing into Base Rate Loans or Daily Simple SOFR Loans, or (ii) if such Borrowing is of Base Rate Loans or Daily Simple SOFR Loans, on any Business Day, the Borrower may convert all or part of such Borrowing into Term SOFR Loans for an Interest Period or Interest Periods specified by the Borrower.  The Borrower shall give all such notices requesting an advance, continuation or conversion of a Borrowing of any Class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Term SOFR Loans for an additional Interest Period or of the conversion of part or all of a Borrowing of Base Rate Loans or Daily Simple SOFR Loans into Term SOFR Loans must be given by no later than 10:00 a.m. (New York time) at least three (3) Business Days before the date of the requested continuation or conversion.  All such notices concerning an advance, continuation or conversion of a Borrowing shall specify, as applicable, the date of the continuation or conversion of a Borrowing (which shall be a Business Day), the amount of requested Borrowing to be advanced, continued or converted, the type of Loans to comprise such continued or converted Borrowing and, if such Borrowing is to be comprised of Term SOFR Loans, the Interest Period applicable thereto.  No Borrowing of Term SOFR Loans or Daily Simple SOFR Loans of any Class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any such notice by telephone conflicts with any written confirmation such telephonic notice shall govern if the Administrative Agent has acted in reliance thereon.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Notice to the Lenders</w:t>
      </w:r>
      <w:r>
        <w:rPr>
          <w:rFonts w:ascii="Times New Roman;Times;serif" w:hAnsi="Times New Roman;Times;serif"/>
          <w:sz w:val="24"/>
        </w:rPr>
        <w:t>.  The Administrative Agent shall give prompt telephonic, telecopy or other telecommunication notice to each Lender of any notice from the Borrower received pursuant to Section 1.6(a) above and, if such notice requests the Lenders to make Term SOFR Loans, the Administrative Agent shall give notice to the Borrower and each Lender by like means of the interest rate applicable thereto promptly after the Administrative Agent has made such determination.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Borrower’s Failure to Notify</w:t>
      </w:r>
      <w:r>
        <w:rPr>
          <w:rFonts w:ascii="Times New Roman;Times;serif" w:hAnsi="Times New Roman;Times;serif"/>
          <w:sz w:val="24"/>
        </w:rPr>
        <w:t xml:space="preserve">.  If the Borrower fails to give notice pursuant to Section 1.6(a) above of the continuation or conversion of any outstanding principal amount of a Borrowing of Term SOFR Loans of any Class before the last day of its then current Interest Period within the period required by Section 1.6(a) and such Borrowing is not prepaid in accordance with Section 1.8, the Borrower shall be deemed to have given the notice three (3) Business Days prior to the end of the then current Interest Period and such Borrowing shall automatically be continued as a Borrowing of a Term SOFR Loan of the same Class with a one (1) month Interest Period; </w:t>
      </w:r>
      <w:r>
        <w:rPr>
          <w:rFonts w:ascii="Times New Roman;Times;serif" w:hAnsi="Times New Roman;Times;serif"/>
          <w:i/>
          <w:sz w:val="24"/>
        </w:rPr>
        <w:t xml:space="preserve">provided </w:t>
      </w:r>
      <w:r>
        <w:rPr>
          <w:rFonts w:ascii="Times New Roman;Times;serif" w:hAnsi="Times New Roman;Times;serif"/>
          <w:sz w:val="24"/>
        </w:rPr>
        <w:t>that all Lenders are able to accommodate such one (1) month Interest Period and such Term SOFR Loan shall be subject to the funding indemnity set forth in Section 1.11 hereof in the event it is prepaid prior to the end of the Interest Period.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Disbursement of Loans</w:t>
      </w:r>
      <w:r>
        <w:rPr>
          <w:rFonts w:ascii="Times New Roman;Times;serif" w:hAnsi="Times New Roman;Times;serif"/>
          <w:sz w:val="24"/>
        </w:rPr>
        <w:t>.  Not later than 1:00 p.m. (New York time) on the date of any requested advance of a new Borrowing of any Class, subject to Section 7 hereof, each applicable Lender shall make available its Loan of such Class comprising its Applicable Percentage of such Borrowing in funds immediately available at the principal office of the Administrative Agent in New York, New York (or at such other location as the Administrative Agent shall designate).  The Administrative Agent shall make the proceeds of each new Borrowing available to the Borrower no later than 2:00 p.m. (New York time) on the date of such Borrowing as instructed by the Borrower.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Administrative Agent Reliance on Lender Funding</w:t>
      </w:r>
      <w:r>
        <w:rPr>
          <w:rFonts w:ascii="Times New Roman;Times;serif" w:hAnsi="Times New Roman;Times;serif"/>
          <w:i/>
          <w:sz w:val="24"/>
        </w:rPr>
        <w:t>.</w:t>
      </w:r>
      <w:r>
        <w:rPr>
          <w:rFonts w:ascii="Times New Roman;Times;serif" w:hAnsi="Times New Roman;Times;serif"/>
          <w:sz w:val="24"/>
        </w:rPr>
        <w:t xml:space="preserve">  Unless the Administrative Agent shall have been notified by a Lender prior to (or, in the case of a Borrowing of Base Rate Loans or Daily Simple SOFR Loans, by 1:00 p.m. (New York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or Daily Simple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SOFR, as applicable, in effect for each such day, and (2) the Administrative Agent shall notify the Borrower of such Lender’s failure to pay.  If such amount is not received from such Lender by the Administrative Agent immediately upon demand, the Borrower will, on demand, promptly, and in no event later than 11:00 a.m. (New York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or Daily Simple SOFR Loan under this Agreement, but without such payment being considered a payment or prepayment of a Loan under Section 1.11 hereof so that the Borrower will have no liability under such Section with respect to such payment.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1.7.</w:t>
      </w:r>
      <w:bookmarkStart w:id="1663" w:name="_Toc221027819"/>
      <w:bookmarkEnd w:id="1663"/>
      <w:r>
        <w:rPr>
          <w:rFonts w:ascii="Times New Roman;Times;serif" w:hAnsi="Times New Roman;Times;serif"/>
          <w:i w:val="false"/>
          <w:caps w:val="false"/>
          <w:smallCaps w:val="false"/>
          <w:sz w:val="24"/>
          <w:u w:val="single"/>
        </w:rPr>
        <w:t>Maturity of Loans</w:t>
      </w:r>
      <w:r>
        <w:rPr>
          <w:rFonts w:ascii="Times New Roman;Times;serif" w:hAnsi="Times New Roman;Times;serif"/>
          <w:i w:val="false"/>
          <w:caps w:val="false"/>
          <w:smallCaps w:val="false"/>
          <w:sz w:val="24"/>
        </w:rPr>
        <w:t>.</w:t>
      </w:r>
      <w:r>
        <w:rPr>
          <w:rFonts w:ascii="Times New Roman;Times;serif" w:hAnsi="Times New Roman;Times;serif"/>
          <w:i/>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Revolving Loans</w:t>
      </w:r>
      <w:r>
        <w:rPr>
          <w:rFonts w:ascii="Times New Roman;Times;serif" w:hAnsi="Times New Roman;Times;serif"/>
          <w:sz w:val="24"/>
        </w:rPr>
        <w:t>.  Each Revolving Loan, both for principal and interest not sooner paid or accelerated after the occurrence of an Event of Default, shall mature and be due and payable by the Borrower on the Revolving Credit Termination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2029 Term Loans</w:t>
      </w:r>
      <w:r>
        <w:rPr>
          <w:rFonts w:ascii="Times New Roman;Times;serif" w:hAnsi="Times New Roman;Times;serif"/>
          <w:sz w:val="24"/>
        </w:rPr>
        <w:t>. Borrower shall repay to the 2029 Term Lenders on the Term Loan Maturity Date for the 2029 Term Facility the aggregate principal amount of all 2029 Term Loans outstanding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2031 Term Loans</w:t>
      </w:r>
      <w:r>
        <w:rPr>
          <w:rFonts w:ascii="Times New Roman;Times;serif" w:hAnsi="Times New Roman;Times;serif"/>
          <w:sz w:val="24"/>
        </w:rPr>
        <w:t>. Borrower shall repay to the 2031 Term Lenders on the Term Loan Maturity Date for the 2031 Term Facility the aggregate principal amount of all 2031 Term Loans outstanding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Incremental Loans</w:t>
      </w:r>
      <w:r>
        <w:rPr>
          <w:rFonts w:ascii="Times New Roman;Times;serif" w:hAnsi="Times New Roman;Times;serif"/>
          <w:sz w:val="24"/>
        </w:rPr>
        <w:t>.  Borrower shall repay to the applicable Incremental Term Lenders on the applicable Term Loan Maturity Date for the Incremental Term Loan Facility, the aggregate principal amount of all Incremental Term Loans of the applicable tranche outstanding under such Incremental Term Loan Facility on such date.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1.8.</w:t>
      </w:r>
      <w:bookmarkStart w:id="1664" w:name="_Toc221027820"/>
      <w:bookmarkStart w:id="1665" w:name="_Ref70340671"/>
      <w:bookmarkEnd w:id="1664"/>
      <w:bookmarkEnd w:id="1665"/>
      <w:r>
        <w:rPr>
          <w:rFonts w:ascii="Times New Roman;Times;serif" w:hAnsi="Times New Roman;Times;serif"/>
          <w:i w:val="false"/>
          <w:caps w:val="false"/>
          <w:smallCaps w:val="false"/>
          <w:sz w:val="24"/>
          <w:u w:val="single"/>
        </w:rPr>
        <w:t>Prepayments</w:t>
      </w:r>
      <w:r>
        <w:rPr>
          <w:rFonts w:ascii="Times New Roman;Times;serif" w:hAnsi="Times New Roman;Times;serif"/>
          <w:i w:val="false"/>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Optional</w:t>
      </w:r>
      <w:r>
        <w:rPr>
          <w:rFonts w:ascii="Times New Roman;Times;serif" w:hAnsi="Times New Roman;Times;serif"/>
          <w:sz w:val="24"/>
        </w:rPr>
        <w:t>.  The Borrower may prepay in whole or in part (but, if in part, then:  (i) if such Borrowing is of Base Rate Loans, in an amount not less than $100,000, (ii) if such Borrowing is of Term SOFR Loans or Daily Simple SOFR Loans, in an amount not less than $100,000, and (iii) in each case, in an amount such that the minimum amount required for a Borrowing pursuant to Section 1.5 hereof remains outstanding) any Borrowing of Term SOFR Loans at any time upon three (3) Business Days prior notice by the Borrower to the Administrative Agent or, in the case of a Borrowing of Base Rate Loans or Daily Simple SOFR Loans, notice delivered by the Borrower to the Administrative Agent no later than 10:00 a.m. (New York time) on the date of prepayment (or, in any case, such shorter period of time then agreed to by the Administrative Agent), such prepayment to be made by the payment of the principal amount to be prepaid and, in the case of any Term SOFR Loans, accrued interest thereon to the date fixed for prepayment plus any amounts due the Lenders under Section 1.11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1666" w:name="_Ref70340899"/>
      <w:bookmarkEnd w:id="1666"/>
      <w:r>
        <w:rPr>
          <w:rFonts w:ascii="Times New Roman;Times;serif" w:hAnsi="Times New Roman;Times;serif"/>
          <w:sz w:val="24"/>
          <w:u w:val="single"/>
        </w:rPr>
        <w:t>Mandatory</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(i)[Intentionally Omitted].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(ii)If at any time the sum of the unpaid principal balance of the Revolving Loans and the L/C Obligations then outstanding shall be in excess of the Revolving Credit Commitment, the Borrower shall promptly, and in no event later than 11:00 a.m. (New York time) on such Business Day, and without notice or demand pay the amount of the excess to the Administrative Agent for the account of the Lenders as a mandatory prepayment on such Obligations, with each such prepayment first to be applied to the Revolving Loans until paid in full, with any remaining balance to be held by the Administrative Agent in the Collateral Account as security for the Obligations owing with respect to the Letters of Credit.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(iii)Unless the Borrower otherwise directs, prepayments of Loans under this Section 1.8(b) shall be applied first to Borrowings of Base Rate Loans until payment in full thereof, second to Daily Simple SOFR Loans until payment in full thereof, with any balance applied to Borrowings of Term SOFR Loans in the order in which their Interest Periods expire.  Each prepayment of Loans under this Section 1.8(b) shall be made by the payment of the principal amount to be prepaid and, in the case of any Term SOFR Loans, accrued interest thereon to the date of prepayment together with any amounts due the Lenders under Section 1.11 hereof.  Each prefunding of L/C Obligations shall be made in accordance with Section 9.4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Reborrowing</w:t>
      </w:r>
      <w:r>
        <w:rPr>
          <w:rFonts w:ascii="Times New Roman;Times;serif" w:hAnsi="Times New Roman;Times;serif"/>
          <w:i/>
          <w:sz w:val="24"/>
        </w:rPr>
        <w:t>.</w:t>
      </w:r>
      <w:r>
        <w:rPr>
          <w:rFonts w:ascii="Times New Roman;Times;serif" w:hAnsi="Times New Roman;Times;serif"/>
          <w:sz w:val="24"/>
        </w:rPr>
        <w:t xml:space="preserve"> Any amount of Revolving Loans paid or prepaid before the Revolving Credit Termination Date may, subject to the terms and conditions of this Agreement, be borrowed, repaid and borrowed again. Any amount of the Term Loans or Incremental Term Loans paid or prepaid may not be reborrowed.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1.9.</w:t>
      </w:r>
      <w:bookmarkStart w:id="1667" w:name="_Toc221027821"/>
      <w:bookmarkStart w:id="1668" w:name="_Ref70340964"/>
      <w:bookmarkStart w:id="1669" w:name="_Ref70340963"/>
      <w:bookmarkEnd w:id="1667"/>
      <w:bookmarkEnd w:id="1668"/>
      <w:bookmarkEnd w:id="1669"/>
      <w:r>
        <w:rPr>
          <w:rFonts w:ascii="Times New Roman;Times;serif" w:hAnsi="Times New Roman;Times;serif"/>
          <w:i w:val="false"/>
          <w:caps w:val="false"/>
          <w:smallCaps w:val="false"/>
          <w:sz w:val="24"/>
          <w:u w:val="single"/>
        </w:rPr>
        <w:t>Default Rate</w:t>
      </w:r>
      <w:r>
        <w:rPr>
          <w:rFonts w:ascii="Times New Roman;Times;serif" w:hAnsi="Times New Roman;Times;serif"/>
          <w:i w:val="false"/>
          <w:caps w:val="false"/>
          <w:smallCaps w:val="false"/>
          <w:sz w:val="24"/>
        </w:rPr>
        <w:t>.  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of each Class and Reimbursement Obligations, and letter of credit fees at a rate per annum equal 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(a)for any Base Rate Loan, the sum of 3.0% </w:t>
      </w:r>
      <w:r>
        <w:rPr>
          <w:rFonts w:ascii="Times New Roman;Times;serif" w:hAnsi="Times New Roman;Times;serif"/>
          <w:i/>
          <w:sz w:val="24"/>
        </w:rPr>
        <w:t>plus</w:t>
      </w:r>
      <w:r>
        <w:rPr>
          <w:rFonts w:ascii="Times New Roman;Times;serif" w:hAnsi="Times New Roman;Times;serif"/>
          <w:sz w:val="24"/>
        </w:rPr>
        <w:t xml:space="preserve"> the Applicable Margin for the applicable Class </w:t>
      </w:r>
      <w:r>
        <w:rPr>
          <w:rFonts w:ascii="Times New Roman;Times;serif" w:hAnsi="Times New Roman;Times;serif"/>
          <w:i/>
          <w:sz w:val="24"/>
        </w:rPr>
        <w:t>plus</w:t>
      </w:r>
      <w:r>
        <w:rPr>
          <w:rFonts w:ascii="Times New Roman;Times;serif" w:hAnsi="Times New Roman;Times;serif"/>
          <w:sz w:val="24"/>
        </w:rPr>
        <w:t xml:space="preserve"> the Base Rate from time to time in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(b)for any Daily Simple SOFR Loan, the sum of 3.0% plus the Applicable Margin for the applicable Class plus the Daily Simple SOFR from time to time in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(c)for any Term SOFR Loan, the sum of 3.0% </w:t>
      </w:r>
      <w:r>
        <w:rPr>
          <w:rFonts w:ascii="Times New Roman;Times;serif" w:hAnsi="Times New Roman;Times;serif"/>
          <w:i/>
          <w:sz w:val="24"/>
        </w:rPr>
        <w:t>plus</w:t>
      </w:r>
      <w:r>
        <w:rPr>
          <w:rFonts w:ascii="Times New Roman;Times;serif" w:hAnsi="Times New Roman;Times;serif"/>
          <w:sz w:val="24"/>
        </w:rPr>
        <w:t xml:space="preserve"> the rate of interest in effect thereon at the time of such default until the end of the Interest Period applicable thereto </w:t>
      </w:r>
      <w:r>
        <w:rPr>
          <w:rFonts w:ascii="Times New Roman;Times;serif" w:hAnsi="Times New Roman;Times;serif"/>
          <w:i/>
          <w:sz w:val="24"/>
        </w:rPr>
        <w:t>plus</w:t>
      </w:r>
      <w:r>
        <w:rPr>
          <w:rFonts w:ascii="Times New Roman;Times;serif" w:hAnsi="Times New Roman;Times;serif"/>
          <w:sz w:val="24"/>
        </w:rPr>
        <w:t xml:space="preserve"> the Applicable Margin for the applicable Class and, thereafter, at a rate per annum equal to the sum of 3.0% </w:t>
      </w:r>
      <w:r>
        <w:rPr>
          <w:rFonts w:ascii="Times New Roman;Times;serif" w:hAnsi="Times New Roman;Times;serif"/>
          <w:i/>
          <w:sz w:val="24"/>
        </w:rPr>
        <w:t>plus</w:t>
      </w:r>
      <w:r>
        <w:rPr>
          <w:rFonts w:ascii="Times New Roman;Times;serif" w:hAnsi="Times New Roman;Times;serif"/>
          <w:sz w:val="24"/>
        </w:rPr>
        <w:t xml:space="preserve"> the Applicable Margin for Base Rate Loans of the applicable Class </w:t>
      </w:r>
      <w:r>
        <w:rPr>
          <w:rFonts w:ascii="Times New Roman;Times;serif" w:hAnsi="Times New Roman;Times;serif"/>
          <w:i/>
          <w:sz w:val="24"/>
        </w:rPr>
        <w:t>plus</w:t>
      </w:r>
      <w:r>
        <w:rPr>
          <w:rFonts w:ascii="Times New Roman;Times;serif" w:hAnsi="Times New Roman;Times;serif"/>
          <w:sz w:val="24"/>
        </w:rPr>
        <w:t xml:space="preserve"> the Base Rate from time to time in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(d)for any Reimbursement Obligation, the sum of 3.0% </w:t>
      </w:r>
      <w:r>
        <w:rPr>
          <w:rFonts w:ascii="Times New Roman;Times;serif" w:hAnsi="Times New Roman;Times;serif"/>
          <w:i/>
          <w:sz w:val="24"/>
        </w:rPr>
        <w:t>plus</w:t>
      </w:r>
      <w:r>
        <w:rPr>
          <w:rFonts w:ascii="Times New Roman;Times;serif" w:hAnsi="Times New Roman;Times;serif"/>
          <w:sz w:val="24"/>
        </w:rPr>
        <w:t xml:space="preserve"> the amounts due under Section 1.3 with respect to such Reimbursement Obligation;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(e)for any Letter of Credit, the sum of 3.0% </w:t>
      </w:r>
      <w:r>
        <w:rPr>
          <w:rFonts w:ascii="Times New Roman;Times;serif" w:hAnsi="Times New Roman;Times;serif"/>
          <w:i/>
          <w:sz w:val="24"/>
        </w:rPr>
        <w:t>plus</w:t>
      </w:r>
      <w:r>
        <w:rPr>
          <w:rFonts w:ascii="Times New Roman;Times;serif" w:hAnsi="Times New Roman;Times;serif"/>
          <w:sz w:val="24"/>
        </w:rPr>
        <w:t xml:space="preserve"> the letter of credit fee due under Section 2.1 with respect to such Letter of Credit;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i/>
          <w:sz w:val="24"/>
        </w:rPr>
        <w:t xml:space="preserve">provided, however, </w:t>
      </w:r>
      <w:r>
        <w:rPr>
          <w:rFonts w:ascii="Times" w:hAnsi="Times"/>
          <w:sz w:val="24"/>
        </w:rPr>
        <w:t xml:space="preserve">that in the absence of acceleration, any adjustments pursuant to this Section 1.9 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1.10.</w:t>
      </w:r>
      <w:bookmarkStart w:id="1670" w:name="_Toc221027822"/>
      <w:bookmarkEnd w:id="1670"/>
      <w:r>
        <w:rPr>
          <w:rFonts w:ascii="Times New Roman;Times;serif" w:hAnsi="Times New Roman;Times;serif"/>
          <w:i w:val="false"/>
          <w:caps w:val="false"/>
          <w:smallCaps w:val="false"/>
          <w:sz w:val="24"/>
          <w:u w:val="single"/>
        </w:rPr>
        <w:t>Evidence of Indebtedness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Administrative Agent shall also maintain accounts in which it will record (i) the amount of each Loan made hereunder, the Class and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(c)The entries maintained in the accounts maintained pursuant to paragraphs (a) and (b) above shall be </w:t>
      </w:r>
      <w:r>
        <w:rPr>
          <w:rFonts w:ascii="Times New Roman;Times;serif" w:hAnsi="Times New Roman;Times;serif"/>
          <w:i/>
          <w:sz w:val="24"/>
        </w:rPr>
        <w:t>prima facie</w:t>
      </w:r>
      <w:r>
        <w:rPr>
          <w:rFonts w:ascii="Times New Roman;Times;serif" w:hAnsi="Times New Roman;Times;serif"/>
          <w:sz w:val="24"/>
        </w:rPr>
        <w:t xml:space="preserve"> evidence of the existence and amounts of the Obligations therein recorded absent manifest error; </w:t>
      </w:r>
      <w:r>
        <w:rPr>
          <w:rFonts w:ascii="Times New Roman;Times;serif" w:hAnsi="Times New Roman;Times;serif"/>
          <w:i/>
          <w:sz w:val="24"/>
        </w:rPr>
        <w:t xml:space="preserve">provided, however, </w:t>
      </w:r>
      <w:r>
        <w:rPr>
          <w:rFonts w:ascii="Times New Roman;Times;serif" w:hAnsi="Times New Roman;Times;serif"/>
          <w:sz w:val="24"/>
        </w:rPr>
        <w:t>that the failure of the Administrative Agent or any Lender to maintain such accounts or any error therein shall not in any manner affect the obligation of the Borrower to repay the Obligations in accordance with their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(d)Any Lender may request that its Loans of any Class be evidenced by a promissory note or notes in the forms of Exhibit D-1 (in the case of its Revolving Loans, a “Revolving Note” and collectively, the “</w:t>
      </w:r>
      <w:r>
        <w:rPr>
          <w:rFonts w:ascii="Times New Roman;Times;serif" w:hAnsi="Times New Roman;Times;serif"/>
          <w:i/>
          <w:sz w:val="24"/>
        </w:rPr>
        <w:t>Revolving Notes</w:t>
      </w:r>
      <w:r>
        <w:rPr>
          <w:rFonts w:ascii="Times New Roman;Times;serif" w:hAnsi="Times New Roman;Times;serif"/>
          <w:sz w:val="24"/>
        </w:rPr>
        <w:t>”),  [reserved], Exhibit D-3 (in the case of its Term Loan and referred to herein as a “</w:t>
      </w:r>
      <w:r>
        <w:rPr>
          <w:rFonts w:ascii="Times New Roman;Times;serif" w:hAnsi="Times New Roman;Times;serif"/>
          <w:i/>
          <w:sz w:val="24"/>
        </w:rPr>
        <w:t>Term Note</w:t>
      </w:r>
      <w:r>
        <w:rPr>
          <w:rFonts w:ascii="Times New Roman;Times;serif" w:hAnsi="Times New Roman;Times;serif"/>
          <w:sz w:val="24"/>
        </w:rPr>
        <w:t>” and collectively the “</w:t>
      </w:r>
      <w:r>
        <w:rPr>
          <w:rFonts w:ascii="Times New Roman;Times;serif" w:hAnsi="Times New Roman;Times;serif"/>
          <w:i/>
          <w:sz w:val="24"/>
        </w:rPr>
        <w:t>Term Notes</w:t>
      </w:r>
      <w:r>
        <w:rPr>
          <w:rFonts w:ascii="Times New Roman;Times;serif" w:hAnsi="Times New Roman;Times;serif"/>
          <w:sz w:val="24"/>
        </w:rPr>
        <w:t>”) or Exhibit D-4 (in the case of its Incremental Term Loans and referred to herein as a “</w:t>
      </w:r>
      <w:r>
        <w:rPr>
          <w:rFonts w:ascii="Times New Roman;Times;serif" w:hAnsi="Times New Roman;Times;serif"/>
          <w:i/>
          <w:sz w:val="24"/>
        </w:rPr>
        <w:t>Incremental Term Note</w:t>
      </w:r>
      <w:r>
        <w:rPr>
          <w:rFonts w:ascii="Times New Roman;Times;serif" w:hAnsi="Times New Roman;Times;serif"/>
          <w:sz w:val="24"/>
        </w:rPr>
        <w:t>” and collectively the “</w:t>
      </w:r>
      <w:r>
        <w:rPr>
          <w:rFonts w:ascii="Times New Roman;Times;serif" w:hAnsi="Times New Roman;Times;serif"/>
          <w:i/>
          <w:sz w:val="24"/>
        </w:rPr>
        <w:t>Incremental Term Notes</w:t>
      </w:r>
      <w:r>
        <w:rPr>
          <w:rFonts w:ascii="Times New Roman;Times;serif" w:hAnsi="Times New Roman;Times;serif"/>
          <w:sz w:val="24"/>
        </w:rPr>
        <w:t>”) as applicable (Revolving Notes, Term Notes and Incremental Term Notes being herein referred to collectively as the “</w:t>
      </w:r>
      <w:r>
        <w:rPr>
          <w:rFonts w:ascii="Times New Roman;Times;serif" w:hAnsi="Times New Roman;Times;serif"/>
          <w:i/>
          <w:sz w:val="24"/>
        </w:rPr>
        <w:t>Notes</w:t>
      </w:r>
      <w:r>
        <w:rPr>
          <w:rFonts w:ascii="Times New Roman;Times;serif" w:hAnsi="Times New Roman;Times;serif"/>
          <w:sz w:val="24"/>
        </w:rPr>
        <w:t>” and individually as a “</w:t>
      </w:r>
      <w:r>
        <w:rPr>
          <w:rFonts w:ascii="Times New Roman;Times;serif" w:hAnsi="Times New Roman;Times;serif"/>
          <w:i/>
          <w:sz w:val="24"/>
        </w:rPr>
        <w:t>Note</w:t>
      </w:r>
      <w:r>
        <w:rPr>
          <w:rFonts w:ascii="Times New Roman;Times;serif" w:hAnsi="Times New Roman;Times;serif"/>
          <w:sz w:val="24"/>
        </w:rPr>
        <w:t>”).  In such event, the Borrower shall prepare, execute and deliver to such Lender a Note payable to such Lender or its registered assigns in the amount of the relevant Revolving Credit Commitment, Term Loan Commitment, or Term Loan, as then applicable, or Incremental Term Loan or Incremental Term Loan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or assignee subsequently returns any such Note for cancellation and requests that such Loans once again be evidenced as described above.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w:t>
      </w:r>
      <w:bookmarkStart w:id="1671" w:name="_Toc221027823"/>
      <w:bookmarkStart w:id="1672" w:name="_Ref70340943"/>
      <w:bookmarkStart w:id="1673" w:name="_Ref70340785"/>
      <w:bookmarkStart w:id="1674" w:name="_Ref70340725"/>
      <w:bookmarkStart w:id="1675" w:name="_Ref70340695"/>
      <w:bookmarkEnd w:id="1671"/>
      <w:bookmarkEnd w:id="1672"/>
      <w:bookmarkEnd w:id="1673"/>
      <w:bookmarkEnd w:id="1674"/>
      <w:bookmarkEnd w:id="1675"/>
      <w:r>
        <w:rPr>
          <w:rFonts w:ascii="Times New Roman;Times;serif" w:hAnsi="Times New Roman;Times;serif"/>
          <w:i w:val="false"/>
          <w:caps w:val="false"/>
          <w:smallCaps w:val="false"/>
          <w:sz w:val="24"/>
          <w:u w:val="single"/>
        </w:rPr>
        <w:t>Funding Indemnity</w:t>
      </w:r>
      <w:r>
        <w:rPr>
          <w:rFonts w:ascii="Times New Roman;Times;serif" w:hAnsi="Times New Roman;Times;serif"/>
          <w:i w:val="false"/>
          <w:caps w:val="false"/>
          <w:smallCaps w:val="false"/>
          <w:sz w:val="24"/>
        </w:rPr>
        <w:t xml:space="preserve">.  If any Lender shall incur any loss, cost or reasonable expense (including, without limitation, any loss, cost or reasonable expense incurred by reason of the liquidation or re-employment of deposits or other funds acquired by such Lender to fund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maintain any Term SOFR Loan</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or the relending or reinvesting of such deposits or amounts paid or prepaid to such Lender) as a result 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(a)any payment, prepayment or conversion of a Term SOFR Loan on a date other than the last day of its Interest Period,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(b)any failure (because of a failure to meet the conditions of Section 7 or otherwise) by the Borrower to borrow or continue a Term SOFR Loan, or to convert a Base Rate Loan into a Term SOFR Loan, on the date specified in a notice given pursuant to Section 1.6(a)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(c)any failure by the Borrower to make any payment of principal on any Term SOFR Loan when due (whether by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(d)any acceleration of the maturity of a Term SOFR Loan as a result of the occurrence of any Event of Default hereunder,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(e)the assignment of any Term SOFR Loan on a date other than the last day of the Interest Period applicable thereto as a result of a request by the Borrower pursuant to Section 1.13;</w:t>
      </w:r>
    </w:p>
    <w:p>
      <w:pPr>
        <w:pStyle w:val="TextBody"/>
        <w:bidi w:val="0"/>
        <w:spacing w:before="0" w:after="240"/>
        <w:ind w:left="0" w:right="0" w:hanging="0"/>
        <w:jc w:val="both"/>
        <w:rPr>
          <w:rFonts w:ascii="Times" w:hAnsi="Times"/>
          <w:sz w:val="24"/>
        </w:rPr>
      </w:pPr>
      <w:r>
        <w:rPr>
          <w:rFonts w:ascii="Times" w:hAnsi="Times"/>
          <w:sz w:val="24"/>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1.12.</w:t>
      </w:r>
      <w:bookmarkStart w:id="1676" w:name="_Toc221027824"/>
      <w:bookmarkEnd w:id="1676"/>
      <w:r>
        <w:rPr>
          <w:rFonts w:ascii="Times New Roman;Times;serif" w:hAnsi="Times New Roman;Times;serif"/>
          <w:i w:val="false"/>
          <w:caps w:val="false"/>
          <w:smallCaps w:val="false"/>
          <w:sz w:val="24"/>
          <w:u w:val="single"/>
        </w:rPr>
        <w:t>Commitment Terminations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Optional Revolving Credit Terminations</w:t>
      </w:r>
      <w:r>
        <w:rPr>
          <w:rFonts w:ascii="Times New Roman;Times;serif" w:hAnsi="Times New Roman;Times;serif"/>
          <w:sz w:val="24"/>
        </w:rPr>
        <w:t>.  The Borrower shall have the right at any time and from time to time, upon five (5) Business Days prior written notice to the Administrative Agent (or such shorter period of time agreed to by the Administrative Agent), to terminate the Revolving Credit Commitments without premium or penalty and in whole or in part, any partial termination to be (i) in an amount not less than $1,000,000 and (ii) allocated ratably among the Revolving Lenders in proportion to their respective Applicable Percentages, provided that the Revolving Credit Commitments may not be reduced to an amount less than the sum of the aggregate principal amount of Revolving Loans, and L/C Obligations then outstanding.  Any termination of the Revolving Credit Commitments below the L/C Sublimit then in effect shall reduce the L/C Sublimit by a like amount.  The Administrative Agent shall give prompt notice to each Revolving Lender of any such termination of the Revolving Credit Commitments.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(b)Any termination of the Revolving Credit Commitments pursuant to this Section 1.12 may not be reinstated.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1.13.</w:t>
      </w:r>
      <w:bookmarkStart w:id="1677" w:name="_Hlk220518273"/>
      <w:bookmarkStart w:id="1678" w:name="_Toc221027825"/>
      <w:bookmarkStart w:id="1679" w:name="_Ref99962250"/>
      <w:bookmarkEnd w:id="1677"/>
      <w:bookmarkEnd w:id="1678"/>
      <w:bookmarkEnd w:id="1679"/>
      <w:r>
        <w:rPr>
          <w:rFonts w:ascii="Times New Roman;Times;serif" w:hAnsi="Times New Roman;Times;serif"/>
          <w:i w:val="false"/>
          <w:caps w:val="false"/>
          <w:smallCaps w:val="false"/>
          <w:sz w:val="24"/>
          <w:u w:val="single"/>
        </w:rPr>
        <w:t>Substitution of Lenders</w:t>
      </w:r>
      <w:r>
        <w:rPr>
          <w:rFonts w:ascii="Times New Roman;Times;serif" w:hAnsi="Times New Roman;Times;serif"/>
          <w:i w:val="false"/>
          <w:caps w:val="false"/>
          <w:smallCaps w:val="false"/>
          <w:sz w:val="24"/>
        </w:rPr>
        <w:t>.</w:t>
      </w:r>
      <w:r>
        <w:rPr>
          <w:rFonts w:ascii="Times New Roman;Times;serif" w:hAnsi="Times New Roman;Times;serif"/>
          <w:i/>
          <w:sz w:val="24"/>
        </w:rPr>
        <w:t xml:space="preserve">  </w:t>
      </w:r>
      <w:r>
        <w:rPr>
          <w:rFonts w:ascii="Times New Roman;Times;serif" w:hAnsi="Times New Roman;Times;serif"/>
          <w:i w:val="false"/>
          <w:caps w:val="false"/>
          <w:smallCaps w:val="false"/>
          <w:sz w:val="24"/>
        </w:rPr>
        <w:t xml:space="preserve">In the event (a) the Borrower receives a claim from any Lender for compensation under Section 10.3 or 12.1 hereof, (b) the Borrower receives notice from any Lender of any illegality pursuant to Section 10.1 hereof, (c) any Lender is then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Times New Roman;Times;serif" w:hAnsi="Times New Roman;Times;serif"/>
          <w:sz w:val="24"/>
        </w:rPr>
        <w:t>“</w:t>
      </w:r>
      <w:r>
        <w:rPr>
          <w:rFonts w:ascii="Times New Roman;Times;serif" w:hAnsi="Times New Roman;Times;serif"/>
          <w:b w:val="false"/>
          <w:i/>
          <w:sz w:val="24"/>
        </w:rPr>
        <w:t>Affected Lender”</w:t>
      </w:r>
      <w:r>
        <w:rPr>
          <w:rFonts w:ascii="Times New Roman;Times;serif" w:hAnsi="Times New Roman;Times;serif"/>
          <w:b w:val="false"/>
          <w:i w:val="false"/>
          <w:caps w:val="false"/>
          <w:smallCaps w:val="false"/>
          <w:sz w:val="24"/>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Revolving Credit Commitments, Term Loan Commitments, if any, and Incremental Term Loan Commitments, if any, and the Loans and participation interests in Letters of Credit and other amounts at any time owing to it hereunder and the other Loan Documents) to an Eligible Assignee specified by the Borrower, </w:t>
      </w:r>
      <w:r>
        <w:rPr>
          <w:rFonts w:ascii="Times New Roman;Times;serif" w:hAnsi="Times New Roman;Times;serif"/>
          <w:b w:val="false"/>
          <w:i/>
          <w:sz w:val="24"/>
        </w:rPr>
        <w:t>provided</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1.14.</w:t>
      </w:r>
      <w:bookmarkStart w:id="1680" w:name="_Toc221027826"/>
      <w:bookmarkEnd w:id="1680"/>
      <w:r>
        <w:rPr>
          <w:rFonts w:ascii="Times New Roman;Times;serif" w:hAnsi="Times New Roman;Times;serif"/>
          <w:i w:val="false"/>
          <w:caps w:val="false"/>
          <w:smallCaps w:val="false"/>
          <w:sz w:val="24"/>
          <w:u w:val="single"/>
        </w:rPr>
        <w:t>Defaulting Lenders</w:t>
      </w:r>
      <w:r>
        <w:rPr>
          <w:rFonts w:ascii="Times New Roman;Times;serif" w:hAnsi="Times New Roman;Times;serif"/>
          <w:i/>
          <w:sz w:val="24"/>
        </w:rPr>
        <w:t>.  </w:t>
      </w:r>
      <w:r>
        <w:rPr>
          <w:rFonts w:ascii="Times New Roman;Times;serif" w:hAnsi="Times New Roman;Times;serif"/>
          <w:i w:val="false"/>
          <w:caps w:val="false"/>
          <w:smallCaps w:val="false"/>
          <w:sz w:val="24"/>
        </w:rPr>
        <w:t>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2"/>
          <w:u w:val="single"/>
        </w:rPr>
        <w:t>Waivers and Amendments</w:t>
      </w:r>
      <w:r>
        <w:rPr>
          <w:rFonts w:ascii="Times New Roman;Times;serif" w:hAnsi="Times New Roman;Times;serif"/>
          <w:sz w:val="22"/>
        </w:rPr>
        <w:t>.  </w:t>
      </w:r>
      <w:r>
        <w:rPr>
          <w:rFonts w:ascii="Times New Roman;Times;serif" w:hAnsi="Times New Roman;Times;serif"/>
          <w:sz w:val="24"/>
        </w:rPr>
        <w:t>Such Defaulting Lender’s right to approve or disapprove any amendment, waiver or consent with respect to this Agreement shall be restricted as set forth in the definition of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Defaulting Lender Waterfall</w:t>
      </w:r>
      <w:r>
        <w:rPr>
          <w:rFonts w:ascii="Times New Roman;Times;serif" w:hAnsi="Times New Roman;Times;serif"/>
          <w:sz w:val="24"/>
        </w:rPr>
        <w:t xml:space="preserve">.  Any payment of principal, interest, Fees or other amounts received by the Administrative Agent for the account of such Defaulting Lender (whether voluntary or mandatory, at maturity, pursuant to Section 9 or otherwise) or received by the Administrative Agent from a Defaulting Lender pursuant to Section 12.16 shall be applied at such time or times as may be determined by the Administrative Agent as follows: </w:t>
      </w:r>
      <w:r>
        <w:rPr>
          <w:rFonts w:ascii="Times New Roman;Times;serif" w:hAnsi="Times New Roman;Times;serif"/>
          <w:sz w:val="24"/>
          <w:u w:val="single"/>
        </w:rPr>
        <w:t>first</w:t>
      </w:r>
      <w:r>
        <w:rPr>
          <w:rFonts w:ascii="Times New Roman;Times;serif" w:hAnsi="Times New Roman;Times;serif"/>
          <w:sz w:val="24"/>
        </w:rPr>
        <w:t xml:space="preserve">, to the payment of any amounts owing by such Defaulting Lender to the Administrative Agent hereunder; </w:t>
      </w:r>
      <w:r>
        <w:rPr>
          <w:rFonts w:ascii="Times New Roman;Times;serif" w:hAnsi="Times New Roman;Times;serif"/>
          <w:sz w:val="24"/>
          <w:u w:val="single"/>
        </w:rPr>
        <w:t>second</w:t>
      </w:r>
      <w:r>
        <w:rPr>
          <w:rFonts w:ascii="Times New Roman;Times;serif" w:hAnsi="Times New Roman;Times;serif"/>
          <w:sz w:val="24"/>
        </w:rPr>
        <w:t xml:space="preserve">, in the case of a Defaulting Lender that is a Revolving Lender, to the payment on a pro rata basis of any amounts owing by such Defaulting Lender to the L/C Issuer hereunder; </w:t>
      </w:r>
      <w:r>
        <w:rPr>
          <w:rFonts w:ascii="Times New Roman;Times;serif" w:hAnsi="Times New Roman;Times;serif"/>
          <w:sz w:val="24"/>
          <w:u w:val="single"/>
        </w:rPr>
        <w:t>third</w:t>
      </w:r>
      <w:r>
        <w:rPr>
          <w:rFonts w:ascii="Times New Roman;Times;serif" w:hAnsi="Times New Roman;Times;serif"/>
          <w:sz w:val="24"/>
        </w:rPr>
        <w:t xml:space="preserve">, in the case of a Defaulting Lender that is a Revolving Lender, to Cash Collateralize the L/C Issuer’s Fronting Exposure with respect to such Defaulting Lender in accordance with subsection (e) below; </w:t>
      </w:r>
      <w:r>
        <w:rPr>
          <w:rFonts w:ascii="Times New Roman;Times;serif" w:hAnsi="Times New Roman;Times;serif"/>
          <w:sz w:val="24"/>
          <w:u w:val="single"/>
        </w:rPr>
        <w:t>fourth</w:t>
      </w:r>
      <w:r>
        <w:rPr>
          <w:rFonts w:ascii="Times New Roman;Times;serif" w:hAnsi="Times New Roman;Times;serif"/>
          <w:sz w:val="24"/>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sz w:val="24"/>
          <w:u w:val="single"/>
        </w:rPr>
        <w:t>fifth</w:t>
      </w:r>
      <w:r>
        <w:rPr>
          <w:rFonts w:ascii="Times New Roman;Times;serif" w:hAnsi="Times New Roman;Times;serif"/>
          <w:sz w:val="24"/>
        </w:rPr>
        <w:t xml:space="preserve">, if so determined by the Administrative Agent and the Borrower, to be held in a deposit account and released pro rata in order to (x) satisfy such Defaulting Lender’s potential future funding obligations with respect to Revolving Loans under this Agreement and (y) in the case of a Defaulting Lender that is a Revolving Lender, Cash Collateralize the L/C Issuer’s future Fronting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Exposure with respect to such Defaulting Lender with respect to future Letters of Credit issued under this Agreement, in accordance with subsection (e) below; </w:t>
      </w:r>
      <w:r>
        <w:rPr>
          <w:rFonts w:ascii="Times New Roman;Times;serif" w:hAnsi="Times New Roman;Times;serif"/>
          <w:sz w:val="24"/>
          <w:u w:val="single"/>
        </w:rPr>
        <w:t>sixth</w:t>
      </w:r>
      <w:r>
        <w:rPr>
          <w:rFonts w:ascii="Times New Roman;Times;serif" w:hAnsi="Times New Roman;Times;serif"/>
          <w:sz w:val="24"/>
        </w:rPr>
        <w:t xml:space="preserve">, to the payment of any amounts owing to the Lenders or the L/C Issuer as a result of any judgment of a court of competent jurisdiction obtained by any Lender or the L/C Issuer against such Defaulting Lender as a result of such Defaulting Lender’s breach of its obligations under this Agreement; </w:t>
      </w:r>
      <w:r>
        <w:rPr>
          <w:rFonts w:ascii="Times New Roman;Times;serif" w:hAnsi="Times New Roman;Times;serif"/>
          <w:sz w:val="24"/>
          <w:u w:val="single"/>
        </w:rPr>
        <w:t>seventh</w:t>
      </w:r>
      <w:r>
        <w:rPr>
          <w:rFonts w:ascii="Times New Roman;Times;serif" w:hAnsi="Times New Roman;Times;serif"/>
          <w:sz w:val="24"/>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sz w:val="24"/>
          <w:u w:val="single"/>
        </w:rPr>
        <w:t>eighth</w:t>
      </w:r>
      <w:r>
        <w:rPr>
          <w:rFonts w:ascii="Times New Roman;Times;serif" w:hAnsi="Times New Roman;Times;serif"/>
          <w:sz w:val="24"/>
        </w:rPr>
        <w:t xml:space="preserve">, to such Defaulting Lender or as otherwise directed by a court of competent jurisdiction; </w:t>
      </w:r>
      <w:r>
        <w:rPr>
          <w:rFonts w:ascii="Times New Roman;Times;serif" w:hAnsi="Times New Roman;Times;serif"/>
          <w:sz w:val="24"/>
          <w:u w:val="single"/>
        </w:rPr>
        <w:t>provided</w:t>
      </w:r>
      <w:r>
        <w:rPr>
          <w:rFonts w:ascii="Times New Roman;Times;serif" w:hAnsi="Times New Roman;Times;serif"/>
          <w:sz w:val="24"/>
        </w:rPr>
        <w:t xml:space="preserve"> that if (x) such payment is a payment of the principal amount of any Loans of any Class or amounts owing by such Defaulting Lender under Section 1.3 in respect of Letters of Credit (such amounts “L</w:t>
      </w:r>
      <w:r>
        <w:rPr>
          <w:rFonts w:ascii="Times New Roman;Times;serif" w:hAnsi="Times New Roman;Times;serif"/>
          <w:i/>
          <w:sz w:val="24"/>
        </w:rPr>
        <w:t>/C Disbursements</w:t>
      </w:r>
      <w:r>
        <w:rPr>
          <w:rFonts w:ascii="Times New Roman;Times;serif" w:hAnsi="Times New Roman;Times;serif"/>
          <w:sz w:val="24"/>
        </w:rPr>
        <w:t>”), in respect of which such Defaulting Lender has not fully funded its appropriate share, and (y) such Loans were made or the related Letters of Credit were issued at a time when the conditions set forth in Section 7 were satisfied or waived, such payment shall be applied solely to pay the Loans of such Class of, and L/C Disbursements owed to, all Non-Defaulting Lenders on a pro rata basis prior to being applied to the payment of any Loans of, or L/C Disbursements owed to, such Defaulting Lender until such time as all Loans of such Class and, as applicable, funded and unfunded participations in L/C Obligations are held by the Revolving Lenders pro rata in accordance with their respective Applicable Percentages (determined without giving effect to the immediately following subsection (d)) and all Term Loans of each Class are held by the Term Lenders of such Class pro rata as if there had been no Defaulting Lenders that are Term Lenders of such Class.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Certain Fees</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(i)No Defaulting Lender shall be entitled to receive any Fee payable under Section 2.1(a)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(ii)Each Defaulting Lender that is a Revolving Lender shall be entitled to receive the Fee payable under Section 2.1(b) for any period during which that Lender is a Defaulting Lender only to the extent allocable to its Applicable Percentage of the stated amount of Letters of Credit for which it has provided Cash Collateral pursuant to the immediately following subsection (e).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(iii)With respect to any Fee not required to be paid to any Defaulting Lender that is a Revolving Lender pursuant to the immediately preceding clause (ii), the Borrower shall (x) pay to each Non-Defaulting Lender that is a Revolving Lender that portion of any such Fee otherwise payable to such Defaulting Lender with respect to such Defaulting Lender’s participation in L/C Obligations that has been reallocated to such Non-Defaulting Lender pursuant to the immediately following subsection (d), (y) pay to the L/C Issuer the amount of any such Fee otherwise payable to such Defaulting Lender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extent allocable to the L/C Issuer’s Fronting Exposure to such Defaulting Lender, and (z) not be required to pay the remaining amount of any such Fee.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Reallocation of Participations to Reduce Fronting Exposure</w:t>
      </w:r>
      <w:r>
        <w:rPr>
          <w:rFonts w:ascii="Times New Roman;Times;serif" w:hAnsi="Times New Roman;Times;serif"/>
          <w:sz w:val="24"/>
        </w:rPr>
        <w:t>.  In the case of a Defaulting Lender that is a Revolving Lender, all or any part of such Defaulting Lender’s participation in L/C Obligations shall be reallocated among the Non-Defaulting Lenders in accordance with their respective Applicable Percentages of the Revolving Facility (determined without regard to such Defaulting Lender’s Revolving Credit Commitment) but only to the extent that such reallocation does not cause the aggregate Revolving Loans and participations in L/C Obligations of any Non-Defaulting Lender that is a Revolving Lender to exceed such Non-Defaulting Lender’s Revolving Credit Commitment.  Subject to Section 12.29, no reallocation hereunder shall constitute a waiver or release of any claim of any party hereunder against a Defaulting Lender arising from that Revolving Lender having become a Defaulting Lender, including any claim of a Non-Defaulting Lender as a result of such Non-Defaulting Lender’s increased exposure following such reallocation.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Cash Collateral</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(i)If the reallocation described in the immediately preceding subsection (d) above cannot, or can only partially, be effected, the Borrower shall, without prejudice to any right or remedy available to it hereunder or under law, Cash Collateralize each L/C Issuer’s Fronting Exposure in accordance with the procedures set forth in this subsection.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(ii)At any time that there shall exist a Defaulting Lender that is a Revolving Lender, within 1 Business Day following the written request of the Administrative Agent or the applicable L/C Issuer (with a copy to the Administrative Agent), the Borrower shall Cash Collateralize such L/C Issuer’s Fronting Exposure with respect to such Defaulting Lender (determined after giving effect to the immediately preceding subsection (d) and any Cash Collateral provided by such Defaulting Lender) in an amount not less than the aggregate Fronting Exposure of such L/C Issuer with respect to Letters of Credit issued by such L/C Issuer and outstanding at such time.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(iii)The Borrower, and to the extent provided by any Defaulting Lender that is a Revolving Lender, such Defaulting Lender, hereby grant to the Administrative Agent, for the benefit of the applicable L/C Issuer, and agree to maintain, a first priority security interest in all such Cash Collateral as security for the obligation of Defaulting Lenders that are Revolving Lenders to fund participations in respect of L/C Obligations, to be applied pursuant to the immediately following clause (iv).  If at any time the Administrative Agent determines that Cash Collateral is subject to any right or claim of any Person other than the Administrative Agent and the applicable L/C Issuer as herein provided, or that the total amount of such Cash Collateral is less than the aggregate Fronting Exposure of the applicable L/C Issuer with respect to Letters of Credit issued by such L/C Issuer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 that is a Revolving Lender).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(iv)Notwithstanding anything to the contrary contained in this Agreement, Cash Collateral provided under this Section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(v)Cash Collateral (or the appropriate portion thereof) provided to reduce the L/C Issuers’ Fronting Exposure shall no longer be required to be held as Cash Collateral pursuant to this subsection following (x) the elimination of the applicable Fronting Exposure (including by the termination of Defaulting Lender status of the applicable Revolving Lender), or (y) the determination by the Administrative Agent and the applicable L/C Issuer that there exists excess Cash Collateral; </w:t>
      </w:r>
      <w:r>
        <w:rPr>
          <w:rFonts w:ascii="Times New Roman;Times;serif" w:hAnsi="Times New Roman;Times;serif"/>
          <w:sz w:val="24"/>
          <w:u w:val="single"/>
        </w:rPr>
        <w:t>provided</w:t>
      </w:r>
      <w:r>
        <w:rPr>
          <w:rFonts w:ascii="Times New Roman;Times;serif" w:hAnsi="Times New Roman;Times;serif"/>
          <w:sz w:val="24"/>
        </w:rPr>
        <w:t xml:space="preserve"> that, subject to the immediately preceding subsection (b), the Person providing Cash Collateral and the applicable L/C Issuer may (but shall not be obligated to) agree that Cash Collateral shall be held to support future anticipated Fronting Exposure or other obligations and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xml:space="preserve"> that to the extent that such Cash Collateral was provided by the Borrower, such Cash Collateral shall remain subject to the security interest granted pursuant to the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Defaulting Lender Cure</w:t>
      </w:r>
      <w:r>
        <w:rPr>
          <w:rFonts w:ascii="Times New Roman;Times;serif" w:hAnsi="Times New Roman;Times;serif"/>
          <w:sz w:val="24"/>
        </w:rPr>
        <w:t xml:space="preserve">.  If the Borrower and the Administrative Agent, and solely in the case of a Defaulting Lender that is a Revolving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as applicable, (i) the Revolving Loans and funded and unfunded participations in Letters of Credit to be held pro rata by the Revolving Lenders in accordance with their respective Applicable Percentages (determined without giving effect to the immediately preceding subsection (d)) and (ii) the Term Loans of each Class to be held by the Term Lenders of such Class pro rata as if there had been no Defaulting Lenders of such Class, whereupon such Lender will cease to be a Defaulting Lender; </w:t>
      </w:r>
      <w:r>
        <w:rPr>
          <w:rFonts w:ascii="Times New Roman;Times;serif" w:hAnsi="Times New Roman;Times;serif"/>
          <w:sz w:val="24"/>
          <w:u w:val="single"/>
        </w:rPr>
        <w:t>provided</w:t>
      </w:r>
      <w:r>
        <w:rPr>
          <w:rFonts w:ascii="Times New Roman;Times;serif" w:hAnsi="Times New Roman;Times;serif"/>
          <w:sz w:val="24"/>
        </w:rPr>
        <w:t xml:space="preserve"> that no adjustments will be made retroactively with respect to Fees accrued or payments made by or on behalf of the Borrower while that Lender was a Defaulting Lender; and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New Letters of Credit</w:t>
      </w:r>
      <w:r>
        <w:rPr>
          <w:rFonts w:ascii="Times New Roman;Times;serif" w:hAnsi="Times New Roman;Times;serif"/>
          <w:sz w:val="24"/>
        </w:rPr>
        <w:t>.  So long as any Revolving Lender is a Defaulting Lender, no L/C Issuer shall be required to issue, extend, renew or increase any Letter of Credit unless it is satisfied that it will have no Fronting Exposure after giving effect thereto.</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1.15.</w:t>
      </w:r>
      <w:bookmarkStart w:id="1681" w:name="_Toc221027827"/>
      <w:bookmarkEnd w:id="1681"/>
      <w:r>
        <w:rPr>
          <w:rFonts w:ascii="Times New Roman;Times;serif" w:hAnsi="Times New Roman;Times;serif"/>
          <w:i w:val="false"/>
          <w:caps w:val="false"/>
          <w:smallCaps w:val="false"/>
          <w:sz w:val="24"/>
          <w:u w:val="single"/>
        </w:rPr>
        <w:t>Increase in Revolving Credit Commitments and Incremental Term Loan Commitments</w:t>
      </w:r>
      <w:r>
        <w:rPr>
          <w:rFonts w:ascii="Times New Roman;Times;serif" w:hAnsi="Times New Roman;Times;serif"/>
          <w:i w:val="false"/>
          <w:caps w:val="false"/>
          <w:smallCaps w:val="false"/>
          <w:sz w:val="24"/>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Conditions to Effective of Increase</w:t>
      </w:r>
      <w:r>
        <w:rPr>
          <w:rFonts w:ascii="Times New Roman;Times;serif" w:hAnsi="Times New Roman;Times;serif"/>
          <w:sz w:val="24"/>
        </w:rPr>
        <w:t xml:space="preserve">. Upon notice to Administrative Agent (which shall promptly notify the Lenders), the Borrower may from time to time, request an </w:t>
      </w:r>
      <w:r>
        <w:rPr>
          <w:rFonts w:ascii="Times" w:hAnsi="Times"/>
          <w:sz w:val="24"/>
        </w:rPr>
        <w:t xml:space="preserve">increase in the aggregate amount of the Revolving Credit Commitments </w:t>
      </w:r>
      <w:r>
        <w:rPr>
          <w:rFonts w:ascii="Times New Roman;Times;serif" w:hAnsi="Times New Roman;Times;serif"/>
          <w:sz w:val="24"/>
        </w:rPr>
        <w:t>(a “</w:t>
      </w:r>
      <w:r>
        <w:rPr>
          <w:rFonts w:ascii="Times New Roman;Times;serif" w:hAnsi="Times New Roman;Times;serif"/>
          <w:i/>
          <w:sz w:val="24"/>
        </w:rPr>
        <w:t>Revolving Credit Commitment Amount Increase</w:t>
      </w:r>
      <w:r>
        <w:rPr>
          <w:rFonts w:ascii="Times New Roman;Times;serif" w:hAnsi="Times New Roman;Times;serif"/>
          <w:sz w:val="24"/>
        </w:rPr>
        <w:t xml:space="preserve">”) and/or </w:t>
      </w:r>
      <w:r>
        <w:rPr>
          <w:rFonts w:ascii="Times" w:hAnsi="Times"/>
          <w:sz w:val="24"/>
        </w:rPr>
        <w:t xml:space="preserve">to establish one or more tranches of term loans </w:t>
      </w:r>
      <w:r>
        <w:rPr>
          <w:rFonts w:ascii="Times New Roman;Times;serif" w:hAnsi="Times New Roman;Times;serif"/>
          <w:sz w:val="24"/>
        </w:rPr>
        <w:t>(each an “</w:t>
      </w:r>
      <w:r>
        <w:rPr>
          <w:rFonts w:ascii="Times New Roman;Times;serif" w:hAnsi="Times New Roman;Times;serif"/>
          <w:i/>
          <w:sz w:val="24"/>
        </w:rPr>
        <w:t>Incremental Term Loan Facility</w:t>
      </w:r>
      <w:r>
        <w:rPr>
          <w:rFonts w:ascii="Times New Roman;Times;serif" w:hAnsi="Times New Roman;Times;serif"/>
          <w:sz w:val="24"/>
        </w:rPr>
        <w:t>”; and the term loans made pursuant thereto, each an “</w:t>
      </w:r>
      <w:r>
        <w:rPr>
          <w:rFonts w:ascii="Times New Roman;Times;serif" w:hAnsi="Times New Roman;Times;serif"/>
          <w:i/>
          <w:sz w:val="24"/>
        </w:rPr>
        <w:t>Incremental Term Loan</w:t>
      </w:r>
      <w:r>
        <w:rPr>
          <w:rFonts w:ascii="Times New Roman;Times;serif" w:hAnsi="Times New Roman;Times;serif"/>
          <w:sz w:val="24"/>
        </w:rPr>
        <w:t>” and the commitment made pursuant thereto, an “</w:t>
      </w:r>
      <w:r>
        <w:rPr>
          <w:rFonts w:ascii="Times New Roman;Times;serif" w:hAnsi="Times New Roman;Times;serif"/>
          <w:i/>
          <w:sz w:val="24"/>
        </w:rPr>
        <w:t>Incremental Term Loan Commitment</w:t>
      </w:r>
      <w:r>
        <w:rPr>
          <w:rFonts w:ascii="Times New Roman;Times;serif" w:hAnsi="Times New Roman;Times;serif"/>
          <w:sz w:val="24"/>
        </w:rPr>
        <w:t>”) (each such increase or additional tranche, a “</w:t>
      </w:r>
      <w:r>
        <w:rPr>
          <w:rFonts w:ascii="Times New Roman;Times;serif" w:hAnsi="Times New Roman;Times;serif"/>
          <w:i/>
          <w:sz w:val="24"/>
        </w:rPr>
        <w:t>Commitment Increase</w:t>
      </w:r>
      <w:r>
        <w:rPr>
          <w:rFonts w:ascii="Times New Roman;Times;serif" w:hAnsi="Times New Roman;Times;serif"/>
          <w:sz w:val="24"/>
        </w:rPr>
        <w:t xml:space="preserve">”), by delivering a Commitment Amount Increase Request substantially in the form attached hereto as Exhibit H or in such other form acceptable to the Administrative Agent at least ten days prior to the desired effective date of such Commitment Increase; </w:t>
      </w:r>
      <w:r>
        <w:rPr>
          <w:rFonts w:ascii="Times New Roman;Times;serif" w:hAnsi="Times New Roman;Times;serif"/>
          <w:i/>
          <w:sz w:val="24"/>
        </w:rPr>
        <w:t>provided, however,</w:t>
      </w:r>
      <w:r>
        <w:rPr>
          <w:rFonts w:ascii="Times New Roman;Times;serif" w:hAnsi="Times New Roman;Times;serif"/>
          <w:sz w:val="24"/>
        </w:rPr>
        <w:t xml:space="preserve"> that (i) the aggregate amount of the Revolving Credit Commitments and all Term Loan Commitments shall not be increased to an amount in excess of $750,000,000, (ii) each Revolving Credit Commitment Amount Increase or Incremental Term Loan request shall be in an amount of not less than $5,000,000 or such lesser amount as approved by the Administrative Agent, (iii) no Default or Event of Default shall have occurred and be continuing at the time of the request or  the effective date of the Commitment Increase, (iv)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(v) upon the reasonable request of any additional Lender made at least five (5) days prior to the effective date of such Commitment Increase, Borrower shall have provided to such additional Lender, and such additional Lender shall be reasonably satisfied with, the documentation and other information so requested 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Revolving Loans or Incremental Term Loans in an amount sufficient such that after giving effect to its advance each Lender shall have outstanding its Applicable Percentage of Revolving Loans and Applicable Percentage of Incremental Term Loans, as applicable.  It shall be a condition to such effectiveness that if any Term SOFR Loans are outstanding on the date of such effectiveness, such Term SOFR Loans shall be deemed to be prepaid on such date and the Borrower shall pay any amounts owing to the Lenders pursuant to Section 1.11 hereof.  In the event that the Borrower shall have terminated any portion of the Revolving Credit Commitments pursuant to Section 1.11 hereof, the amount available for a Revolving Credit Commitment Amount Increase shall be reduced by the terminated commitment amount.  The Borrower agrees to pay any reasonable expenses of the Administrative Agent relating to any Commitment Increase and arrangement fees related thereto as agreed upon in writing between Administrative Agent and the Borrower, if any.  Notwithstanding anything herein to the contrary, (x) no Lender shall have any obligation to increase its Revolving Credit Commitment or to provide an Incremental Term Loan Commitment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and no Lender’s Revolving Credit Commitment shall be increased without its consent thereto, and each Lender may at its option, unconditionally and without cause, decline to increase its Revolving Credit Commitment or to provide any Incremental Term Loan Commitment, (y) no declining Lender shall have any consent rights with respect to such Revolving Credit Commitment Amount Increase or such Incremental Term Loan Commitment, as applicable, and (z) any new Lender shall be acceptable to the Administrative Agent (to the extent the consent of the Administrative Agent would be required in connection with an assignment to such new Lender under Section 12.12(a)(iii) hereof) with such consent not to be unreasonably withheld or delayed.  Upon the effectiveness thereof, </w:t>
      </w:r>
      <w:r>
        <w:rPr>
          <w:rFonts w:ascii="Times New Roman;Times;serif" w:hAnsi="Times New Roman;Times;serif"/>
          <w:sz w:val="24"/>
          <w:u w:val="single"/>
        </w:rPr>
        <w:t>Schedule 1</w:t>
      </w:r>
      <w:r>
        <w:rPr>
          <w:rFonts w:ascii="Times New Roman;Times;serif" w:hAnsi="Times New Roman;Times;serif"/>
          <w:sz w:val="24"/>
        </w:rPr>
        <w:t xml:space="preserve"> shall be deemed amended to reflect any Revolving Credit Commitment Amount Increase and any Incremental Term Loan Commitment, as applicable.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Incremental Term Loan Amendment</w:t>
      </w:r>
      <w:r>
        <w:rPr>
          <w:rFonts w:ascii="Times New Roman;Times;serif" w:hAnsi="Times New Roman;Times;serif"/>
          <w:sz w:val="24"/>
        </w:rPr>
        <w:t>.  Each Commitment Increase for an Incremental Term Loan Facility may be made hereunder pursuant to an amendment or an amendment and restatement (each, an “</w:t>
      </w:r>
      <w:r>
        <w:rPr>
          <w:rFonts w:ascii="Times New Roman;Times;serif" w:hAnsi="Times New Roman;Times;serif"/>
          <w:i/>
          <w:sz w:val="24"/>
        </w:rPr>
        <w:t>Incremental Term Loan Amendment</w:t>
      </w:r>
      <w:r>
        <w:rPr>
          <w:rFonts w:ascii="Times New Roman;Times;serif" w:hAnsi="Times New Roman;Times;serif"/>
          <w:sz w:val="24"/>
        </w:rPr>
        <w:t xml:space="preserve">”) of this Agreement and, as appropriate, the other Loan Documents, executed by Borrower, each Incremental Term Lender participating in such tranche and the Administrative Agent.  Each Incremental Term Loan Amendment may, without the consent of any other Lenders, effect such amendments to this Agreement and the other Loan Documents as may be necessary or appropriate, in the reasonable opinion of the Administrative Agent, to effect the provisions of this Section 1.15.  All Incremental Term Loans (i) shall rank pari passu in right of payment with Revolving Loans and the existing Term Loans and shall not be secured by any additional collateral or guaranteed by any additional Guarantors than the existing Term Loans, (ii) shall not mature earlier than the latest Maturity Date for any then-existing Facility (but may have amortization prior to such date), and (iii) shall be treated substantially the same as (and in any event no more favorably than) the Revolving Loans, the existing Term Loans and each other tranche of Incremental Term Loans; </w:t>
      </w:r>
      <w:r>
        <w:rPr>
          <w:rFonts w:ascii="Times New Roman;Times;serif" w:hAnsi="Times New Roman;Times;serif"/>
          <w:sz w:val="24"/>
          <w:u w:val="single"/>
        </w:rPr>
        <w:t>provided</w:t>
      </w:r>
      <w:r>
        <w:rPr>
          <w:rFonts w:ascii="Times New Roman;Times;serif" w:hAnsi="Times New Roman;Times;serif"/>
          <w:sz w:val="24"/>
        </w:rPr>
        <w:t xml:space="preserve"> that (I) the terms and conditions applicable to any tranche of Incremental Term Loans maturing after the Maturity Date for each then-existing Term Facility may provide for material additional or different financial or other covenants or prepayment requirements applicable only during periods after the Maturity Date for such existing Term Facility and (II) each tranche of Incremental Term Loans may be priced differently than the 2029 Term Loans, 2031 Term Loans and any other tranche of Incremental Term Loans.  Each applicable Incremental Term Lender shall fund the applicable Incremental Term Loans in accordance with the requirements of the applicable Incremental Term Loan Amendment.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1.16.</w:t>
      </w:r>
      <w:bookmarkStart w:id="1682" w:name="_Toc221027828"/>
      <w:bookmarkEnd w:id="1682"/>
      <w:r>
        <w:rPr>
          <w:rFonts w:ascii="Times New Roman;Times;serif" w:hAnsi="Times New Roman;Times;serif"/>
          <w:i w:val="false"/>
          <w:caps w:val="false"/>
          <w:smallCaps w:val="false"/>
          <w:sz w:val="24"/>
          <w:u w:val="single"/>
        </w:rPr>
        <w:t>Extension of Revolving Credit Termination Date</w:t>
      </w:r>
      <w:r>
        <w:rPr>
          <w:rFonts w:ascii="Times New Roman;Times;serif" w:hAnsi="Times New Roman;Times;serif"/>
          <w:i w:val="false"/>
          <w:caps w:val="false"/>
          <w:smallCaps w:val="false"/>
          <w:sz w:val="24"/>
        </w:rPr>
        <w:t>.  Borrower may, by written notice to Administrative Agent (which shall promptly deliver a copy to each of the Lenders) given at least thirty (30) days and not more than ninety (90) days prior to the then Revolving Credit Termination Date (the “</w:t>
      </w:r>
      <w:r>
        <w:rPr>
          <w:rFonts w:ascii="Times New Roman;Times;serif" w:hAnsi="Times New Roman;Times;serif"/>
          <w:i/>
          <w:sz w:val="24"/>
        </w:rPr>
        <w:t>Existing Commitment Termination Date</w:t>
      </w:r>
      <w:r>
        <w:rPr>
          <w:rFonts w:ascii="Times New Roman;Times;serif" w:hAnsi="Times New Roman;Times;serif"/>
          <w:i/>
          <w:caps w:val="false"/>
          <w:smallCaps w:val="false"/>
          <w:sz w:val="24"/>
        </w:rPr>
        <w:t>”</w:t>
      </w:r>
      <w:r>
        <w:rPr>
          <w:rFonts w:ascii="Times New Roman;Times;serif" w:hAnsi="Times New Roman;Times;serif"/>
          <w:i w:val="false"/>
          <w:caps w:val="false"/>
          <w:smallCaps w:val="false"/>
          <w:sz w:val="24"/>
        </w:rPr>
        <w:t xml:space="preserve">), request that Lenders extend the Existing Commitment Termination Date for two additional six month periods.  Upon the Borrower’s timely delivery of such notice to Administrative Agent and provided, that (i) no Default or Event of Default has occurred and is continuing (both on the date the notice is delivered and on the then Existing Commitment Revolving Credit Termination Date), (ii) the Borrower and the Subsidiaries are in compliance with all covenants contained in Section 8 hereof, (iii)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on the date the notice is delivered and on the then Existing Commitment Termination Date except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(iv) the Borrower has paid in immediately available funds the Extension Fee on or prior to the first day of any requested extension period, then the Revolving Credit Termination Date shall be extended to the date that is six months after of the then Existing Commitment Termination Date.  Should the Revolving Credit Termination Date be extended, the terms and conditions of this Agreement will apply during any such extension period, and from and after the date of such extension, the term Revolving Credit Termination Date shall mean the last day of the extended term.</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1.17.</w:t>
      </w:r>
      <w:bookmarkStart w:id="1683" w:name="_Toc221027829"/>
      <w:bookmarkEnd w:id="1683"/>
      <w:r>
        <w:rPr>
          <w:rFonts w:ascii="Times New Roman;Times;serif" w:hAnsi="Times New Roman;Times;serif"/>
          <w:i w:val="false"/>
          <w:caps w:val="false"/>
          <w:smallCaps w:val="false"/>
          <w:sz w:val="24"/>
          <w:u w:val="single"/>
        </w:rPr>
        <w:t>RESERVED</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1.18.</w:t>
      </w:r>
      <w:bookmarkStart w:id="1684" w:name="_Toc221027830"/>
      <w:bookmarkStart w:id="1685" w:name="_Toc105565087"/>
      <w:bookmarkStart w:id="1686" w:name="_Ref105533850"/>
      <w:bookmarkEnd w:id="1684"/>
      <w:bookmarkEnd w:id="1685"/>
      <w:bookmarkEnd w:id="1686"/>
      <w:r>
        <w:rPr>
          <w:rFonts w:ascii="Times New Roman;Times;serif" w:hAnsi="Times New Roman;Times;serif"/>
          <w:i w:val="false"/>
          <w:caps w:val="false"/>
          <w:smallCaps w:val="false"/>
          <w:sz w:val="24"/>
          <w:u w:val="single"/>
        </w:rPr>
        <w:t>ESG Adjustments</w:t>
      </w:r>
      <w:r>
        <w:rPr>
          <w:rFonts w:ascii="Times New Roman;Times;serif" w:hAnsi="Times New Roman;Times;serif"/>
          <w:i w:val="false"/>
          <w:caps w:val="false"/>
          <w:smallCaps w:val="false"/>
          <w:sz w:val="22"/>
        </w:rPr>
        <w:t>.</w:t>
      </w:r>
    </w:p>
    <w:p>
      <w:pPr>
        <w:pStyle w:val="TextBody"/>
        <w:bidi w:val="0"/>
        <w:spacing w:before="0" w:after="0"/>
        <w:ind w:left="0" w:right="0" w:firstLine="720"/>
        <w:jc w:val="left"/>
        <w:rPr/>
      </w:pPr>
      <w:r>
        <w:rPr/>
        <w:t>​</w:t>
      </w:r>
    </w:p>
    <w:p>
      <w:pPr>
        <w:pStyle w:val="TextBody"/>
        <w:bidi w:val="0"/>
        <w:spacing w:before="0" w:after="240"/>
        <w:ind w:left="180" w:right="0" w:hanging="0"/>
        <w:jc w:val="both"/>
        <w:rPr>
          <w:rFonts w:ascii="Times New Roman;Times;serif" w:hAnsi="Times New Roman;Times;serif"/>
          <w:sz w:val="24"/>
        </w:rPr>
      </w:pPr>
      <w:r>
        <w:rPr>
          <w:rFonts w:ascii="Times New Roman;Times;serif" w:hAnsi="Times New Roman;Times;serif"/>
          <w:sz w:val="24"/>
        </w:rPr>
        <w:t>(a)No later than one (1) year after the Closing Date, the Borrower, in consultation with the Sustainability Structuring Agent, shall be entitled to establish specified Key Performance Indicators (“</w:t>
      </w:r>
      <w:r>
        <w:rPr>
          <w:rFonts w:ascii="Times New Roman;Times;serif" w:hAnsi="Times New Roman;Times;serif"/>
          <w:i/>
          <w:sz w:val="24"/>
        </w:rPr>
        <w:t>KPIs</w:t>
      </w:r>
      <w:r>
        <w:rPr>
          <w:rFonts w:ascii="Times New Roman;Times;serif" w:hAnsi="Times New Roman;Times;serif"/>
          <w:sz w:val="24"/>
        </w:rPr>
        <w:t>”) with respect to certain Environmental (“</w:t>
      </w:r>
      <w:r>
        <w:rPr>
          <w:rFonts w:ascii="Times New Roman;Times;serif" w:hAnsi="Times New Roman;Times;serif"/>
          <w:i/>
          <w:sz w:val="24"/>
        </w:rPr>
        <w:t>ESG</w:t>
      </w:r>
      <w:r>
        <w:rPr>
          <w:rFonts w:ascii="Times New Roman;Times;serif" w:hAnsi="Times New Roman;Times;serif"/>
          <w:sz w:val="24"/>
        </w:rPr>
        <w:t>”) targets of the Borrower and its Subsidiaries. The Sustainability Structuring Agent and the Borrower may propose an amendment to this Agreement (such amendment, the “</w:t>
      </w:r>
      <w:r>
        <w:rPr>
          <w:rFonts w:ascii="Times New Roman;Times;serif" w:hAnsi="Times New Roman;Times;serif"/>
          <w:i/>
          <w:sz w:val="24"/>
        </w:rPr>
        <w:t>ESG Amendment</w:t>
      </w:r>
      <w:r>
        <w:rPr>
          <w:rFonts w:ascii="Times New Roman;Times;serif" w:hAnsi="Times New Roman;Times;serif"/>
          <w:sz w:val="24"/>
        </w:rPr>
        <w:t>”) solely for the purpose of incorporating the KPIs and other related provisions (the “</w:t>
      </w:r>
      <w:r>
        <w:rPr>
          <w:rFonts w:ascii="Times New Roman;Times;serif" w:hAnsi="Times New Roman;Times;serif"/>
          <w:i/>
          <w:sz w:val="24"/>
        </w:rPr>
        <w:t>ESG Pricing Provisions</w:t>
      </w:r>
      <w:r>
        <w:rPr>
          <w:rFonts w:ascii="Times New Roman;Times;serif" w:hAnsi="Times New Roman;Times;serif"/>
          <w:sz w:val="24"/>
        </w:rPr>
        <w:t xml:space="preserve">”) into this Agreement.  Any such amendment shall become effective upon (i) receipt by the Lenders of a lender presentation or memorandum in regard to the KPIs from the Borrower no later than ten (10) Business Days before the proposed effective date of such proposed ESG Amendment, (ii) the posting of such proposed ESG Amendment to all Lenders and the Borrower, (iii) the identification, and engagement at the Borrower’s cost and expense, of a sustainability assurance provider, which shall be a qualified external reviewer of nationally recognized standing, independent of the Borrower and its Affiliates, and (iv) the receipt by the Administrative Agent of executed signature pages and consents to such ESG Amendment from the Borrower, the Administrative Agent and Lenders comprising at least the Required Lenders. Upon the effectiveness of any such ESG Amendment, based on the Borrower’s performance against the KPIs, certain adjustments (increase, decrease, or no adjustment) to the Applicable Margin may be made; </w:t>
      </w:r>
      <w:r>
        <w:rPr>
          <w:rFonts w:ascii="Times New Roman;Times;serif" w:hAnsi="Times New Roman;Times;serif"/>
          <w:sz w:val="24"/>
          <w:u w:val="single"/>
        </w:rPr>
        <w:t>provided</w:t>
      </w:r>
      <w:r>
        <w:rPr>
          <w:rFonts w:ascii="Times New Roman;Times;serif" w:hAnsi="Times New Roman;Times;serif"/>
          <w:sz w:val="24"/>
        </w:rPr>
        <w:t xml:space="preserve"> that the amount of any such adjustments made pursuant to an ESG Amendment shall not result in an increase or decrease of more than 2.0 basis points in the Applicable Margin;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in no event shall such adjustments increase the Applicable Margin above that in effect on the Closing Date or decrease the Applicable Margin below zero. The pricing adjustments pursuant to the KPIs will require, among other things, reporting and validation of the measurement of the KPIs in a manner that is aligned with the Sustainability Linked Loan Principles at the time of the ESG Amendment and is to be mutually agreed between the Borrower and the Sustainability Structuring Agent (each acting reasonably).  Following the effectiveness of the ESG Amendment, any modification to the ESG Pricing Provisions which does not have the effect of reducing the Applicable Margin to a level not otherwise permitted by this Section shall be subject only to the consent of the Required Lenders.</w:t>
      </w:r>
    </w:p>
    <w:p>
      <w:pPr>
        <w:pStyle w:val="TextBody"/>
        <w:bidi w:val="0"/>
        <w:spacing w:before="0" w:after="240"/>
        <w:ind w:left="180" w:right="0" w:hanging="0"/>
        <w:jc w:val="both"/>
        <w:rPr>
          <w:rFonts w:ascii="Times New Roman;Times;serif" w:hAnsi="Times New Roman;Times;serif"/>
          <w:sz w:val="24"/>
        </w:rPr>
      </w:pPr>
      <w:r>
        <w:rPr>
          <w:rFonts w:ascii="Times New Roman;Times;serif" w:hAnsi="Times New Roman;Times;serif"/>
          <w:sz w:val="24"/>
        </w:rPr>
        <w:t xml:space="preserve">(b)The Sustainability Structuring Agent will (i) assist the Borrower in determining the ESG Pricing Provisions in connection with the ESG Amendment and (ii) assist the Borrower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80" w:right="0" w:hanging="0"/>
        <w:jc w:val="both"/>
        <w:rPr>
          <w:rFonts w:ascii="Times New Roman;Times;serif" w:hAnsi="Times New Roman;Times;serif"/>
          <w:sz w:val="24"/>
        </w:rPr>
      </w:pPr>
      <w:r>
        <w:rPr>
          <w:rFonts w:ascii="Times New Roman;Times;serif" w:hAnsi="Times New Roman;Times;serif"/>
          <w:sz w:val="24"/>
        </w:rPr>
        <w:t>preparing informational materials focused on ESG to be used in connection with the ESG Amendment.</w:t>
      </w:r>
    </w:p>
    <w:p>
      <w:pPr>
        <w:pStyle w:val="TextBody"/>
        <w:bidi w:val="0"/>
        <w:spacing w:before="0" w:after="0"/>
        <w:ind w:left="180" w:right="0" w:hanging="0"/>
        <w:jc w:val="both"/>
        <w:rPr>
          <w:rFonts w:ascii="Times New Roman;Times;serif" w:hAnsi="Times New Roman;Times;serif"/>
          <w:sz w:val="24"/>
        </w:rPr>
      </w:pPr>
      <w:r>
        <w:rPr>
          <w:rFonts w:ascii="Times New Roman;Times;serif" w:hAnsi="Times New Roman;Times;serif"/>
          <w:sz w:val="24"/>
        </w:rPr>
        <w:t xml:space="preserve">(c)This Section 1.18 shall supercede any provisions in Section 12.13 to the contrary. </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2.</w:t>
      </w:r>
      <w:bookmarkStart w:id="1687" w:name="_Toc221027831"/>
      <w:bookmarkEnd w:id="1687"/>
      <w:r>
        <w:rPr>
          <w:rFonts w:ascii="Times New Roman;Times;serif" w:hAnsi="Times New Roman;Times;serif"/>
          <w:caps/>
          <w:sz w:val="24"/>
        </w:rPr>
        <w:t>Fees.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2.1.</w:t>
      </w:r>
      <w:bookmarkStart w:id="1688" w:name="_Toc221027832"/>
      <w:bookmarkEnd w:id="1688"/>
      <w:r>
        <w:rPr>
          <w:rFonts w:ascii="Times New Roman;Times;serif" w:hAnsi="Times New Roman;Times;serif"/>
          <w:i/>
          <w:sz w:val="24"/>
        </w:rPr>
        <w:t>Fees.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i/>
          <w:sz w:val="24"/>
        </w:rPr>
        <w:t>Revolving Credit Unused Commitment Fee</w:t>
      </w:r>
      <w:r>
        <w:rPr>
          <w:rFonts w:ascii="Times New Roman;Times;serif" w:hAnsi="Times New Roman;Times;serif"/>
          <w:sz w:val="24"/>
        </w:rPr>
        <w:t>.  The Borrower shall pay to the Administrative Agent for the ratable account of the Revolving Lenders in accordance with their Applicable Percentages an unused commitment fee at a rate per annum equal to (x) 0.15% if the daily Unused Revolving Credit Commitments are less than or equal to 50% of the Revolving Credit Commitments then in effect and (y) 0.25% if the daily Unused Revolving Credit Commitments are greater than 50% of the Revolving Credit Commitments then in effect (computed on the basis of a year of 360 days and the actual number of days elapsed) and determined based on the daily Unused Revolving Credit Commitments during such previous quarter.  Such commitment fee shall be payable quarterly in arrears on the last day of each March, June, September, and December in each year (commencing on the first such date occurring after the date hereof) and on the Revolving Credit Termination Date, unless the Revolving Credit Commitments are terminated in whole on an earlier date, in which event the commitment fee for the period to the date of such termination in whole shall be calculated and paid on the date of such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Letter of Credit Fees.</w:t>
      </w:r>
      <w:r>
        <w:rPr>
          <w:rFonts w:ascii="Times New Roman;Times;serif" w:hAnsi="Times New Roman;Times;serif"/>
          <w:sz w:val="24"/>
        </w:rPr>
        <w:t xml:space="preserve">  On the date of issuance or extension, or increase in the amount, of any Letter of Credit pursuant to Section 1.3 hereof, the Borrower shall pay to the L/C Issuer for its own account a fronting fee equal to 0.10% of the face amount of (or of the increase in the face amount of) such Letter of Credit.  Quarterly in arrears, on the last day of each March, June, September, and December, commencing on the first such date occurring after the date hereof, the Borrower shall pay to the Administrative Agent, for the ratable benefit of the Revolving Lenders in accordance with their Applicable Percentages, a letter of credit fee at a rate per annum equal to the Applicable Margin for Revolving Loans (computed on the basis of a year of 360 days and the actual number of days elapsed) in effect during each day of such quarter applied to the daily average face amount of Letters of Credit outstanding during such quarter.  If no Letters of Credit were outstanding during such quarter, no such fee shall be owed.  In addition, the Borrower shall pay to the L/C Issuer for its own account the L/C Issuer’s standard issuance, drawing, negotiation, amendment, cancellation, assignment, and other administrative fees for each Letter of Credit as established by the L/C Issuer from time to time.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i/>
          <w:sz w:val="24"/>
        </w:rPr>
        <w:t>Administrative Agent and Other Fees</w:t>
      </w:r>
      <w:r>
        <w:rPr>
          <w:rFonts w:ascii="Times New Roman;Times;serif" w:hAnsi="Times New Roman;Times;serif"/>
          <w:sz w:val="24"/>
        </w:rPr>
        <w:t>.  The Borrower shall pay to the Administrative Agent, for its own use and benefit and for the benefit of the Lenders, as applicable, the fees agreed to between the Administrative Agent and the Borrower in the Fee Letter, or as otherwise agreed to in writing between them.</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3.</w:t>
      </w:r>
      <w:bookmarkStart w:id="1689" w:name="_Toc221027833"/>
      <w:bookmarkEnd w:id="1689"/>
      <w:r>
        <w:rPr>
          <w:rFonts w:ascii="Times New Roman;Times;serif" w:hAnsi="Times New Roman;Times;serif"/>
          <w:caps/>
          <w:sz w:val="24"/>
        </w:rPr>
        <w:t>Place and Application of Payments.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3.1.</w:t>
      </w:r>
      <w:bookmarkStart w:id="1690" w:name="_Toc221027834"/>
      <w:bookmarkStart w:id="1691" w:name="_Ref83736280"/>
      <w:bookmarkEnd w:id="1690"/>
      <w:bookmarkEnd w:id="1691"/>
      <w:r>
        <w:rPr>
          <w:rFonts w:ascii="Times New Roman;Times;serif" w:hAnsi="Times New Roman;Times;serif"/>
          <w:i w:val="false"/>
          <w:caps w:val="false"/>
          <w:smallCaps w:val="false"/>
          <w:sz w:val="24"/>
          <w:u w:val="single"/>
        </w:rPr>
        <w:t>Place and Application of Payments.</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 xml:space="preserve">All payments of principal of and interest on the Loans and the Reimbursement Obligations, and of all other Obligations payable by the Borrower under this Agreement and the other Loan Documents, shall be made by the Borrower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the Administrative Agent by no later than 12:00 Noon (New York time) on the due date thereof at the office of the Administrative Agent in New York, New York (or such other location as the Administrative Agent may designate to the Borrower) for the benefit of the Lender(s) or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 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pStyle w:val="TextBody"/>
        <w:bidi w:val="0"/>
        <w:spacing w:before="0" w:after="240"/>
        <w:ind w:left="0" w:right="0" w:firstLine="720"/>
        <w:jc w:val="both"/>
        <w:rPr>
          <w:rFonts w:ascii="Times" w:hAnsi="Times"/>
          <w:sz w:val="24"/>
        </w:rPr>
      </w:pPr>
      <w:r>
        <w:rPr>
          <w:rFonts w:ascii="Times" w:hAnsi="Times"/>
          <w:sz w:val="24"/>
        </w:rPr>
        <w:t>Anything contained herein to the contrary notwithstanding (including, without limitation, Section 1.8(b) hereof), all payments and collections received in respect of the Obligations by the Administrative Agent or any of the Lenders after acceleration or the final maturity of the Obligations or termination of the Revolving Credit Commitments as a result of an Event of Default shall be remitted to the Administrative Agent and distributed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(b)second, to the payment of any outstanding interest and fees due under the Loan Documents to be allocated pro rata in accordance with the aggregate unpaid amounts owing to each holder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(c)third, to the payment of principal on the Term Loans, Incremental Term Loans (if any), the Revolving Loans, unpaid Reimbursement Obligations, together with amounts to be held by the Administrative Agent as collateral security for any outstanding L/C Obligations pursuant to Section 9.4 hereof (until the Administrative Agent is holding an amount of cash equal to the then outstanding amount of all such L/C Obligations), Hedging Liability, and Funds Transfer and Deposit Account Liability, with the aggregate amount paid to, or held as collateral security for, the Lenders, each Qualifying Counterparty and L/C Issuer and, in the case of Hedging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Liability, their Affiliates, to be allocated </w:t>
      </w:r>
      <w:r>
        <w:rPr>
          <w:rFonts w:ascii="Times New Roman;Times;serif" w:hAnsi="Times New Roman;Times;serif"/>
          <w:i/>
          <w:sz w:val="24"/>
        </w:rPr>
        <w:t>pro rata</w:t>
      </w:r>
      <w:r>
        <w:rPr>
          <w:rFonts w:ascii="Times New Roman;Times;serif" w:hAnsi="Times New Roman;Times;serif"/>
          <w:sz w:val="24"/>
        </w:rPr>
        <w:t xml:space="preserve"> in accordance with the aggregate unpaid amounts owing to each holder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(e)finally, to the Borrower or whoever else may be lawfully entitled thereto.</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4.</w:t>
      </w:r>
      <w:bookmarkStart w:id="1692" w:name="_Toc221027835"/>
      <w:bookmarkEnd w:id="1692"/>
      <w:r>
        <w:rPr>
          <w:rFonts w:ascii="Times New Roman;Times;serif" w:hAnsi="Times New Roman;Times;serif"/>
          <w:caps/>
          <w:sz w:val="24"/>
        </w:rPr>
        <w:t>Guaranties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4.1.</w:t>
      </w:r>
      <w:bookmarkStart w:id="1693" w:name="_Toc221027836"/>
      <w:bookmarkEnd w:id="1693"/>
      <w:r>
        <w:rPr>
          <w:rFonts w:ascii="Times New Roman;Times;serif" w:hAnsi="Times New Roman;Times;serif"/>
          <w:i w:val="false"/>
          <w:caps w:val="false"/>
          <w:smallCaps w:val="false"/>
          <w:sz w:val="24"/>
          <w:u w:val="single"/>
        </w:rPr>
        <w:t>Guaranties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payment and performance of the Obligations, Hedging Liability, and Funds Transfer and Deposit Account Liability shall at all times be guaranteed by (i) Parent and (ii) each direct and indirect Material</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Times;serif" w:hAnsi="Times New Roman;Times;serif"/>
          <w:i/>
          <w:sz w:val="24"/>
        </w:rPr>
        <w:t>“Guaranty”</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collectively the </w:t>
      </w:r>
      <w:r>
        <w:rPr>
          <w:rFonts w:ascii="Times New Roman;Times;serif" w:hAnsi="Times New Roman;Times;serif"/>
          <w:i/>
          <w:sz w:val="24"/>
        </w:rPr>
        <w:t>“Guaranties”</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each such Material Subsidiary executing and delivering a Guaranty being referred to herein as a </w:t>
      </w:r>
      <w:r>
        <w:rPr>
          <w:rFonts w:ascii="Times New Roman;Times;serif" w:hAnsi="Times New Roman;Times;serif"/>
          <w:i/>
          <w:sz w:val="24"/>
        </w:rPr>
        <w:t>“Guarantor”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collectively the </w:t>
      </w:r>
      <w:r>
        <w:rPr>
          <w:rFonts w:ascii="Times New Roman;Times;serif" w:hAnsi="Times New Roman;Times;serif"/>
          <w:i/>
          <w:sz w:val="24"/>
        </w:rPr>
        <w:t>“Guarantors”</w:t>
      </w:r>
      <w:r>
        <w:rPr>
          <w:rFonts w:ascii="Times New Roman;Times;serif" w:hAnsi="Times New Roman;Times;serif"/>
          <w:i w:val="false"/>
          <w:caps w:val="false"/>
          <w:smallCaps w:val="false"/>
          <w:sz w:val="24"/>
        </w:rPr>
        <w:t xml:space="preserve">);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that, with respect to any Guarantor, Hedging Liability guaranteed by such Guarantor shall exclude all Excluded Swap Obligations.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4.2.</w:t>
      </w:r>
      <w:bookmarkStart w:id="1694" w:name="_Toc221027837"/>
      <w:bookmarkEnd w:id="1694"/>
      <w:r>
        <w:rPr>
          <w:rFonts w:ascii="Times New Roman;Times;serif" w:hAnsi="Times New Roman;Times;serif"/>
          <w:i w:val="false"/>
          <w:caps w:val="false"/>
          <w:smallCaps w:val="false"/>
          <w:sz w:val="24"/>
          <w:u w:val="single"/>
        </w:rPr>
        <w:t>Further Assurances.</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 xml:space="preserve">In the event the Borrower or any Guarantor forms or acquires any other Material Subsidiary after the date hereof, except as otherwise provided in Section 4.1, the Borrower shall promptly upon such formation or acquisition cause such newly formed or acquired Material Subsidiary to execute a Guaranty or an Additional Guarantor Supplement in the form of Exhibit G attached hereto (the </w:t>
      </w:r>
      <w:r>
        <w:rPr>
          <w:rFonts w:ascii="Times New Roman;Times;serif" w:hAnsi="Times New Roman;Times;serif"/>
          <w:i/>
          <w:sz w:val="24"/>
        </w:rPr>
        <w:t>“</w:t>
      </w:r>
      <w:r>
        <w:rPr>
          <w:rFonts w:ascii="Times New Roman;Times;serif" w:hAnsi="Times New Roman;Times;serif"/>
          <w:b/>
          <w:i/>
          <w:sz w:val="24"/>
        </w:rPr>
        <w:t>Additional Guarantor Supplement</w:t>
      </w:r>
      <w:r>
        <w:rPr>
          <w:rFonts w:ascii="Times New Roman;Times;serif" w:hAnsi="Times New Roman;Times;serif"/>
          <w:i/>
          <w:sz w:val="24"/>
        </w:rPr>
        <w:t>”</w:t>
      </w:r>
      <w:r>
        <w:rPr>
          <w:rFonts w:ascii="Times New Roman;Times;serif" w:hAnsi="Times New Roman;Times;serif"/>
          <w:i w:val="false"/>
          <w:caps w:val="false"/>
          <w:smallCaps w:val="false"/>
          <w:sz w:val="24"/>
        </w:rPr>
        <w:t>)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5.</w:t>
      </w:r>
      <w:bookmarkStart w:id="1695" w:name="_Toc221027838"/>
      <w:bookmarkEnd w:id="1695"/>
      <w:r>
        <w:rPr>
          <w:rFonts w:ascii="Times New Roman;Times;serif" w:hAnsi="Times New Roman;Times;serif"/>
          <w:caps/>
          <w:sz w:val="24"/>
        </w:rPr>
        <w:t>Definitions; Interpretation.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5.1.</w:t>
      </w:r>
      <w:bookmarkStart w:id="1696" w:name="_Toc221027839"/>
      <w:bookmarkStart w:id="1697" w:name="_Ref70340498"/>
      <w:bookmarkEnd w:id="1696"/>
      <w:bookmarkEnd w:id="1697"/>
      <w:r>
        <w:rPr>
          <w:rFonts w:ascii="Times New Roman;Times;serif" w:hAnsi="Times New Roman;Times;serif"/>
          <w:i w:val="false"/>
          <w:caps w:val="false"/>
          <w:smallCaps w:val="false"/>
          <w:sz w:val="24"/>
          <w:u w:val="single"/>
        </w:rPr>
        <w:t>Definitions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The following terms when used herein shall have the following meanings:</w:t>
      </w:r>
    </w:p>
    <w:p>
      <w:pPr>
        <w:pStyle w:val="TextBody"/>
        <w:bidi w:val="0"/>
        <w:spacing w:before="0" w:after="240"/>
        <w:ind w:left="0" w:right="0" w:firstLine="720"/>
        <w:jc w:val="both"/>
        <w:rPr/>
      </w:pPr>
      <w:r>
        <w:rPr/>
        <w:t>“</w:t>
      </w:r>
      <w:r>
        <w:rPr>
          <w:rFonts w:ascii="Times" w:hAnsi="Times"/>
          <w:i/>
          <w:sz w:val="24"/>
        </w:rPr>
        <w:t xml:space="preserve">1031 Cash Proceeds” </w:t>
      </w:r>
      <w:r>
        <w:rPr>
          <w:rFonts w:ascii="Times" w:hAnsi="Times"/>
          <w:sz w:val="24"/>
        </w:rPr>
        <w:t xml:space="preserve">means cash proceeds from the sale of Property in a transaction under Section 1031 of the Code held by a qualifying intermediary; </w:t>
      </w:r>
      <w:r>
        <w:rPr>
          <w:rFonts w:ascii="Times" w:hAnsi="Times"/>
          <w:i/>
          <w:sz w:val="24"/>
        </w:rPr>
        <w:t>provided</w:t>
      </w:r>
      <w:r>
        <w:rPr>
          <w:rFonts w:ascii="Times" w:hAnsi="Times"/>
          <w:sz w:val="24"/>
        </w:rPr>
        <w:t>, that, such proceeds shall cease to be 1031 Cash Proceeds as of the last day on which Borrower or the applicable Subsidiary can consummate a tax-deferred transaction under Section 1031 of the Code.</w:t>
      </w:r>
    </w:p>
    <w:p>
      <w:pPr>
        <w:pStyle w:val="TextBody"/>
        <w:bidi w:val="0"/>
        <w:spacing w:before="0" w:after="240"/>
        <w:ind w:left="0" w:right="0" w:firstLine="720"/>
        <w:jc w:val="both"/>
        <w:rPr/>
      </w:pPr>
      <w:r>
        <w:rPr/>
        <w:t>“</w:t>
      </w:r>
      <w:r>
        <w:rPr>
          <w:rFonts w:ascii="Times" w:hAnsi="Times"/>
          <w:i/>
          <w:sz w:val="24"/>
        </w:rPr>
        <w:t>1031 Property”</w:t>
      </w:r>
      <w:r>
        <w:rPr>
          <w:rFonts w:ascii="Times" w:hAnsi="Times"/>
          <w:sz w:val="24"/>
        </w:rPr>
        <w:t xml:space="preserve"> means, as of any Unencumbered Pool Determination Date, any Property owned by a 1031 Property Holder which is intended to qualify for tax treatment under, Section 1031 of the Code and which satisfies the following conditions: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(i)the Property meets all of the requirements of the definition of Eligible Property; and</w:t>
      </w:r>
    </w:p>
    <w:p>
      <w:pPr>
        <w:pStyle w:val="TextBody"/>
        <w:bidi w:val="0"/>
        <w:spacing w:before="0" w:after="240"/>
        <w:ind w:left="720" w:right="0" w:hanging="0"/>
        <w:jc w:val="both"/>
        <w:rPr>
          <w:rFonts w:ascii="Times" w:hAnsi="Times"/>
          <w:sz w:val="24"/>
        </w:rPr>
      </w:pPr>
      <w:r>
        <w:rPr>
          <w:rFonts w:ascii="Times" w:hAnsi="Times"/>
          <w:sz w:val="24"/>
        </w:rPr>
        <w:t>(ii)the Borrower or a Guarantor has the unconditional contractual right to require and cause fee simple title to such Property to be transferred at any time to any Person as directed by the Borrower or a Guarantor.</w:t>
      </w:r>
    </w:p>
    <w:p>
      <w:pPr>
        <w:pStyle w:val="TextBody"/>
        <w:bidi w:val="0"/>
        <w:spacing w:before="0" w:after="240"/>
        <w:ind w:left="0" w:right="0" w:firstLine="720"/>
        <w:jc w:val="both"/>
        <w:rPr>
          <w:rFonts w:ascii="Times" w:hAnsi="Times"/>
          <w:sz w:val="24"/>
        </w:rPr>
      </w:pPr>
      <w:r>
        <w:rPr>
          <w:rFonts w:ascii="Times" w:hAnsi="Times"/>
          <w:sz w:val="24"/>
        </w:rPr>
        <w:t>For purposes of determining Total Asset Value, such 1031 Property shall be deemed to have been owned or leased by the Borrower or a Guarantor from the date acquired by the 1031 Property Holder that owns such 1031 Property.</w:t>
      </w:r>
    </w:p>
    <w:p>
      <w:pPr>
        <w:pStyle w:val="TextBody"/>
        <w:bidi w:val="0"/>
        <w:spacing w:before="0" w:after="240"/>
        <w:ind w:left="0" w:right="0" w:firstLine="720"/>
        <w:jc w:val="both"/>
        <w:rPr/>
      </w:pPr>
      <w:r>
        <w:rPr/>
        <w:t>“</w:t>
      </w:r>
      <w:r>
        <w:rPr>
          <w:rFonts w:ascii="Times" w:hAnsi="Times"/>
          <w:i/>
          <w:sz w:val="24"/>
        </w:rPr>
        <w:t>1031 Property Holder”</w:t>
      </w:r>
      <w:r>
        <w:rPr>
          <w:rFonts w:ascii="Times" w:hAnsi="Times"/>
          <w:sz w:val="24"/>
        </w:rPr>
        <w:t xml:space="preserve"> means the “qualified intermediary” or “exchange accommodation titleholder” with respect to a 1031 Property as contemplated under Section 1031 of the Code, the regulations of the U.S. Department of Treasury adopted thereunder and related revenue procedures related thereto.</w:t>
      </w:r>
    </w:p>
    <w:p>
      <w:pPr>
        <w:pStyle w:val="TextBody"/>
        <w:bidi w:val="0"/>
        <w:spacing w:before="0" w:after="240"/>
        <w:ind w:left="0" w:right="0" w:firstLine="720"/>
        <w:jc w:val="both"/>
        <w:rPr/>
      </w:pPr>
      <w:bookmarkStart w:id="1698" w:name="_Hlk219724025"/>
      <w:bookmarkEnd w:id="1698"/>
      <w:r>
        <w:rPr/>
        <w:t>“</w:t>
      </w:r>
      <w:r>
        <w:rPr>
          <w:rFonts w:ascii="Times" w:hAnsi="Times"/>
          <w:i/>
          <w:sz w:val="24"/>
        </w:rPr>
        <w:t>2029 Term Loan”</w:t>
      </w:r>
      <w:r>
        <w:rPr>
          <w:rFonts w:ascii="Times" w:hAnsi="Times"/>
          <w:sz w:val="24"/>
        </w:rPr>
        <w:t xml:space="preserve"> means the Term Loan made by each Lender in the amount of such Lender’s 2029 Term Loan Commitment pursuant to Section 1.2(a) hereof.</w:t>
      </w:r>
    </w:p>
    <w:p>
      <w:pPr>
        <w:pStyle w:val="TextBody"/>
        <w:bidi w:val="0"/>
        <w:spacing w:before="0" w:after="240"/>
        <w:ind w:left="0" w:right="0" w:firstLine="720"/>
        <w:jc w:val="both"/>
        <w:rPr/>
      </w:pPr>
      <w:r>
        <w:rPr/>
        <w:t>“</w:t>
      </w:r>
      <w:r>
        <w:rPr>
          <w:rFonts w:ascii="Times" w:hAnsi="Times"/>
          <w:i/>
          <w:sz w:val="24"/>
        </w:rPr>
        <w:t>2029 Term Loan Commitment”</w:t>
      </w:r>
      <w:r>
        <w:rPr>
          <w:rFonts w:ascii="Times" w:hAnsi="Times"/>
          <w:sz w:val="24"/>
        </w:rPr>
        <w:t xml:space="preserve"> means, as to any Lender, the amount set forth opposite such Lender’s name under the heading 2029 Term Loan Commitment on Schedule 1 attached hereto and made a part hereof.  The Borrower and the Lenders acknowledge and agree that the 2029 Term Loan Commitments of the Lenders aggregate $100,000,000 as of the date hereof.</w:t>
      </w:r>
    </w:p>
    <w:p>
      <w:pPr>
        <w:pStyle w:val="TextBody"/>
        <w:bidi w:val="0"/>
        <w:spacing w:before="0" w:after="240"/>
        <w:ind w:left="0" w:right="0" w:firstLine="720"/>
        <w:jc w:val="both"/>
        <w:rPr/>
      </w:pPr>
      <w:r>
        <w:rPr/>
        <w:t>“</w:t>
      </w:r>
      <w:r>
        <w:rPr>
          <w:rFonts w:ascii="Times" w:hAnsi="Times"/>
          <w:sz w:val="24"/>
        </w:rPr>
        <w:t xml:space="preserve">2029 </w:t>
      </w:r>
      <w:r>
        <w:rPr>
          <w:rFonts w:ascii="Times" w:hAnsi="Times"/>
          <w:i/>
          <w:sz w:val="24"/>
        </w:rPr>
        <w:t>Term Facility</w:t>
      </w:r>
      <w:r>
        <w:rPr>
          <w:rFonts w:ascii="Times" w:hAnsi="Times"/>
          <w:sz w:val="24"/>
        </w:rPr>
        <w:t>” means, the aggregate principal amount of the 2029 Term Loans of all 2029 Term Lenders outstanding at such time.</w:t>
      </w:r>
    </w:p>
    <w:p>
      <w:pPr>
        <w:pStyle w:val="TextBody"/>
        <w:bidi w:val="0"/>
        <w:spacing w:before="0" w:after="240"/>
        <w:ind w:left="0" w:right="0" w:firstLine="720"/>
        <w:jc w:val="both"/>
        <w:rPr/>
      </w:pPr>
      <w:r>
        <w:rPr/>
        <w:t>“</w:t>
      </w:r>
      <w:r>
        <w:rPr>
          <w:rFonts w:ascii="Times" w:hAnsi="Times"/>
          <w:sz w:val="24"/>
        </w:rPr>
        <w:t xml:space="preserve">2029 </w:t>
      </w:r>
      <w:r>
        <w:rPr>
          <w:rFonts w:ascii="Times" w:hAnsi="Times"/>
          <w:i/>
          <w:sz w:val="24"/>
        </w:rPr>
        <w:t>Term Lender</w:t>
      </w:r>
      <w:r>
        <w:rPr>
          <w:rFonts w:ascii="Times" w:hAnsi="Times"/>
          <w:sz w:val="24"/>
        </w:rPr>
        <w:t>” means, each Lender that holds a 2029 Term Loan or 2029 Term Loan Commitment.</w:t>
      </w:r>
    </w:p>
    <w:p>
      <w:pPr>
        <w:pStyle w:val="TextBody"/>
        <w:bidi w:val="0"/>
        <w:spacing w:before="0" w:after="240"/>
        <w:ind w:left="0" w:right="0" w:firstLine="720"/>
        <w:jc w:val="both"/>
        <w:rPr/>
      </w:pPr>
      <w:r>
        <w:rPr/>
        <w:t>“</w:t>
      </w:r>
      <w:r>
        <w:rPr>
          <w:rFonts w:ascii="Times" w:hAnsi="Times"/>
          <w:i/>
          <w:sz w:val="24"/>
        </w:rPr>
        <w:t>2031 Term Loan”</w:t>
      </w:r>
      <w:r>
        <w:rPr>
          <w:rFonts w:ascii="Times" w:hAnsi="Times"/>
          <w:sz w:val="24"/>
        </w:rPr>
        <w:t xml:space="preserve"> means the Term Loan made by each Lender in the amount of such Lender’s 2031 Term Loan Commitment pursuant to Section 1.2(b) hereof.</w:t>
      </w:r>
    </w:p>
    <w:p>
      <w:pPr>
        <w:pStyle w:val="TextBody"/>
        <w:bidi w:val="0"/>
        <w:spacing w:before="0" w:after="240"/>
        <w:ind w:left="0" w:right="0" w:firstLine="720"/>
        <w:jc w:val="both"/>
        <w:rPr/>
      </w:pPr>
      <w:r>
        <w:rPr/>
        <w:t>“</w:t>
      </w:r>
      <w:r>
        <w:rPr>
          <w:rFonts w:ascii="Times" w:hAnsi="Times"/>
          <w:i/>
          <w:sz w:val="24"/>
        </w:rPr>
        <w:t>2031 Term Loan Commitment”</w:t>
      </w:r>
      <w:r>
        <w:rPr>
          <w:rFonts w:ascii="Times" w:hAnsi="Times"/>
          <w:sz w:val="24"/>
        </w:rPr>
        <w:t xml:space="preserve"> means, as to any Lender, the amount set forth opposite such Lender’s name under the heading 2031 Term Loan Commitment on Schedule 1 attached hereto and made a part hereof.  The Borrower and the Lenders acknowledge and agree that the 2031 Term Loan Commitments of the Lenders aggregate $100,000,000 as of the date hereof.</w:t>
      </w:r>
    </w:p>
    <w:p>
      <w:pPr>
        <w:pStyle w:val="TextBody"/>
        <w:bidi w:val="0"/>
        <w:spacing w:before="0" w:after="240"/>
        <w:ind w:left="0" w:right="0" w:firstLine="720"/>
        <w:jc w:val="both"/>
        <w:rPr/>
      </w:pPr>
      <w:r>
        <w:rPr/>
        <w:t>“</w:t>
      </w:r>
      <w:r>
        <w:rPr>
          <w:rFonts w:ascii="Times" w:hAnsi="Times"/>
          <w:sz w:val="24"/>
        </w:rPr>
        <w:t xml:space="preserve">2031 </w:t>
      </w:r>
      <w:r>
        <w:rPr>
          <w:rFonts w:ascii="Times" w:hAnsi="Times"/>
          <w:i/>
          <w:sz w:val="24"/>
        </w:rPr>
        <w:t>Term Facility</w:t>
      </w:r>
      <w:r>
        <w:rPr>
          <w:rFonts w:ascii="Times" w:hAnsi="Times"/>
          <w:sz w:val="24"/>
        </w:rPr>
        <w:t>” means, the aggregate principal amount of the 2031 Term Loans of all 2031 Term Lenders outstanding at such time.</w:t>
      </w:r>
    </w:p>
    <w:p>
      <w:pPr>
        <w:pStyle w:val="TextBody"/>
        <w:bidi w:val="0"/>
        <w:spacing w:before="0" w:after="240"/>
        <w:ind w:left="0" w:right="0" w:firstLine="720"/>
        <w:jc w:val="both"/>
        <w:rPr/>
      </w:pPr>
      <w:r>
        <w:rPr/>
        <w:t>“</w:t>
      </w:r>
      <w:r>
        <w:rPr>
          <w:rFonts w:ascii="Times" w:hAnsi="Times"/>
          <w:sz w:val="24"/>
        </w:rPr>
        <w:t xml:space="preserve">2031 </w:t>
      </w:r>
      <w:r>
        <w:rPr>
          <w:rFonts w:ascii="Times" w:hAnsi="Times"/>
          <w:i/>
          <w:sz w:val="24"/>
        </w:rPr>
        <w:t>Term Lender</w:t>
      </w:r>
      <w:r>
        <w:rPr>
          <w:rFonts w:ascii="Times" w:hAnsi="Times"/>
          <w:sz w:val="24"/>
        </w:rPr>
        <w:t>” means, each Lender that holds a 2031 Term Loan or 2031 Term Loan Commitment.</w:t>
      </w:r>
    </w:p>
    <w:p>
      <w:pPr>
        <w:pStyle w:val="TextBody"/>
        <w:bidi w:val="0"/>
        <w:spacing w:before="0" w:after="0"/>
        <w:ind w:left="0" w:right="0" w:firstLine="720"/>
        <w:jc w:val="both"/>
        <w:rPr/>
      </w:pPr>
      <w:r>
        <w:rPr/>
        <w:t>“</w:t>
      </w:r>
      <w:r>
        <w:rPr>
          <w:rFonts w:ascii="Times" w:hAnsi="Times"/>
          <w:i/>
          <w:sz w:val="24"/>
        </w:rPr>
        <w:t>Acceptable Leasehold Interest</w:t>
      </w:r>
      <w:r>
        <w:rPr>
          <w:rFonts w:ascii="Times" w:hAnsi="Times"/>
          <w:sz w:val="24"/>
        </w:rPr>
        <w:t xml:space="preserve">” means a ground leasehold interest where the Borrower or its Subsidiary is the lessee thereunder, as to which no default (other than a default which remains subject to grace or cure periods) or event of default has occurred or with the passage of time or the giving of notice would occur, and containing (a) the following terms and conditions: (i)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remaining term (including any unexercised extension options that the lessee can unilaterally exercise without the need to obtain the consent of the lessor or to pay the lessor any amount as a condition to the effectiveness of such extension) of 30 years or more from the Closing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(iv) reasonable transferability of the lessee’s interest under such lease, including ability to sublease; and (v) such other rights customarily required by mortgagees making a loan secured by the interest of the holder of the leasehold estate demised pursuant to a ground lease as reasonably approved by the Administrative Agent; or (b) terms and conditions otherwise reasonably acceptable to the Administrative Agent.</w:t>
      </w:r>
    </w:p>
    <w:p>
      <w:pPr>
        <w:pStyle w:val="TextBody"/>
        <w:bidi w:val="0"/>
        <w:spacing w:before="0" w:after="240"/>
        <w:ind w:left="0" w:right="0" w:firstLine="720"/>
        <w:jc w:val="both"/>
        <w:rPr/>
      </w:pPr>
      <w:r>
        <w:rPr/>
        <w:t>“</w:t>
      </w:r>
      <w:r>
        <w:rPr>
          <w:rFonts w:ascii="Times" w:hAnsi="Times"/>
          <w:i/>
          <w:sz w:val="24"/>
        </w:rPr>
        <w:t>Additional Guarantor Supplement”</w:t>
      </w:r>
      <w:r>
        <w:rPr>
          <w:rFonts w:ascii="Times" w:hAnsi="Times"/>
          <w:sz w:val="24"/>
        </w:rPr>
        <w:t xml:space="preserve"> is defined in Section 4.2 hereof.</w:t>
      </w:r>
    </w:p>
    <w:p>
      <w:pPr>
        <w:pStyle w:val="TextBody"/>
        <w:bidi w:val="0"/>
        <w:spacing w:before="0" w:after="240"/>
        <w:ind w:left="0" w:right="0" w:firstLine="720"/>
        <w:jc w:val="both"/>
        <w:rPr/>
      </w:pPr>
      <w:r>
        <w:rPr/>
        <w:t>“</w:t>
      </w:r>
      <w:r>
        <w:rPr>
          <w:rFonts w:ascii="Times" w:hAnsi="Times"/>
          <w:i/>
          <w:sz w:val="24"/>
        </w:rPr>
        <w:t>Adjusted Availability</w:t>
      </w:r>
      <w:r>
        <w:rPr>
          <w:rFonts w:ascii="Times" w:hAnsi="Times"/>
          <w:sz w:val="24"/>
        </w:rPr>
        <w:t xml:space="preserve">” means, at any time of determination, an amount equal to (x) the Gross Availability </w:t>
      </w:r>
      <w:r>
        <w:rPr>
          <w:rFonts w:ascii="Times" w:hAnsi="Times"/>
          <w:i/>
          <w:sz w:val="24"/>
        </w:rPr>
        <w:t>minus</w:t>
      </w:r>
      <w:r>
        <w:rPr>
          <w:rFonts w:ascii="Times" w:hAnsi="Times"/>
          <w:sz w:val="24"/>
        </w:rPr>
        <w:t xml:space="preserve"> (y) the aggregate Other Unsecured Indebtedness outstanding on such date. </w:t>
      </w:r>
    </w:p>
    <w:p>
      <w:pPr>
        <w:pStyle w:val="TextBody"/>
        <w:bidi w:val="0"/>
        <w:spacing w:before="0" w:after="240"/>
        <w:ind w:left="0" w:right="0" w:firstLine="720"/>
        <w:jc w:val="both"/>
        <w:rPr/>
      </w:pPr>
      <w:r>
        <w:rPr/>
        <w:t>“</w:t>
      </w:r>
      <w:r>
        <w:rPr>
          <w:rFonts w:ascii="Times" w:hAnsi="Times"/>
          <w:i/>
          <w:sz w:val="24"/>
        </w:rPr>
        <w:t>Adjusted FFO”</w:t>
      </w:r>
      <w:r>
        <w:rPr>
          <w:rFonts w:ascii="Times" w:hAnsi="Times"/>
          <w:sz w:val="24"/>
        </w:rPr>
        <w:t xml:space="preserve"> means for any period, “funds from operations” as defined in accordance with resolutions adopted by the Board of Governors of the National Association of Real Estate Investment Trusts as in effect from time to time; </w:t>
      </w:r>
      <w:r>
        <w:rPr>
          <w:rFonts w:ascii="Times" w:hAnsi="Times"/>
          <w:i/>
          <w:sz w:val="24"/>
        </w:rPr>
        <w:t>provided</w:t>
      </w:r>
      <w:r>
        <w:rPr>
          <w:rFonts w:ascii="Times" w:hAnsi="Times"/>
          <w:sz w:val="24"/>
        </w:rPr>
        <w:t xml:space="preserve"> that Adjusted FFO shall (i) be based on net income after payment of distributions to holders of preferred partnership units in Borrower and distributions necessary to pay holders of preferred stock of Parent, and (ii) at all times exclude (a) charges for impairment losses from property sales, (b) stock-based compensation, (c) write-offs or reserves of straight-line rent related to sold assets, (d) amortization of debt costs, (e) non-recurring charges, including, without limitation, acquisition expenses, non-cash charges related to the write-off of deferred equity and financing costs and one-time charges related to the transition to self-management; and (f) other non-cash items as mutually agreed upon by Borrower and Administrative Agent.  </w:t>
      </w:r>
    </w:p>
    <w:p>
      <w:pPr>
        <w:pStyle w:val="TextBody"/>
        <w:bidi w:val="0"/>
        <w:spacing w:before="0" w:after="240"/>
        <w:ind w:left="0" w:right="0" w:firstLine="720"/>
        <w:jc w:val="both"/>
        <w:rPr/>
      </w:pPr>
      <w:r>
        <w:rPr/>
        <w:t>“</w:t>
      </w:r>
      <w:r>
        <w:rPr>
          <w:rFonts w:ascii="Times" w:hAnsi="Times"/>
          <w:i/>
          <w:sz w:val="24"/>
        </w:rPr>
        <w:t xml:space="preserve">Administrative Agent” </w:t>
      </w:r>
      <w:r>
        <w:rPr>
          <w:rFonts w:ascii="Times" w:hAnsi="Times"/>
          <w:sz w:val="24"/>
        </w:rPr>
        <w:t>means Truist Bank, in its capacity as Administrative Agent hereunder, and any successor in such capacity pursuant to Section 11.6 hereof.</w:t>
      </w:r>
    </w:p>
    <w:p>
      <w:pPr>
        <w:pStyle w:val="TextBody"/>
        <w:bidi w:val="0"/>
        <w:spacing w:before="0" w:after="240"/>
        <w:ind w:left="0" w:right="0" w:firstLine="720"/>
        <w:jc w:val="both"/>
        <w:rPr/>
      </w:pPr>
      <w:r>
        <w:rPr/>
        <w:t>“</w:t>
      </w:r>
      <w:r>
        <w:rPr>
          <w:rFonts w:ascii="Times" w:hAnsi="Times"/>
          <w:i/>
          <w:sz w:val="24"/>
        </w:rPr>
        <w:t xml:space="preserve">Administrative Questionnaire” </w:t>
      </w:r>
      <w:r>
        <w:rPr>
          <w:rFonts w:ascii="Times" w:hAnsi="Times"/>
          <w:sz w:val="24"/>
        </w:rPr>
        <w:t>means an Administrative Questionnaire in a form supplied by the Administrative Agent.</w:t>
      </w:r>
    </w:p>
    <w:p>
      <w:pPr>
        <w:pStyle w:val="TextBody"/>
        <w:bidi w:val="0"/>
        <w:spacing w:before="0" w:after="240"/>
        <w:ind w:left="0" w:right="0" w:firstLine="720"/>
        <w:jc w:val="both"/>
        <w:rPr/>
      </w:pPr>
      <w:r>
        <w:rPr/>
        <w:t>“</w:t>
      </w:r>
      <w:r>
        <w:rPr>
          <w:rFonts w:ascii="Times" w:hAnsi="Times"/>
          <w:i/>
          <w:sz w:val="24"/>
        </w:rPr>
        <w:t xml:space="preserve">Affected Financial Institution” </w:t>
      </w:r>
      <w:r>
        <w:rPr>
          <w:rFonts w:ascii="Times" w:hAnsi="Times"/>
          <w:sz w:val="24"/>
        </w:rPr>
        <w:t>means (a) any EEA Financial Institution or (b) any UK Financial Institution.</w:t>
      </w:r>
    </w:p>
    <w:p>
      <w:pPr>
        <w:pStyle w:val="TextBody"/>
        <w:bidi w:val="0"/>
        <w:spacing w:before="0" w:after="240"/>
        <w:ind w:left="0" w:right="0" w:firstLine="720"/>
        <w:jc w:val="both"/>
        <w:rPr/>
      </w:pPr>
      <w:r>
        <w:rPr/>
        <w:t>“</w:t>
      </w:r>
      <w:r>
        <w:rPr>
          <w:rFonts w:ascii="Times" w:hAnsi="Times"/>
          <w:i/>
          <w:sz w:val="24"/>
        </w:rPr>
        <w:t>Affected Lender”</w:t>
      </w:r>
      <w:r>
        <w:rPr>
          <w:rFonts w:ascii="Times" w:hAnsi="Times"/>
          <w:sz w:val="24"/>
        </w:rPr>
        <w:t xml:space="preserve"> is defined in Section 1.13 hereof.</w:t>
      </w:r>
    </w:p>
    <w:p>
      <w:pPr>
        <w:pStyle w:val="TextBody"/>
        <w:bidi w:val="0"/>
        <w:spacing w:before="0" w:after="0"/>
        <w:ind w:left="0" w:right="0" w:firstLine="720"/>
        <w:jc w:val="both"/>
        <w:rPr/>
      </w:pPr>
      <w:r>
        <w:rPr/>
        <w:t>“</w:t>
      </w:r>
      <w:r>
        <w:rPr>
          <w:rFonts w:ascii="Times" w:hAnsi="Times"/>
          <w:i/>
          <w:sz w:val="24"/>
        </w:rPr>
        <w:t>Affiliate”</w:t>
      </w:r>
      <w:r>
        <w:rPr>
          <w:rFonts w:ascii="Times" w:hAnsi="Times"/>
          <w:sz w:val="24"/>
        </w:rPr>
        <w:t xml:space="preserv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w:hAnsi="Times"/>
          <w:i/>
          <w:sz w:val="24"/>
        </w:rPr>
        <w:t>provided that</w:t>
      </w:r>
      <w:r>
        <w:rPr>
          <w:rFonts w:ascii="Times" w:hAnsi="Times"/>
          <w:sz w:val="24"/>
        </w:rPr>
        <w:t xml:space="preserve">, in any event for purposes of this definition, any Person that owns, directly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or indirectly, 20% or more of the securities having the ordinary voting power for the election of directors or governing body of a corporation or 20% or more of the partnership or other ownership interest of any other Person (other than as a limited partner of such other Person) will be deemed to control such corporation or other Person.</w:t>
      </w:r>
    </w:p>
    <w:p>
      <w:pPr>
        <w:pStyle w:val="TextBody"/>
        <w:bidi w:val="0"/>
        <w:spacing w:before="0" w:after="240"/>
        <w:ind w:left="0" w:right="0" w:firstLine="720"/>
        <w:jc w:val="both"/>
        <w:rPr/>
      </w:pPr>
      <w:r>
        <w:rPr/>
        <w:t>“</w:t>
      </w:r>
      <w:r>
        <w:rPr>
          <w:rFonts w:ascii="Times" w:hAnsi="Times"/>
          <w:i/>
          <w:sz w:val="24"/>
        </w:rPr>
        <w:t>Agreement”</w:t>
      </w:r>
      <w:r>
        <w:rPr>
          <w:rFonts w:ascii="Times" w:hAnsi="Times"/>
          <w:sz w:val="24"/>
        </w:rPr>
        <w:t xml:space="preserve"> means this Amended and Restated Credit Agreement, as the same may be amended, modified, restated or supplemented from time to time pursuant to the terms hereof.</w:t>
      </w:r>
    </w:p>
    <w:p>
      <w:pPr>
        <w:pStyle w:val="TextBody"/>
        <w:bidi w:val="0"/>
        <w:spacing w:before="0" w:after="240"/>
        <w:ind w:left="0" w:right="0" w:firstLine="720"/>
        <w:jc w:val="both"/>
        <w:rPr/>
      </w:pPr>
      <w:r>
        <w:rPr/>
        <w:t>“</w:t>
      </w:r>
      <w:r>
        <w:rPr>
          <w:rFonts w:ascii="Times New Roman;Times;serif" w:hAnsi="Times New Roman;Times;serif"/>
          <w:i/>
          <w:sz w:val="24"/>
        </w:rPr>
        <w:t>Alpine Valley</w:t>
      </w:r>
      <w:r>
        <w:rPr>
          <w:rFonts w:ascii="Times" w:hAnsi="Times"/>
          <w:sz w:val="24"/>
        </w:rPr>
        <w:t xml:space="preserve">” </w:t>
      </w:r>
      <w:r>
        <w:rPr>
          <w:rFonts w:ascii="Times New Roman;Times;serif" w:hAnsi="Times New Roman;Times;serif"/>
          <w:sz w:val="24"/>
        </w:rPr>
        <w:t>means that certain property located in East Troy, Wisconsin comprising approximately 93,322 square feet known as of the Closing Date as “Alpine Valley Music Theatre”.</w:t>
      </w:r>
    </w:p>
    <w:p>
      <w:pPr>
        <w:pStyle w:val="TextBody"/>
        <w:bidi w:val="0"/>
        <w:spacing w:before="0" w:after="240"/>
        <w:ind w:left="0" w:right="0" w:firstLine="720"/>
        <w:jc w:val="both"/>
        <w:rPr/>
      </w:pPr>
      <w:r>
        <w:rPr/>
        <w:t>“</w:t>
      </w:r>
      <w:r>
        <w:rPr>
          <w:rFonts w:ascii="Times" w:hAnsi="Times"/>
          <w:i/>
          <w:sz w:val="24"/>
        </w:rPr>
        <w:t>Annual Capital Expenditure Reserve”</w:t>
      </w:r>
      <w:r>
        <w:rPr>
          <w:rFonts w:ascii="Times" w:hAnsi="Times"/>
          <w:sz w:val="24"/>
        </w:rPr>
        <w:t xml:space="preserve"> means the sum of (a) an amount equal to the product of (i) $0.10 </w:t>
      </w:r>
      <w:r>
        <w:rPr>
          <w:rFonts w:ascii="Times" w:hAnsi="Times"/>
          <w:i/>
          <w:sz w:val="24"/>
        </w:rPr>
        <w:t>multiplied by</w:t>
      </w:r>
      <w:r>
        <w:rPr>
          <w:rFonts w:ascii="Times" w:hAnsi="Times"/>
          <w:sz w:val="24"/>
        </w:rPr>
        <w:t xml:space="preserve"> (ii) the aggregate net rentable area, determined on a square footage basis, for retail net lease properties, </w:t>
      </w:r>
      <w:r>
        <w:rPr>
          <w:rFonts w:ascii="Times" w:hAnsi="Times"/>
          <w:i/>
          <w:sz w:val="24"/>
        </w:rPr>
        <w:t>plus</w:t>
      </w:r>
      <w:r>
        <w:rPr>
          <w:rFonts w:ascii="Times" w:hAnsi="Times"/>
          <w:sz w:val="24"/>
        </w:rPr>
        <w:t xml:space="preserve"> (b) an amount equal to the product of (i) $0.25 </w:t>
      </w:r>
      <w:r>
        <w:rPr>
          <w:rFonts w:ascii="Times" w:hAnsi="Times"/>
          <w:i/>
          <w:sz w:val="24"/>
        </w:rPr>
        <w:t>multiplied by</w:t>
      </w:r>
      <w:r>
        <w:rPr>
          <w:rFonts w:ascii="Times" w:hAnsi="Times"/>
          <w:sz w:val="24"/>
        </w:rPr>
        <w:t xml:space="preserve"> (ii) the aggregate net rentable area, determined on a square footage basis, for non-retail net lease properties; </w:t>
      </w:r>
      <w:r>
        <w:rPr>
          <w:rFonts w:ascii="Times" w:hAnsi="Times"/>
          <w:i/>
          <w:sz w:val="24"/>
        </w:rPr>
        <w:t>provided, however</w:t>
      </w:r>
      <w:r>
        <w:rPr>
          <w:rFonts w:ascii="Times" w:hAnsi="Times"/>
          <w:sz w:val="24"/>
        </w:rPr>
        <w:t xml:space="preserve">, this definition of Annual Capital Expenditure Reserve shall not apply to any Land Assets, Assets Under Development or any Ground Leases with Borrower or a Subsidiary as lessor; </w:t>
      </w:r>
      <w:r>
        <w:rPr>
          <w:rFonts w:ascii="Times" w:hAnsi="Times"/>
          <w:i/>
          <w:sz w:val="24"/>
        </w:rPr>
        <w:t>provided</w:t>
      </w:r>
      <w:r>
        <w:rPr>
          <w:rFonts w:ascii="Times" w:hAnsi="Times"/>
          <w:sz w:val="24"/>
        </w:rPr>
        <w:t xml:space="preserve"> that the Borrower is not obligated for such Capital Expenditures.</w:t>
      </w:r>
    </w:p>
    <w:p>
      <w:pPr>
        <w:pStyle w:val="TextBody"/>
        <w:bidi w:val="0"/>
        <w:spacing w:before="0" w:after="240"/>
        <w:ind w:left="0" w:right="0" w:firstLine="720"/>
        <w:jc w:val="both"/>
        <w:rPr/>
      </w:pPr>
      <w:r>
        <w:rPr/>
        <w:t>“</w:t>
      </w:r>
      <w:r>
        <w:rPr>
          <w:rFonts w:ascii="Times" w:hAnsi="Times"/>
          <w:i/>
          <w:sz w:val="24"/>
        </w:rPr>
        <w:t>Anti-Corruption Law”</w:t>
      </w:r>
      <w:r>
        <w:rPr>
          <w:rFonts w:ascii="Times" w:hAnsi="Times"/>
          <w:sz w:val="24"/>
        </w:rPr>
        <w:t xml:space="preserve"> shall mean all laws, rules, and regulations of any jurisdiction applicable to the Loan Parties or any of their Subsidiaries from time to time concerning or relating to bribery or corruption. </w:t>
      </w:r>
    </w:p>
    <w:p>
      <w:pPr>
        <w:pStyle w:val="TextBody"/>
        <w:bidi w:val="0"/>
        <w:spacing w:before="0" w:after="240"/>
        <w:ind w:left="0" w:right="0" w:firstLine="720"/>
        <w:jc w:val="both"/>
        <w:rPr/>
      </w:pPr>
      <w:r>
        <w:rPr/>
        <w:t>“</w:t>
      </w:r>
      <w:r>
        <w:rPr>
          <w:rFonts w:ascii="Times" w:hAnsi="Times"/>
          <w:i/>
          <w:sz w:val="24"/>
        </w:rPr>
        <w:t>Applicable Margin”</w:t>
      </w:r>
      <w:r>
        <w:rPr>
          <w:rFonts w:ascii="Times" w:hAnsi="Times"/>
          <w:sz w:val="24"/>
        </w:rPr>
        <w:t xml:space="preserve"> means, with respect to Loans of any Class, Reimbursement Obligations, and the commitment fees and letter of credit fees payable under Section 2.1 hereof, until the first Pricing Date, the rates shown opposite Level III below, and thereafter, from one Pricing Date to the next the rates per annum determined in accordance with the following schedule:</w:t>
      </w:r>
    </w:p>
    <w:tbl>
      <w:tblPr>
        <w:tblW w:w="10205" w:type="dxa"/>
        <w:jc w:val="center"/>
        <w:tblInd w:w="0" w:type="dxa"/>
        <w:tblLayout w:type="fixed"/>
        <w:tblCellMar>
          <w:top w:w="0" w:type="dxa"/>
          <w:left w:w="0" w:type="dxa"/>
          <w:bottom w:w="0" w:type="dxa"/>
          <w:right w:w="0" w:type="dxa"/>
        </w:tblCellMar>
      </w:tblPr>
      <w:tblGrid>
        <w:gridCol w:w="766"/>
        <w:gridCol w:w="2039"/>
        <w:gridCol w:w="1878"/>
        <w:gridCol w:w="1843"/>
        <w:gridCol w:w="1835"/>
        <w:gridCol w:w="1844"/>
      </w:tblGrid>
      <w:tr>
        <w:trPr/>
        <w:tc>
          <w:tcPr>
            <w:tcW w:w="766"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Level</w:t>
            </w:r>
          </w:p>
        </w:tc>
        <w:tc>
          <w:tcPr>
            <w:tcW w:w="2039"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1878"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Revolving Loans that are Base Rate Loans shall be:</w:t>
            </w:r>
          </w:p>
        </w:tc>
        <w:tc>
          <w:tcPr>
            <w:tcW w:w="1843"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Revolving Loans that are SOFR Loans Shall Be:</w:t>
            </w:r>
          </w:p>
        </w:tc>
        <w:tc>
          <w:tcPr>
            <w:tcW w:w="1835"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Term Loans that are Base Rate Loans shall be:</w:t>
            </w:r>
          </w:p>
        </w:tc>
        <w:tc>
          <w:tcPr>
            <w:tcW w:w="1844"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term loans that are SOFR Loans Shall Be:</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0.40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0.25%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1.25%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0.25%</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1.25%</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II</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0.45 to 1.00, but greater than 0.40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0.35%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1.35%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0.30%</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1.30%</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66"/>
        <w:gridCol w:w="2039"/>
        <w:gridCol w:w="1878"/>
        <w:gridCol w:w="1843"/>
        <w:gridCol w:w="1835"/>
        <w:gridCol w:w="1844"/>
      </w:tblGrid>
      <w:tr>
        <w:trPr/>
        <w:tc>
          <w:tcPr>
            <w:tcW w:w="766"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Level</w:t>
            </w:r>
          </w:p>
        </w:tc>
        <w:tc>
          <w:tcPr>
            <w:tcW w:w="2039"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1878"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Revolving Loans that are Base Rate Loans shall be:</w:t>
            </w:r>
          </w:p>
        </w:tc>
        <w:tc>
          <w:tcPr>
            <w:tcW w:w="1843"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Revolving Loans that are SOFR Loans Shall Be:</w:t>
            </w:r>
          </w:p>
        </w:tc>
        <w:tc>
          <w:tcPr>
            <w:tcW w:w="1835"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Term Loans that are Base Rate Loans shall be:</w:t>
            </w:r>
          </w:p>
        </w:tc>
        <w:tc>
          <w:tcPr>
            <w:tcW w:w="1844" w:type="dxa"/>
            <w:tcBorders/>
            <w:vAlign w:val="center"/>
          </w:tcPr>
          <w:p>
            <w:pPr>
              <w:pStyle w:val="TableHeading"/>
              <w:bidi w:val="0"/>
              <w:spacing w:before="0" w:after="240"/>
              <w:ind w:left="0" w:right="0" w:hanging="0"/>
              <w:jc w:val="center"/>
              <w:rPr>
                <w:rFonts w:ascii="Times" w:hAnsi="Times"/>
                <w:b w:val="false"/>
                <w:smallCaps/>
                <w:sz w:val="24"/>
              </w:rPr>
            </w:pPr>
            <w:r>
              <w:rPr>
                <w:rFonts w:ascii="Times" w:hAnsi="Times"/>
                <w:b w:val="false"/>
                <w:smallCaps/>
                <w:sz w:val="24"/>
              </w:rPr>
              <w:t>Applicable Margin for term loans that are SOFR Loans Shall Be:</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III</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0.50 to 1.00, but greater than 0.45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0.50%</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1.50%</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0.45 %</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1.45%</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IV</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0.55 to 1.00, but greater than 0.50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0.65%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1.65%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0.60%</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1.60%</w:t>
            </w:r>
          </w:p>
        </w:tc>
      </w:tr>
      <w:tr>
        <w:trPr/>
        <w:tc>
          <w:tcPr>
            <w:tcW w:w="766"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V</w:t>
            </w:r>
          </w:p>
        </w:tc>
        <w:tc>
          <w:tcPr>
            <w:tcW w:w="2039" w:type="dxa"/>
            <w:tcBorders/>
            <w:vAlign w:val="center"/>
          </w:tcPr>
          <w:p>
            <w:pPr>
              <w:pStyle w:val="TableContents"/>
              <w:bidi w:val="0"/>
              <w:spacing w:before="200" w:after="240"/>
              <w:ind w:left="0" w:right="0" w:hanging="0"/>
              <w:jc w:val="both"/>
              <w:rPr>
                <w:rFonts w:ascii="Times" w:hAnsi="Times"/>
                <w:sz w:val="24"/>
              </w:rPr>
            </w:pPr>
            <w:r>
              <w:rPr>
                <w:rFonts w:ascii="Times" w:hAnsi="Times"/>
                <w:sz w:val="24"/>
              </w:rPr>
              <w:t>Less than or equal to 0.60 to 1.00, but greater than 0.55 to 1.00</w:t>
            </w:r>
          </w:p>
        </w:tc>
        <w:tc>
          <w:tcPr>
            <w:tcW w:w="1878"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0.95%</w:t>
            </w:r>
          </w:p>
        </w:tc>
        <w:tc>
          <w:tcPr>
            <w:tcW w:w="1843"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1.95%</w:t>
            </w:r>
          </w:p>
        </w:tc>
        <w:tc>
          <w:tcPr>
            <w:tcW w:w="1835"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0.90%</w:t>
            </w:r>
          </w:p>
        </w:tc>
        <w:tc>
          <w:tcPr>
            <w:tcW w:w="1844" w:type="dxa"/>
            <w:tcBorders/>
            <w:vAlign w:val="center"/>
          </w:tcPr>
          <w:p>
            <w:pPr>
              <w:pStyle w:val="TableContents"/>
              <w:bidi w:val="0"/>
              <w:spacing w:before="200" w:after="240"/>
              <w:ind w:left="0" w:right="0" w:hanging="0"/>
              <w:jc w:val="center"/>
              <w:rPr>
                <w:rFonts w:ascii="Times" w:hAnsi="Times"/>
                <w:sz w:val="24"/>
              </w:rPr>
            </w:pPr>
            <w:r>
              <w:rPr>
                <w:rFonts w:ascii="Times" w:hAnsi="Times"/>
                <w:sz w:val="24"/>
              </w:rPr>
              <w:t>1.90%</w:t>
            </w:r>
          </w:p>
        </w:tc>
      </w:tr>
      <w:tr>
        <w:trPr/>
        <w:tc>
          <w:tcPr>
            <w:tcW w:w="766"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VI</w:t>
            </w:r>
          </w:p>
        </w:tc>
        <w:tc>
          <w:tcPr>
            <w:tcW w:w="2039" w:type="dxa"/>
            <w:tcBorders/>
            <w:vAlign w:val="center"/>
          </w:tcPr>
          <w:p>
            <w:pPr>
              <w:pStyle w:val="TableContents"/>
              <w:bidi w:val="0"/>
              <w:spacing w:before="0" w:after="240"/>
              <w:ind w:left="0" w:right="0" w:hanging="0"/>
              <w:jc w:val="both"/>
              <w:rPr>
                <w:rFonts w:ascii="Times" w:hAnsi="Times"/>
                <w:sz w:val="24"/>
              </w:rPr>
            </w:pPr>
            <w:r>
              <w:rPr>
                <w:rFonts w:ascii="Times" w:hAnsi="Times"/>
                <w:sz w:val="24"/>
              </w:rPr>
              <w:t>Greater than 0.60 to 1.00</w:t>
            </w:r>
          </w:p>
        </w:tc>
        <w:tc>
          <w:tcPr>
            <w:tcW w:w="1878"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1.20%</w:t>
            </w:r>
          </w:p>
        </w:tc>
        <w:tc>
          <w:tcPr>
            <w:tcW w:w="1843"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2.20%</w:t>
            </w:r>
          </w:p>
        </w:tc>
        <w:tc>
          <w:tcPr>
            <w:tcW w:w="1835"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0.90%</w:t>
            </w:r>
          </w:p>
        </w:tc>
        <w:tc>
          <w:tcPr>
            <w:tcW w:w="1844"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1.90%</w:t>
            </w:r>
          </w:p>
        </w:tc>
      </w:tr>
    </w:tbl>
    <w:p>
      <w:pPr>
        <w:pStyle w:val="TextBody"/>
        <w:bidi w:val="0"/>
        <w:spacing w:before="0" w:after="0"/>
        <w:ind w:left="0" w:right="0" w:hanging="0"/>
        <w:jc w:val="both"/>
        <w:rPr>
          <w:rFonts w:ascii="Times" w:hAnsi="Times"/>
          <w:sz w:val="24"/>
        </w:rPr>
      </w:pPr>
      <w:r>
        <w:rPr>
          <w:rFonts w:ascii="Times" w:hAnsi="Times"/>
          <w:sz w:val="24"/>
        </w:rPr>
        <w:t>For purposes hereof, the term “</w:t>
      </w:r>
      <w:r>
        <w:rPr>
          <w:rFonts w:ascii="Times" w:hAnsi="Times"/>
          <w:i/>
          <w:sz w:val="24"/>
        </w:rPr>
        <w:t>Pricing Date”</w:t>
      </w:r>
      <w:r>
        <w:rPr>
          <w:rFonts w:ascii="Times" w:hAnsi="Times"/>
          <w:sz w:val="24"/>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Times" w:hAnsi="Times"/>
          <w:i/>
          <w:sz w:val="24"/>
        </w:rPr>
        <w:t>i.e.,</w:t>
      </w:r>
      <w:r>
        <w:rPr>
          <w:rFonts w:ascii="Times" w:hAnsi="Times"/>
          <w:sz w:val="24"/>
        </w:rPr>
        <w:t xml:space="preserve"> Level VI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L/C Issuer, and Lenders understand that the applicable interest rate for the Obligations and certain fees set forth herein may be determined and/or adjusted from time to time based upon certain financial ratios and/or other information to be provided or certified to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Administrative Agent and Lenders by Borrower (the </w:t>
      </w:r>
      <w:r>
        <w:rPr>
          <w:rFonts w:ascii="Times" w:hAnsi="Times"/>
          <w:i/>
          <w:sz w:val="24"/>
        </w:rPr>
        <w:t>"Borrower Information"</w:t>
      </w:r>
      <w:r>
        <w:rPr>
          <w:rFonts w:ascii="Times" w:hAnsi="Times"/>
          <w:sz w:val="24"/>
        </w:rPr>
        <w:t xml:space="preserve">).  If it is subsequently determined that any such Borrower Information was incorrect (for whatever reason, including, without limitation, because of a subsequent restatement of earnings by the Borrower or Parent)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 </w:t>
      </w:r>
      <w:r>
        <w:rPr>
          <w:rFonts w:ascii="Times" w:hAnsi="Times"/>
          <w:i/>
          <w:sz w:val="24"/>
        </w:rPr>
        <w:t>provided</w:t>
      </w:r>
      <w:r>
        <w:rPr>
          <w:rFonts w:ascii="Times" w:hAnsi="Times"/>
          <w:sz w:val="24"/>
        </w:rPr>
        <w:t xml:space="preserve"> 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or the L/C Issuer, within five (5) Business Days of receipt of such written notice.  Any recalculation of interest or fees required by this provision shall survive the termination of this Agreement, and this provision shall not in any way limit any of the Administrative Agent's, the L/C Issuer’s,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Term Loan shall bear interest at an “applicable margin” based upon the then determined Applicable Rate set forth in each Incremental Term Loan Amendment for each Incremental Term Loan Facility.</w:t>
      </w:r>
    </w:p>
    <w:p>
      <w:pPr>
        <w:pStyle w:val="TextBody"/>
        <w:bidi w:val="0"/>
        <w:spacing w:before="0" w:after="240"/>
        <w:ind w:left="0" w:right="0" w:firstLine="720"/>
        <w:jc w:val="both"/>
        <w:rPr/>
      </w:pPr>
      <w:r>
        <w:rPr/>
        <w:t>“</w:t>
      </w:r>
      <w:r>
        <w:rPr>
          <w:rFonts w:ascii="Times" w:hAnsi="Times"/>
          <w:i/>
          <w:sz w:val="24"/>
        </w:rPr>
        <w:t>Applicable Percentage</w:t>
      </w:r>
      <w:r>
        <w:rPr>
          <w:rFonts w:ascii="Times" w:hAnsi="Times"/>
          <w:sz w:val="24"/>
        </w:rPr>
        <w:t>” means, (a) with respect to any 2029 Term Lender at any time, the percentage of the 2029 Term Facility represented by such 2029 Term Lender’s 2029 Term Loan Commitment at such time, (b) with respect to any 2031 Term Lender at any time, the percentage of the 2031 Term Facility represented by such 2031 Term Lender’s 2031 Term Loan Commitment at such time, (c) with respect to any Incremental Term Lender at any time, the percentage of the applicable Incremental Term Loan Facility represented by the sum of such Incremental Term Lender’s unfunded Incremental Term Loan Commitments (if any) for the applicable Incremental Term Facility and the principal amount of such Incremental Term Lender’s Incremental Term Loans for the applicable Incremental Term Loan Facility at such time, and (d) with respect to any Revolving Lender at any time, the percentage of the Revolving Credit Commitments represented by such Lender’s Revolving Credit Commitment or, if the Revolving Credit Commitments have been terminated, the percentage held by such Lender (including through participation interests in Reimbursement Obligations) of the aggregate principal amount of all Revolving Loans and L/C Obligations then outstanding. The initial Applicable Percentage of each Lender in respect of the Revolving Facility and the Term Facility is set forth opposite the name of such Lender on Schedule 1 or in the Assignment and Assumption pursuant to which such Lender becomes a party hereto, as applicable.</w:t>
      </w:r>
    </w:p>
    <w:p>
      <w:pPr>
        <w:pStyle w:val="TextBody"/>
        <w:bidi w:val="0"/>
        <w:spacing w:before="0" w:after="240"/>
        <w:ind w:left="0" w:right="0" w:firstLine="720"/>
        <w:jc w:val="both"/>
        <w:rPr/>
      </w:pPr>
      <w:r>
        <w:rPr/>
        <w:t>“</w:t>
      </w:r>
      <w:r>
        <w:rPr>
          <w:rFonts w:ascii="Times" w:hAnsi="Times"/>
          <w:i/>
          <w:sz w:val="24"/>
        </w:rPr>
        <w:t>Applicable Rate</w:t>
      </w:r>
      <w:r>
        <w:rPr>
          <w:rFonts w:ascii="Times" w:hAnsi="Times"/>
          <w:sz w:val="24"/>
        </w:rPr>
        <w:t>” means, a rate per annum equal to (a) in respect of the Term Facility, (i) the Applicable Margin with respect to Term Loans that are SOFR Loans; (ii) the Applicable Margin with respect to Term Loans that are Base Rate Loans, and (iii) in respect of any Incremental Term Loan Facility, the interest rate set forth in the applicable Incremental Term Loan Amendment; and (b) in respect of the Revolving Facility, (i) the Applicable Margin with respect to Revolving Loans that are SOFR Loans and (ii) and the Applicable Margin with respect to Revolving Loans that are Base Rate Loans.</w:t>
      </w:r>
    </w:p>
    <w:p>
      <w:pPr>
        <w:pStyle w:val="TextBody"/>
        <w:bidi w:val="0"/>
        <w:spacing w:before="0" w:after="240"/>
        <w:ind w:left="0" w:right="0" w:firstLine="720"/>
        <w:jc w:val="both"/>
        <w:rPr/>
      </w:pPr>
      <w:r>
        <w:rPr/>
        <w:t>“</w:t>
      </w:r>
      <w:r>
        <w:rPr>
          <w:rFonts w:ascii="Times" w:hAnsi="Times"/>
          <w:i/>
          <w:sz w:val="24"/>
        </w:rPr>
        <w:t xml:space="preserve">Application” </w:t>
      </w:r>
      <w:r>
        <w:rPr>
          <w:rFonts w:ascii="Times" w:hAnsi="Times"/>
          <w:sz w:val="24"/>
        </w:rPr>
        <w:t>is defined in Section 1.3(b)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Approved Fund” </w:t>
      </w:r>
      <w:r>
        <w:rPr>
          <w:rFonts w:ascii="Times" w:hAnsi="Times"/>
          <w:sz w:val="24"/>
        </w:rPr>
        <w:t>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w:hAnsi="Times"/>
          <w:i/>
          <w:sz w:val="24"/>
        </w:rPr>
        <w:t>Assets Under Development”</w:t>
      </w:r>
      <w:r>
        <w:rPr>
          <w:rFonts w:ascii="Times" w:hAnsi="Times"/>
          <w:sz w:val="24"/>
        </w:rPr>
        <w:t xml:space="preserve"> means any real property under construction (excluding any completed Property under renovation for which the relevant Tenant has not ceased paying rent) or any real property for which no construction has commenced but all necessary entitlements (excluding foundation, building and similar permits) have been obtained in order to allow the Borrower, a Material Subsidiary or a Tenant to commence constructing improvements on such real property, in each case, until such property has received a certificate of occupancy.</w:t>
      </w:r>
    </w:p>
    <w:p>
      <w:pPr>
        <w:pStyle w:val="TextBody"/>
        <w:bidi w:val="0"/>
        <w:spacing w:before="0" w:after="240"/>
        <w:ind w:left="0" w:right="0" w:firstLine="720"/>
        <w:jc w:val="both"/>
        <w:rPr/>
      </w:pPr>
      <w:r>
        <w:rPr/>
        <w:t>“</w:t>
      </w:r>
      <w:r>
        <w:rPr>
          <w:rFonts w:ascii="Times" w:hAnsi="Times"/>
          <w:i/>
          <w:sz w:val="24"/>
        </w:rPr>
        <w:t>Assignment and Acceptance”</w:t>
      </w:r>
      <w:r>
        <w:rPr>
          <w:rFonts w:ascii="Times" w:hAnsi="Times"/>
          <w:sz w:val="24"/>
        </w:rPr>
        <w:t xml:space="preserve"> means an assignment and acceptance entered into by a Lender and an Eligible Assignee (with the consent of any party whose consent is required by Section 12.12 hereof), and accepted by the Administrative Agent, in substantially the form of Exhibit F or any other form approved by the Administrative Agent.</w:t>
      </w:r>
    </w:p>
    <w:p>
      <w:pPr>
        <w:pStyle w:val="TextBody"/>
        <w:bidi w:val="0"/>
        <w:spacing w:before="0" w:after="240"/>
        <w:ind w:left="0" w:right="0" w:firstLine="720"/>
        <w:jc w:val="both"/>
        <w:rPr/>
      </w:pPr>
      <w:r>
        <w:rPr/>
        <w:t>“</w:t>
      </w:r>
      <w:r>
        <w:rPr>
          <w:rFonts w:ascii="Times" w:hAnsi="Times"/>
          <w:i/>
          <w:sz w:val="24"/>
        </w:rPr>
        <w:t>Authorized Representative”</w:t>
      </w:r>
      <w:r>
        <w:rPr>
          <w:rFonts w:ascii="Times" w:hAnsi="Times"/>
          <w:sz w:val="24"/>
        </w:rPr>
        <w:t xml:space="preserve"> means those persons shown on the list of officers provided by the Borrower pursuant to Section 7.2 hereof or on any update of any such list provided by the Borrower to the Administrative Agent, or any further or different officers of the Borrower so named by any Authorized Representative of the Borrower in a written notice to the Administrative Agent.</w:t>
      </w:r>
    </w:p>
    <w:p>
      <w:pPr>
        <w:pStyle w:val="TextBody"/>
        <w:bidi w:val="0"/>
        <w:spacing w:before="0" w:after="240"/>
        <w:ind w:left="0" w:right="0" w:firstLine="720"/>
        <w:jc w:val="both"/>
        <w:rPr/>
      </w:pPr>
      <w:r>
        <w:rPr/>
        <w:t>“</w:t>
      </w:r>
      <w:r>
        <w:rPr>
          <w:rFonts w:ascii="Times" w:hAnsi="Times"/>
          <w:i/>
          <w:sz w:val="24"/>
        </w:rPr>
        <w:t>Available Tenor</w:t>
      </w:r>
      <w:r>
        <w:rPr>
          <w:rFonts w:ascii="Times" w:hAnsi="Times"/>
          <w:sz w:val="24"/>
        </w:rPr>
        <w:t>” means, as of any date of determination and with respect to the then-current Benchmark,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pStyle w:val="TextBody"/>
        <w:bidi w:val="0"/>
        <w:spacing w:before="0" w:after="240"/>
        <w:ind w:left="0" w:right="0" w:firstLine="720"/>
        <w:jc w:val="both"/>
        <w:rPr/>
      </w:pPr>
      <w:r>
        <w:rPr/>
        <w:t>“</w:t>
      </w:r>
      <w:r>
        <w:rPr>
          <w:rFonts w:ascii="Times" w:hAnsi="Times"/>
          <w:i/>
          <w:sz w:val="24"/>
        </w:rPr>
        <w:t>Bail-In Action”</w:t>
      </w:r>
      <w:r>
        <w:rPr>
          <w:rFonts w:ascii="Times" w:hAnsi="Times"/>
          <w:sz w:val="24"/>
        </w:rPr>
        <w:t xml:space="preserve"> 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w:hAnsi="Times"/>
          <w:i/>
          <w:sz w:val="24"/>
        </w:rPr>
        <w:t xml:space="preserve">Bail-In Legislation” </w:t>
      </w:r>
      <w:r>
        <w:rPr>
          <w:rFonts w:ascii="Times" w:hAnsi="Times"/>
          <w:sz w:val="24"/>
        </w:rPr>
        <w:t xml:space="preserve">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240"/>
        <w:ind w:left="0" w:right="0" w:firstLine="720"/>
        <w:jc w:val="both"/>
        <w:rPr/>
      </w:pPr>
      <w:r>
        <w:rPr/>
        <w:t>“</w:t>
      </w:r>
      <w:r>
        <w:rPr>
          <w:rFonts w:ascii="Times" w:hAnsi="Times"/>
          <w:i/>
          <w:sz w:val="24"/>
        </w:rPr>
        <w:t>Bankruptcy Event”</w:t>
      </w:r>
      <w:r>
        <w:rPr>
          <w:rFonts w:ascii="Times" w:hAnsi="Times"/>
          <w:sz w:val="24"/>
        </w:rPr>
        <w:t xml:space="preserve"> means, with respect to any Person, any event of the type described in clause (j) or (k) of Section 9.1 hereof with respect to such Person.</w:t>
      </w:r>
    </w:p>
    <w:p>
      <w:pPr>
        <w:pStyle w:val="TextBody"/>
        <w:bidi w:val="0"/>
        <w:spacing w:before="0" w:after="240"/>
        <w:ind w:left="0" w:right="0" w:firstLine="720"/>
        <w:jc w:val="both"/>
        <w:rPr/>
      </w:pPr>
      <w:r>
        <w:rPr/>
        <w:t>“</w:t>
      </w:r>
      <w:r>
        <w:rPr>
          <w:rFonts w:ascii="Times" w:hAnsi="Times"/>
          <w:i/>
          <w:sz w:val="24"/>
        </w:rPr>
        <w:t>Base Rate”</w:t>
      </w:r>
      <w:r>
        <w:rPr>
          <w:rFonts w:ascii="Times" w:hAnsi="Times"/>
          <w:sz w:val="24"/>
        </w:rPr>
        <w:t xml:space="preserve"> is defined in Section 1.4(a)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Base Rate Loan”</w:t>
      </w:r>
      <w:r>
        <w:rPr>
          <w:rFonts w:ascii="Times" w:hAnsi="Times"/>
          <w:sz w:val="24"/>
        </w:rPr>
        <w:t xml:space="preserve"> means a Loan bearing interest at the Base Rate.</w:t>
      </w:r>
    </w:p>
    <w:p>
      <w:pPr>
        <w:pStyle w:val="TextBody"/>
        <w:bidi w:val="0"/>
        <w:spacing w:before="0" w:after="240"/>
        <w:ind w:left="0" w:right="0" w:firstLine="720"/>
        <w:jc w:val="both"/>
        <w:rPr/>
      </w:pPr>
      <w:r>
        <w:rPr/>
        <w:t>“</w:t>
      </w:r>
      <w:r>
        <w:rPr>
          <w:rFonts w:ascii="Times" w:hAnsi="Times"/>
          <w:i/>
          <w:sz w:val="24"/>
        </w:rPr>
        <w:t>Benchmark</w:t>
      </w:r>
      <w:r>
        <w:rPr>
          <w:rFonts w:ascii="Times" w:hAnsi="Times"/>
          <w:sz w:val="24"/>
        </w:rPr>
        <w:t xml:space="preserve">” means, initially, (a) with respect to Daily Simple SOFR Loans, Daily Simple SOFR and (b), with respect to Term SOFR Loans, the Term SOFR Reference Rate; provided that if a Benchmark Transition Event has occurred with respect to the then-current Benchmark, then “Benchmark” means the applicable Benchmark Replacement to the extent that such Benchmark Replacement has replaced such prior benchmark rate pursuant to Section 10.6. </w:t>
      </w:r>
    </w:p>
    <w:p>
      <w:pPr>
        <w:pStyle w:val="TextBody"/>
        <w:bidi w:val="0"/>
        <w:spacing w:before="0" w:after="240"/>
        <w:ind w:left="0" w:right="0" w:firstLine="720"/>
        <w:jc w:val="both"/>
        <w:rPr/>
      </w:pPr>
      <w:r>
        <w:rPr/>
        <w:t>“</w:t>
      </w:r>
      <w:r>
        <w:rPr>
          <w:rFonts w:ascii="Times" w:hAnsi="Times"/>
          <w:i/>
          <w:sz w:val="24"/>
        </w:rPr>
        <w:t>Benchmark Replacement</w:t>
      </w:r>
      <w:r>
        <w:rPr>
          <w:rFonts w:ascii="Times" w:hAnsi="Times"/>
          <w:sz w:val="24"/>
        </w:rPr>
        <w:t xml:space="preserve">” means, with respect to any Benchmark Transition Event,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 current Benchmark for U.S. Dollar denominated syndicated credit facilities and (ii) the related Benchmark Replacement Adjustment; </w:t>
      </w:r>
      <w:r>
        <w:rPr>
          <w:rFonts w:ascii="Times" w:hAnsi="Times"/>
          <w:sz w:val="24"/>
          <w:u w:val="single"/>
        </w:rPr>
        <w:t>provided</w:t>
      </w:r>
      <w:r>
        <w:rPr>
          <w:rFonts w:ascii="Times" w:hAnsi="Times"/>
          <w:sz w:val="24"/>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240"/>
        <w:ind w:left="0" w:right="0" w:firstLine="720"/>
        <w:jc w:val="both"/>
        <w:rPr/>
      </w:pPr>
      <w:r>
        <w:rPr/>
        <w:t>“</w:t>
      </w:r>
      <w:r>
        <w:rPr>
          <w:rFonts w:ascii="Times" w:hAnsi="Times"/>
          <w:i/>
          <w:sz w:val="24"/>
        </w:rPr>
        <w:t>Benchmark Replacement Adjustment</w:t>
      </w:r>
      <w:r>
        <w:rPr>
          <w:rFonts w:ascii="Times" w:hAnsi="Times"/>
          <w:sz w:val="24"/>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at such time.</w:t>
      </w:r>
    </w:p>
    <w:p>
      <w:pPr>
        <w:pStyle w:val="TextBody"/>
        <w:bidi w:val="0"/>
        <w:spacing w:before="0" w:after="240"/>
        <w:ind w:left="0" w:right="0" w:firstLine="720"/>
        <w:jc w:val="both"/>
        <w:rPr/>
      </w:pPr>
      <w:r>
        <w:rPr/>
        <w:t>“</w:t>
      </w:r>
      <w:r>
        <w:rPr>
          <w:rFonts w:ascii="Times" w:hAnsi="Times"/>
          <w:i/>
          <w:sz w:val="24"/>
        </w:rPr>
        <w:t>Benchmark Replacement Date</w:t>
      </w:r>
      <w:r>
        <w:rPr>
          <w:rFonts w:ascii="Times" w:hAnsi="Times"/>
          <w:sz w:val="24"/>
        </w:rPr>
        <w:t>” means a date and time determined by Administrative Agent, which date shall be no later than the earliest to occur of the following events with respect to the then-current Benchmark:</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(a)</w:t>
      </w:r>
      <w:r>
        <w:rPr>
          <w:rFonts w:ascii="Times" w:hAnsi="Times"/>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(b)</w:t>
      </w:r>
      <w:r>
        <w:rPr>
          <w:rFonts w:ascii="Times" w:hAnsi="Times"/>
          <w:sz w:val="24"/>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Event</w:t>
      </w:r>
      <w:r>
        <w:rPr>
          <w:rFonts w:ascii="Times" w:hAnsi="Times"/>
          <w:sz w:val="24"/>
        </w:rPr>
        <w:t>” means, with respect to the then-current Benchmark, the occurrence of one or more of the following events with respect to such Benchmark:</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(a)</w:t>
      </w:r>
      <w:r>
        <w:rPr>
          <w:rFonts w:ascii="Times" w:hAnsi="Times"/>
          <w:sz w:val="24"/>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(b)</w:t>
      </w:r>
      <w:r>
        <w:rPr>
          <w:rFonts w:ascii="Times" w:hAnsi="Times"/>
          <w:sz w:val="24"/>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(c)</w:t>
      </w:r>
      <w:r>
        <w:rPr>
          <w:rFonts w:ascii="Times" w:hAnsi="Times"/>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ind w:left="0" w:right="0" w:firstLine="720"/>
        <w:jc w:val="both"/>
        <w:rPr>
          <w:rFonts w:ascii="Times" w:hAnsi="Times"/>
          <w:sz w:val="24"/>
        </w:rPr>
      </w:pPr>
      <w:r>
        <w:rPr>
          <w:rFonts w:ascii="Times" w:hAnsi="Times"/>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Start Date</w:t>
      </w:r>
      <w:r>
        <w:rPr>
          <w:rFonts w:ascii="Times" w:hAnsi="Times"/>
          <w:sz w:val="24"/>
        </w:rPr>
        <w:t>” 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firstLine="720"/>
        <w:jc w:val="both"/>
        <w:rPr/>
      </w:pPr>
      <w:r>
        <w:rPr/>
        <w:t>“</w:t>
      </w:r>
      <w:r>
        <w:rPr>
          <w:rFonts w:ascii="Times" w:hAnsi="Times"/>
          <w:i/>
          <w:sz w:val="24"/>
        </w:rPr>
        <w:t>Benchmark Unavailability Period</w:t>
      </w:r>
      <w:r>
        <w:rPr>
          <w:rFonts w:ascii="Times" w:hAnsi="Times"/>
          <w:sz w:val="24"/>
        </w:rPr>
        <w:t xml:space="preserve">” means, with respect to any then-current Benchmark, the period (if any) (i) beginning at the time that a Benchmark Replacement Date with respect to such Benchmark pursuant to clauses (a) or (b) of that definition has occurred if, at such time, no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Benchmark Replacement has replaced such Benchmark for all purposes hereunder and under any Loan Document in accordance with Section 10.2 and (ii) ending at the time that a Benchmark Replacement has replaced such Benchmark for all purposes hereunder and under any Loan Document in accordance with Section 10.6.</w:t>
      </w:r>
    </w:p>
    <w:p>
      <w:pPr>
        <w:pStyle w:val="TextBody"/>
        <w:bidi w:val="0"/>
        <w:spacing w:before="0" w:after="240"/>
        <w:ind w:left="0" w:right="0" w:firstLine="720"/>
        <w:jc w:val="both"/>
        <w:rPr/>
      </w:pPr>
      <w:r>
        <w:rPr/>
        <w:t>“</w:t>
      </w:r>
      <w:r>
        <w:rPr>
          <w:rFonts w:ascii="Times" w:hAnsi="Times"/>
          <w:i/>
          <w:sz w:val="24"/>
        </w:rPr>
        <w:t>Beneficial Ownership Certification”</w:t>
      </w:r>
      <w:r>
        <w:rPr>
          <w:rFonts w:ascii="Times" w:hAnsi="Times"/>
          <w:sz w:val="24"/>
        </w:rPr>
        <w:t xml:space="preserve"> means a certification regarding beneficial ownership as required by the Beneficial Ownership Regulation.</w:t>
      </w:r>
    </w:p>
    <w:p>
      <w:pPr>
        <w:pStyle w:val="TextBody"/>
        <w:bidi w:val="0"/>
        <w:spacing w:before="0" w:after="240"/>
        <w:ind w:left="0" w:right="0" w:firstLine="720"/>
        <w:jc w:val="both"/>
        <w:rPr/>
      </w:pPr>
      <w:r>
        <w:rPr/>
        <w:t>“</w:t>
      </w:r>
      <w:r>
        <w:rPr>
          <w:rFonts w:ascii="Times" w:hAnsi="Times"/>
          <w:i/>
          <w:sz w:val="24"/>
        </w:rPr>
        <w:t xml:space="preserve">Beneficial Ownership Regulation” </w:t>
      </w:r>
      <w:r>
        <w:rPr>
          <w:rFonts w:ascii="Times" w:hAnsi="Times"/>
          <w:sz w:val="24"/>
        </w:rPr>
        <w:t xml:space="preserve">means 31 C.F.R. § 1010.230. </w:t>
      </w:r>
    </w:p>
    <w:p>
      <w:pPr>
        <w:pStyle w:val="TextBody"/>
        <w:bidi w:val="0"/>
        <w:spacing w:before="0" w:after="240"/>
        <w:ind w:left="0" w:right="0" w:firstLine="720"/>
        <w:jc w:val="both"/>
        <w:rPr/>
      </w:pPr>
      <w:r>
        <w:rPr/>
        <w:t>“</w:t>
      </w:r>
      <w:r>
        <w:rPr>
          <w:rFonts w:ascii="Times" w:hAnsi="Times"/>
          <w:i/>
          <w:sz w:val="24"/>
        </w:rPr>
        <w:t>Borrower”</w:t>
      </w:r>
      <w:r>
        <w:rPr>
          <w:rFonts w:ascii="Times" w:hAnsi="Times"/>
          <w:sz w:val="24"/>
        </w:rPr>
        <w:t xml:space="preserve"> is defined in the introductory paragraph of this Agreement.</w:t>
      </w:r>
    </w:p>
    <w:p>
      <w:pPr>
        <w:pStyle w:val="TextBody"/>
        <w:bidi w:val="0"/>
        <w:spacing w:before="0" w:after="240"/>
        <w:ind w:left="0" w:right="0" w:firstLine="720"/>
        <w:jc w:val="both"/>
        <w:rPr/>
      </w:pPr>
      <w:r>
        <w:rPr/>
        <w:t>“</w:t>
      </w:r>
      <w:r>
        <w:rPr>
          <w:rFonts w:ascii="Times" w:hAnsi="Times"/>
          <w:i/>
          <w:sz w:val="24"/>
        </w:rPr>
        <w:t>Borrowing”</w:t>
      </w:r>
      <w:r>
        <w:rPr>
          <w:rFonts w:ascii="Times" w:hAnsi="Times"/>
          <w:sz w:val="24"/>
        </w:rPr>
        <w:t xml:space="preserve"> means the total of Loans of a single type advanced, continued for an additional Interest Period, or converted from a different type into such type by the Lenders on a single date and, in the case of Term SOFR Loans, for a single Interest Period.  Borrowings of Loans are made and maintained ratably from each of the Lenders according to their Applicable Percentages.  A Borrowing is “</w:t>
      </w:r>
      <w:r>
        <w:rPr>
          <w:rFonts w:ascii="Times" w:hAnsi="Times"/>
          <w:i/>
          <w:sz w:val="24"/>
        </w:rPr>
        <w:t>advanced”</w:t>
      </w:r>
      <w:r>
        <w:rPr>
          <w:rFonts w:ascii="Times" w:hAnsi="Times"/>
          <w:sz w:val="24"/>
        </w:rPr>
        <w:t xml:space="preserve"> on the day Lenders advance funds comprising such Borrowing to the Borrower, is “</w:t>
      </w:r>
      <w:r>
        <w:rPr>
          <w:rFonts w:ascii="Times" w:hAnsi="Times"/>
          <w:i/>
          <w:sz w:val="24"/>
        </w:rPr>
        <w:t>continued”</w:t>
      </w:r>
      <w:r>
        <w:rPr>
          <w:rFonts w:ascii="Times" w:hAnsi="Times"/>
          <w:sz w:val="24"/>
        </w:rPr>
        <w:t xml:space="preserve"> on the date a new Interest Period for the same type of Loans commences for such Borrowing, and is “</w:t>
      </w:r>
      <w:r>
        <w:rPr>
          <w:rFonts w:ascii="Times" w:hAnsi="Times"/>
          <w:i/>
          <w:sz w:val="24"/>
        </w:rPr>
        <w:t>converted”</w:t>
      </w:r>
      <w:r>
        <w:rPr>
          <w:rFonts w:ascii="Times" w:hAnsi="Times"/>
          <w:sz w:val="24"/>
        </w:rPr>
        <w:t xml:space="preserve"> when such Borrowing is changed from one type of Loans to the other, all as determined pursuant to Section 1.6 hereof.    </w:t>
      </w:r>
    </w:p>
    <w:p>
      <w:pPr>
        <w:pStyle w:val="TextBody"/>
        <w:bidi w:val="0"/>
        <w:spacing w:before="0" w:after="240"/>
        <w:ind w:left="0" w:right="0" w:firstLine="720"/>
        <w:jc w:val="both"/>
        <w:rPr/>
      </w:pPr>
      <w:r>
        <w:rPr/>
        <w:t>“</w:t>
      </w:r>
      <w:r>
        <w:rPr>
          <w:rFonts w:ascii="Times" w:hAnsi="Times"/>
          <w:i/>
          <w:sz w:val="24"/>
        </w:rPr>
        <w:t>Business Day”</w:t>
      </w:r>
      <w:r>
        <w:rPr>
          <w:rFonts w:ascii="Times" w:hAnsi="Times"/>
          <w:sz w:val="24"/>
        </w:rPr>
        <w:t xml:space="preserve"> means (i) any day other than Saturday, Sunday or any other day on which commercial banks in Charlotte, North Carolina or New York, New York are authorized or required by law to close and (ii) with respect to any matters relating to SOFR Loans, a SOFR Business Day.</w:t>
      </w:r>
    </w:p>
    <w:p>
      <w:pPr>
        <w:pStyle w:val="TextBody"/>
        <w:bidi w:val="0"/>
        <w:spacing w:before="0" w:after="240"/>
        <w:ind w:left="0" w:right="0" w:firstLine="720"/>
        <w:jc w:val="both"/>
        <w:rPr/>
      </w:pPr>
      <w:r>
        <w:rPr/>
        <w:t>“</w:t>
      </w:r>
      <w:r>
        <w:rPr>
          <w:rFonts w:ascii="Times" w:hAnsi="Times"/>
          <w:i/>
          <w:sz w:val="24"/>
        </w:rPr>
        <w:t>Capital Expenditures”</w:t>
      </w:r>
      <w:r>
        <w:rPr>
          <w:rFonts w:ascii="Times" w:hAnsi="Times"/>
          <w:sz w:val="24"/>
        </w:rPr>
        <w:t xml:space="preserve">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pStyle w:val="TextBody"/>
        <w:bidi w:val="0"/>
        <w:spacing w:before="0" w:after="240"/>
        <w:ind w:left="0" w:right="0" w:firstLine="720"/>
        <w:jc w:val="both"/>
        <w:rPr/>
      </w:pPr>
      <w:r>
        <w:rPr/>
        <w:t>“</w:t>
      </w:r>
      <w:r>
        <w:rPr>
          <w:rFonts w:ascii="Times" w:hAnsi="Times"/>
          <w:i/>
          <w:sz w:val="24"/>
        </w:rPr>
        <w:t>Capital Lease</w:t>
      </w:r>
      <w:r>
        <w:rPr>
          <w:rFonts w:ascii="Times" w:hAnsi="Times"/>
          <w:sz w:val="24"/>
        </w:rPr>
        <w:t>” means any lease of Property or other assets which in accordance with GAAP is required to be capitalized on the balance sheet of the lessee.</w:t>
      </w:r>
    </w:p>
    <w:p>
      <w:pPr>
        <w:pStyle w:val="TextBody"/>
        <w:bidi w:val="0"/>
        <w:spacing w:before="0" w:after="240"/>
        <w:ind w:left="0" w:right="0" w:firstLine="720"/>
        <w:jc w:val="both"/>
        <w:rPr/>
      </w:pPr>
      <w:r>
        <w:rPr/>
        <w:t>“</w:t>
      </w:r>
      <w:r>
        <w:rPr>
          <w:rFonts w:ascii="Times" w:hAnsi="Times"/>
          <w:i/>
          <w:sz w:val="24"/>
        </w:rPr>
        <w:t>Capitalization Rate”</w:t>
      </w:r>
      <w:r>
        <w:rPr>
          <w:rFonts w:ascii="Times" w:hAnsi="Times"/>
          <w:sz w:val="24"/>
        </w:rPr>
        <w:t xml:space="preserve"> means (i) 6.25% for single-tenant Properties occupied by tenants maintaining a (A) BBB- Rating or better from S&amp;P’s or Fitch, or (B) Baa3 Rating or better from Moody’s,  (ii) 7.50% for Alpine Valley, and (iii) 7.00% for all other Properties not covered under the foregoing clauses (i) or (ii), including the GermFree Property. </w:t>
      </w:r>
    </w:p>
    <w:p>
      <w:pPr>
        <w:pStyle w:val="TextBody"/>
        <w:bidi w:val="0"/>
        <w:spacing w:before="0" w:after="240"/>
        <w:ind w:left="0" w:right="0" w:firstLine="720"/>
        <w:jc w:val="both"/>
        <w:rPr/>
      </w:pPr>
      <w:r>
        <w:rPr/>
        <w:t>“</w:t>
      </w:r>
      <w:r>
        <w:rPr>
          <w:rFonts w:ascii="Times" w:hAnsi="Times"/>
          <w:i/>
          <w:sz w:val="24"/>
        </w:rPr>
        <w:t>Capitalized Lease Obligation”</w:t>
      </w:r>
      <w:r>
        <w:rPr>
          <w:rFonts w:ascii="Times" w:hAnsi="Times"/>
          <w:sz w:val="24"/>
        </w:rPr>
        <w:t xml:space="preserve"> means, for any Person, the amount of the liability shown on the balance sheet of such Person in respect of a Capital Lease determined in accordance with GAAP.</w:t>
      </w:r>
    </w:p>
    <w:p>
      <w:pPr>
        <w:pStyle w:val="TextBody"/>
        <w:bidi w:val="0"/>
        <w:spacing w:before="0" w:after="240"/>
        <w:ind w:left="0" w:right="0" w:firstLine="720"/>
        <w:jc w:val="both"/>
        <w:rPr/>
      </w:pPr>
      <w:r>
        <w:rPr/>
        <w:t>“</w:t>
      </w:r>
      <w:r>
        <w:rPr>
          <w:rFonts w:ascii="Times" w:hAnsi="Times"/>
          <w:i/>
          <w:sz w:val="24"/>
        </w:rPr>
        <w:t>CBA</w:t>
      </w:r>
      <w:r>
        <w:rPr>
          <w:rFonts w:ascii="Times" w:hAnsi="Times"/>
          <w:sz w:val="24"/>
        </w:rPr>
        <w:t>” means CME Group Benchmark Administration Ltd.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CERCLA” </w:t>
      </w:r>
      <w:r>
        <w:rPr>
          <w:rFonts w:ascii="Times" w:hAnsi="Times"/>
          <w:sz w:val="24"/>
        </w:rPr>
        <w:t xml:space="preserve">means the Comprehensive Environmental Response, Compensation and Liability Act of 1980, as amended by the Superfund Amendments and Reauthorization Act of 1986, 42 U.S.C. </w:t>
      </w:r>
      <w:r>
        <w:rPr>
          <w:rFonts w:ascii="Times" w:hAnsi="Times"/>
          <w:b/>
          <w:sz w:val="24"/>
        </w:rPr>
        <w:t>§§</w:t>
      </w:r>
      <w:r>
        <w:rPr>
          <w:rFonts w:ascii="Times" w:hAnsi="Times"/>
          <w:sz w:val="24"/>
        </w:rPr>
        <w:t xml:space="preserve">9601 </w:t>
      </w:r>
      <w:r>
        <w:rPr>
          <w:rFonts w:ascii="Times" w:hAnsi="Times"/>
          <w:i/>
          <w:sz w:val="24"/>
        </w:rPr>
        <w:t>et seq.,</w:t>
      </w:r>
      <w:r>
        <w:rPr>
          <w:rFonts w:ascii="Times" w:hAnsi="Times"/>
          <w:sz w:val="24"/>
        </w:rPr>
        <w:t xml:space="preserve"> and any future amendments.</w:t>
      </w:r>
    </w:p>
    <w:p>
      <w:pPr>
        <w:pStyle w:val="TextBody"/>
        <w:bidi w:val="0"/>
        <w:spacing w:before="0" w:after="240"/>
        <w:ind w:left="0" w:right="0" w:firstLine="720"/>
        <w:jc w:val="both"/>
        <w:rPr/>
      </w:pPr>
      <w:r>
        <w:rPr/>
        <w:t>“</w:t>
      </w:r>
      <w:r>
        <w:rPr>
          <w:rFonts w:ascii="Times" w:hAnsi="Times"/>
          <w:i/>
          <w:sz w:val="24"/>
        </w:rPr>
        <w:t>Change in Law”</w:t>
      </w:r>
      <w:r>
        <w:rPr>
          <w:rFonts w:ascii="Times" w:hAnsi="Times"/>
          <w:sz w:val="24"/>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w:hAnsi="Times"/>
          <w:i/>
          <w:sz w:val="24"/>
        </w:rPr>
        <w:t>provided</w:t>
      </w:r>
      <w:r>
        <w:rPr>
          <w:rFonts w:ascii="Times" w:hAnsi="Times"/>
          <w:sz w:val="24"/>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w:hAnsi="Times"/>
          <w:i/>
          <w:sz w:val="24"/>
        </w:rPr>
        <w:t>Change of Control”</w:t>
      </w:r>
      <w:r>
        <w:rPr>
          <w:rFonts w:ascii="Times" w:hAnsi="Times"/>
          <w:sz w:val="24"/>
        </w:rPr>
        <w:t xml:space="preserve"> means any of (a) the acquisition by any “</w:t>
      </w:r>
      <w:r>
        <w:rPr>
          <w:rFonts w:ascii="Times" w:hAnsi="Times"/>
          <w:i/>
          <w:sz w:val="24"/>
        </w:rPr>
        <w:t>person”</w:t>
      </w:r>
      <w:r>
        <w:rPr>
          <w:rFonts w:ascii="Times" w:hAnsi="Times"/>
          <w:sz w:val="24"/>
        </w:rPr>
        <w:t xml:space="preserve"> or “</w:t>
      </w:r>
      <w:r>
        <w:rPr>
          <w:rFonts w:ascii="Times" w:hAnsi="Times"/>
          <w:i/>
          <w:sz w:val="24"/>
        </w:rPr>
        <w:t>group”</w:t>
      </w:r>
      <w:r>
        <w:rPr>
          <w:rFonts w:ascii="Times" w:hAnsi="Times"/>
          <w:sz w:val="24"/>
        </w:rPr>
        <w:t xml:space="preserve"> (as such terms are used in sections 13(d) and 14(d) of the Securities Exchange Act of 1934, as amended) at any time that causes such person or group to become the “</w:t>
      </w:r>
      <w:r>
        <w:rPr>
          <w:rFonts w:ascii="Times" w:hAnsi="Times"/>
          <w:i/>
          <w:sz w:val="24"/>
        </w:rPr>
        <w:t>beneficial owner”</w:t>
      </w:r>
      <w:r>
        <w:rPr>
          <w:rFonts w:ascii="Times" w:hAnsi="Times"/>
          <w:sz w:val="24"/>
        </w:rPr>
        <w:t xml:space="preserve"> (as defined in Rules 13d-3 and 13d-5 under the Securities Exchange Act of 1934, as amended) of 51% or more of the outstanding capital stock or other equity interests of Parent on a fully-diluted basis, other than acquisitions of such interests by any party who is an officer or director of Parent as of the Closing Date, (b) the failure of individuals who are members of the board of directors (or similar governing body) of Parent on the Closing Date (together with any new or replacement directors whose initial nomination for election was approved by a majority of the directors who were either directors on the Closing Date or previously so approved) to constitute a majority of the board of directors (or similar governing body) of Parent, or (c) the failure of Parent or a Wholly-owned Subsidiary of Parent to (i) serve as the sole general partner of Borrower and (ii) to directly own 51% of the Equity Interests of Borrower.</w:t>
      </w:r>
    </w:p>
    <w:p>
      <w:pPr>
        <w:pStyle w:val="TextBody"/>
        <w:bidi w:val="0"/>
        <w:spacing w:before="0" w:after="240"/>
        <w:ind w:left="0" w:right="0" w:firstLine="720"/>
        <w:jc w:val="both"/>
        <w:rPr/>
      </w:pPr>
      <w:r>
        <w:rPr/>
        <w:t>“</w:t>
      </w:r>
      <w:r>
        <w:rPr>
          <w:rFonts w:ascii="Times" w:hAnsi="Times"/>
          <w:i/>
          <w:sz w:val="24"/>
        </w:rPr>
        <w:t>Class</w:t>
      </w:r>
      <w:r>
        <w:rPr>
          <w:rFonts w:ascii="Times" w:hAnsi="Times"/>
          <w:sz w:val="24"/>
        </w:rPr>
        <w:t>” means (a) when used with respect to a Commitment, refers to whether such Commitment is a Revolving Credit Commitment, 2029 Term Loan Commitment, 2031 Term Loan Commitment or any tranche of Incremental Term Loan Commitments, (b) when used with respect to a Loan, refers to whether such Loan is a Revolving Loan, a 2029 Term Loan, 2031 Term Loan or an Incremental Term  Loan, and (c) when used with respect to a Lender, refers to whether such Lender has a Loan or Commitment with respect to a particular Class of Loans or Commitments.</w:t>
      </w:r>
    </w:p>
    <w:p>
      <w:pPr>
        <w:pStyle w:val="TextBody"/>
        <w:bidi w:val="0"/>
        <w:spacing w:before="0" w:after="240"/>
        <w:ind w:left="0" w:right="0" w:firstLine="720"/>
        <w:jc w:val="both"/>
        <w:rPr/>
      </w:pPr>
      <w:r>
        <w:rPr/>
        <w:t>“</w:t>
      </w:r>
      <w:r>
        <w:rPr>
          <w:rFonts w:ascii="Times" w:hAnsi="Times"/>
          <w:i/>
          <w:sz w:val="24"/>
        </w:rPr>
        <w:t>Closing Date”</w:t>
      </w:r>
      <w:r>
        <w:rPr>
          <w:rFonts w:ascii="Times" w:hAnsi="Times"/>
          <w:sz w:val="24"/>
        </w:rPr>
        <w:t xml:space="preserve"> means the date of this Agreement or such later Business Day upon which each condition described in Section 7.2 shall be satisfied or waived in a manner acceptable to the Administrative Agent in its discretion.</w:t>
      </w:r>
    </w:p>
    <w:p>
      <w:pPr>
        <w:pStyle w:val="TextBody"/>
        <w:bidi w:val="0"/>
        <w:spacing w:before="0" w:after="240"/>
        <w:ind w:left="0" w:right="0" w:firstLine="720"/>
        <w:jc w:val="both"/>
        <w:rPr/>
      </w:pPr>
      <w:r>
        <w:rPr/>
        <w:t>“</w:t>
      </w:r>
      <w:r>
        <w:rPr>
          <w:rFonts w:ascii="Times" w:hAnsi="Times"/>
          <w:i/>
          <w:sz w:val="24"/>
        </w:rPr>
        <w:t>Code”</w:t>
      </w:r>
      <w:r>
        <w:rPr>
          <w:rFonts w:ascii="Times" w:hAnsi="Times"/>
          <w:sz w:val="24"/>
        </w:rPr>
        <w:t xml:space="preserve"> means the Internal Revenue Code of 1986, as amended, and any successor statute thereto.</w:t>
      </w:r>
    </w:p>
    <w:p>
      <w:pPr>
        <w:pStyle w:val="TextBody"/>
        <w:bidi w:val="0"/>
        <w:spacing w:before="0" w:after="240"/>
        <w:ind w:left="0" w:right="0" w:firstLine="720"/>
        <w:jc w:val="both"/>
        <w:rPr/>
      </w:pPr>
      <w:r>
        <w:rPr/>
        <w:t>“</w:t>
      </w:r>
      <w:r>
        <w:rPr>
          <w:rFonts w:ascii="Times" w:hAnsi="Times"/>
          <w:i/>
          <w:sz w:val="24"/>
        </w:rPr>
        <w:t>Collateral Account”</w:t>
      </w:r>
      <w:r>
        <w:rPr>
          <w:rFonts w:ascii="Times" w:hAnsi="Times"/>
          <w:sz w:val="24"/>
        </w:rPr>
        <w:t xml:space="preserve"> is defined in Section 9.4(b)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Commitment</w:t>
      </w:r>
      <w:r>
        <w:rPr>
          <w:rFonts w:ascii="Times" w:hAnsi="Times"/>
          <w:sz w:val="24"/>
        </w:rPr>
        <w:t>” means a Revolving Credit Commitment, Term Loan Commitment or an Incremental Term Loan Commitment, as the context may require.</w:t>
      </w:r>
    </w:p>
    <w:p>
      <w:pPr>
        <w:pStyle w:val="TextBody"/>
        <w:bidi w:val="0"/>
        <w:spacing w:before="0" w:after="240"/>
        <w:ind w:left="0" w:right="0" w:firstLine="720"/>
        <w:jc w:val="both"/>
        <w:rPr/>
      </w:pPr>
      <w:r>
        <w:rPr/>
        <w:t>“</w:t>
      </w:r>
      <w:r>
        <w:rPr>
          <w:rFonts w:ascii="Times" w:hAnsi="Times"/>
          <w:i/>
          <w:sz w:val="24"/>
        </w:rPr>
        <w:t>Commodity Exchange Act</w:t>
      </w:r>
      <w:r>
        <w:rPr>
          <w:rFonts w:ascii="Times" w:hAnsi="Times"/>
          <w:sz w:val="24"/>
        </w:rPr>
        <w:t>” means the Commodity Exchange Act (7 U.S.C. § 1 et seq.), as amended from time to time, and any successor statute.</w:t>
      </w:r>
    </w:p>
    <w:p>
      <w:pPr>
        <w:pStyle w:val="TextBody"/>
        <w:bidi w:val="0"/>
        <w:spacing w:before="0" w:after="240"/>
        <w:ind w:left="0" w:right="0" w:firstLine="720"/>
        <w:jc w:val="both"/>
        <w:rPr/>
      </w:pPr>
      <w:r>
        <w:rPr/>
        <w:t>“</w:t>
      </w:r>
      <w:r>
        <w:rPr>
          <w:rFonts w:ascii="Times" w:hAnsi="Times"/>
          <w:i/>
          <w:sz w:val="24"/>
        </w:rPr>
        <w:t>Compliance Certificate”</w:t>
      </w:r>
      <w:r>
        <w:rPr>
          <w:rFonts w:ascii="Times" w:hAnsi="Times"/>
          <w:sz w:val="24"/>
        </w:rPr>
        <w:t xml:space="preserve"> is defined in Section 8.5(e) hereof.</w:t>
      </w:r>
    </w:p>
    <w:p>
      <w:pPr>
        <w:pStyle w:val="TextBody"/>
        <w:bidi w:val="0"/>
        <w:spacing w:before="0" w:after="240"/>
        <w:ind w:left="0" w:right="0" w:firstLine="720"/>
        <w:jc w:val="both"/>
        <w:rPr/>
      </w:pPr>
      <w:r>
        <w:rPr/>
        <w:t>“</w:t>
      </w:r>
      <w:r>
        <w:rPr>
          <w:rFonts w:ascii="Times" w:hAnsi="Times"/>
          <w:i/>
          <w:sz w:val="24"/>
        </w:rPr>
        <w:t>Conforming Changes</w:t>
      </w:r>
      <w:r>
        <w:rPr>
          <w:rFonts w:ascii="Times" w:hAnsi="Times"/>
          <w:sz w:val="24"/>
        </w:rPr>
        <w:t>” 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length of lookback periods, the applicability of Section 1.11 and other technical, administrative or operational matters) that the Administrative Agent decides may be appropriate to reflect the adoption and implementation of any such rate or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720"/>
        <w:jc w:val="both"/>
        <w:rPr/>
      </w:pPr>
      <w:r>
        <w:rPr/>
        <w:t>“</w:t>
      </w:r>
      <w:r>
        <w:rPr>
          <w:rFonts w:ascii="Times" w:hAnsi="Times"/>
          <w:i/>
          <w:sz w:val="24"/>
        </w:rPr>
        <w:t>Connection Income Taxes”</w:t>
      </w:r>
      <w:r>
        <w:rPr>
          <w:rFonts w:ascii="Times" w:hAnsi="Times"/>
          <w:sz w:val="24"/>
        </w:rPr>
        <w:t xml:space="preserve"> means Other Connection Taxes that are imposed on or measured by net income (however denominated) or that are franchise Taxes or branch profit Taxes.</w:t>
      </w:r>
    </w:p>
    <w:p>
      <w:pPr>
        <w:pStyle w:val="TextBody"/>
        <w:bidi w:val="0"/>
        <w:spacing w:before="0" w:after="240"/>
        <w:ind w:left="0" w:right="0" w:firstLine="720"/>
        <w:jc w:val="both"/>
        <w:rPr/>
      </w:pPr>
      <w:r>
        <w:rPr/>
        <w:t>“</w:t>
      </w:r>
      <w:r>
        <w:rPr>
          <w:rFonts w:ascii="Times" w:hAnsi="Times"/>
          <w:i/>
          <w:sz w:val="24"/>
        </w:rPr>
        <w:t>Controlled Group”</w:t>
      </w:r>
      <w:r>
        <w:rPr>
          <w:rFonts w:ascii="Times" w:hAnsi="Times"/>
          <w:sz w:val="24"/>
        </w:rPr>
        <w:t xml:space="preserve"> means all members of a controlled group of corporations and all trades or businesses (whether or not incorporated) under common control which, together with the Borrower, are treated as a single employer under Section 414 of the Code.</w:t>
      </w:r>
    </w:p>
    <w:p>
      <w:pPr>
        <w:pStyle w:val="TextBody"/>
        <w:bidi w:val="0"/>
        <w:spacing w:before="0" w:after="240"/>
        <w:ind w:left="0" w:right="0" w:firstLine="720"/>
        <w:jc w:val="both"/>
        <w:rPr/>
      </w:pPr>
      <w:r>
        <w:rPr/>
        <w:t>“</w:t>
      </w:r>
      <w:r>
        <w:rPr>
          <w:rFonts w:ascii="Times" w:hAnsi="Times"/>
          <w:i/>
          <w:sz w:val="24"/>
        </w:rPr>
        <w:t>Covered Entity</w:t>
      </w:r>
      <w:r>
        <w:rPr>
          <w:rFonts w:ascii="Times" w:hAnsi="Times"/>
          <w:sz w:val="24"/>
        </w:rPr>
        <w:t>” has the meaning specified in Section 12.29.</w:t>
      </w:r>
    </w:p>
    <w:p>
      <w:pPr>
        <w:pStyle w:val="TextBody"/>
        <w:bidi w:val="0"/>
        <w:spacing w:before="0" w:after="240"/>
        <w:ind w:left="0" w:right="0" w:firstLine="720"/>
        <w:jc w:val="both"/>
        <w:rPr/>
      </w:pPr>
      <w:r>
        <w:rPr/>
        <w:t>“</w:t>
      </w:r>
      <w:r>
        <w:rPr>
          <w:rFonts w:ascii="Times" w:hAnsi="Times"/>
          <w:i/>
          <w:sz w:val="24"/>
        </w:rPr>
        <w:t>Credit Event”</w:t>
      </w:r>
      <w:r>
        <w:rPr>
          <w:rFonts w:ascii="Times" w:hAnsi="Times"/>
          <w:sz w:val="24"/>
        </w:rPr>
        <w:t xml:space="preserve"> means the advancing of any Loan, or the issuance of, or extension of the expiration date or increase in the amount of, any Letter of Credit.</w:t>
      </w:r>
    </w:p>
    <w:p>
      <w:pPr>
        <w:pStyle w:val="TextBody"/>
        <w:bidi w:val="0"/>
        <w:spacing w:before="0" w:after="0"/>
        <w:ind w:left="0" w:right="0" w:firstLine="720"/>
        <w:jc w:val="both"/>
        <w:rPr/>
      </w:pPr>
      <w:bookmarkStart w:id="1699" w:name="_Hlk220434557"/>
      <w:bookmarkEnd w:id="1699"/>
      <w:r>
        <w:rPr/>
        <w:t>“</w:t>
      </w:r>
      <w:r>
        <w:rPr>
          <w:rFonts w:ascii="Times" w:hAnsi="Times"/>
          <w:i/>
          <w:sz w:val="24"/>
        </w:rPr>
        <w:t>Daily Simple SOFR</w:t>
      </w:r>
      <w:r>
        <w:rPr>
          <w:rFonts w:ascii="Times" w:hAnsi="Times"/>
          <w:sz w:val="24"/>
        </w:rPr>
        <w:t>” means, for any day (a “</w:t>
      </w:r>
      <w:r>
        <w:rPr>
          <w:rFonts w:ascii="Times" w:hAnsi="Times"/>
          <w:sz w:val="24"/>
          <w:u w:val="single"/>
        </w:rPr>
        <w:t>SOFR Rate Day</w:t>
      </w:r>
      <w:r>
        <w:rPr>
          <w:rFonts w:ascii="Times" w:hAnsi="Times"/>
          <w:sz w:val="24"/>
        </w:rPr>
        <w:t>”), a rate per annum equal to the greater of (a) SOFR for the day (such day, the “</w:t>
      </w:r>
      <w:r>
        <w:rPr>
          <w:rFonts w:ascii="Times" w:hAnsi="Times"/>
          <w:sz w:val="24"/>
          <w:u w:val="single"/>
        </w:rPr>
        <w:t>SOFR Determination Date</w:t>
      </w:r>
      <w:r>
        <w:rPr>
          <w:rFonts w:ascii="Times" w:hAnsi="Times"/>
          <w:sz w:val="24"/>
        </w:rPr>
        <w:t>” ) that is five (5)  SOFR Business Days prior to (i) if such SOFR Rate Day is a SOFR Business Day, such SOFR Rate Day or (ii) if such SOFR Rate Day is not a SOFR Business Day, the SOFR Business Day immediately preceding such SOFR Rate Day, in each case, as such SOFR is published by the SOFR Administrator on the SOFR Administrator’s Website, and (b) the Floor.  If by 5:00 pm (New York City time) on the second (2</w:t>
      </w:r>
      <w:r>
        <w:rPr>
          <w:rFonts w:ascii="Times" w:hAnsi="Times"/>
          <w:sz w:val="18"/>
        </w:rPr>
        <w:t>nd</w:t>
      </w:r>
      <w:r>
        <w:rPr>
          <w:rFonts w:ascii="Times" w:hAnsi="Times"/>
          <w:sz w:val="24"/>
        </w:rPr>
        <w:t xml:space="preserve">) SOFR Business Day immediately following any SOFR Determination Date, the SOFR in respect of such SOFR Determination Date has not been published on the SOFR Administrator’s Website and a Benchmark Replacement Date with respect to the Daily Simple SOFR has not occurred, then the SOFR for such SOFR Determination Date will be the SOFR as published in respect of the first preceding SOFR Business Day for which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Borrower.</w:t>
      </w:r>
    </w:p>
    <w:p>
      <w:pPr>
        <w:pStyle w:val="TextBody"/>
        <w:bidi w:val="0"/>
        <w:spacing w:before="0" w:after="240"/>
        <w:ind w:left="0" w:right="0" w:firstLine="720"/>
        <w:jc w:val="both"/>
        <w:rPr/>
      </w:pPr>
      <w:r>
        <w:rPr/>
        <w:t>“</w:t>
      </w:r>
      <w:r>
        <w:rPr>
          <w:rFonts w:ascii="Times" w:hAnsi="Times"/>
          <w:i/>
          <w:sz w:val="24"/>
        </w:rPr>
        <w:t>Daily Simple SOFR Loan</w:t>
      </w:r>
      <w:r>
        <w:rPr>
          <w:rFonts w:ascii="Times" w:hAnsi="Times"/>
          <w:sz w:val="24"/>
        </w:rPr>
        <w:t>” means each Loan bearing interest at a rate based upon Daily Simple SOFR.</w:t>
      </w:r>
    </w:p>
    <w:p>
      <w:pPr>
        <w:pStyle w:val="TextBody"/>
        <w:bidi w:val="0"/>
        <w:spacing w:before="0" w:after="240"/>
        <w:ind w:left="0" w:right="0" w:firstLine="720"/>
        <w:jc w:val="both"/>
        <w:rPr/>
      </w:pPr>
      <w:r>
        <w:rPr/>
        <w:t>“</w:t>
      </w:r>
      <w:r>
        <w:rPr>
          <w:rFonts w:ascii="Times" w:hAnsi="Times"/>
          <w:i/>
          <w:sz w:val="24"/>
        </w:rPr>
        <w:t>Debtor Relief Laws”</w:t>
      </w:r>
      <w:r>
        <w:rPr>
          <w:rFonts w:ascii="Times" w:hAnsi="Times"/>
          <w:sz w:val="24"/>
        </w:rPr>
        <w:t xml:space="preserve">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ind w:left="0" w:right="0" w:firstLine="720"/>
        <w:jc w:val="both"/>
        <w:rPr/>
      </w:pPr>
      <w:r>
        <w:rPr/>
        <w:t>“</w:t>
      </w:r>
      <w:r>
        <w:rPr>
          <w:rFonts w:ascii="Times" w:hAnsi="Times"/>
          <w:i/>
          <w:sz w:val="24"/>
        </w:rPr>
        <w:t>Default”</w:t>
      </w:r>
      <w:r>
        <w:rPr>
          <w:rFonts w:ascii="Times" w:hAnsi="Times"/>
          <w:sz w:val="24"/>
        </w:rPr>
        <w:t xml:space="preserve"> means any event or condition the occurrence of which would, with the passage of time or the giving of notice, or both, constitute an Event of Default.</w:t>
      </w:r>
    </w:p>
    <w:p>
      <w:pPr>
        <w:pStyle w:val="TextBody"/>
        <w:bidi w:val="0"/>
        <w:spacing w:before="0" w:after="240"/>
        <w:ind w:left="0" w:right="0" w:firstLine="720"/>
        <w:jc w:val="both"/>
        <w:rPr/>
      </w:pPr>
      <w:r>
        <w:rPr/>
        <w:t>“</w:t>
      </w:r>
      <w:r>
        <w:rPr>
          <w:rFonts w:ascii="Times" w:hAnsi="Times"/>
          <w:i/>
          <w:sz w:val="24"/>
        </w:rPr>
        <w:t>Defaulted Loan”</w:t>
      </w:r>
      <w:r>
        <w:rPr>
          <w:rFonts w:ascii="Times" w:hAnsi="Times"/>
          <w:sz w:val="24"/>
        </w:rPr>
        <w:t xml:space="preserve"> is defined in the definition of “</w:t>
      </w:r>
      <w:r>
        <w:rPr>
          <w:rFonts w:ascii="Times" w:hAnsi="Times"/>
          <w:i/>
          <w:sz w:val="24"/>
        </w:rPr>
        <w:t>Defaulting Lender”</w:t>
      </w:r>
      <w:r>
        <w:rPr>
          <w:rFonts w:ascii="Times" w:hAnsi="Times"/>
          <w:sz w:val="24"/>
        </w:rPr>
        <w:t xml:space="preserve"> in this Section 5.1.</w:t>
      </w:r>
    </w:p>
    <w:p>
      <w:pPr>
        <w:pStyle w:val="TextBody"/>
        <w:bidi w:val="0"/>
        <w:spacing w:before="0" w:after="240"/>
        <w:ind w:left="0" w:right="0" w:firstLine="720"/>
        <w:jc w:val="both"/>
        <w:rPr/>
      </w:pPr>
      <w:r>
        <w:rPr/>
        <w:t>“</w:t>
      </w:r>
      <w:r>
        <w:rPr>
          <w:rFonts w:ascii="Times" w:hAnsi="Times"/>
          <w:i/>
          <w:sz w:val="24"/>
        </w:rPr>
        <w:t>Defaulting Lender”</w:t>
      </w:r>
      <w:r>
        <w:rPr>
          <w:rFonts w:ascii="Times" w:hAnsi="Times"/>
          <w:sz w:val="24"/>
        </w:rPr>
        <w:t xml:space="preserve"> means any Lender that (a) has failed to fund any portion of the Loans or Reimbursement Obligations required to be funded by it hereunder (herein, a “</w:t>
      </w:r>
      <w:r>
        <w:rPr>
          <w:rFonts w:ascii="Times" w:hAnsi="Times"/>
          <w:i/>
          <w:sz w:val="24"/>
        </w:rPr>
        <w:t>Defaulted Loan”</w:t>
      </w:r>
      <w:r>
        <w:rPr>
          <w:rFonts w:ascii="Times" w:hAnsi="Times"/>
          <w:sz w:val="24"/>
        </w:rPr>
        <w:t>) within two (2) Business Days of the date required to be funded by it hereunder (including with respect to a Revolving Lender, in respect of its participation in Letters of Credit) unless such failure has been cured, (b) has otherwise failed to pay over to the Administrative Agent, L/C Issuer,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notified the Borrower, the Administrative Agent or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(d)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(d) upon receipt of such written confirmation by the Administrative Agent and the Borrower), (e) has experienced a Bankruptcy Event, (e) a receiver or conservator has been appointed for such Lender or (f) has become the subject of a Bail-In Action.</w:t>
      </w:r>
    </w:p>
    <w:p>
      <w:pPr>
        <w:pStyle w:val="TextBody"/>
        <w:bidi w:val="0"/>
        <w:spacing w:before="0" w:after="0"/>
        <w:ind w:left="0" w:right="0" w:firstLine="720"/>
        <w:jc w:val="both"/>
        <w:rPr/>
      </w:pPr>
      <w:r>
        <w:rPr/>
        <w:t>“</w:t>
      </w:r>
      <w:r>
        <w:rPr>
          <w:rFonts w:ascii="Times" w:hAnsi="Times"/>
          <w:i/>
          <w:sz w:val="24"/>
        </w:rPr>
        <w:t>Defaulting Lender Period”</w:t>
      </w:r>
      <w:r>
        <w:rPr>
          <w:rFonts w:ascii="Times" w:hAnsi="Times"/>
          <w:sz w:val="24"/>
        </w:rPr>
        <w:t xml:space="preserve"> means, with respect to any Defaulting Lender, the period commencing on the date upon which such Lender first became a Defaulting Lender and ending on the earliest of the following dates: the date on which (a) such Defaulting Lender is no longer the subject of a Bankruptcy Event or, if applicable, under the direction of a receiver or conservator, (b) such Defaulting Lender shall have delivered to Borrower and the Administrative Agent a written reaffirmation of its intention to honor its obligations hereunder, including with respect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its Revolving Credit Commitments, and (c) such Defaulting Lender shall have been deemed to no longer be a Defaulting Lender in accordance with Section 1.14(f) hereof.</w:t>
      </w:r>
    </w:p>
    <w:p>
      <w:pPr>
        <w:pStyle w:val="TextBody"/>
        <w:bidi w:val="0"/>
        <w:spacing w:before="0" w:after="240"/>
        <w:ind w:left="0" w:right="0" w:firstLine="720"/>
        <w:jc w:val="both"/>
        <w:rPr/>
      </w:pPr>
      <w:r>
        <w:rPr/>
        <w:t>“</w:t>
      </w:r>
      <w:r>
        <w:rPr>
          <w:rFonts w:ascii="Times" w:hAnsi="Times"/>
          <w:i/>
          <w:sz w:val="24"/>
        </w:rPr>
        <w:t>Dividends</w:t>
      </w:r>
      <w:r>
        <w:rPr>
          <w:rFonts w:ascii="Times" w:hAnsi="Times"/>
          <w:sz w:val="24"/>
        </w:rPr>
        <w:t>” means any dividend paid (or declared and then payable), as the case may be, in cash on any equity security issued by the Borrower.</w:t>
      </w:r>
    </w:p>
    <w:p>
      <w:pPr>
        <w:pStyle w:val="TextBody"/>
        <w:bidi w:val="0"/>
        <w:spacing w:before="0" w:after="240"/>
        <w:ind w:left="0" w:right="0" w:firstLine="720"/>
        <w:jc w:val="both"/>
        <w:rPr/>
      </w:pPr>
      <w:r>
        <w:rPr/>
        <w:t>“</w:t>
      </w:r>
      <w:r>
        <w:rPr>
          <w:rFonts w:ascii="Times" w:hAnsi="Times"/>
          <w:i/>
          <w:sz w:val="24"/>
        </w:rPr>
        <w:t>Division</w:t>
      </w:r>
      <w:r>
        <w:rPr>
          <w:rFonts w:ascii="Times" w:hAnsi="Times"/>
          <w:sz w:val="24"/>
        </w:rPr>
        <w:t>” means the division of the assets, liabilities and/or obligations of a Person (the “</w:t>
      </w:r>
      <w:r>
        <w:rPr>
          <w:rFonts w:ascii="Times" w:hAnsi="Times"/>
          <w:i/>
          <w:sz w:val="24"/>
        </w:rPr>
        <w:t>Dividing Person</w:t>
      </w:r>
      <w:r>
        <w:rPr>
          <w:rFonts w:ascii="Times" w:hAnsi="Times"/>
          <w:sz w:val="24"/>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pStyle w:val="TextBody"/>
        <w:bidi w:val="0"/>
        <w:spacing w:before="0" w:after="240"/>
        <w:ind w:left="0" w:right="0" w:firstLine="720"/>
        <w:jc w:val="both"/>
        <w:rPr/>
      </w:pPr>
      <w:r>
        <w:rPr/>
        <w:t>“</w:t>
      </w:r>
      <w:r>
        <w:rPr>
          <w:rFonts w:ascii="Times" w:hAnsi="Times"/>
          <w:i/>
          <w:sz w:val="24"/>
        </w:rPr>
        <w:t>EBITDA”</w:t>
      </w:r>
      <w:r>
        <w:rPr>
          <w:rFonts w:ascii="Times" w:hAnsi="Times"/>
          <w:sz w:val="24"/>
        </w:rPr>
        <w:t xml:space="preserve"> means, for any period, determined on a consolidated basis of the Parent and its Subsidiaries, in accordance with GAAP, the sum of net income (or loss) </w:t>
      </w:r>
      <w:r>
        <w:rPr>
          <w:rFonts w:ascii="Times" w:hAnsi="Times"/>
          <w:i/>
          <w:sz w:val="24"/>
        </w:rPr>
        <w:t>plus</w:t>
      </w:r>
      <w:r>
        <w:rPr>
          <w:rFonts w:ascii="Times" w:hAnsi="Times"/>
          <w:sz w:val="24"/>
        </w:rPr>
        <w:t xml:space="preserve">: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 (A) impairment charges, (B) losses from the sale of real property, and (v) non-cash compensation paid to employees or directors of Parent in the form of Parent’s equity securities, </w:t>
      </w:r>
      <w:r>
        <w:rPr>
          <w:rFonts w:ascii="Times" w:hAnsi="Times"/>
          <w:i/>
          <w:sz w:val="24"/>
        </w:rPr>
        <w:t>minus</w:t>
      </w:r>
      <w:r>
        <w:rPr>
          <w:rFonts w:ascii="Times" w:hAnsi="Times"/>
          <w:sz w:val="24"/>
        </w:rPr>
        <w:t>: (a) extraordinary, unrealized or non-recurring gains, including (x) the write-up of assets and (y) gains from the sale of real property and (b) income tax benefits.  </w:t>
      </w:r>
    </w:p>
    <w:p>
      <w:pPr>
        <w:pStyle w:val="TextBody"/>
        <w:bidi w:val="0"/>
        <w:spacing w:before="0" w:after="240"/>
        <w:ind w:left="0" w:right="0" w:firstLine="720"/>
        <w:jc w:val="both"/>
        <w:rPr/>
      </w:pPr>
      <w:r>
        <w:rPr/>
        <w:t>“</w:t>
      </w:r>
      <w:r>
        <w:rPr>
          <w:rFonts w:ascii="Times" w:hAnsi="Times"/>
          <w:i/>
          <w:sz w:val="24"/>
        </w:rPr>
        <w:t>EEA Financial Institution”</w:t>
      </w:r>
      <w:r>
        <w:rPr>
          <w:rFonts w:ascii="Times" w:hAnsi="Times"/>
          <w:sz w:val="24"/>
        </w:rPr>
        <w:t xml:space="preserve"> means (a) any credit institution or investment firm established in any EEA Member Country which is subject to the supervision of an applicable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w:hAnsi="Times"/>
          <w:i/>
          <w:sz w:val="24"/>
        </w:rPr>
        <w:t>EEA Member Country”</w:t>
      </w:r>
      <w:r>
        <w:rPr>
          <w:rFonts w:ascii="Times" w:hAnsi="Times"/>
          <w:sz w:val="24"/>
        </w:rPr>
        <w:t xml:space="preserve"> means any of the member states of the European Union, Iceland, Liechtenstein, and Norway.</w:t>
      </w:r>
    </w:p>
    <w:p>
      <w:pPr>
        <w:pStyle w:val="TextBody"/>
        <w:bidi w:val="0"/>
        <w:spacing w:before="0" w:after="240"/>
        <w:ind w:left="0" w:right="0" w:firstLine="720"/>
        <w:jc w:val="both"/>
        <w:rPr/>
      </w:pPr>
      <w:r>
        <w:rPr/>
        <w:t>“</w:t>
      </w:r>
      <w:r>
        <w:rPr>
          <w:rFonts w:ascii="Times" w:hAnsi="Times"/>
          <w:i/>
          <w:sz w:val="24"/>
        </w:rPr>
        <w:t>EEA Resolution Authority</w:t>
      </w:r>
      <w:r>
        <w:rPr>
          <w:rFonts w:ascii="Times" w:hAnsi="Times"/>
          <w:sz w:val="24"/>
        </w:rPr>
        <w:t>” means any public administrative authority or any person entrusted with public administrative authority of any EEA Member Country (including any delegee) have responsibility for the resolution of any EEA Financial Institution.</w:t>
      </w:r>
    </w:p>
    <w:p>
      <w:pPr>
        <w:pStyle w:val="TextBody"/>
        <w:bidi w:val="0"/>
        <w:spacing w:before="0" w:after="240"/>
        <w:ind w:left="0" w:right="0" w:firstLine="720"/>
        <w:jc w:val="both"/>
        <w:rPr/>
      </w:pPr>
      <w:r>
        <w:rPr/>
        <w:t>“</w:t>
      </w:r>
      <w:r>
        <w:rPr>
          <w:rFonts w:ascii="Times" w:hAnsi="Times"/>
          <w:i/>
          <w:sz w:val="24"/>
        </w:rPr>
        <w:t>Electronic Copy</w:t>
      </w:r>
      <w:r>
        <w:rPr>
          <w:rFonts w:ascii="Times" w:hAnsi="Times"/>
          <w:sz w:val="24"/>
        </w:rPr>
        <w:t>” has the meaning specified in Section 8.22.</w:t>
      </w:r>
    </w:p>
    <w:p>
      <w:pPr>
        <w:pStyle w:val="TextBody"/>
        <w:bidi w:val="0"/>
        <w:spacing w:before="0" w:after="240"/>
        <w:ind w:left="0" w:right="0" w:firstLine="720"/>
        <w:jc w:val="both"/>
        <w:rPr/>
      </w:pPr>
      <w:r>
        <w:rPr/>
        <w:t>“</w:t>
      </w:r>
      <w:r>
        <w:rPr>
          <w:rFonts w:ascii="Times" w:hAnsi="Times"/>
          <w:i/>
          <w:sz w:val="24"/>
        </w:rPr>
        <w:t>Electronic Record</w:t>
      </w:r>
      <w:r>
        <w:rPr>
          <w:rFonts w:ascii="Times" w:hAnsi="Times"/>
          <w:sz w:val="24"/>
        </w:rPr>
        <w:t>” has the meaning specified in Section 8.22</w:t>
      </w:r>
    </w:p>
    <w:p>
      <w:pPr>
        <w:pStyle w:val="TextBody"/>
        <w:bidi w:val="0"/>
        <w:spacing w:before="0" w:after="240"/>
        <w:ind w:left="0" w:right="0" w:firstLine="720"/>
        <w:jc w:val="both"/>
        <w:rPr/>
      </w:pPr>
      <w:r>
        <w:rPr/>
        <w:t>“</w:t>
      </w:r>
      <w:r>
        <w:rPr>
          <w:rFonts w:ascii="Times" w:hAnsi="Times"/>
          <w:i/>
          <w:sz w:val="24"/>
        </w:rPr>
        <w:t>Electronic Signature</w:t>
      </w:r>
      <w:r>
        <w:rPr>
          <w:rFonts w:ascii="Times" w:hAnsi="Times"/>
          <w:sz w:val="24"/>
        </w:rPr>
        <w:t>” has the meaning specified in Section 8.22.</w:t>
      </w:r>
    </w:p>
    <w:p>
      <w:pPr>
        <w:pStyle w:val="TextBody"/>
        <w:bidi w:val="0"/>
        <w:spacing w:before="0" w:after="240"/>
        <w:ind w:left="0" w:right="0" w:firstLine="720"/>
        <w:jc w:val="both"/>
        <w:rPr/>
      </w:pPr>
      <w:r>
        <w:rPr/>
        <w:t>“</w:t>
      </w:r>
      <w:r>
        <w:rPr>
          <w:rFonts w:ascii="Times" w:hAnsi="Times"/>
          <w:i/>
          <w:sz w:val="24"/>
        </w:rPr>
        <w:t>Eligible Asset</w:t>
      </w:r>
      <w:r>
        <w:rPr>
          <w:rFonts w:ascii="Times" w:hAnsi="Times"/>
          <w:sz w:val="24"/>
        </w:rPr>
        <w:t>” means, as of any Unencumbered Pool Determination Date, any Eligible Property or Eligible Mortgage Receivable.</w:t>
      </w:r>
    </w:p>
    <w:p>
      <w:pPr>
        <w:pStyle w:val="TextBody"/>
        <w:bidi w:val="0"/>
        <w:spacing w:before="0" w:after="0"/>
        <w:ind w:left="0" w:right="0" w:firstLine="720"/>
        <w:jc w:val="both"/>
        <w:rPr/>
      </w:pPr>
      <w:r>
        <w:rPr/>
        <w:t>“</w:t>
      </w:r>
      <w:r>
        <w:rPr>
          <w:rFonts w:ascii="Times" w:hAnsi="Times"/>
          <w:i/>
          <w:sz w:val="24"/>
        </w:rPr>
        <w:t xml:space="preserve">Eligible Assignee” </w:t>
      </w:r>
      <w:r>
        <w:rPr>
          <w:rFonts w:ascii="Times" w:hAnsi="Times"/>
          <w:sz w:val="24"/>
        </w:rPr>
        <w:t xml:space="preserve">means (a) a Lender, (b) an Affiliate of a Lender, (c) an Approved Fund, and (d) any other Person (other than a natural person) approved by (i) the Administrative Agent, (ii) the L/C Issuer, and (iii) unless an Event of Default has occurred and is continuing,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Borrower (each such approval not to be unreasonably withheld or delayed); provided that notwithstanding the foregoing, “Eligible Assignee” shall not include the Borrower or any Guarantor or any of the Borrower’s or such Guarantor’s Affiliates or Subsidiaries.</w:t>
      </w:r>
    </w:p>
    <w:p>
      <w:pPr>
        <w:pStyle w:val="TextBody"/>
        <w:bidi w:val="0"/>
        <w:spacing w:before="0" w:after="240"/>
        <w:ind w:left="0" w:right="0" w:firstLine="720"/>
        <w:jc w:val="both"/>
        <w:rPr/>
      </w:pPr>
      <w:r>
        <w:rPr/>
        <w:t>“</w:t>
      </w:r>
      <w:r>
        <w:rPr>
          <w:rFonts w:ascii="Times" w:hAnsi="Times"/>
          <w:i/>
          <w:sz w:val="24"/>
        </w:rPr>
        <w:t>Eligible Mortgage Receivable</w:t>
      </w:r>
      <w:r>
        <w:rPr>
          <w:rFonts w:ascii="Times" w:hAnsi="Times"/>
          <w:sz w:val="24"/>
        </w:rPr>
        <w:t xml:space="preserve">” means, as of any Unencumbered Pool Determination Date, any Mortgage Receivable that satisfies the following conditions (a) such Mortgage Receivable is owed solely to the Borrower or a Material Subsidiary, and in the case of a Material Subsidiary, such Material Subsidiary has provided an Additional Guarantor Supplement or other Guaranty to the Administrative Agent pursuant to Section 4.2 hereof, (b) neither such Mortgage Receivable nor, if such Mortgage Receivable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(c) such Mortgage Receivable is not more than 60 days past due or otherwise in default, </w:t>
      </w:r>
      <w:bookmarkStart w:id="1700" w:name="_Hlk184323651"/>
      <w:bookmarkEnd w:id="1700"/>
      <w:r>
        <w:rPr>
          <w:rFonts w:ascii="Times" w:hAnsi="Times"/>
          <w:sz w:val="24"/>
        </w:rPr>
        <w:t xml:space="preserve">(d) the Borrower, or if such Mortgage Receivable is owned by a Material Subsidiary, such Material Subsidiary, has the unilateral right to sell, transfer or otherwise dispose of such Mortgage Receivable and to create a Lien on such Mortgage Receivable as security for Indebtedness for Borrowed Money, and (e) such Mortgage Receivable is a First Mortgage Loan secured by Property that (x) is (i) a retail net lease asset or (ii) a Property of an Other Approved Type, including under this clause (ii), without limitation, each of  the Prior Approved Receivables; (y) meets the criteria for Eligible Property (excluding </w:t>
      </w:r>
      <w:r>
        <w:rPr>
          <w:rFonts w:ascii="Times" w:hAnsi="Times"/>
          <w:sz w:val="24"/>
          <w:u w:val="single"/>
        </w:rPr>
        <w:t>clauses</w:t>
      </w:r>
      <w:r>
        <w:rPr>
          <w:rFonts w:ascii="Times" w:hAnsi="Times"/>
          <w:sz w:val="24"/>
        </w:rPr>
        <w:t xml:space="preserve"> </w:t>
      </w:r>
      <w:r>
        <w:rPr>
          <w:rFonts w:ascii="Times" w:hAnsi="Times"/>
          <w:sz w:val="24"/>
          <w:u w:val="single"/>
        </w:rPr>
        <w:t>(a)(i)</w:t>
      </w:r>
      <w:r>
        <w:rPr>
          <w:rFonts w:ascii="Times" w:hAnsi="Times"/>
          <w:sz w:val="24"/>
        </w:rPr>
        <w:t xml:space="preserve">, </w:t>
      </w:r>
      <w:r>
        <w:rPr>
          <w:rFonts w:ascii="Times" w:hAnsi="Times"/>
          <w:sz w:val="24"/>
          <w:u w:val="single"/>
        </w:rPr>
        <w:t>(c)</w:t>
      </w:r>
      <w:r>
        <w:rPr>
          <w:rFonts w:ascii="Times" w:hAnsi="Times"/>
          <w:sz w:val="24"/>
        </w:rPr>
        <w:t xml:space="preserve">, </w:t>
      </w:r>
      <w:r>
        <w:rPr>
          <w:rFonts w:ascii="Times" w:hAnsi="Times"/>
          <w:sz w:val="24"/>
          <w:u w:val="single"/>
        </w:rPr>
        <w:t>(d)</w:t>
      </w:r>
      <w:r>
        <w:rPr>
          <w:rFonts w:ascii="Times" w:hAnsi="Times"/>
          <w:sz w:val="24"/>
        </w:rPr>
        <w:t xml:space="preserve">, </w:t>
      </w:r>
      <w:r>
        <w:rPr>
          <w:rFonts w:ascii="Times" w:hAnsi="Times"/>
          <w:sz w:val="24"/>
          <w:u w:val="single"/>
        </w:rPr>
        <w:t>(g)</w:t>
      </w:r>
      <w:r>
        <w:rPr>
          <w:rFonts w:ascii="Times" w:hAnsi="Times"/>
          <w:sz w:val="24"/>
        </w:rPr>
        <w:t xml:space="preserve"> and </w:t>
      </w:r>
      <w:r>
        <w:rPr>
          <w:rFonts w:ascii="Times" w:hAnsi="Times"/>
          <w:sz w:val="24"/>
          <w:u w:val="single"/>
        </w:rPr>
        <w:t>(h)</w:t>
      </w:r>
      <w:r>
        <w:rPr>
          <w:rFonts w:ascii="Times" w:hAnsi="Times"/>
          <w:sz w:val="24"/>
        </w:rPr>
        <w:t xml:space="preserve"> of the definition thereof and except that with respect to the conditions set forth in </w:t>
      </w:r>
      <w:r>
        <w:rPr>
          <w:rFonts w:ascii="Times" w:hAnsi="Times"/>
          <w:sz w:val="24"/>
          <w:u w:val="single"/>
        </w:rPr>
        <w:t>clause (a)</w:t>
      </w:r>
      <w:r>
        <w:rPr>
          <w:rFonts w:ascii="Times" w:hAnsi="Times"/>
          <w:sz w:val="24"/>
        </w:rPr>
        <w:t xml:space="preserve"> of the definition thereof, the references to any Borrower, Guarantor, or any 1031 Property Holder shall be deemed to refer to the borrower under such Mortgage Receivable); and (z) is not a Land Asset (it being understood that the Property securing such Mortgage Receivable may be an Asset Under Development).</w:t>
      </w:r>
    </w:p>
    <w:p>
      <w:pPr>
        <w:pStyle w:val="TextBody"/>
        <w:bidi w:val="0"/>
        <w:spacing w:before="0" w:after="240"/>
        <w:ind w:left="0" w:right="0" w:firstLine="720"/>
        <w:jc w:val="both"/>
        <w:rPr/>
      </w:pPr>
      <w:r>
        <w:rPr/>
        <w:t>“</w:t>
      </w:r>
      <w:r>
        <w:rPr>
          <w:rFonts w:ascii="Times" w:hAnsi="Times"/>
          <w:i/>
          <w:sz w:val="24"/>
        </w:rPr>
        <w:t>Eligible Property”</w:t>
      </w:r>
      <w:r>
        <w:rPr>
          <w:rFonts w:ascii="Times" w:hAnsi="Times"/>
          <w:sz w:val="24"/>
        </w:rPr>
        <w:t xml:space="preserve"> means, as of any Unencumbered Pool Determination Date, any Property owned by the Borrower, a Guarantor or a 1031 Property Holder which satisfies the following conditions: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(a)Is (i) Alpine Valley, the GermFree Property or other real property constituting a retail net lease asset,  and (ii) one hundred percent (100%) owned in fee simple or leased pursuant to an Acceptable Leasehold Interest, individually or collectively, by the Borrower, any Guarantor or any 1031 Property Holder;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(b)Is a Property located in the contiguous United States;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1701" w:name="_Hlk220519721"/>
      <w:bookmarkEnd w:id="1701"/>
      <w:r>
        <w:rPr>
          <w:rFonts w:ascii="Times New Roman;Times;serif" w:hAnsi="Times New Roman;Times;serif"/>
          <w:sz w:val="24"/>
        </w:rPr>
        <w:t>If such Property is owned or subject to an Acceptable Leasehold Interest by the Borrower, (i) neither the Borrower’s beneficial ownership interest or leasehold interest, as applicable, in such Property nor the Property is subject to any Lien (other than Permitted Liens or Liens in favor of the Administrative Agent) or to any negative pledge (other than a negative pledge under the terms of the documentation evidencing Other Unsecured Indebtedness) and (ii) the Borrower has the unilateral right (including the absence of any restrictions in an Acceptable Leasehold Interest to sell, transfer or otherwise dispose of such Property and to create a Lien on such Property as security for Indebtedness for Borrowed Money);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(d)If such Property is owned or subject to an Acceptable Leasehold Interest by a Material Subsidiary or 1031 Property Holder, (i) neither the Borrower’s beneficial ownership interest or leasehold interest, as applicable, in such Material Subsidiary nor the Property is subject to any Lien (other than Permitted Liens or Liens in favor of the Administrative Agent) or to any negative pledge, (ii) the Material Subsidiary has the unilateral right (including the absence of any restrictions in an Acceptable Leasehold Interest) to sell, transfer or otherwise dispose of such Property and to create a Lien on such Property as security for Indebtedness for Borrowed Money, and (iii) the Material Subsidiary has provided an Additional Guarantor Supplement or other Guaranty to the Administrative Agent pursuant to Section 4.2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(f)With respect to such Property, any Tenant is not more than 60 days past due or “materially past due” (in accordance with customary commercial practice) with respect to any monthly rent payment obligations under such Lease;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(h)The Property is not an Asset Under Development or a Land Asset.</w:t>
      </w:r>
    </w:p>
    <w:p>
      <w:pPr>
        <w:pStyle w:val="TextBody"/>
        <w:bidi w:val="0"/>
        <w:spacing w:before="0" w:after="240"/>
        <w:ind w:left="0" w:right="0" w:firstLine="720"/>
        <w:jc w:val="both"/>
        <w:rPr/>
      </w:pPr>
      <w:r>
        <w:rPr/>
        <w:t>“</w:t>
      </w:r>
      <w:r>
        <w:rPr>
          <w:rFonts w:ascii="Times" w:hAnsi="Times"/>
          <w:i/>
          <w:sz w:val="24"/>
        </w:rPr>
        <w:t xml:space="preserve">Environmental Claim” </w:t>
      </w:r>
      <w:r>
        <w:rPr>
          <w:rFonts w:ascii="Times" w:hAnsi="Times"/>
          <w:sz w:val="24"/>
        </w:rPr>
        <w:t>means any investigation, notice, violation, demand, allegation, action, suit, injunction, judgment, order, consent decree, penalty, fine, lien, pro</w:t>
        <w:softHyphen/>
        <w:t>ceeding or claim (whether administrative, judicial or private in nature) arising (a) pursuant to, or in connection with an actual or alleged violation of, any Environmental Law, (b) in connection with any Hazardous Material, (c) from any abatement, removal, remedial, cor</w:t>
        <w:softHyphen/>
        <w:t>rective or response action in connection with a Hazardous Material, Environmental Law or order of a governmental authority or (d) from any actual or alleged damage, injury, threat or harm to health, safety, natural resources or the environment.</w:t>
      </w:r>
    </w:p>
    <w:p>
      <w:pPr>
        <w:pStyle w:val="TextBody"/>
        <w:bidi w:val="0"/>
        <w:spacing w:before="0" w:after="0"/>
        <w:ind w:left="0" w:right="0" w:firstLine="720"/>
        <w:jc w:val="both"/>
        <w:rPr/>
      </w:pPr>
      <w:r>
        <w:rPr/>
        <w:t>“</w:t>
      </w:r>
      <w:r>
        <w:rPr>
          <w:rFonts w:ascii="Times" w:hAnsi="Times"/>
          <w:i/>
          <w:sz w:val="24"/>
        </w:rPr>
        <w:t>Environmental Law”</w:t>
      </w:r>
      <w:r>
        <w:rPr>
          <w:rFonts w:ascii="Times" w:hAnsi="Times"/>
          <w:sz w:val="24"/>
        </w:rPr>
        <w:t xml:space="preserve"> means any current or future Legal Requirement pertaining to (a) the protection of health, safety and the indoor or outdoor environment, (b) the conservation,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pStyle w:val="TextBody"/>
        <w:bidi w:val="0"/>
        <w:spacing w:before="0" w:after="240"/>
        <w:ind w:left="0" w:right="0" w:firstLine="720"/>
        <w:jc w:val="both"/>
        <w:rPr/>
      </w:pPr>
      <w:r>
        <w:rPr/>
        <w:t>“</w:t>
      </w:r>
      <w:r>
        <w:rPr>
          <w:rFonts w:ascii="Times" w:hAnsi="Times"/>
          <w:i/>
          <w:sz w:val="24"/>
        </w:rPr>
        <w:t>Equity Interests”</w:t>
      </w:r>
      <w:r>
        <w:rPr>
          <w:rFonts w:ascii="Times" w:hAnsi="Times"/>
          <w:sz w:val="24"/>
        </w:rPr>
        <w:t xml:space="preserve">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pStyle w:val="TextBody"/>
        <w:bidi w:val="0"/>
        <w:spacing w:before="0" w:after="240"/>
        <w:ind w:left="0" w:right="0" w:firstLine="720"/>
        <w:jc w:val="both"/>
        <w:rPr/>
      </w:pPr>
      <w:r>
        <w:rPr/>
        <w:t>“</w:t>
      </w:r>
      <w:r>
        <w:rPr>
          <w:rFonts w:ascii="Times" w:hAnsi="Times"/>
          <w:i/>
          <w:sz w:val="24"/>
        </w:rPr>
        <w:t>ERISA”</w:t>
      </w:r>
      <w:r>
        <w:rPr>
          <w:rFonts w:ascii="Times" w:hAnsi="Times"/>
          <w:sz w:val="24"/>
        </w:rPr>
        <w:t xml:space="preserve"> means the Employee Retirement Income Security Act of 1974, as amended, or any successor statute thereto.</w:t>
      </w:r>
    </w:p>
    <w:p>
      <w:pPr>
        <w:pStyle w:val="TextBody"/>
        <w:bidi w:val="0"/>
        <w:spacing w:before="0" w:after="240"/>
        <w:ind w:left="0" w:right="0" w:firstLine="720"/>
        <w:jc w:val="left"/>
        <w:rPr/>
      </w:pPr>
      <w:r>
        <w:rPr/>
        <w:t>“</w:t>
      </w:r>
      <w:r>
        <w:rPr>
          <w:rFonts w:ascii="Times New Roman;Times;serif" w:hAnsi="Times New Roman;Times;serif"/>
          <w:i/>
          <w:sz w:val="24"/>
        </w:rPr>
        <w:t>Erroneous Payment</w:t>
      </w:r>
      <w:r>
        <w:rPr>
          <w:rFonts w:ascii="Times New Roman;Times;serif" w:hAnsi="Times New Roman;Times;serif"/>
          <w:sz w:val="24"/>
        </w:rPr>
        <w:t>” has the meaning assigned to such term in Section 12.30.</w:t>
      </w:r>
    </w:p>
    <w:p>
      <w:pPr>
        <w:pStyle w:val="TextBody"/>
        <w:bidi w:val="0"/>
        <w:spacing w:before="0" w:after="240"/>
        <w:ind w:left="0" w:right="0" w:firstLine="720"/>
        <w:jc w:val="left"/>
        <w:rPr/>
      </w:pPr>
      <w:r>
        <w:rPr/>
        <w:t>“</w:t>
      </w:r>
      <w:r>
        <w:rPr>
          <w:rFonts w:ascii="Times New Roman;Times;serif" w:hAnsi="Times New Roman;Times;serif"/>
          <w:i/>
          <w:sz w:val="24"/>
        </w:rPr>
        <w:t>Erroneous Payment Deficiency Assignment</w:t>
      </w:r>
      <w:r>
        <w:rPr>
          <w:rFonts w:ascii="Times New Roman;Times;serif" w:hAnsi="Times New Roman;Times;serif"/>
          <w:sz w:val="24"/>
        </w:rPr>
        <w:t>” has the meaning assigned to such term in Section 12.30.</w:t>
      </w:r>
    </w:p>
    <w:p>
      <w:pPr>
        <w:pStyle w:val="TextBody"/>
        <w:bidi w:val="0"/>
        <w:spacing w:before="0" w:after="240"/>
        <w:ind w:left="0" w:right="0" w:firstLine="720"/>
        <w:jc w:val="left"/>
        <w:rPr/>
      </w:pPr>
      <w:r>
        <w:rPr/>
        <w:t>“</w:t>
      </w:r>
      <w:r>
        <w:rPr>
          <w:rFonts w:ascii="Times New Roman;Times;serif" w:hAnsi="Times New Roman;Times;serif"/>
          <w:i/>
          <w:sz w:val="24"/>
        </w:rPr>
        <w:t>Erroneous Payment Impacted Class</w:t>
      </w:r>
      <w:r>
        <w:rPr>
          <w:rFonts w:ascii="Times New Roman;Times;serif" w:hAnsi="Times New Roman;Times;serif"/>
          <w:sz w:val="24"/>
        </w:rPr>
        <w:t>” has the meaning assigned to such term in Section 12.30(d).</w:t>
      </w:r>
    </w:p>
    <w:p>
      <w:pPr>
        <w:pStyle w:val="TextBody"/>
        <w:bidi w:val="0"/>
        <w:spacing w:before="0" w:after="240"/>
        <w:ind w:left="0" w:right="0" w:firstLine="720"/>
        <w:jc w:val="left"/>
        <w:rPr/>
      </w:pPr>
      <w:r>
        <w:rPr/>
        <w:t>“</w:t>
      </w:r>
      <w:r>
        <w:rPr>
          <w:rFonts w:ascii="Times New Roman;Times;serif" w:hAnsi="Times New Roman;Times;serif"/>
          <w:i/>
          <w:sz w:val="24"/>
        </w:rPr>
        <w:t>Erroneous Payment Return Deficiency</w:t>
      </w:r>
      <w:r>
        <w:rPr>
          <w:rFonts w:ascii="Times New Roman;Times;serif" w:hAnsi="Times New Roman;Times;serif"/>
          <w:sz w:val="24"/>
        </w:rPr>
        <w:t>” has the meaning assigned to such term in Section 12.30(d).</w:t>
      </w:r>
    </w:p>
    <w:p>
      <w:pPr>
        <w:pStyle w:val="TextBody"/>
        <w:bidi w:val="0"/>
        <w:spacing w:before="0" w:after="240"/>
        <w:ind w:left="0" w:right="0" w:firstLine="720"/>
        <w:jc w:val="left"/>
        <w:rPr/>
      </w:pPr>
      <w:r>
        <w:rPr/>
        <w:t>“</w:t>
      </w:r>
      <w:r>
        <w:rPr>
          <w:rFonts w:ascii="Times New Roman;Times;serif" w:hAnsi="Times New Roman;Times;serif"/>
          <w:i/>
          <w:sz w:val="24"/>
        </w:rPr>
        <w:t>Erroneous Payment Subrogation Rights</w:t>
      </w:r>
      <w:r>
        <w:rPr>
          <w:rFonts w:ascii="Times New Roman;Times;serif" w:hAnsi="Times New Roman;Times;serif"/>
          <w:sz w:val="24"/>
        </w:rPr>
        <w:t>” has the meaning assigned to such term in Section 12.30(d).</w:t>
      </w:r>
    </w:p>
    <w:p>
      <w:pPr>
        <w:pStyle w:val="TextBody"/>
        <w:bidi w:val="0"/>
        <w:spacing w:before="0" w:after="240"/>
        <w:ind w:left="0" w:right="0" w:firstLine="720"/>
        <w:jc w:val="both"/>
        <w:rPr/>
      </w:pPr>
      <w:r>
        <w:rPr/>
        <w:t>“</w:t>
      </w:r>
      <w:r>
        <w:rPr>
          <w:rFonts w:ascii="Times" w:hAnsi="Times"/>
          <w:i/>
          <w:sz w:val="24"/>
        </w:rPr>
        <w:t>EU Bail-In Legislation Schedule”</w:t>
      </w:r>
      <w:r>
        <w:rPr>
          <w:rFonts w:ascii="Times" w:hAnsi="Times"/>
          <w:sz w:val="24"/>
        </w:rPr>
        <w:t xml:space="preserve"> means the EU Bail-In Legislation Schedule published by the Loan Market Association (or any successor Person), as in effect from time to time. </w:t>
      </w:r>
    </w:p>
    <w:p>
      <w:pPr>
        <w:pStyle w:val="TextBody"/>
        <w:bidi w:val="0"/>
        <w:spacing w:before="0" w:after="240"/>
        <w:ind w:left="0" w:right="0" w:firstLine="720"/>
        <w:jc w:val="both"/>
        <w:rPr/>
      </w:pPr>
      <w:r>
        <w:rPr/>
        <w:t>“</w:t>
      </w:r>
      <w:r>
        <w:rPr>
          <w:rFonts w:ascii="Times" w:hAnsi="Times"/>
          <w:i/>
          <w:sz w:val="24"/>
        </w:rPr>
        <w:t>Event of Default”</w:t>
      </w:r>
      <w:r>
        <w:rPr>
          <w:rFonts w:ascii="Times" w:hAnsi="Times"/>
          <w:sz w:val="24"/>
        </w:rPr>
        <w:t xml:space="preserve"> means any event or condition identified as such in Section 9.1 hereof.</w:t>
      </w:r>
    </w:p>
    <w:p>
      <w:pPr>
        <w:pStyle w:val="TextBody"/>
        <w:bidi w:val="0"/>
        <w:spacing w:before="0" w:after="0"/>
        <w:ind w:left="0" w:right="0" w:firstLine="720"/>
        <w:jc w:val="both"/>
        <w:rPr/>
      </w:pPr>
      <w:r>
        <w:rPr/>
        <w:t>“</w:t>
      </w:r>
      <w:r>
        <w:rPr>
          <w:rFonts w:ascii="Times" w:hAnsi="Times"/>
          <w:i/>
          <w:sz w:val="24"/>
        </w:rPr>
        <w:t>Excluded Swap Obligation</w:t>
      </w:r>
      <w:r>
        <w:rPr>
          <w:rFonts w:ascii="Times" w:hAnsi="Times"/>
          <w:sz w:val="24"/>
        </w:rPr>
        <w:t xml:space="preserve">”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240"/>
        <w:ind w:left="0" w:right="0" w:firstLine="720"/>
        <w:jc w:val="both"/>
        <w:rPr/>
      </w:pPr>
      <w:r>
        <w:rPr/>
        <w:t>“</w:t>
      </w:r>
      <w:r>
        <w:rPr>
          <w:rFonts w:ascii="Times" w:hAnsi="Times"/>
          <w:i/>
          <w:sz w:val="24"/>
        </w:rPr>
        <w:t>Excluded Taxes”</w:t>
      </w:r>
      <w:r>
        <w:rPr>
          <w:rFonts w:ascii="Times" w:hAnsi="Times"/>
          <w:sz w:val="24"/>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1.13 hereof) 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pStyle w:val="TextBody"/>
        <w:bidi w:val="0"/>
        <w:spacing w:before="0" w:after="240"/>
        <w:ind w:left="0" w:right="0" w:firstLine="720"/>
        <w:jc w:val="both"/>
        <w:rPr/>
      </w:pPr>
      <w:r>
        <w:rPr/>
        <w:t>“</w:t>
      </w:r>
      <w:r>
        <w:rPr>
          <w:rFonts w:ascii="Times" w:hAnsi="Times"/>
          <w:i/>
          <w:sz w:val="24"/>
        </w:rPr>
        <w:t>Existing KeyBank Agreement</w:t>
      </w:r>
      <w:r>
        <w:rPr>
          <w:rFonts w:ascii="Times" w:hAnsi="Times"/>
          <w:sz w:val="24"/>
        </w:rPr>
        <w:t>” means that certain Amended and Restated Credit Agreement dated as of September 30, 2022, among Borrower, KeyBank National Association, a syndicate of lenders and the other parties party thereto, as amended by that certain First Amendment to Amended and Restated Credit Agreement dated December 20, 2024, and as may be further amended, restated, supplemented or otherwise modified.</w:t>
      </w:r>
    </w:p>
    <w:p>
      <w:pPr>
        <w:pStyle w:val="TextBody"/>
        <w:bidi w:val="0"/>
        <w:spacing w:before="0" w:after="240"/>
        <w:ind w:left="0" w:right="0" w:firstLine="720"/>
        <w:jc w:val="both"/>
        <w:rPr/>
      </w:pPr>
      <w:r>
        <w:rPr/>
        <w:t>“</w:t>
      </w:r>
      <w:r>
        <w:rPr>
          <w:rFonts w:ascii="Times" w:hAnsi="Times"/>
          <w:i/>
          <w:sz w:val="24"/>
        </w:rPr>
        <w:t>Extension Fee”</w:t>
      </w:r>
      <w:r>
        <w:rPr>
          <w:rFonts w:ascii="Times" w:hAnsi="Times"/>
          <w:sz w:val="24"/>
        </w:rPr>
        <w:t xml:space="preserve"> means an extension fee payable by the Borrower for each six month extension pursuant to Section 1.16 hereto in an amount equal to 0.065% of the Revolving Credit Commitments then in effect.</w:t>
      </w:r>
    </w:p>
    <w:p>
      <w:pPr>
        <w:pStyle w:val="TextBody"/>
        <w:bidi w:val="0"/>
        <w:spacing w:before="0" w:after="240"/>
        <w:ind w:left="0" w:right="0" w:firstLine="720"/>
        <w:jc w:val="both"/>
        <w:rPr/>
      </w:pPr>
      <w:r>
        <w:rPr/>
        <w:t>“</w:t>
      </w:r>
      <w:r>
        <w:rPr>
          <w:rFonts w:ascii="Times" w:hAnsi="Times"/>
          <w:i/>
          <w:sz w:val="24"/>
        </w:rPr>
        <w:t>Facility</w:t>
      </w:r>
      <w:r>
        <w:rPr>
          <w:rFonts w:ascii="Times" w:hAnsi="Times"/>
          <w:sz w:val="24"/>
        </w:rPr>
        <w:t>” means the Revolving Facility and each Term Facility.</w:t>
      </w:r>
    </w:p>
    <w:p>
      <w:pPr>
        <w:pStyle w:val="TextBody"/>
        <w:bidi w:val="0"/>
        <w:spacing w:before="0" w:after="240"/>
        <w:ind w:left="0" w:right="0" w:firstLine="720"/>
        <w:jc w:val="both"/>
        <w:rPr/>
      </w:pPr>
      <w:r>
        <w:rPr/>
        <w:t>“</w:t>
      </w:r>
      <w:r>
        <w:rPr>
          <w:rFonts w:ascii="Times" w:hAnsi="Times"/>
          <w:i/>
          <w:sz w:val="24"/>
        </w:rPr>
        <w:t>FATCA”</w:t>
      </w:r>
      <w:r>
        <w:rPr>
          <w:rFonts w:ascii="Times" w:hAnsi="Times"/>
          <w:sz w:val="24"/>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w:t>
      </w:r>
    </w:p>
    <w:p>
      <w:pPr>
        <w:pStyle w:val="TextBody"/>
        <w:bidi w:val="0"/>
        <w:spacing w:before="0" w:after="240"/>
        <w:ind w:left="0" w:right="0" w:firstLine="720"/>
        <w:jc w:val="both"/>
        <w:rPr/>
      </w:pPr>
      <w:r>
        <w:rPr/>
        <w:t>“</w:t>
      </w:r>
      <w:r>
        <w:rPr>
          <w:rFonts w:ascii="Times" w:hAnsi="Times"/>
          <w:i/>
          <w:sz w:val="24"/>
        </w:rPr>
        <w:t>Federal Funds Rate”</w:t>
      </w:r>
      <w:r>
        <w:rPr>
          <w:rFonts w:ascii="Times" w:hAnsi="Times"/>
          <w:sz w:val="24"/>
        </w:rPr>
        <w:t xml:space="preserve"> is defined in Section 1.4(a) hereof. </w:t>
      </w:r>
    </w:p>
    <w:p>
      <w:pPr>
        <w:pStyle w:val="TextBody"/>
        <w:bidi w:val="0"/>
        <w:spacing w:before="0" w:after="240"/>
        <w:ind w:left="0" w:right="0" w:firstLine="720"/>
        <w:jc w:val="both"/>
        <w:rPr/>
      </w:pPr>
      <w:r>
        <w:rPr/>
        <w:t>“</w:t>
      </w:r>
      <w:r>
        <w:rPr>
          <w:rFonts w:ascii="Times" w:hAnsi="Times"/>
          <w:i/>
          <w:sz w:val="24"/>
        </w:rPr>
        <w:t>Fee Letter</w:t>
      </w:r>
      <w:r>
        <w:rPr>
          <w:rFonts w:ascii="Times" w:hAnsi="Times"/>
          <w:sz w:val="24"/>
        </w:rPr>
        <w:t>” means (i) the letter agreement, dated January 7, 2026, among Borrower,  TSI, and Truist, and (ii) any other fee letter entered into in connection with the Facilities by and between Borrower and a lead arranger.</w:t>
      </w:r>
    </w:p>
    <w:p>
      <w:pPr>
        <w:pStyle w:val="TextBody"/>
        <w:bidi w:val="0"/>
        <w:spacing w:before="0" w:after="240"/>
        <w:ind w:left="0" w:right="0" w:firstLine="720"/>
        <w:jc w:val="both"/>
        <w:rPr>
          <w:rFonts w:ascii="Times" w:hAnsi="Times"/>
          <w:sz w:val="24"/>
        </w:rPr>
      </w:pPr>
      <w:r>
        <w:rPr>
          <w:rFonts w:ascii="Times" w:hAnsi="Times"/>
          <w:i/>
          <w:sz w:val="24"/>
        </w:rPr>
        <w:t xml:space="preserve">"First Mortgage Loan” </w:t>
      </w:r>
      <w:r>
        <w:rPr>
          <w:rFonts w:ascii="Times" w:hAnsi="Times"/>
          <w:sz w:val="24"/>
        </w:rPr>
        <w:t>means a Mortgage Receivable that is secured by a first priority lien on real property.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Fiscal Quarter”</w:t>
      </w:r>
      <w:r>
        <w:rPr>
          <w:rFonts w:ascii="Times" w:hAnsi="Times"/>
          <w:sz w:val="24"/>
        </w:rPr>
        <w:t xml:space="preserve"> means each of the three-month periods ending on </w:t>
      </w:r>
      <w:bookmarkStart w:id="1702" w:name="_Hlk219472415"/>
      <w:bookmarkEnd w:id="1702"/>
      <w:r>
        <w:rPr>
          <w:rFonts w:ascii="Times" w:hAnsi="Times"/>
          <w:sz w:val="24"/>
        </w:rPr>
        <w:t>March 31, June 30, September 30 and December 31.</w:t>
      </w:r>
    </w:p>
    <w:p>
      <w:pPr>
        <w:pStyle w:val="TextBody"/>
        <w:bidi w:val="0"/>
        <w:spacing w:before="0" w:after="240"/>
        <w:ind w:left="0" w:right="0" w:firstLine="720"/>
        <w:jc w:val="both"/>
        <w:rPr/>
      </w:pPr>
      <w:r>
        <w:rPr/>
        <w:t>“</w:t>
      </w:r>
      <w:r>
        <w:rPr>
          <w:rFonts w:ascii="Times" w:hAnsi="Times"/>
          <w:i/>
          <w:sz w:val="24"/>
        </w:rPr>
        <w:t>Fiscal Year”</w:t>
      </w:r>
      <w:r>
        <w:rPr>
          <w:rFonts w:ascii="Times" w:hAnsi="Times"/>
          <w:sz w:val="24"/>
        </w:rPr>
        <w:t xml:space="preserve"> means the twelve-month period ending on December 31.</w:t>
      </w:r>
    </w:p>
    <w:p>
      <w:pPr>
        <w:pStyle w:val="TextBody"/>
        <w:bidi w:val="0"/>
        <w:spacing w:before="0" w:after="240"/>
        <w:ind w:left="0" w:right="0" w:firstLine="720"/>
        <w:jc w:val="both"/>
        <w:rPr/>
      </w:pPr>
      <w:r>
        <w:rPr/>
        <w:t>“</w:t>
      </w:r>
      <w:r>
        <w:rPr>
          <w:rFonts w:ascii="Times" w:hAnsi="Times"/>
          <w:i/>
          <w:sz w:val="24"/>
        </w:rPr>
        <w:t>Fitch</w:t>
      </w:r>
      <w:r>
        <w:rPr>
          <w:rFonts w:ascii="Times" w:hAnsi="Times"/>
          <w:sz w:val="24"/>
        </w:rPr>
        <w:t xml:space="preserve">” means Fitch Ratings, or any successor thereto. </w:t>
      </w:r>
    </w:p>
    <w:p>
      <w:pPr>
        <w:pStyle w:val="TextBody"/>
        <w:bidi w:val="0"/>
        <w:spacing w:before="0" w:after="240"/>
        <w:ind w:left="0" w:right="0" w:firstLine="720"/>
        <w:jc w:val="both"/>
        <w:rPr/>
      </w:pPr>
      <w:r>
        <w:rPr/>
        <w:t>“</w:t>
      </w:r>
      <w:r>
        <w:rPr>
          <w:rFonts w:ascii="Times" w:hAnsi="Times"/>
          <w:i/>
          <w:sz w:val="24"/>
        </w:rPr>
        <w:t>Fixed Charges”</w:t>
      </w:r>
      <w:r>
        <w:rPr>
          <w:rFonts w:ascii="Times" w:hAnsi="Times"/>
          <w:sz w:val="24"/>
        </w:rPr>
        <w:t xml:space="preserve"> means, for any Rolling Period, (a) Interest Expense, plus (b) scheduled principal amortization paid on Total Indebtedness (exclusive of any balloon payments or prepayments of principal paid on such Total Indebtedness), plus (c) Dividends and required distributions on the Parent’s preferred equity securities for such Rolling Period plus (d) all income taxes (federal, state and local) paid by Parent and its Subsidiaries in cash during such Rolling Period.  </w:t>
      </w:r>
    </w:p>
    <w:p>
      <w:pPr>
        <w:pStyle w:val="TextBody"/>
        <w:bidi w:val="0"/>
        <w:spacing w:before="0" w:after="240"/>
        <w:ind w:left="0" w:right="0" w:firstLine="720"/>
        <w:jc w:val="both"/>
        <w:rPr/>
      </w:pPr>
      <w:r>
        <w:rPr/>
        <w:t>“</w:t>
      </w:r>
      <w:r>
        <w:rPr>
          <w:rFonts w:ascii="Times" w:hAnsi="Times"/>
          <w:i/>
          <w:sz w:val="24"/>
        </w:rPr>
        <w:t>Floor</w:t>
      </w:r>
      <w:r>
        <w:rPr>
          <w:rFonts w:ascii="Times" w:hAnsi="Times"/>
          <w:sz w:val="24"/>
        </w:rPr>
        <w:t>” means a rate of interest equal to 0% per annum.</w:t>
      </w:r>
    </w:p>
    <w:p>
      <w:pPr>
        <w:pStyle w:val="TextBody"/>
        <w:bidi w:val="0"/>
        <w:spacing w:before="0" w:after="240"/>
        <w:ind w:left="0" w:right="0" w:firstLine="720"/>
        <w:jc w:val="both"/>
        <w:rPr/>
      </w:pPr>
      <w:r>
        <w:rPr/>
        <w:t>“</w:t>
      </w:r>
      <w:r>
        <w:rPr>
          <w:rFonts w:ascii="Times" w:hAnsi="Times"/>
          <w:i/>
          <w:sz w:val="24"/>
        </w:rPr>
        <w:t>Fronting Exposure</w:t>
      </w:r>
      <w:r>
        <w:rPr>
          <w:rFonts w:ascii="Times" w:hAnsi="Times"/>
          <w:sz w:val="24"/>
        </w:rPr>
        <w:t>” means, at any time there is a Defaulting Lender that is a Revolving Lender, with respect to the L/C Issuer, such Defaulting Lender’s Applicable Percentage of the outstanding Letter of Credit Liabilities attributable to the L/C Issuer other than Letter of Credit Liabilities as to which such Defaulting Lender’s participation obligation has been reallocated to other Revolving Lenders or Cash Collateralized in accordance with the terms hereof.</w:t>
      </w:r>
    </w:p>
    <w:p>
      <w:pPr>
        <w:pStyle w:val="TextBody"/>
        <w:bidi w:val="0"/>
        <w:spacing w:before="0" w:after="240"/>
        <w:ind w:left="0" w:right="0" w:firstLine="720"/>
        <w:jc w:val="both"/>
        <w:rPr/>
      </w:pPr>
      <w:r>
        <w:rPr/>
        <w:t>“</w:t>
      </w:r>
      <w:r>
        <w:rPr>
          <w:rFonts w:ascii="Times" w:hAnsi="Times"/>
          <w:i/>
          <w:sz w:val="24"/>
        </w:rPr>
        <w:t xml:space="preserve">Fund” </w:t>
      </w:r>
      <w:r>
        <w:rPr>
          <w:rFonts w:ascii="Times" w:hAnsi="Times"/>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ind w:left="0" w:right="0" w:firstLine="720"/>
        <w:jc w:val="both"/>
        <w:rPr/>
      </w:pPr>
      <w:r>
        <w:rPr/>
        <w:t>“</w:t>
      </w:r>
      <w:r>
        <w:rPr>
          <w:rFonts w:ascii="Times" w:hAnsi="Times"/>
          <w:i/>
          <w:sz w:val="24"/>
        </w:rPr>
        <w:t>Funds Transfer and Deposit Account Liability”</w:t>
      </w:r>
      <w:r>
        <w:rPr>
          <w:rFonts w:ascii="Times" w:hAnsi="Times"/>
          <w:sz w:val="24"/>
        </w:rPr>
        <w:t xml:space="preserve"> means the liability of the Borrower, or any 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pStyle w:val="TextBody"/>
        <w:bidi w:val="0"/>
        <w:spacing w:before="0" w:after="240"/>
        <w:ind w:left="0" w:right="0" w:firstLine="720"/>
        <w:jc w:val="both"/>
        <w:rPr/>
      </w:pPr>
      <w:r>
        <w:rPr/>
        <w:t>“</w:t>
      </w:r>
      <w:r>
        <w:rPr>
          <w:rFonts w:ascii="Times" w:hAnsi="Times"/>
          <w:i/>
          <w:sz w:val="24"/>
        </w:rPr>
        <w:t>GAAP”</w:t>
      </w:r>
      <w:r>
        <w:rPr>
          <w:rFonts w:ascii="Times" w:hAnsi="Times"/>
          <w:sz w:val="24"/>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pStyle w:val="TextBody"/>
        <w:bidi w:val="0"/>
        <w:spacing w:before="0" w:after="240"/>
        <w:ind w:left="0" w:right="0" w:firstLine="720"/>
        <w:jc w:val="both"/>
        <w:rPr/>
      </w:pPr>
      <w:r>
        <w:rPr/>
        <w:t>“</w:t>
      </w:r>
      <w:r>
        <w:rPr>
          <w:rFonts w:ascii="Times" w:hAnsi="Times"/>
          <w:i/>
          <w:sz w:val="24"/>
        </w:rPr>
        <w:t>GermFree Property</w:t>
      </w:r>
      <w:r>
        <w:rPr>
          <w:rFonts w:ascii="Times" w:hAnsi="Times"/>
          <w:sz w:val="24"/>
        </w:rPr>
        <w:t>” means that certain light industrial net lease property located in Ormond Beach, Florida, comprising approximately 160,013 square feet known as of the Closing Date as “GermFree”.</w:t>
      </w:r>
    </w:p>
    <w:p>
      <w:pPr>
        <w:pStyle w:val="TextBody"/>
        <w:bidi w:val="0"/>
        <w:spacing w:before="0" w:after="0"/>
        <w:ind w:left="0" w:right="0" w:firstLine="720"/>
        <w:jc w:val="both"/>
        <w:rPr/>
      </w:pPr>
      <w:r>
        <w:rPr/>
        <w:t>“</w:t>
      </w:r>
      <w:r>
        <w:rPr>
          <w:rFonts w:ascii="Times" w:hAnsi="Times"/>
          <w:i/>
          <w:sz w:val="24"/>
        </w:rPr>
        <w:t>Governmental Authority”</w:t>
      </w:r>
      <w:r>
        <w:rPr>
          <w:rFonts w:ascii="Times" w:hAnsi="Times"/>
          <w:sz w:val="24"/>
        </w:rPr>
        <w:t xml:space="preserve"> means the government of the United States of America or any other nation, or of any political subdivision thereof, whether state or local, and any agency,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w:hAnsi="Times"/>
          <w:i/>
          <w:sz w:val="24"/>
        </w:rPr>
        <w:t xml:space="preserve">Gross Availability” </w:t>
      </w:r>
      <w:r>
        <w:rPr>
          <w:rFonts w:ascii="Times" w:hAnsi="Times"/>
          <w:sz w:val="24"/>
        </w:rPr>
        <w:t>means, at any date of its determination, an amount equal to the maximum amount of Unsecured Indebtedness that would result in compliance with the covenants set forth in Sections 8.20(e) and (f) on a pro forma basis.</w:t>
      </w:r>
    </w:p>
    <w:p>
      <w:pPr>
        <w:pStyle w:val="TextBody"/>
        <w:bidi w:val="0"/>
        <w:spacing w:before="0" w:after="240"/>
        <w:ind w:left="0" w:right="0" w:firstLine="720"/>
        <w:jc w:val="both"/>
        <w:rPr/>
      </w:pPr>
      <w:r>
        <w:rPr/>
        <w:t>“</w:t>
      </w:r>
      <w:r>
        <w:rPr>
          <w:rFonts w:ascii="Times" w:hAnsi="Times"/>
          <w:i/>
          <w:sz w:val="24"/>
        </w:rPr>
        <w:t>Ground Lease”</w:t>
      </w:r>
      <w:r>
        <w:rPr>
          <w:rFonts w:ascii="Times" w:hAnsi="Times"/>
          <w:sz w:val="24"/>
        </w:rPr>
        <w:t xml:space="preserve"> means a long term lease of a Property granted by the fee owner of the such Property.</w:t>
      </w:r>
    </w:p>
    <w:p>
      <w:pPr>
        <w:pStyle w:val="TextBody"/>
        <w:bidi w:val="0"/>
        <w:spacing w:before="0" w:after="240"/>
        <w:ind w:left="0" w:right="0" w:firstLine="720"/>
        <w:jc w:val="both"/>
        <w:rPr/>
      </w:pPr>
      <w:r>
        <w:rPr/>
        <w:t>“</w:t>
      </w:r>
      <w:r>
        <w:rPr>
          <w:rFonts w:ascii="Times" w:hAnsi="Times"/>
          <w:i/>
          <w:sz w:val="24"/>
        </w:rPr>
        <w:t>Guarantor”</w:t>
      </w:r>
      <w:r>
        <w:rPr>
          <w:rFonts w:ascii="Times" w:hAnsi="Times"/>
          <w:sz w:val="24"/>
        </w:rPr>
        <w:t xml:space="preserve"> and “</w:t>
      </w:r>
      <w:r>
        <w:rPr>
          <w:rFonts w:ascii="Times" w:hAnsi="Times"/>
          <w:i/>
          <w:sz w:val="24"/>
        </w:rPr>
        <w:t>Guarantors”</w:t>
      </w:r>
      <w:r>
        <w:rPr>
          <w:rFonts w:ascii="Times" w:hAnsi="Times"/>
          <w:sz w:val="24"/>
        </w:rPr>
        <w:t xml:space="preserve"> are defined in Section 4.1 hereof.</w:t>
      </w:r>
    </w:p>
    <w:p>
      <w:pPr>
        <w:pStyle w:val="TextBody"/>
        <w:bidi w:val="0"/>
        <w:spacing w:before="0" w:after="240"/>
        <w:ind w:left="0" w:right="0" w:firstLine="720"/>
        <w:jc w:val="both"/>
        <w:rPr/>
      </w:pPr>
      <w:r>
        <w:rPr/>
        <w:t>“</w:t>
      </w:r>
      <w:r>
        <w:rPr>
          <w:rFonts w:ascii="Times" w:hAnsi="Times"/>
          <w:i/>
          <w:sz w:val="24"/>
        </w:rPr>
        <w:t>Guaranty”</w:t>
      </w:r>
      <w:r>
        <w:rPr>
          <w:rFonts w:ascii="Times" w:hAnsi="Times"/>
          <w:sz w:val="24"/>
        </w:rPr>
        <w:t xml:space="preserve"> and “</w:t>
      </w:r>
      <w:r>
        <w:rPr>
          <w:rFonts w:ascii="Times" w:hAnsi="Times"/>
          <w:i/>
          <w:sz w:val="24"/>
        </w:rPr>
        <w:t>Guaranties”</w:t>
      </w:r>
      <w:r>
        <w:rPr>
          <w:rFonts w:ascii="Times" w:hAnsi="Times"/>
          <w:sz w:val="24"/>
        </w:rPr>
        <w:t xml:space="preserve"> are defined in Section 4.1 hereof.</w:t>
      </w:r>
    </w:p>
    <w:p>
      <w:pPr>
        <w:pStyle w:val="TextBody"/>
        <w:bidi w:val="0"/>
        <w:spacing w:before="0" w:after="240"/>
        <w:ind w:left="0" w:right="0" w:firstLine="720"/>
        <w:jc w:val="both"/>
        <w:rPr/>
      </w:pPr>
      <w:r>
        <w:rPr/>
        <w:t>“</w:t>
      </w:r>
      <w:r>
        <w:rPr>
          <w:rFonts w:ascii="Times" w:hAnsi="Times"/>
          <w:i/>
          <w:sz w:val="24"/>
        </w:rPr>
        <w:t xml:space="preserve">Hazardous Material” </w:t>
      </w:r>
      <w:r>
        <w:rPr>
          <w:rFonts w:ascii="Times" w:hAnsi="Times"/>
          <w:sz w:val="24"/>
        </w:rPr>
        <w:t>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0" w:after="240"/>
        <w:ind w:left="0" w:right="0" w:firstLine="720"/>
        <w:jc w:val="both"/>
        <w:rPr/>
      </w:pPr>
      <w:r>
        <w:rPr/>
        <w:t>“</w:t>
      </w:r>
      <w:r>
        <w:rPr>
          <w:rFonts w:ascii="Times" w:hAnsi="Times"/>
          <w:i/>
          <w:sz w:val="24"/>
        </w:rPr>
        <w:t>Hazardous Material Activity”</w:t>
      </w:r>
      <w:r>
        <w:rPr>
          <w:rFonts w:ascii="Times" w:hAnsi="Times"/>
          <w:sz w:val="24"/>
        </w:rPr>
        <w:t xml:space="preserve"> 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pStyle w:val="TextBody"/>
        <w:bidi w:val="0"/>
        <w:spacing w:before="0" w:after="240"/>
        <w:ind w:left="0" w:right="0" w:firstLine="720"/>
        <w:jc w:val="both"/>
        <w:rPr/>
      </w:pPr>
      <w:r>
        <w:rPr/>
        <w:t>“</w:t>
      </w:r>
      <w:r>
        <w:rPr>
          <w:rFonts w:ascii="Times" w:hAnsi="Times"/>
          <w:i/>
          <w:sz w:val="24"/>
        </w:rPr>
        <w:t>Hedging Agreement”</w:t>
      </w:r>
      <w:r>
        <w:rPr>
          <w:rFonts w:ascii="Times" w:hAnsi="Times"/>
          <w:sz w:val="24"/>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w:hAnsi="Times"/>
          <w:i/>
          <w:sz w:val="24"/>
        </w:rPr>
        <w:t>provided</w:t>
      </w:r>
      <w:r>
        <w:rPr>
          <w:rFonts w:ascii="Times" w:hAnsi="Times"/>
          <w:sz w:val="24"/>
        </w:rPr>
        <w:t xml:space="preserve"> that no phantom stock or similar plan providing for payments only on account of services provided by current or former directors, officers, employees or consultants of Borrower or any Subsidiary shall be a Hedging Agreement.</w:t>
      </w:r>
    </w:p>
    <w:p>
      <w:pPr>
        <w:pStyle w:val="TextBody"/>
        <w:bidi w:val="0"/>
        <w:spacing w:before="0" w:after="240"/>
        <w:ind w:left="0" w:right="0" w:firstLine="720"/>
        <w:jc w:val="both"/>
        <w:rPr/>
      </w:pPr>
      <w:r>
        <w:rPr/>
        <w:t>“</w:t>
      </w:r>
      <w:r>
        <w:rPr>
          <w:rFonts w:ascii="Times" w:hAnsi="Times"/>
          <w:i/>
          <w:sz w:val="24"/>
        </w:rPr>
        <w:t>Hedging Liability”</w:t>
      </w:r>
      <w:r>
        <w:rPr>
          <w:rFonts w:ascii="Times" w:hAnsi="Times"/>
          <w:sz w:val="24"/>
        </w:rPr>
        <w:t xml:space="preserve"> means the liability of the Borrower or any Subsidiary to any Qualifying Counterparty, in respect of any Hedging Agreement as the Borrower or such Subsidiary, as the case may be, may from time to time enter into with any one or more  Qualifying Counterparties.</w:t>
      </w:r>
    </w:p>
    <w:p>
      <w:pPr>
        <w:pStyle w:val="TextBody"/>
        <w:bidi w:val="0"/>
        <w:spacing w:before="0" w:after="240"/>
        <w:ind w:left="0" w:right="0" w:firstLine="720"/>
        <w:jc w:val="both"/>
        <w:rPr/>
      </w:pPr>
      <w:r>
        <w:rPr/>
        <w:t>“</w:t>
      </w:r>
      <w:r>
        <w:rPr>
          <w:rFonts w:ascii="Times" w:hAnsi="Times"/>
          <w:i/>
          <w:sz w:val="24"/>
        </w:rPr>
        <w:t>Incremental Term Lender</w:t>
      </w:r>
      <w:r>
        <w:rPr>
          <w:rFonts w:ascii="Times" w:hAnsi="Times"/>
          <w:sz w:val="24"/>
        </w:rPr>
        <w:t>” means, at any time, any Lender that has an Incremental Term Loan Commitment or holds Incremental Term Loans at such time.</w:t>
      </w:r>
    </w:p>
    <w:p>
      <w:pPr>
        <w:pStyle w:val="TextBody"/>
        <w:bidi w:val="0"/>
        <w:spacing w:before="0" w:after="240"/>
        <w:ind w:left="0" w:right="0" w:firstLine="720"/>
        <w:jc w:val="both"/>
        <w:rPr/>
      </w:pPr>
      <w:r>
        <w:rPr/>
        <w:t>“</w:t>
      </w:r>
      <w:r>
        <w:rPr>
          <w:rFonts w:ascii="Times" w:hAnsi="Times"/>
          <w:i/>
          <w:sz w:val="24"/>
        </w:rPr>
        <w:t>Incremental Term Loan</w:t>
      </w:r>
      <w:r>
        <w:rPr>
          <w:rFonts w:ascii="Times" w:hAnsi="Times"/>
          <w:sz w:val="24"/>
        </w:rPr>
        <w:t>” has the meaning assigned to such term in Section 1.15.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Incremental Term Loan Amendment</w:t>
      </w:r>
      <w:r>
        <w:rPr>
          <w:rFonts w:ascii="Times" w:hAnsi="Times"/>
          <w:sz w:val="24"/>
        </w:rPr>
        <w:t>” 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Commitment</w:t>
      </w:r>
      <w:r>
        <w:rPr>
          <w:rFonts w:ascii="Times" w:hAnsi="Times"/>
          <w:sz w:val="24"/>
        </w:rPr>
        <w:t>” 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Facility</w:t>
      </w:r>
      <w:r>
        <w:rPr>
          <w:rFonts w:ascii="Times" w:hAnsi="Times"/>
          <w:sz w:val="24"/>
        </w:rPr>
        <w:t>” has the meaning assigned to such term in Section 1.15.  Unless otherwise specified herein, each tranche of Incremental Term Loan Commitments or Incremental Term Loans shall constitute a separate Incremental Term Loan Facility.</w:t>
      </w:r>
    </w:p>
    <w:p>
      <w:pPr>
        <w:pStyle w:val="TextBody"/>
        <w:bidi w:val="0"/>
        <w:spacing w:before="0" w:after="240"/>
        <w:ind w:left="0" w:right="0" w:firstLine="720"/>
        <w:jc w:val="both"/>
        <w:rPr/>
      </w:pPr>
      <w:r>
        <w:rPr/>
        <w:t>“</w:t>
      </w:r>
      <w:r>
        <w:rPr>
          <w:rFonts w:ascii="Times" w:hAnsi="Times"/>
          <w:i/>
          <w:sz w:val="24"/>
        </w:rPr>
        <w:t>Indebtedness for Borrowed Money”</w:t>
      </w:r>
      <w:r>
        <w:rPr>
          <w:rFonts w:ascii="Times" w:hAnsi="Times"/>
          <w:sz w:val="24"/>
        </w:rPr>
        <w:t xml:space="preserve"> means for any Person (without duplication) (a) all 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or other assets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pStyle w:val="TextBody"/>
        <w:bidi w:val="0"/>
        <w:spacing w:before="0" w:after="240"/>
        <w:ind w:left="0" w:right="0" w:firstLine="720"/>
        <w:jc w:val="both"/>
        <w:rPr/>
      </w:pPr>
      <w:r>
        <w:rPr/>
        <w:t>“</w:t>
      </w:r>
      <w:r>
        <w:rPr>
          <w:rFonts w:ascii="Times" w:hAnsi="Times"/>
          <w:i/>
          <w:sz w:val="24"/>
        </w:rPr>
        <w:t>Indemnified Taxes”</w:t>
      </w:r>
      <w:r>
        <w:rPr>
          <w:rFonts w:ascii="Times" w:hAnsi="Times"/>
          <w:sz w:val="24"/>
        </w:rPr>
        <w:t xml:space="preserve"> means (a) all Taxes other than Excluded Taxes and (b) to the extent not otherwise described in (a), Other Taxes.</w:t>
      </w:r>
    </w:p>
    <w:p>
      <w:pPr>
        <w:pStyle w:val="TextBody"/>
        <w:bidi w:val="0"/>
        <w:spacing w:before="0" w:after="240"/>
        <w:ind w:left="0" w:right="0" w:firstLine="720"/>
        <w:jc w:val="both"/>
        <w:rPr/>
      </w:pPr>
      <w:r>
        <w:rPr/>
        <w:t>“</w:t>
      </w:r>
      <w:r>
        <w:rPr>
          <w:rFonts w:ascii="Times" w:hAnsi="Times"/>
          <w:i/>
          <w:sz w:val="24"/>
        </w:rPr>
        <w:t>Initial Unencumbeted Assets”</w:t>
      </w:r>
      <w:r>
        <w:rPr>
          <w:rFonts w:ascii="Times New Roman;Times;serif" w:hAnsi="Times New Roman;Times;serif"/>
          <w:sz w:val="24"/>
        </w:rPr>
        <w:t xml:space="preserve"> </w:t>
      </w:r>
      <w:r>
        <w:rPr>
          <w:rFonts w:ascii="Times" w:hAnsi="Times"/>
          <w:sz w:val="24"/>
        </w:rPr>
        <w:t xml:space="preserve">means collectively the Unencumbered Assets listed on Schedule 1.1 as of the Closing Date and </w:t>
      </w:r>
      <w:r>
        <w:rPr>
          <w:rFonts w:ascii="Times New Roman;Times;serif" w:hAnsi="Times New Roman;Times;serif"/>
          <w:sz w:val="24"/>
        </w:rPr>
        <w:t>“</w:t>
      </w:r>
      <w:r>
        <w:rPr>
          <w:rFonts w:ascii="Times" w:hAnsi="Times"/>
          <w:i/>
          <w:sz w:val="24"/>
        </w:rPr>
        <w:t>Initial Unencumbered Asset”</w:t>
      </w:r>
      <w:r>
        <w:rPr>
          <w:rFonts w:ascii="Times New Roman;Times;serif" w:hAnsi="Times New Roman;Times;serif"/>
          <w:sz w:val="24"/>
        </w:rPr>
        <w:t xml:space="preserve"> </w:t>
      </w:r>
      <w:r>
        <w:rPr>
          <w:rFonts w:ascii="Times" w:hAnsi="Times"/>
          <w:sz w:val="24"/>
        </w:rPr>
        <w:t>means any of such Unencumbered Assets.</w:t>
      </w:r>
    </w:p>
    <w:p>
      <w:pPr>
        <w:pStyle w:val="TextBody"/>
        <w:bidi w:val="0"/>
        <w:spacing w:before="0" w:after="240"/>
        <w:ind w:left="0" w:right="0" w:firstLine="720"/>
        <w:jc w:val="both"/>
        <w:rPr/>
      </w:pPr>
      <w:r>
        <w:rPr/>
        <w:t>“</w:t>
      </w:r>
      <w:r>
        <w:rPr>
          <w:rFonts w:ascii="Times" w:hAnsi="Times"/>
          <w:i/>
          <w:sz w:val="24"/>
        </w:rPr>
        <w:t>Initial Properties”</w:t>
      </w:r>
      <w:r>
        <w:rPr>
          <w:rFonts w:ascii="Times New Roman;Times;serif" w:hAnsi="Times New Roman;Times;serif"/>
          <w:sz w:val="24"/>
        </w:rPr>
        <w:t xml:space="preserve"> </w:t>
      </w:r>
      <w:r>
        <w:rPr>
          <w:rFonts w:ascii="Times" w:hAnsi="Times"/>
          <w:sz w:val="24"/>
        </w:rPr>
        <w:t xml:space="preserve">means collectively the Properties listed on Schedule 1.1 as of the Closing Date and </w:t>
      </w:r>
      <w:r>
        <w:rPr>
          <w:rFonts w:ascii="Times New Roman;Times;serif" w:hAnsi="Times New Roman;Times;serif"/>
          <w:sz w:val="24"/>
        </w:rPr>
        <w:t>“</w:t>
      </w:r>
      <w:r>
        <w:rPr>
          <w:rFonts w:ascii="Times" w:hAnsi="Times"/>
          <w:i/>
          <w:sz w:val="24"/>
        </w:rPr>
        <w:t>Initial Property”</w:t>
      </w:r>
      <w:r>
        <w:rPr>
          <w:rFonts w:ascii="Times New Roman;Times;serif" w:hAnsi="Times New Roman;Times;serif"/>
          <w:sz w:val="24"/>
        </w:rPr>
        <w:t xml:space="preserve"> </w:t>
      </w:r>
      <w:r>
        <w:rPr>
          <w:rFonts w:ascii="Times" w:hAnsi="Times"/>
          <w:sz w:val="24"/>
        </w:rPr>
        <w:t>means any of such Properties.</w:t>
      </w:r>
    </w:p>
    <w:p>
      <w:pPr>
        <w:pStyle w:val="TextBody"/>
        <w:bidi w:val="0"/>
        <w:spacing w:before="0" w:after="240"/>
        <w:ind w:left="0" w:right="0" w:firstLine="720"/>
        <w:jc w:val="both"/>
        <w:rPr/>
      </w:pPr>
      <w:r>
        <w:rPr/>
        <w:t>“</w:t>
      </w:r>
      <w:r>
        <w:rPr>
          <w:rFonts w:ascii="Times" w:hAnsi="Times"/>
          <w:i/>
          <w:sz w:val="24"/>
        </w:rPr>
        <w:t>Interest Expense”</w:t>
      </w:r>
      <w:r>
        <w:rPr>
          <w:rFonts w:ascii="Times" w:hAnsi="Times"/>
          <w:sz w:val="24"/>
        </w:rPr>
        <w:t xml:space="preserve"> means, with respect to a Person for any period of time, the interest expense 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 (ii) debt discounts (but only to the extent such discounts do not exceed 3.0% of the initial face principal amount of such debt).</w:t>
      </w:r>
    </w:p>
    <w:p>
      <w:pPr>
        <w:pStyle w:val="TextBody"/>
        <w:bidi w:val="0"/>
        <w:spacing w:before="0" w:after="240"/>
        <w:ind w:left="0" w:right="0" w:firstLine="720"/>
        <w:jc w:val="both"/>
        <w:rPr/>
      </w:pPr>
      <w:r>
        <w:rPr/>
        <w:t>“</w:t>
      </w:r>
      <w:r>
        <w:rPr>
          <w:rFonts w:ascii="Times" w:hAnsi="Times"/>
          <w:i/>
          <w:sz w:val="24"/>
        </w:rPr>
        <w:t>Interest Payment Date”</w:t>
      </w:r>
      <w:r>
        <w:rPr>
          <w:rFonts w:ascii="Times" w:hAnsi="Times"/>
          <w:sz w:val="24"/>
        </w:rPr>
        <w:t xml:space="preserve"> means (a) with respect to any Term SOFR Loan, the last day of each Interest Period with respect to such Term SOFR Loan and on the maturity date and, if the applicable Interest Period is longer than (3) three months, on each day occurring every three (3) months after the commencement of such Interest Period, (b) with respect to any Daily Simple SOFR Loan, the last day of each calendar month, (c) with respect to any Base Rate Loan, the last day of each calendar month, and (d) with respect to any Term SOFR Loan, Daily Simple SOFR Loan, or Base Rate Loan, the Revolving Credit Termination Date or Term Loan Maturity Date thereof, as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Interest Period”</w:t>
      </w:r>
      <w:r>
        <w:rPr>
          <w:rFonts w:ascii="Times" w:hAnsi="Times"/>
          <w:sz w:val="24"/>
        </w:rPr>
        <w:t xml:space="preserve"> means the period commencing on the date a Borrowing of Term SOFR Loans is advanced, continued, or created by conversion and ending one (1), three (3), or six (6) months thereafter, </w:t>
      </w:r>
      <w:r>
        <w:rPr>
          <w:rFonts w:ascii="Times" w:hAnsi="Times"/>
          <w:i/>
          <w:sz w:val="24"/>
        </w:rPr>
        <w:t xml:space="preserve">provided, however, </w:t>
      </w:r>
      <w:r>
        <w:rPr>
          <w:rFonts w:ascii="Times" w:hAnsi="Times"/>
          <w:sz w:val="24"/>
        </w:rPr>
        <w:t>that: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(i)no Interest Period shall extend beyond the Revolving Credit Termination Date or Term Loan Maturity Date, as applicable;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(ii)whenever the last day of any Interest Period would otherwise be a day that is not a Business Day, the last day of such Interest Period shall be extended to the next succeeding Business Day, </w:t>
      </w:r>
      <w:r>
        <w:rPr>
          <w:rFonts w:ascii="Times New Roman;Times;serif" w:hAnsi="Times New Roman;Times;serif"/>
          <w:i/>
          <w:sz w:val="24"/>
        </w:rPr>
        <w:t xml:space="preserve">provided </w:t>
      </w:r>
      <w:r>
        <w:rPr>
          <w:rFonts w:ascii="Times New Roman;Times;serif" w:hAnsi="Times New Roman;Times;serif"/>
          <w:sz w:val="24"/>
        </w:rPr>
        <w:t>that, if such extension would cause the last day of an Interest Period for a Borrowing of Term SOFR Loans to occur in the following calendar month, the last day of such Interest Period shall be the immediately preceding Business Day;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(iii)for purposes of determining an Interest Period for a Borrowing of Term SOFR Loans, a month means a period starting on one day in a calendar month and ending on the numerically corresponding day in the next calendar month; </w:t>
      </w:r>
      <w:r>
        <w:rPr>
          <w:rFonts w:ascii="Times New Roman;Times;serif" w:hAnsi="Times New Roman;Times;serif"/>
          <w:i/>
          <w:sz w:val="24"/>
        </w:rPr>
        <w:t>provided, however,</w:t>
      </w:r>
      <w:r>
        <w:rPr>
          <w:rFonts w:ascii="Times New Roman;Times;serif" w:hAnsi="Times New Roman;Times;serif"/>
          <w:sz w:val="24"/>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w:t>
      </w:r>
    </w:p>
    <w:p>
      <w:pPr>
        <w:pStyle w:val="TextBody"/>
        <w:bidi w:val="0"/>
        <w:spacing w:before="0" w:after="240"/>
        <w:ind w:left="0" w:right="0" w:firstLine="720"/>
        <w:jc w:val="both"/>
        <w:rPr/>
      </w:pPr>
      <w:bookmarkStart w:id="1703" w:name="_Hlk115352239"/>
      <w:bookmarkEnd w:id="1703"/>
      <w:r>
        <w:rPr/>
        <w:t>“</w:t>
      </w:r>
      <w:r>
        <w:rPr>
          <w:rFonts w:ascii="Times" w:hAnsi="Times"/>
          <w:i/>
          <w:sz w:val="24"/>
        </w:rPr>
        <w:t xml:space="preserve">Land Assets” </w:t>
      </w:r>
      <w:r>
        <w:rPr>
          <w:rFonts w:ascii="Times" w:hAnsi="Times"/>
          <w:sz w:val="24"/>
        </w:rPr>
        <w:t xml:space="preserve">means any Property which is not an Asset Under Development and on which no significant improvements have been constructed; </w:t>
      </w:r>
      <w:r>
        <w:rPr>
          <w:rFonts w:ascii="Times" w:hAnsi="Times"/>
          <w:i/>
          <w:sz w:val="24"/>
        </w:rPr>
        <w:t xml:space="preserve">provided, </w:t>
      </w:r>
      <w:r>
        <w:rPr>
          <w:rFonts w:ascii="Times" w:hAnsi="Times"/>
          <w:sz w:val="24"/>
        </w:rPr>
        <w:t>that Property that is owned in fee by the Borrower or a Subsidiary thereof and is subject to a Ground Lease with Borrower or such Subsidiary as lessor, or that is adjacent to an Eligible Property but is undeveloped, shall not constitute “</w:t>
      </w:r>
      <w:r>
        <w:rPr>
          <w:rFonts w:ascii="Times" w:hAnsi="Times"/>
          <w:i/>
          <w:sz w:val="24"/>
        </w:rPr>
        <w:t>Land Assets”.</w:t>
      </w:r>
    </w:p>
    <w:p>
      <w:pPr>
        <w:pStyle w:val="TextBody"/>
        <w:bidi w:val="0"/>
        <w:spacing w:before="0" w:after="240"/>
        <w:ind w:left="0" w:right="0" w:firstLine="720"/>
        <w:jc w:val="both"/>
        <w:rPr/>
      </w:pPr>
      <w:r>
        <w:rPr/>
        <w:t>“</w:t>
      </w:r>
      <w:r>
        <w:rPr>
          <w:rFonts w:ascii="Times" w:hAnsi="Times"/>
          <w:i/>
          <w:sz w:val="24"/>
        </w:rPr>
        <w:t>L/C Issuer”</w:t>
      </w:r>
      <w:r>
        <w:rPr>
          <w:rFonts w:ascii="Times" w:hAnsi="Times"/>
          <w:sz w:val="24"/>
        </w:rPr>
        <w:t xml:space="preserve"> means Truist, in its capacity as the issuer of Letters of Credit hereunder, and its successors in such capacity as provided in Section 1.3(h) hereof.</w:t>
      </w:r>
    </w:p>
    <w:p>
      <w:pPr>
        <w:pStyle w:val="TextBody"/>
        <w:bidi w:val="0"/>
        <w:spacing w:before="0" w:after="240"/>
        <w:ind w:left="0" w:right="0" w:firstLine="720"/>
        <w:jc w:val="both"/>
        <w:rPr/>
      </w:pPr>
      <w:r>
        <w:rPr/>
        <w:t>“</w:t>
      </w:r>
      <w:r>
        <w:rPr>
          <w:rFonts w:ascii="Times" w:hAnsi="Times"/>
          <w:i/>
          <w:sz w:val="24"/>
        </w:rPr>
        <w:t>L/C Obligations”</w:t>
      </w:r>
      <w:r>
        <w:rPr>
          <w:rFonts w:ascii="Times" w:hAnsi="Times"/>
          <w:sz w:val="24"/>
        </w:rPr>
        <w:t xml:space="preserve"> means the aggregate undrawn face amounts of all outstanding Letters of Credit and all unpaid Reimbursement Obligations.</w:t>
      </w:r>
    </w:p>
    <w:p>
      <w:pPr>
        <w:pStyle w:val="TextBody"/>
        <w:bidi w:val="0"/>
        <w:spacing w:before="0" w:after="240"/>
        <w:ind w:left="0" w:right="0" w:firstLine="720"/>
        <w:jc w:val="both"/>
        <w:rPr/>
      </w:pPr>
      <w:r>
        <w:rPr/>
        <w:t>“</w:t>
      </w:r>
      <w:r>
        <w:rPr>
          <w:rFonts w:ascii="Times" w:hAnsi="Times"/>
          <w:i/>
          <w:sz w:val="24"/>
        </w:rPr>
        <w:t>L/C Sublimit”</w:t>
      </w:r>
      <w:r>
        <w:rPr>
          <w:rFonts w:ascii="Times" w:hAnsi="Times"/>
          <w:sz w:val="24"/>
        </w:rPr>
        <w:t xml:space="preserve"> means $20,000,000, as such amount may be reduced pursuant to the terms hereof.  </w:t>
      </w:r>
    </w:p>
    <w:p>
      <w:pPr>
        <w:pStyle w:val="TextBody"/>
        <w:bidi w:val="0"/>
        <w:spacing w:before="0" w:after="240"/>
        <w:ind w:left="0" w:right="0" w:firstLine="720"/>
        <w:jc w:val="both"/>
        <w:rPr/>
      </w:pPr>
      <w:r>
        <w:rPr/>
        <w:t>“</w:t>
      </w:r>
      <w:r>
        <w:rPr>
          <w:rFonts w:ascii="Times" w:hAnsi="Times"/>
          <w:i/>
          <w:sz w:val="24"/>
        </w:rPr>
        <w:t>Lease”</w:t>
      </w:r>
      <w:r>
        <w:rPr>
          <w:rFonts w:ascii="Times" w:hAnsi="Times"/>
          <w:sz w:val="24"/>
        </w:rPr>
        <w:t xml:space="preserve"> means each existing or future lease, sublease, license, or other agreement under the terms of which any Person has or acquires any right to occupy or use any Property of the Borrower or any Subsidiary, or any part thereof, or interest therein, as the same may be amended, supplemented or modified.</w:t>
      </w:r>
    </w:p>
    <w:p>
      <w:pPr>
        <w:pStyle w:val="TextBody"/>
        <w:bidi w:val="0"/>
        <w:spacing w:before="0" w:after="240"/>
        <w:ind w:left="0" w:right="0" w:firstLine="720"/>
        <w:jc w:val="both"/>
        <w:rPr/>
      </w:pPr>
      <w:r>
        <w:rPr/>
        <w:t>“</w:t>
      </w:r>
      <w:r>
        <w:rPr>
          <w:rFonts w:ascii="Times" w:hAnsi="Times"/>
          <w:i/>
          <w:sz w:val="24"/>
        </w:rPr>
        <w:t>Legal Requirement”</w:t>
      </w:r>
      <w:r>
        <w:rPr>
          <w:rFonts w:ascii="Times" w:hAnsi="Times"/>
          <w:sz w:val="24"/>
        </w:rPr>
        <w:t xml:space="preserve"> means any treaty, convention, statute, law, regulation, ordinance, license, permit, governmental approval, injunction, judgment, order, consent decree or other requirement of any governmental authority, whether federal, state, or local.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Lenders”</w:t>
      </w:r>
      <w:r>
        <w:rPr>
          <w:rFonts w:ascii="Times" w:hAnsi="Times"/>
          <w:sz w:val="24"/>
        </w:rPr>
        <w:t xml:space="preserve"> means and includes Truist and the other financial institutions from time to time party to this Agreement, including each assignee Lender pursuant to Section 12.12 hereof and each Incremental Term Lender.</w:t>
      </w:r>
    </w:p>
    <w:p>
      <w:pPr>
        <w:pStyle w:val="TextBody"/>
        <w:bidi w:val="0"/>
        <w:spacing w:before="0" w:after="240"/>
        <w:ind w:left="0" w:right="0" w:firstLine="720"/>
        <w:jc w:val="both"/>
        <w:rPr/>
      </w:pPr>
      <w:r>
        <w:rPr/>
        <w:t>“</w:t>
      </w:r>
      <w:r>
        <w:rPr>
          <w:rFonts w:ascii="Times" w:hAnsi="Times"/>
          <w:i/>
          <w:sz w:val="24"/>
        </w:rPr>
        <w:t>Lending Office”</w:t>
      </w:r>
      <w:r>
        <w:rPr>
          <w:rFonts w:ascii="Times" w:hAnsi="Times"/>
          <w:sz w:val="24"/>
        </w:rPr>
        <w:t xml:space="preserve"> is defined in Section 10.4 hereof.</w:t>
      </w:r>
    </w:p>
    <w:p>
      <w:pPr>
        <w:pStyle w:val="TextBody"/>
        <w:bidi w:val="0"/>
        <w:spacing w:before="0" w:after="240"/>
        <w:ind w:left="0" w:right="0" w:firstLine="720"/>
        <w:jc w:val="both"/>
        <w:rPr/>
      </w:pPr>
      <w:r>
        <w:rPr/>
        <w:t>“</w:t>
      </w:r>
      <w:r>
        <w:rPr>
          <w:rFonts w:ascii="Times" w:hAnsi="Times"/>
          <w:i/>
          <w:sz w:val="24"/>
        </w:rPr>
        <w:t>Letter of Credit”</w:t>
      </w:r>
      <w:r>
        <w:rPr>
          <w:rFonts w:ascii="Times" w:hAnsi="Times"/>
          <w:sz w:val="24"/>
        </w:rPr>
        <w:t xml:space="preserve"> is defined in Section 1.3(a) hereof.</w:t>
      </w:r>
    </w:p>
    <w:p>
      <w:pPr>
        <w:pStyle w:val="TextBody"/>
        <w:bidi w:val="0"/>
        <w:spacing w:before="0" w:after="240"/>
        <w:ind w:left="0" w:right="0" w:firstLine="720"/>
        <w:jc w:val="both"/>
        <w:rPr/>
      </w:pPr>
      <w:r>
        <w:rPr/>
        <w:t>“</w:t>
      </w:r>
      <w:r>
        <w:rPr>
          <w:rFonts w:ascii="Times" w:hAnsi="Times"/>
          <w:i/>
          <w:sz w:val="24"/>
        </w:rPr>
        <w:t xml:space="preserve">Lien” </w:t>
      </w:r>
      <w:r>
        <w:rPr>
          <w:rFonts w:ascii="Times" w:hAnsi="Times"/>
          <w:sz w:val="24"/>
        </w:rPr>
        <w:t>means any mortgage, lien, security interest, pledge, charge or encumbrance of any kind in respect of any Property or other assets, including the interests of a vendor or lessor under any conditional sale, Capital Lease or other title retention arrangement.</w:t>
      </w:r>
    </w:p>
    <w:p>
      <w:pPr>
        <w:pStyle w:val="TextBody"/>
        <w:bidi w:val="0"/>
        <w:spacing w:before="0" w:after="240"/>
        <w:ind w:left="0" w:right="0" w:firstLine="720"/>
        <w:jc w:val="both"/>
        <w:rPr/>
      </w:pPr>
      <w:r>
        <w:rPr/>
        <w:t>“</w:t>
      </w:r>
      <w:r>
        <w:rPr>
          <w:rFonts w:ascii="Times" w:hAnsi="Times"/>
          <w:i/>
          <w:sz w:val="24"/>
        </w:rPr>
        <w:t xml:space="preserve">Loan” </w:t>
      </w:r>
      <w:r>
        <w:rPr>
          <w:rFonts w:ascii="Times" w:hAnsi="Times"/>
          <w:sz w:val="24"/>
        </w:rPr>
        <w:t xml:space="preserve">means any Revolving Loan, Term Loan or Incremental Term Loan whether outstanding as a Base Rate Loan, Daily Simple SOFR Loan, or Term SOFR Loan, each of which is a “type” of Loan hereunder. </w:t>
      </w:r>
    </w:p>
    <w:p>
      <w:pPr>
        <w:pStyle w:val="TextBody"/>
        <w:bidi w:val="0"/>
        <w:spacing w:before="0" w:after="240"/>
        <w:ind w:left="0" w:right="0" w:firstLine="720"/>
        <w:jc w:val="both"/>
        <w:rPr/>
      </w:pPr>
      <w:r>
        <w:rPr/>
        <w:t>“</w:t>
      </w:r>
      <w:r>
        <w:rPr>
          <w:rFonts w:ascii="Times" w:hAnsi="Times"/>
          <w:i/>
          <w:sz w:val="24"/>
        </w:rPr>
        <w:t>Loan Documents”</w:t>
      </w:r>
      <w:r>
        <w:rPr>
          <w:rFonts w:ascii="Times" w:hAnsi="Times"/>
          <w:sz w:val="24"/>
        </w:rPr>
        <w:t xml:space="preserve"> means this Agreement, the Notes (if any), the Applications, the Guaranties, each Incremental Term Loan Amendment, and each other instrument or document to be delivered hereunder or thereunder or otherwise in connection therewith.  Deposit account agreements, cash management agreements and other documents executed in connection with Funds Transfer and Deposit Account Liability (other than deposit account control agreements, if any) are not Loan Documents hereunder.</w:t>
      </w:r>
    </w:p>
    <w:p>
      <w:pPr>
        <w:pStyle w:val="TextBody"/>
        <w:bidi w:val="0"/>
        <w:spacing w:before="0" w:after="240"/>
        <w:ind w:left="0" w:right="0" w:firstLine="720"/>
        <w:jc w:val="both"/>
        <w:rPr/>
      </w:pPr>
      <w:r>
        <w:rPr/>
        <w:t>“</w:t>
      </w:r>
      <w:r>
        <w:rPr>
          <w:rFonts w:ascii="Times" w:hAnsi="Times"/>
          <w:i/>
          <w:sz w:val="24"/>
        </w:rPr>
        <w:t>Loan Party</w:t>
      </w:r>
      <w:r>
        <w:rPr>
          <w:rFonts w:ascii="Times" w:hAnsi="Times"/>
          <w:sz w:val="24"/>
        </w:rPr>
        <w:t>” means the Borrower, the Parent and each other Guarantor.</w:t>
      </w:r>
    </w:p>
    <w:p>
      <w:pPr>
        <w:pStyle w:val="TextBody"/>
        <w:bidi w:val="0"/>
        <w:spacing w:before="0" w:after="240"/>
        <w:ind w:left="0" w:right="0" w:firstLine="720"/>
        <w:jc w:val="both"/>
        <w:rPr/>
      </w:pPr>
      <w:r>
        <w:rPr/>
        <w:t>“</w:t>
      </w:r>
      <w:r>
        <w:rPr>
          <w:rFonts w:ascii="Times" w:hAnsi="Times"/>
          <w:i/>
          <w:sz w:val="24"/>
        </w:rPr>
        <w:t>Material Acquisition</w:t>
      </w:r>
      <w:r>
        <w:rPr>
          <w:rFonts w:ascii="Times" w:hAnsi="Times"/>
          <w:sz w:val="24"/>
        </w:rPr>
        <w:t>”  means any single transaction or series of related transactions for the purpose of, or resulting, directly or indirectly, in, the acquisition (including, without limitation, a merger or consolidation or any other combination with another Person) of a Person or assets by the Parent (directly or indirectly) that has a gross purchase price equal to or greater than ten percent (10.0%) of the then current Total Asset Value (without giving effect to such transactions).</w:t>
      </w:r>
    </w:p>
    <w:p>
      <w:pPr>
        <w:pStyle w:val="TextBody"/>
        <w:bidi w:val="0"/>
        <w:spacing w:before="0" w:after="240"/>
        <w:ind w:left="0" w:right="0" w:firstLine="720"/>
        <w:jc w:val="both"/>
        <w:rPr/>
      </w:pPr>
      <w:r>
        <w:rPr/>
        <w:t>“</w:t>
      </w:r>
      <w:r>
        <w:rPr>
          <w:rFonts w:ascii="Times" w:hAnsi="Times"/>
          <w:i/>
          <w:sz w:val="24"/>
        </w:rPr>
        <w:t>Material Adverse Effect”</w:t>
      </w:r>
      <w:r>
        <w:rPr>
          <w:rFonts w:ascii="Times" w:hAnsi="Times"/>
          <w:sz w:val="24"/>
        </w:rPr>
        <w:t xml:space="preserve"> means (a) a material adverse change in, or material adverse effect upon, the operations, business, Property, assets, or financial condition of the Parent or of the Parent and its Subsidiaries taken as a whole, (b) a material impairment of the ability of the Borrower or any Guarantor to perform its obligations under any Loan Document or (c) a material adverse effect upon the legality, validity, binding effect or enforceability against the Borrower or any Guarantor of any Loan Document or the rights and remedies of the Administrative Agent and the Lenders thereunder.</w:t>
      </w:r>
    </w:p>
    <w:p>
      <w:pPr>
        <w:pStyle w:val="TextBody"/>
        <w:bidi w:val="0"/>
        <w:spacing w:before="0" w:after="240"/>
        <w:ind w:left="0" w:right="0" w:firstLine="720"/>
        <w:jc w:val="both"/>
        <w:rPr/>
      </w:pPr>
      <w:r>
        <w:rPr/>
        <w:t>“</w:t>
      </w:r>
      <w:r>
        <w:rPr>
          <w:rFonts w:ascii="Times" w:hAnsi="Times"/>
          <w:i/>
          <w:sz w:val="24"/>
        </w:rPr>
        <w:t>Material Subsidiary”</w:t>
      </w:r>
      <w:r>
        <w:rPr>
          <w:rFonts w:ascii="Times" w:hAnsi="Times"/>
          <w:sz w:val="24"/>
        </w:rPr>
        <w:t xml:space="preserve"> means, each Subsidiary that owns an Eligible Asset included in the Unencumbered Asset Value.</w:t>
      </w:r>
    </w:p>
    <w:p>
      <w:pPr>
        <w:pStyle w:val="TextBody"/>
        <w:bidi w:val="0"/>
        <w:spacing w:before="0" w:after="240"/>
        <w:ind w:left="0" w:right="0" w:firstLine="720"/>
        <w:jc w:val="both"/>
        <w:rPr/>
      </w:pPr>
      <w:r>
        <w:rPr/>
        <w:t>“</w:t>
      </w:r>
      <w:r>
        <w:rPr>
          <w:rFonts w:ascii="Times" w:hAnsi="Times"/>
          <w:i/>
          <w:sz w:val="24"/>
        </w:rPr>
        <w:t>Moody’s”</w:t>
      </w:r>
      <w:r>
        <w:rPr>
          <w:rFonts w:ascii="Times" w:hAnsi="Times"/>
          <w:sz w:val="24"/>
        </w:rPr>
        <w:t xml:space="preserve"> means Moody’s Investors Service, Inc., or any successor thereof. </w:t>
      </w:r>
    </w:p>
    <w:p>
      <w:pPr>
        <w:pStyle w:val="TextBody"/>
        <w:bidi w:val="0"/>
        <w:spacing w:before="0" w:after="0"/>
        <w:ind w:left="0" w:right="0" w:firstLine="720"/>
        <w:jc w:val="both"/>
        <w:rPr/>
      </w:pPr>
      <w:r>
        <w:rPr/>
        <w:t>“</w:t>
      </w:r>
      <w:r>
        <w:rPr>
          <w:rFonts w:ascii="Times" w:hAnsi="Times"/>
          <w:i/>
          <w:sz w:val="24"/>
        </w:rPr>
        <w:t>Mortgage Receivable</w:t>
      </w:r>
      <w:r>
        <w:rPr>
          <w:rFonts w:ascii="Times" w:hAnsi="Times"/>
          <w:sz w:val="24"/>
        </w:rPr>
        <w:t xml:space="preserve">” means a note receivable representing indebtedness owed to the Borrower or one of the Parent’s Subsidiaries which is secured by a mortgage, deed of trust, deed to secure debt or other similar instrument granting a Lien (subject only to Permitted Liens) as security for the payment of such indebtedness on one or more Properties having a value in excess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of the amount of such indebtedness, provided, for the avoidance of doubt, calculations hereunder with respect to Mortgage Receivables shall refer to the amount of such indebtedness net of any obligations under any participation agreements related thereto.</w:t>
      </w:r>
    </w:p>
    <w:p>
      <w:pPr>
        <w:pStyle w:val="TextBody"/>
        <w:bidi w:val="0"/>
        <w:spacing w:before="0" w:after="240"/>
        <w:ind w:left="0" w:right="0" w:firstLine="720"/>
        <w:jc w:val="both"/>
        <w:rPr/>
      </w:pPr>
      <w:r>
        <w:rPr/>
        <w:t>“</w:t>
      </w:r>
      <w:r>
        <w:rPr>
          <w:rFonts w:ascii="Times" w:hAnsi="Times"/>
          <w:i/>
          <w:sz w:val="24"/>
        </w:rPr>
        <w:t>MSA”</w:t>
      </w:r>
      <w:r>
        <w:rPr>
          <w:rFonts w:ascii="Times" w:hAnsi="Times"/>
          <w:sz w:val="24"/>
        </w:rPr>
        <w:t xml:space="preserve"> means any major metropolitan area of the United States of America that has a population size that is in the fifty (50) largest metropolitan areas of the United States of America.</w:t>
      </w:r>
    </w:p>
    <w:p>
      <w:pPr>
        <w:pStyle w:val="TextBody"/>
        <w:bidi w:val="0"/>
        <w:spacing w:before="0" w:after="240"/>
        <w:ind w:left="0" w:right="0" w:firstLine="720"/>
        <w:jc w:val="both"/>
        <w:rPr/>
      </w:pPr>
      <w:r>
        <w:rPr/>
        <w:t>“</w:t>
      </w:r>
      <w:r>
        <w:rPr>
          <w:rFonts w:ascii="Times" w:hAnsi="Times"/>
          <w:i/>
          <w:sz w:val="24"/>
        </w:rPr>
        <w:t>Non-Defaulting Lender</w:t>
      </w:r>
      <w:r>
        <w:rPr>
          <w:rFonts w:ascii="Times" w:hAnsi="Times"/>
          <w:sz w:val="24"/>
        </w:rPr>
        <w:t>” means a Lender that is not a Defaulting Lender.</w:t>
      </w:r>
    </w:p>
    <w:p>
      <w:pPr>
        <w:pStyle w:val="TextBody"/>
        <w:bidi w:val="0"/>
        <w:spacing w:before="0" w:after="240"/>
        <w:ind w:left="0" w:right="0" w:firstLine="720"/>
        <w:jc w:val="both"/>
        <w:rPr/>
      </w:pPr>
      <w:r>
        <w:rPr/>
        <w:t>“</w:t>
      </w:r>
      <w:r>
        <w:rPr>
          <w:rFonts w:ascii="Times" w:hAnsi="Times"/>
          <w:i/>
          <w:sz w:val="24"/>
        </w:rPr>
        <w:t>Note”</w:t>
      </w:r>
      <w:r>
        <w:rPr>
          <w:rFonts w:ascii="Times" w:hAnsi="Times"/>
          <w:sz w:val="24"/>
        </w:rPr>
        <w:t xml:space="preserve"> and “</w:t>
      </w:r>
      <w:r>
        <w:rPr>
          <w:rFonts w:ascii="Times" w:hAnsi="Times"/>
          <w:i/>
          <w:sz w:val="24"/>
        </w:rPr>
        <w:t>Notes”</w:t>
      </w:r>
      <w:r>
        <w:rPr>
          <w:rFonts w:ascii="Times" w:hAnsi="Times"/>
          <w:sz w:val="24"/>
        </w:rPr>
        <w:t xml:space="preserve"> are defined in Section 1.10(d) hereof.</w:t>
      </w:r>
    </w:p>
    <w:p>
      <w:pPr>
        <w:pStyle w:val="TextBody"/>
        <w:bidi w:val="0"/>
        <w:spacing w:before="0" w:after="240"/>
        <w:ind w:left="0" w:right="0" w:firstLine="720"/>
        <w:jc w:val="both"/>
        <w:rPr/>
      </w:pPr>
      <w:r>
        <w:rPr/>
        <w:t>“</w:t>
      </w:r>
      <w:r>
        <w:rPr>
          <w:rFonts w:ascii="Times" w:hAnsi="Times"/>
          <w:i/>
          <w:sz w:val="24"/>
        </w:rPr>
        <w:t>Obligations”</w:t>
      </w:r>
      <w:r>
        <w:rPr>
          <w:rFonts w:ascii="Times" w:hAnsi="Times"/>
          <w:sz w:val="24"/>
        </w:rPr>
        <w:t xml:space="preserve"> means all obligations of the Borrower to pay principal and interest on the Loans, all Reimbursement Obligations owing under the Applications,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pStyle w:val="TextBody"/>
        <w:bidi w:val="0"/>
        <w:spacing w:before="0" w:after="240"/>
        <w:ind w:left="0" w:right="0" w:firstLine="720"/>
        <w:jc w:val="both"/>
        <w:rPr/>
      </w:pPr>
      <w:r>
        <w:rPr/>
        <w:t>“</w:t>
      </w:r>
      <w:r>
        <w:rPr>
          <w:rFonts w:ascii="Times" w:hAnsi="Times"/>
          <w:i/>
          <w:sz w:val="24"/>
        </w:rPr>
        <w:t>Occupancy Rate”</w:t>
      </w:r>
      <w:r>
        <w:rPr>
          <w:rFonts w:ascii="Times" w:hAnsi="Times"/>
          <w:sz w:val="24"/>
        </w:rPr>
        <w:t xml:space="preserve"> means for any Property, the percentage of the rentable square footage of such Property occupied by bona fide Tenants of such Property or leased by such Tenants pursuant to bona fide Tenant Leases, in each case, which Tenants (a) are not more than 60 days in arrears or “materially past due” (in accordance with customary commercial practice) on base rental or other similar payments due under the Leases and (b) are not subject to a then continuing Bankruptcy Event, or if subject to a then continuing Bankruptcy Event (i) the trustee in bankruptcy of such tenant shall have accepted and assumed such Lease or the Tenant shall be in compliance with the rental payments described above in </w:t>
      </w:r>
      <w:r>
        <w:rPr>
          <w:rFonts w:ascii="Times" w:hAnsi="Times"/>
          <w:i/>
          <w:sz w:val="24"/>
        </w:rPr>
        <w:t>clause (a)</w:t>
      </w:r>
      <w:r>
        <w:rPr>
          <w:rFonts w:ascii="Times" w:hAnsi="Times"/>
          <w:sz w:val="24"/>
        </w:rPr>
        <w:t>; (ii) to the extent that the Tenant shall have filed and the bankruptcy court shall have approved the Tenant’s plan for reorganization, the Tenant shall be performing its obligations pursuant to the approved plan of reorganization; or (iii) is otherwise reasonably acceptable to the Administrative Agent.</w:t>
      </w:r>
    </w:p>
    <w:p>
      <w:pPr>
        <w:pStyle w:val="TextBody"/>
        <w:bidi w:val="0"/>
        <w:spacing w:before="0" w:after="240"/>
        <w:ind w:left="0" w:right="0" w:firstLine="720"/>
        <w:jc w:val="both"/>
        <w:rPr/>
      </w:pPr>
      <w:r>
        <w:rPr/>
        <w:t>“</w:t>
      </w:r>
      <w:r>
        <w:rPr>
          <w:rFonts w:ascii="Times" w:hAnsi="Times"/>
          <w:i/>
          <w:sz w:val="24"/>
        </w:rPr>
        <w:t>OFAC</w:t>
      </w:r>
      <w:r>
        <w:rPr>
          <w:rFonts w:ascii="Times" w:hAnsi="Times"/>
          <w:sz w:val="24"/>
        </w:rPr>
        <w:t>” means the United States Department of Treasury Office of Foreign Assets Control.</w:t>
      </w:r>
    </w:p>
    <w:p>
      <w:pPr>
        <w:pStyle w:val="TextBody"/>
        <w:bidi w:val="0"/>
        <w:spacing w:before="0" w:after="240"/>
        <w:ind w:left="0" w:right="0" w:firstLine="720"/>
        <w:jc w:val="both"/>
        <w:rPr/>
      </w:pPr>
      <w:bookmarkStart w:id="1704" w:name="_Hlk219718806"/>
      <w:bookmarkEnd w:id="1704"/>
      <w:r>
        <w:rPr/>
        <w:t>“</w:t>
      </w:r>
      <w:r>
        <w:rPr>
          <w:rFonts w:ascii="Times" w:hAnsi="Times"/>
          <w:i/>
          <w:sz w:val="24"/>
        </w:rPr>
        <w:t>Original Credit Agreement”</w:t>
      </w:r>
      <w:r>
        <w:rPr>
          <w:rFonts w:ascii="Times" w:hAnsi="Times"/>
          <w:sz w:val="24"/>
        </w:rPr>
        <w:t xml:space="preserve"> is defined in the Recitals to this Agreement.</w:t>
      </w:r>
    </w:p>
    <w:p>
      <w:pPr>
        <w:pStyle w:val="TextBody"/>
        <w:bidi w:val="0"/>
        <w:spacing w:before="0" w:after="240"/>
        <w:ind w:left="0" w:right="0" w:firstLine="720"/>
        <w:jc w:val="both"/>
        <w:rPr>
          <w:rFonts w:ascii="Times" w:hAnsi="Times"/>
          <w:sz w:val="24"/>
        </w:rPr>
      </w:pPr>
      <w:r>
        <w:rPr>
          <w:rFonts w:ascii="Times" w:hAnsi="Times"/>
          <w:i/>
          <w:sz w:val="24"/>
        </w:rPr>
        <w:t xml:space="preserve">"Other Approved Type” </w:t>
      </w:r>
      <w:r>
        <w:rPr>
          <w:rFonts w:ascii="Times" w:hAnsi="Times"/>
          <w:sz w:val="24"/>
        </w:rPr>
        <w:t>means a property type other than a retail net lease asset that is approved by Administrative Agent with respect to Eligible Mortgage Receivables.</w:t>
      </w:r>
    </w:p>
    <w:p>
      <w:pPr>
        <w:pStyle w:val="TextBody"/>
        <w:bidi w:val="0"/>
        <w:spacing w:before="0" w:after="240"/>
        <w:ind w:left="0" w:right="0" w:firstLine="720"/>
        <w:jc w:val="both"/>
        <w:rPr/>
      </w:pPr>
      <w:r>
        <w:rPr/>
        <w:t>“</w:t>
      </w:r>
      <w:r>
        <w:rPr>
          <w:rFonts w:ascii="Times" w:hAnsi="Times"/>
          <w:i/>
          <w:sz w:val="24"/>
        </w:rPr>
        <w:t xml:space="preserve">Other Connection Taxes” </w:t>
      </w:r>
      <w:r>
        <w:rPr>
          <w:rFonts w:ascii="Times" w:hAnsi="Times"/>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firstLine="720"/>
        <w:jc w:val="both"/>
        <w:rPr/>
      </w:pPr>
      <w:bookmarkStart w:id="1705" w:name="_Hlk219717753"/>
      <w:bookmarkEnd w:id="1705"/>
      <w:r>
        <w:rPr/>
        <w:t>“</w:t>
      </w:r>
      <w:r>
        <w:rPr>
          <w:rFonts w:ascii="Times" w:hAnsi="Times"/>
          <w:i/>
          <w:sz w:val="24"/>
        </w:rPr>
        <w:t>Other Structured Investments</w:t>
      </w:r>
      <w:r>
        <w:rPr>
          <w:rFonts w:ascii="Times" w:hAnsi="Times"/>
          <w:sz w:val="24"/>
        </w:rPr>
        <w:t xml:space="preserve">” means investments in commercial real estate consisting of structured debt products, preferred equity, mortgage loans (other than leases structured as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mortgages due to reimbursement requirements and excluding First Mortgage Loans), mezzanine loans and notes receivable. </w:t>
      </w:r>
    </w:p>
    <w:p>
      <w:pPr>
        <w:pStyle w:val="TextBody"/>
        <w:bidi w:val="0"/>
        <w:spacing w:before="0" w:after="240"/>
        <w:ind w:left="0" w:right="0" w:firstLine="720"/>
        <w:jc w:val="both"/>
        <w:rPr/>
      </w:pPr>
      <w:r>
        <w:rPr/>
        <w:t>“</w:t>
      </w:r>
      <w:r>
        <w:rPr>
          <w:rFonts w:ascii="Times" w:hAnsi="Times"/>
          <w:i/>
          <w:sz w:val="24"/>
        </w:rPr>
        <w:t>Other Taxes</w:t>
      </w:r>
      <w:r>
        <w:rPr>
          <w:rFonts w:ascii="Times" w:hAnsi="Times"/>
          <w:sz w:val="24"/>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pStyle w:val="TextBody"/>
        <w:bidi w:val="0"/>
        <w:spacing w:before="0" w:after="240"/>
        <w:ind w:left="0" w:right="0" w:firstLine="720"/>
        <w:jc w:val="both"/>
        <w:rPr/>
      </w:pPr>
      <w:r>
        <w:rPr/>
        <w:t>“</w:t>
      </w:r>
      <w:r>
        <w:rPr>
          <w:rFonts w:ascii="Times" w:hAnsi="Times"/>
          <w:i/>
          <w:sz w:val="24"/>
        </w:rPr>
        <w:t xml:space="preserve">Other Unsecured Indebtedness” </w:t>
      </w:r>
      <w:r>
        <w:rPr>
          <w:rFonts w:ascii="Times" w:hAnsi="Times"/>
          <w:sz w:val="24"/>
        </w:rPr>
        <w:t xml:space="preserve">means any Unsecured Indebtedness (not including the Obligations) that is </w:t>
      </w:r>
      <w:r>
        <w:rPr>
          <w:rFonts w:ascii="Times" w:hAnsi="Times"/>
          <w:i/>
          <w:sz w:val="24"/>
        </w:rPr>
        <w:t>pari passu</w:t>
      </w:r>
      <w:r>
        <w:rPr>
          <w:rFonts w:ascii="Times" w:hAnsi="Times"/>
          <w:sz w:val="24"/>
        </w:rPr>
        <w:t xml:space="preserve"> with or structurally senior to the Obligations and is recourse to the Borrower.</w:t>
      </w:r>
    </w:p>
    <w:p>
      <w:pPr>
        <w:pStyle w:val="TextBody"/>
        <w:bidi w:val="0"/>
        <w:spacing w:before="0" w:after="240"/>
        <w:ind w:left="0" w:right="0" w:firstLine="720"/>
        <w:jc w:val="both"/>
        <w:rPr/>
      </w:pPr>
      <w:r>
        <w:rPr/>
        <w:t>“</w:t>
      </w:r>
      <w:r>
        <w:rPr>
          <w:rFonts w:ascii="Times" w:hAnsi="Times"/>
          <w:i/>
          <w:sz w:val="24"/>
        </w:rPr>
        <w:t>Outbound Investment Rules</w:t>
      </w:r>
      <w:r>
        <w:rPr>
          <w:rFonts w:ascii="Times" w:hAnsi="Times"/>
          <w:sz w:val="24"/>
        </w:rPr>
        <w:t>” means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240"/>
        <w:ind w:left="0" w:right="0" w:firstLine="720"/>
        <w:jc w:val="both"/>
        <w:rPr/>
      </w:pPr>
      <w:r>
        <w:rPr/>
        <w:t>“</w:t>
      </w:r>
      <w:r>
        <w:rPr>
          <w:rFonts w:ascii="Times" w:hAnsi="Times"/>
          <w:i/>
          <w:sz w:val="24"/>
        </w:rPr>
        <w:t>Parent”</w:t>
      </w:r>
      <w:r>
        <w:rPr>
          <w:rFonts w:ascii="Times" w:hAnsi="Times"/>
          <w:sz w:val="24"/>
        </w:rPr>
        <w:t xml:space="preserve"> is defined in the introductory paragraph of this Agreement.</w:t>
      </w:r>
    </w:p>
    <w:p>
      <w:pPr>
        <w:pStyle w:val="TextBody"/>
        <w:bidi w:val="0"/>
        <w:spacing w:before="0" w:after="240"/>
        <w:ind w:left="0" w:right="0" w:firstLine="720"/>
        <w:jc w:val="both"/>
        <w:rPr/>
      </w:pPr>
      <w:r>
        <w:rPr/>
        <w:t>“</w:t>
      </w:r>
      <w:r>
        <w:rPr>
          <w:rFonts w:ascii="Times" w:hAnsi="Times"/>
          <w:i/>
          <w:sz w:val="24"/>
        </w:rPr>
        <w:t>Participating Interest”</w:t>
      </w:r>
      <w:r>
        <w:rPr>
          <w:rFonts w:ascii="Times" w:hAnsi="Times"/>
          <w:sz w:val="24"/>
        </w:rPr>
        <w:t xml:space="preserve"> is defined in Section 1.3(e) hereof.</w:t>
      </w:r>
    </w:p>
    <w:p>
      <w:pPr>
        <w:pStyle w:val="TextBody"/>
        <w:bidi w:val="0"/>
        <w:spacing w:before="0" w:after="240"/>
        <w:ind w:left="0" w:right="0" w:firstLine="720"/>
        <w:jc w:val="both"/>
        <w:rPr/>
      </w:pPr>
      <w:r>
        <w:rPr/>
        <w:t>“</w:t>
      </w:r>
      <w:r>
        <w:rPr>
          <w:rFonts w:ascii="Times" w:hAnsi="Times"/>
          <w:i/>
          <w:sz w:val="24"/>
        </w:rPr>
        <w:t>Participating Lender”</w:t>
      </w:r>
      <w:r>
        <w:rPr>
          <w:rFonts w:ascii="Times" w:hAnsi="Times"/>
          <w:sz w:val="24"/>
        </w:rPr>
        <w:t xml:space="preserve"> is defined in Section 1.3(e) hereof.</w:t>
      </w:r>
    </w:p>
    <w:p>
      <w:pPr>
        <w:pStyle w:val="TextBody"/>
        <w:bidi w:val="0"/>
        <w:spacing w:lineRule="atLeast" w:line="280" w:before="0" w:after="0"/>
        <w:ind w:left="0" w:right="0" w:firstLine="720"/>
        <w:jc w:val="both"/>
        <w:rPr/>
      </w:pPr>
      <w:r>
        <w:rPr/>
        <w:t>“</w:t>
      </w:r>
      <w:r>
        <w:rPr>
          <w:rFonts w:ascii="Times New Roman;Times;serif" w:hAnsi="Times New Roman;Times;serif"/>
          <w:i/>
          <w:sz w:val="24"/>
        </w:rPr>
        <w:t>Patriot Act”</w:t>
      </w:r>
      <w:r>
        <w:rPr>
          <w:rFonts w:ascii="Times New Roman;Times;serif" w:hAnsi="Times New Roman;Times;serif"/>
          <w:sz w:val="24"/>
        </w:rPr>
        <w:t xml:space="preserve"> means the Uniting and Strengthening America by Providing Appropriate Tools Required to Intercept and Obstruct Terrorism Act of 2001, Pub. L. 107-56.</w:t>
      </w:r>
    </w:p>
    <w:p>
      <w:pPr>
        <w:pStyle w:val="TextBody"/>
        <w:bidi w:val="0"/>
        <w:spacing w:lineRule="atLeast" w:line="280" w:before="280" w:after="0"/>
        <w:ind w:left="0" w:right="0" w:firstLine="720"/>
        <w:jc w:val="both"/>
        <w:rPr/>
      </w:pPr>
      <w:r>
        <w:rPr/>
        <w:t>“</w:t>
      </w:r>
      <w:r>
        <w:rPr>
          <w:rFonts w:ascii="Times New Roman;Times;serif" w:hAnsi="Times New Roman;Times;serif"/>
          <w:i/>
          <w:sz w:val="24"/>
        </w:rPr>
        <w:t>Payment Recipient</w:t>
      </w:r>
      <w:r>
        <w:rPr>
          <w:rFonts w:ascii="Times New Roman;Times;serif" w:hAnsi="Times New Roman;Times;serif"/>
          <w:sz w:val="24"/>
        </w:rPr>
        <w:t>” has the meaning assigned to such term in Section 12.30(a).</w:t>
      </w:r>
    </w:p>
    <w:p>
      <w:pPr>
        <w:pStyle w:val="TextBody"/>
        <w:bidi w:val="0"/>
        <w:spacing w:lineRule="atLeast" w:line="280" w:before="280" w:after="0"/>
        <w:ind w:left="0" w:right="0" w:firstLine="720"/>
        <w:jc w:val="both"/>
        <w:rPr/>
      </w:pPr>
      <w:r>
        <w:rPr/>
        <w:t>“</w:t>
      </w:r>
      <w:r>
        <w:rPr>
          <w:rFonts w:ascii="Times New Roman;Times;serif" w:hAnsi="Times New Roman;Times;serif"/>
          <w:i/>
          <w:sz w:val="24"/>
        </w:rPr>
        <w:t>PBGC”</w:t>
      </w:r>
      <w:r>
        <w:rPr>
          <w:rFonts w:ascii="Times New Roman;Times;serif" w:hAnsi="Times New Roman;Times;serif"/>
          <w:sz w:val="24"/>
        </w:rPr>
        <w:t xml:space="preserve"> means the Pension Benefit Guaranty Corporation or any Person succeeding to any or all of its functions under ERISA.</w:t>
      </w:r>
    </w:p>
    <w:p>
      <w:pPr>
        <w:pStyle w:val="TextBody"/>
        <w:bidi w:val="0"/>
        <w:spacing w:lineRule="atLeast" w:line="280" w:before="280" w:after="0"/>
        <w:ind w:left="0" w:right="0" w:firstLine="720"/>
        <w:jc w:val="both"/>
        <w:rPr/>
      </w:pPr>
      <w:r>
        <w:rPr/>
        <w:t>“</w:t>
      </w:r>
      <w:r>
        <w:rPr>
          <w:rFonts w:ascii="Times New Roman;Times;serif" w:hAnsi="Times New Roman;Times;serif"/>
          <w:i/>
          <w:sz w:val="24"/>
        </w:rPr>
        <w:t>Permitted Liens”</w:t>
      </w:r>
      <w:r>
        <w:rPr>
          <w:rFonts w:ascii="Times New Roman;Times;serif" w:hAnsi="Times New Roman;Times;serif"/>
          <w:sz w:val="24"/>
        </w:rPr>
        <w:t xml:space="preserve"> means each of the following:  (a) Liens for taxes, assessments and 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 (g) attachment,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80" w:before="0" w:after="240"/>
        <w:ind w:left="0" w:right="0" w:hanging="0"/>
        <w:jc w:val="both"/>
        <w:rPr>
          <w:rFonts w:ascii="Times New Roman;Times;serif" w:hAnsi="Times New Roman;Times;serif"/>
          <w:sz w:val="24"/>
        </w:rPr>
      </w:pPr>
      <w:r>
        <w:rPr>
          <w:rFonts w:ascii="Times New Roman;Times;serif" w:hAnsi="Times New Roman;Times;serif"/>
          <w:sz w:val="24"/>
        </w:rPr>
        <w:t>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and the L/C Issuer;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Closing Date and set forth in Schedule 8.7; and (l) Liens on Properties and other assets that are not Unencumbered Assets.  For the avoidance of doubt, no Ground Lease with the Borrower or a Subsidiary thereof as lessor may be be made subordinate to any Liens or Indebtedness of any Person without the prior written consent of the Administrative Agent.</w:t>
      </w:r>
    </w:p>
    <w:p>
      <w:pPr>
        <w:pStyle w:val="TextBody"/>
        <w:bidi w:val="0"/>
        <w:spacing w:before="0" w:after="240"/>
        <w:ind w:left="0" w:right="0" w:firstLine="720"/>
        <w:jc w:val="both"/>
        <w:rPr/>
      </w:pPr>
      <w:r>
        <w:rPr/>
        <w:t>“</w:t>
      </w:r>
      <w:r>
        <w:rPr>
          <w:rFonts w:ascii="Times" w:hAnsi="Times"/>
          <w:i/>
          <w:sz w:val="24"/>
        </w:rPr>
        <w:t>Person”</w:t>
      </w:r>
      <w:r>
        <w:rPr>
          <w:rFonts w:ascii="Times" w:hAnsi="Times"/>
          <w:sz w:val="24"/>
        </w:rPr>
        <w:t xml:space="preserve"> means an individual, partnership, corporation, limited liability company, association, trust, unincorporated organization or any other entity or organization, including a government or agency or political subdivision thereof.</w:t>
      </w:r>
    </w:p>
    <w:p>
      <w:pPr>
        <w:pStyle w:val="TextBody"/>
        <w:bidi w:val="0"/>
        <w:spacing w:before="0" w:after="240"/>
        <w:ind w:left="0" w:right="0" w:firstLine="720"/>
        <w:jc w:val="both"/>
        <w:rPr/>
      </w:pPr>
      <w:r>
        <w:rPr/>
        <w:t>“</w:t>
      </w:r>
      <w:r>
        <w:rPr>
          <w:rFonts w:ascii="Times" w:hAnsi="Times"/>
          <w:i/>
          <w:sz w:val="24"/>
        </w:rPr>
        <w:t>Plan”</w:t>
      </w:r>
      <w:r>
        <w:rPr>
          <w:rFonts w:ascii="Times" w:hAnsi="Times"/>
          <w:sz w:val="24"/>
        </w:rPr>
        <w:t xml:space="preserve"> 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pStyle w:val="TextBody"/>
        <w:bidi w:val="0"/>
        <w:spacing w:before="0" w:after="0"/>
        <w:ind w:left="0" w:right="0" w:firstLine="720"/>
        <w:jc w:val="both"/>
        <w:rPr/>
      </w:pPr>
      <w:r>
        <w:rPr/>
        <w:t>“</w:t>
      </w:r>
      <w:r>
        <w:rPr>
          <w:rFonts w:ascii="Times New Roman;Times;serif" w:hAnsi="Times New Roman;Times;serif"/>
          <w:i/>
          <w:sz w:val="24"/>
        </w:rPr>
        <w:t>Prior Approved Receivables</w:t>
      </w:r>
      <w:r>
        <w:rPr>
          <w:rFonts w:ascii="Times New Roman;Times;serif" w:hAnsi="Times New Roman;Times;serif"/>
          <w:sz w:val="24"/>
        </w:rPr>
        <w:t>” means the following Mortgage Receivables existing on the Closing Date related to: (a) the mixed-use development located in Lake Toxaway, North Carolina; (b) the luxury residential development located in Austin, Texas; (c) Albrae located in Freemont, California; (d) the mixed use re-development located in Denver, Colorado; (e) the mixed-use development located in Herndon, Virginia.</w:t>
      </w:r>
    </w:p>
    <w:p>
      <w:pPr>
        <w:pStyle w:val="TextBody"/>
        <w:bidi w:val="0"/>
        <w:spacing w:before="0" w:after="0"/>
        <w:ind w:left="0" w:right="0" w:firstLine="720"/>
        <w:jc w:val="left"/>
        <w:rPr/>
      </w:pPr>
      <w:r>
        <w:rPr/>
        <w:t>​</w:t>
      </w:r>
    </w:p>
    <w:p>
      <w:pPr>
        <w:pStyle w:val="TextBody"/>
        <w:bidi w:val="0"/>
        <w:spacing w:before="0" w:after="240"/>
        <w:ind w:left="0" w:right="0" w:firstLine="720"/>
        <w:jc w:val="both"/>
        <w:rPr/>
      </w:pPr>
      <w:r>
        <w:rPr/>
        <w:t>“</w:t>
      </w:r>
      <w:r>
        <w:rPr>
          <w:rFonts w:ascii="Times" w:hAnsi="Times"/>
          <w:i/>
          <w:sz w:val="24"/>
        </w:rPr>
        <w:t xml:space="preserve">Property” </w:t>
      </w:r>
      <w:r>
        <w:rPr>
          <w:rFonts w:ascii="Times" w:hAnsi="Times"/>
          <w:sz w:val="24"/>
        </w:rPr>
        <w:t>or “</w:t>
      </w:r>
      <w:r>
        <w:rPr>
          <w:rFonts w:ascii="Times" w:hAnsi="Times"/>
          <w:i/>
          <w:sz w:val="24"/>
        </w:rPr>
        <w:t>Properties”</w:t>
      </w:r>
      <w:r>
        <w:rPr>
          <w:rFonts w:ascii="Times" w:hAnsi="Times"/>
          <w:sz w:val="24"/>
        </w:rPr>
        <w:t xml:space="preserve"> means, as to any Person, all of of its real property, land, improvements and fixtures, including property encumbered by Acceptable Leasehold Interests or Ground Leases, owned by such Person whether or not included in the most recent balance sheet of such Person and its subsidiaries under GAAP, including any Eligible Property owned by the Borrower or any of its Subsidiaries.</w:t>
      </w:r>
    </w:p>
    <w:p>
      <w:pPr>
        <w:pStyle w:val="TextBody"/>
        <w:bidi w:val="0"/>
        <w:spacing w:before="0" w:after="240"/>
        <w:ind w:left="0" w:right="0" w:firstLine="720"/>
        <w:jc w:val="both"/>
        <w:rPr/>
      </w:pPr>
      <w:r>
        <w:rPr/>
        <w:t>“</w:t>
      </w:r>
      <w:r>
        <w:rPr>
          <w:rFonts w:ascii="Times" w:hAnsi="Times"/>
          <w:i/>
          <w:sz w:val="24"/>
        </w:rPr>
        <w:t>Property Expenses”</w:t>
      </w:r>
      <w:r>
        <w:rPr>
          <w:rFonts w:ascii="Times" w:hAnsi="Times"/>
          <w:sz w:val="24"/>
        </w:rPr>
        <w:t xml:space="preserve"> means the costs (including, but not limited to, payroll, taxes, assessments, insurance, utilities, landscaping and other similar charges) of operating and maintaining any Property, which are the responsibility of the Borrower or the applicable Guarantor that are not paid directly by the tenant, including without limitation, (1) rent payable under Ground Leases, (2) the Annual Capital Expenditure Reserve, and (3) the greater of (a) (i) 1% of rents for any retail net lease asset and (ii) 3% of rents for all other Properties and (b) actual management fees paid in cash, but excluding depreciation, amortization and interest costs.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Property Income”</w:t>
      </w:r>
      <w:r>
        <w:rPr>
          <w:rFonts w:ascii="Times" w:hAnsi="Times"/>
          <w:sz w:val="24"/>
        </w:rPr>
        <w:t xml:space="preserve"> means cash rents (excluding non-cash straight-line rent) and other cash revenues received by the Borrower or a Guarantor in the ordinary course for any Property, but excluding security deposits and prepaid rent except to the extent applied in satisfaction of tenants’ obligations for rent.</w:t>
      </w:r>
    </w:p>
    <w:p>
      <w:pPr>
        <w:pStyle w:val="TextBody"/>
        <w:bidi w:val="0"/>
        <w:spacing w:before="0" w:after="240"/>
        <w:ind w:left="0" w:right="0" w:firstLine="720"/>
        <w:jc w:val="both"/>
        <w:rPr/>
      </w:pPr>
      <w:r>
        <w:rPr/>
        <w:t>“</w:t>
      </w:r>
      <w:r>
        <w:rPr>
          <w:rFonts w:ascii="Times" w:hAnsi="Times"/>
          <w:i/>
          <w:sz w:val="24"/>
        </w:rPr>
        <w:t>Property Net Operating Income”</w:t>
      </w:r>
      <w:r>
        <w:rPr>
          <w:rFonts w:ascii="Times" w:hAnsi="Times"/>
          <w:sz w:val="24"/>
        </w:rPr>
        <w:t xml:space="preserve"> or “</w:t>
      </w:r>
      <w:r>
        <w:rPr>
          <w:rFonts w:ascii="Times" w:hAnsi="Times"/>
          <w:i/>
          <w:sz w:val="24"/>
        </w:rPr>
        <w:t>Property NOI”</w:t>
      </w:r>
      <w:r>
        <w:rPr>
          <w:rFonts w:ascii="Times" w:hAnsi="Times"/>
          <w:sz w:val="24"/>
        </w:rPr>
        <w:t xml:space="preserve"> means, with respect to any Property for any Rolling Period (without duplication), the aggregate amount of (i) Property Income for such period </w:t>
      </w:r>
      <w:r>
        <w:rPr>
          <w:rFonts w:ascii="Times" w:hAnsi="Times"/>
          <w:i/>
          <w:sz w:val="24"/>
        </w:rPr>
        <w:t xml:space="preserve">minus </w:t>
      </w:r>
      <w:r>
        <w:rPr>
          <w:rFonts w:ascii="Times" w:hAnsi="Times"/>
          <w:sz w:val="24"/>
        </w:rPr>
        <w:t>(ii) Property Expenses for such period.  Pro forma adjustments shall be made for any Property acquired or sold during any period as if the acquisition or disposition occurred on the first day of the applicable period.</w:t>
      </w:r>
    </w:p>
    <w:p>
      <w:pPr>
        <w:pStyle w:val="TextBody"/>
        <w:bidi w:val="0"/>
        <w:spacing w:before="0" w:after="240"/>
        <w:ind w:left="0" w:right="0" w:firstLine="720"/>
        <w:jc w:val="both"/>
        <w:rPr/>
      </w:pPr>
      <w:r>
        <w:rPr/>
        <w:t>“</w:t>
      </w:r>
      <w:r>
        <w:rPr>
          <w:rFonts w:ascii="Times" w:hAnsi="Times"/>
          <w:i/>
          <w:sz w:val="24"/>
        </w:rPr>
        <w:t>Property Owner”</w:t>
      </w:r>
      <w:r>
        <w:rPr>
          <w:rFonts w:ascii="Times" w:hAnsi="Times"/>
          <w:sz w:val="24"/>
        </w:rPr>
        <w:t xml:space="preserve"> means the Person who owns fee title interest or leasehold interest pursuant to a Ground Lease in and to a Property.</w:t>
      </w:r>
    </w:p>
    <w:p>
      <w:pPr>
        <w:pStyle w:val="TextBody"/>
        <w:bidi w:val="0"/>
        <w:spacing w:before="0" w:after="240"/>
        <w:ind w:left="0" w:right="0" w:firstLine="720"/>
        <w:jc w:val="both"/>
        <w:rPr/>
      </w:pPr>
      <w:r>
        <w:rPr/>
        <w:t>“</w:t>
      </w:r>
      <w:r>
        <w:rPr>
          <w:rFonts w:ascii="Times" w:hAnsi="Times"/>
          <w:i/>
          <w:sz w:val="24"/>
        </w:rPr>
        <w:t>Public Investments</w:t>
      </w:r>
      <w:r>
        <w:rPr>
          <w:rFonts w:ascii="Times" w:hAnsi="Times"/>
          <w:sz w:val="24"/>
        </w:rPr>
        <w:t xml:space="preserve">” means investments in (x) corporate debt issued by any real estate company or real estate investment trust and (y) Stock or Stock Equivalents issued by any real estate company or real estate investment trust, so long as in each case, the real estate company or real estate investment trust is listed on the New York Stock Exchange, the NYSE American or The NASDAQ Stock Market. </w:t>
      </w:r>
    </w:p>
    <w:p>
      <w:pPr>
        <w:pStyle w:val="TextBody"/>
        <w:bidi w:val="0"/>
        <w:spacing w:before="0" w:after="240"/>
        <w:ind w:left="0" w:right="0" w:firstLine="720"/>
        <w:jc w:val="both"/>
        <w:rPr/>
      </w:pPr>
      <w:r>
        <w:rPr/>
        <w:t>“</w:t>
      </w:r>
      <w:r>
        <w:rPr>
          <w:rFonts w:ascii="Times" w:hAnsi="Times"/>
          <w:i/>
          <w:sz w:val="24"/>
        </w:rPr>
        <w:t>Qualifying Counterparty” </w:t>
      </w:r>
      <w:r>
        <w:rPr>
          <w:rFonts w:ascii="Times" w:hAnsi="Times"/>
          <w:sz w:val="24"/>
        </w:rPr>
        <w:t>means, with respect to any Hedging Liability, any party that was a Lender or an Affiliate of a Lender under this Agreement at the time the hedging arrangement giving rise to such Hedging Liability was entered into.</w:t>
      </w:r>
    </w:p>
    <w:p>
      <w:pPr>
        <w:pStyle w:val="TextBody"/>
        <w:bidi w:val="0"/>
        <w:spacing w:before="0" w:after="240"/>
        <w:ind w:left="0" w:right="0" w:firstLine="720"/>
        <w:jc w:val="both"/>
        <w:rPr/>
      </w:pPr>
      <w:r>
        <w:rPr/>
        <w:t>“</w:t>
      </w:r>
      <w:r>
        <w:rPr>
          <w:rFonts w:ascii="Times" w:hAnsi="Times"/>
          <w:i/>
          <w:sz w:val="24"/>
        </w:rPr>
        <w:t>Qualified ECP Guarantor</w:t>
      </w:r>
      <w:r>
        <w:rPr>
          <w:rFonts w:ascii="Times" w:hAnsi="Times"/>
          <w:sz w:val="24"/>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240"/>
        <w:ind w:left="0" w:right="0" w:firstLine="720"/>
        <w:jc w:val="both"/>
        <w:rPr/>
      </w:pPr>
      <w:r>
        <w:rPr/>
        <w:t>“</w:t>
      </w:r>
      <w:r>
        <w:rPr>
          <w:rFonts w:ascii="Times" w:hAnsi="Times"/>
          <w:i/>
          <w:sz w:val="24"/>
        </w:rPr>
        <w:t>Rating”</w:t>
      </w:r>
      <w:r>
        <w:rPr>
          <w:rFonts w:ascii="Times" w:hAnsi="Times"/>
          <w:sz w:val="24"/>
        </w:rPr>
        <w:t xml:space="preserve"> means the debt rating provided by S&amp;P,  Moody’s or Fitch with respect to the unsecured senior long-term non-credit enhanced debt of a Person.</w:t>
      </w:r>
    </w:p>
    <w:p>
      <w:pPr>
        <w:pStyle w:val="TextBody"/>
        <w:bidi w:val="0"/>
        <w:spacing w:before="0" w:after="240"/>
        <w:ind w:left="0" w:right="0" w:firstLine="720"/>
        <w:jc w:val="both"/>
        <w:rPr/>
      </w:pPr>
      <w:r>
        <w:rPr/>
        <w:t>“</w:t>
      </w:r>
      <w:r>
        <w:rPr>
          <w:rFonts w:ascii="Times" w:hAnsi="Times"/>
          <w:i/>
          <w:sz w:val="24"/>
        </w:rPr>
        <w:t>RCRA”</w:t>
      </w:r>
      <w:r>
        <w:rPr>
          <w:rFonts w:ascii="Times" w:hAnsi="Times"/>
          <w:sz w:val="24"/>
        </w:rPr>
        <w:t xml:space="preserve"> means the Solid Waste Disposal Act, as amended by the Resource Conservation and Recovery Act of 1976 and Hazardous and Solid Waste Amendments of 1984, 42 U.S.C. </w:t>
      </w:r>
      <w:r>
        <w:rPr>
          <w:rFonts w:ascii="Times" w:hAnsi="Times"/>
          <w:b/>
          <w:sz w:val="24"/>
        </w:rPr>
        <w:t>§§</w:t>
      </w:r>
      <w:r>
        <w:rPr>
          <w:rFonts w:ascii="Times" w:hAnsi="Times"/>
          <w:sz w:val="24"/>
        </w:rPr>
        <w:t xml:space="preserve">6901 </w:t>
      </w:r>
      <w:r>
        <w:rPr>
          <w:rFonts w:ascii="Times" w:hAnsi="Times"/>
          <w:i/>
          <w:sz w:val="24"/>
        </w:rPr>
        <w:t>et seq.</w:t>
      </w:r>
      <w:r>
        <w:rPr>
          <w:rFonts w:ascii="Times" w:hAnsi="Times"/>
          <w:sz w:val="24"/>
        </w:rPr>
        <w:t>, and any future amendments.</w:t>
      </w:r>
    </w:p>
    <w:p>
      <w:pPr>
        <w:pStyle w:val="TextBody"/>
        <w:bidi w:val="0"/>
        <w:spacing w:before="0" w:after="240"/>
        <w:ind w:left="0" w:right="0" w:firstLine="720"/>
        <w:jc w:val="both"/>
        <w:rPr/>
      </w:pPr>
      <w:r>
        <w:rPr/>
        <w:t>“</w:t>
      </w:r>
      <w:r>
        <w:rPr>
          <w:rFonts w:ascii="Times" w:hAnsi="Times"/>
          <w:i/>
          <w:sz w:val="24"/>
        </w:rPr>
        <w:t>Recipient</w:t>
      </w:r>
      <w:r>
        <w:rPr>
          <w:rFonts w:ascii="Times" w:hAnsi="Times"/>
          <w:sz w:val="24"/>
        </w:rPr>
        <w:t>” means (a) the Administrative Agent, (b) the L/C Issuer, and (c) any Lender, as applicable.</w:t>
      </w:r>
    </w:p>
    <w:p>
      <w:pPr>
        <w:pStyle w:val="TextBody"/>
        <w:bidi w:val="0"/>
        <w:spacing w:before="0" w:after="240"/>
        <w:ind w:left="0" w:right="0" w:firstLine="720"/>
        <w:jc w:val="both"/>
        <w:rPr/>
      </w:pPr>
      <w:r>
        <w:rPr/>
        <w:t>“</w:t>
      </w:r>
      <w:r>
        <w:rPr>
          <w:rFonts w:ascii="Times" w:hAnsi="Times"/>
          <w:i/>
          <w:sz w:val="24"/>
        </w:rPr>
        <w:t>Reimbursement Obligation”</w:t>
      </w:r>
      <w:r>
        <w:rPr>
          <w:rFonts w:ascii="Times" w:hAnsi="Times"/>
          <w:sz w:val="24"/>
        </w:rPr>
        <w:t xml:space="preserve"> is defined in Section 1.3(c) hereof.</w:t>
      </w:r>
    </w:p>
    <w:p>
      <w:pPr>
        <w:pStyle w:val="TextBody"/>
        <w:bidi w:val="0"/>
        <w:spacing w:before="0" w:after="240"/>
        <w:ind w:left="0" w:right="0" w:firstLine="720"/>
        <w:jc w:val="both"/>
        <w:rPr/>
      </w:pPr>
      <w:r>
        <w:rPr/>
        <w:t>“</w:t>
      </w:r>
      <w:r>
        <w:rPr>
          <w:rFonts w:ascii="Times" w:hAnsi="Times"/>
          <w:i/>
          <w:sz w:val="24"/>
        </w:rPr>
        <w:t>REIT”</w:t>
      </w:r>
      <w:r>
        <w:rPr>
          <w:rFonts w:ascii="Times" w:hAnsi="Times"/>
          <w:sz w:val="24"/>
        </w:rPr>
        <w:t xml:space="preserve"> means a “real estate investment trust” in accordance with Section 856 et. seq. of the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Related Parties” </w:t>
      </w:r>
      <w:r>
        <w:rPr>
          <w:rFonts w:ascii="Times" w:hAnsi="Times"/>
          <w:sz w:val="24"/>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240"/>
        <w:ind w:left="0" w:right="0" w:firstLine="720"/>
        <w:jc w:val="both"/>
        <w:rPr/>
      </w:pPr>
      <w:r>
        <w:rPr/>
        <w:t>“</w:t>
      </w:r>
      <w:r>
        <w:rPr>
          <w:rFonts w:ascii="Times" w:hAnsi="Times"/>
          <w:i/>
          <w:sz w:val="24"/>
        </w:rPr>
        <w:t>Release”</w:t>
      </w:r>
      <w:r>
        <w:rPr>
          <w:rFonts w:ascii="Times" w:hAnsi="Times"/>
          <w:sz w:val="24"/>
        </w:rPr>
        <w:t xml:space="preserve"> means any spilling, leaking, pumping, pouring, emitting, emptying, discharging, injecting, escaping, leaching, migration, dumping, or disposing into the indoor or outdoor environment, including, without limitation, the abandonment or discarding of barrels, drums, containers, tanks or other receptacles containing or previously containing any Hazardous Material.</w:t>
      </w:r>
    </w:p>
    <w:p>
      <w:pPr>
        <w:pStyle w:val="TextBody"/>
        <w:bidi w:val="0"/>
        <w:spacing w:before="0" w:after="240"/>
        <w:ind w:left="0" w:right="0" w:firstLine="720"/>
        <w:jc w:val="both"/>
        <w:rPr/>
      </w:pPr>
      <w:r>
        <w:rPr/>
        <w:t>“</w:t>
      </w:r>
      <w:r>
        <w:rPr>
          <w:rFonts w:ascii="Times" w:hAnsi="Times"/>
          <w:i/>
          <w:sz w:val="24"/>
        </w:rPr>
        <w:t>Relevant Governmental Body</w:t>
      </w:r>
      <w:r>
        <w:rPr>
          <w:rFonts w:ascii="Times" w:hAnsi="Times"/>
          <w:sz w:val="24"/>
        </w:rPr>
        <w:t>” 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ind w:left="0" w:right="0" w:firstLine="720"/>
        <w:jc w:val="both"/>
        <w:rPr/>
      </w:pPr>
      <w:r>
        <w:rPr/>
        <w:t>“</w:t>
      </w:r>
      <w:r>
        <w:rPr>
          <w:rFonts w:ascii="Times" w:hAnsi="Times"/>
          <w:i/>
          <w:sz w:val="24"/>
        </w:rPr>
        <w:t>Required Class Lenders”</w:t>
      </w:r>
      <w:r>
        <w:rPr>
          <w:rFonts w:ascii="Times" w:hAnsi="Times"/>
          <w:sz w:val="24"/>
        </w:rPr>
        <w:t xml:space="preserve"> means, with respect to any Class of Lenders as of the date of determination thereof, (a) with respect to the Revolving Lenders, (i) Lenders of such Class having more than 50% of the aggregate amount of the Revolving Credit Commitments of such Class or (ii) if the Revolving Credit Commitments of such Class have been terminated or reduced to zero, Lenders of such Class holding more than 50% of the principal amount of the aggregate outstanding Loans of such Class and L/C Obligations, or (b) with respect to any Class of Term Loans, Lenders of such Class holding more than 50% of the principal amount of the aggregate outstanding Loans of such Class; provided that, at any time in which there are only two Lenders of such Class, Required Class Lenders means both of such Lenders. The outstanding Loans and interests in Letters of Credit of any Defaulting Lender of the applicable Class shall be disregarded in determining Required Class Lenders at any time.</w:t>
      </w:r>
    </w:p>
    <w:p>
      <w:pPr>
        <w:pStyle w:val="TextBody"/>
        <w:bidi w:val="0"/>
        <w:spacing w:before="0" w:after="240"/>
        <w:ind w:left="0" w:right="0" w:firstLine="720"/>
        <w:jc w:val="both"/>
        <w:rPr/>
      </w:pPr>
      <w:r>
        <w:rPr/>
        <w:t>“</w:t>
      </w:r>
      <w:r>
        <w:rPr>
          <w:rFonts w:ascii="Times" w:hAnsi="Times"/>
          <w:i/>
          <w:sz w:val="24"/>
        </w:rPr>
        <w:t>Required Lenders”</w:t>
      </w:r>
      <w:r>
        <w:rPr>
          <w:rFonts w:ascii="Times" w:hAnsi="Times"/>
          <w:sz w:val="24"/>
        </w:rPr>
        <w:t xml:space="preserve"> means, as of the date of determination thereof, (i) at any time in which there are only two Lenders, both Lenders and (ii) at any other time Lenders whose outstanding Loans constitute more than 50% of the sum of the Total Outstandings and Unused Revolving Credit Commitments of all Lenders. The outstanding Loans and interests in Letters of Credit of any Defaulting Lender shall be disregarded in determining Required Lenders at any time.</w:t>
      </w:r>
    </w:p>
    <w:p>
      <w:pPr>
        <w:pStyle w:val="TextBody"/>
        <w:bidi w:val="0"/>
        <w:spacing w:before="0" w:after="240"/>
        <w:ind w:left="0" w:right="0" w:firstLine="720"/>
        <w:jc w:val="both"/>
        <w:rPr/>
      </w:pPr>
      <w:r>
        <w:rPr/>
        <w:t>“</w:t>
      </w:r>
      <w:r>
        <w:rPr>
          <w:rFonts w:ascii="Times" w:hAnsi="Times"/>
          <w:i/>
          <w:sz w:val="24"/>
        </w:rPr>
        <w:t>Required Revolving Lenders</w:t>
      </w:r>
      <w:r>
        <w:rPr>
          <w:rFonts w:ascii="Times" w:hAnsi="Times"/>
          <w:sz w:val="24"/>
        </w:rPr>
        <w:t>” means, as of the date of determination thereof, Required Class Lenders with respect to the Revolving Facility.</w:t>
      </w:r>
    </w:p>
    <w:p>
      <w:pPr>
        <w:pStyle w:val="TextBody"/>
        <w:bidi w:val="0"/>
        <w:spacing w:before="0" w:after="240"/>
        <w:ind w:left="0" w:right="0" w:firstLine="720"/>
        <w:jc w:val="both"/>
        <w:rPr/>
      </w:pPr>
      <w:r>
        <w:rPr/>
        <w:t>“</w:t>
      </w:r>
      <w:r>
        <w:rPr>
          <w:rFonts w:ascii="Times" w:hAnsi="Times"/>
          <w:i/>
          <w:sz w:val="24"/>
        </w:rPr>
        <w:t>Resolution Authority</w:t>
      </w:r>
      <w:r>
        <w:rPr>
          <w:rFonts w:ascii="Times" w:hAnsi="Times"/>
          <w:sz w:val="24"/>
        </w:rPr>
        <w:t>” means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w:hAnsi="Times"/>
          <w:i/>
          <w:sz w:val="24"/>
        </w:rPr>
        <w:t>Responsible Officer”</w:t>
      </w:r>
      <w:r>
        <w:rPr>
          <w:rFonts w:ascii="Times" w:hAnsi="Times"/>
          <w:sz w:val="24"/>
        </w:rPr>
        <w:t xml:space="preserve"> means, with respect to the Parent or any of its Subsidiaries, the chief executive officer, the chief financial officer, chief accounting officer, chief legal officer or the chief operating officer of the Parent or such Subsidiary.</w:t>
      </w:r>
    </w:p>
    <w:p>
      <w:pPr>
        <w:pStyle w:val="TextBody"/>
        <w:bidi w:val="0"/>
        <w:spacing w:before="0" w:after="240"/>
        <w:ind w:left="0" w:right="0" w:firstLine="720"/>
        <w:jc w:val="both"/>
        <w:rPr/>
      </w:pPr>
      <w:r>
        <w:rPr/>
        <w:t>“</w:t>
      </w:r>
      <w:r>
        <w:rPr>
          <w:rFonts w:ascii="Times" w:hAnsi="Times"/>
          <w:i/>
          <w:sz w:val="24"/>
        </w:rPr>
        <w:t>Restricted Payments”</w:t>
      </w:r>
      <w:r>
        <w:rPr>
          <w:rFonts w:ascii="Times" w:hAnsi="Times"/>
          <w:sz w:val="24"/>
        </w:rPr>
        <w:t xml:space="preserve"> means dividends on or other distributions in respect of any class or series of Stock, Stock Equivalents or other Equity Interests of Parent, the Borrower or its Subsidiaries or the direct or indirect purchase, redemption, acquisition, or retirement of any of the Parent’s, the Borrower’s or a Subsidiaries’ Stock, Stock Equivalents or other Equity Interest.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Revolving Credit Commitment”</w:t>
      </w:r>
      <w:r>
        <w:rPr>
          <w:rFonts w:ascii="Times" w:hAnsi="Times"/>
          <w:sz w:val="24"/>
        </w:rPr>
        <w:t xml:space="preserve"> means, as to any Revolving Lender, the obligation of such Revolving Lender to make Revolving Loans and to participate in Letters of Credit issued for the account of the Borrower hereunder in an aggregate principal or face amount at any one time outstanding not to exceed the amount set forth opposite such Revolving Lender’s name on Schedule 1 attached hereto and made a part hereof, as the same may be reduced or modified at any time or from time to time pursuant to the terms hereof.  The Borrower and the Revolving Lenders acknowledge and agree that the Revolving Credit Commitments of the Revolving Lenders, in the aggregate, is equal to $250,000,000 on the Closing Date.  </w:t>
      </w:r>
    </w:p>
    <w:p>
      <w:pPr>
        <w:pStyle w:val="TextBody"/>
        <w:bidi w:val="0"/>
        <w:spacing w:before="0" w:after="240"/>
        <w:ind w:left="0" w:right="0" w:firstLine="720"/>
        <w:jc w:val="both"/>
        <w:rPr/>
      </w:pPr>
      <w:r>
        <w:rPr/>
        <w:t>“</w:t>
      </w:r>
      <w:r>
        <w:rPr>
          <w:rFonts w:ascii="Times" w:hAnsi="Times"/>
          <w:i/>
          <w:sz w:val="24"/>
        </w:rPr>
        <w:t>Revolving Credit Termination Date”</w:t>
      </w:r>
      <w:r>
        <w:rPr>
          <w:rFonts w:ascii="Times" w:hAnsi="Times"/>
          <w:sz w:val="24"/>
        </w:rPr>
        <w:t xml:space="preserve"> means the earliest of (i) February 4, 2030, as such date may be extended pursuant to Section 1.16 and (ii) the date on which the Revolving Credit Commitments are terminated in whole pursuant to Section 1.12, 9.2 or 9.3 hereof.  </w:t>
      </w:r>
    </w:p>
    <w:p>
      <w:pPr>
        <w:pStyle w:val="TextBody"/>
        <w:bidi w:val="0"/>
        <w:spacing w:before="0" w:after="240"/>
        <w:ind w:left="0" w:right="0" w:firstLine="720"/>
        <w:jc w:val="both"/>
        <w:rPr/>
      </w:pPr>
      <w:r>
        <w:rPr/>
        <w:t>“</w:t>
      </w:r>
      <w:r>
        <w:rPr>
          <w:rFonts w:ascii="Times" w:hAnsi="Times"/>
          <w:i/>
          <w:sz w:val="24"/>
        </w:rPr>
        <w:t>Revolving Facility”</w:t>
      </w:r>
      <w:r>
        <w:rPr>
          <w:rFonts w:ascii="Times" w:hAnsi="Times"/>
          <w:sz w:val="24"/>
        </w:rPr>
        <w:t xml:space="preserve"> means the credit facility for making Revolving Loans and issuing Letters of Credit described in Sections 1.1 and1.3 hereof. </w:t>
      </w:r>
    </w:p>
    <w:p>
      <w:pPr>
        <w:pStyle w:val="TextBody"/>
        <w:bidi w:val="0"/>
        <w:spacing w:before="0" w:after="240"/>
        <w:ind w:left="0" w:right="0" w:firstLine="720"/>
        <w:jc w:val="both"/>
        <w:rPr/>
      </w:pPr>
      <w:r>
        <w:rPr/>
        <w:t>“</w:t>
      </w:r>
      <w:r>
        <w:rPr>
          <w:rFonts w:ascii="Times" w:hAnsi="Times"/>
          <w:i/>
          <w:sz w:val="24"/>
        </w:rPr>
        <w:t>Revolving Lender”</w:t>
      </w:r>
      <w:r>
        <w:rPr>
          <w:rFonts w:ascii="Times" w:hAnsi="Times"/>
          <w:sz w:val="24"/>
        </w:rPr>
        <w:t xml:space="preserve"> means a lender hereunder with a Revolving Credit Commitment including each assignee Lender pursuant to </w:t>
      </w:r>
      <w:r>
        <w:rPr>
          <w:rFonts w:ascii="Times" w:hAnsi="Times"/>
          <w:sz w:val="24"/>
          <w:u w:val="single"/>
        </w:rPr>
        <w:t>Section 12.12</w:t>
      </w:r>
      <w:r>
        <w:rPr>
          <w:rFonts w:ascii="Times" w:hAnsi="Times"/>
          <w:sz w:val="24"/>
        </w:rPr>
        <w:t xml:space="preserve"> hereof.</w:t>
      </w:r>
    </w:p>
    <w:p>
      <w:pPr>
        <w:pStyle w:val="TextBody"/>
        <w:bidi w:val="0"/>
        <w:spacing w:before="0" w:after="240"/>
        <w:ind w:left="0" w:right="0" w:firstLine="720"/>
        <w:jc w:val="both"/>
        <w:rPr/>
      </w:pPr>
      <w:r>
        <w:rPr/>
        <w:t>“</w:t>
      </w:r>
      <w:r>
        <w:rPr>
          <w:rFonts w:ascii="Times" w:hAnsi="Times"/>
          <w:i/>
          <w:sz w:val="24"/>
        </w:rPr>
        <w:t xml:space="preserve">Revolving Loan” </w:t>
      </w:r>
      <w:r>
        <w:rPr>
          <w:rFonts w:ascii="Times" w:hAnsi="Times"/>
          <w:sz w:val="24"/>
        </w:rPr>
        <w:t>and “</w:t>
      </w:r>
      <w:r>
        <w:rPr>
          <w:rFonts w:ascii="Times" w:hAnsi="Times"/>
          <w:i/>
          <w:sz w:val="24"/>
        </w:rPr>
        <w:t>Revolving Loans”</w:t>
      </w:r>
      <w:r>
        <w:rPr>
          <w:rFonts w:ascii="Times" w:hAnsi="Times"/>
          <w:sz w:val="24"/>
        </w:rPr>
        <w:t xml:space="preserve"> are defined in Section 1.1 hereof and, as so defined, includes a Base Rate Loan, Daily Simple SOFR Loan or Term SOFR Loan, each of which is a “</w:t>
      </w:r>
      <w:r>
        <w:rPr>
          <w:rFonts w:ascii="Times" w:hAnsi="Times"/>
          <w:i/>
          <w:sz w:val="24"/>
        </w:rPr>
        <w:t>type”</w:t>
      </w:r>
      <w:r>
        <w:rPr>
          <w:rFonts w:ascii="Times" w:hAnsi="Times"/>
          <w:sz w:val="24"/>
        </w:rPr>
        <w:t xml:space="preserve"> of Revolving Loan hereunder.</w:t>
      </w:r>
    </w:p>
    <w:p>
      <w:pPr>
        <w:pStyle w:val="TextBody"/>
        <w:bidi w:val="0"/>
        <w:spacing w:before="0" w:after="240"/>
        <w:ind w:left="0" w:right="0" w:firstLine="720"/>
        <w:jc w:val="both"/>
        <w:rPr/>
      </w:pPr>
      <w:r>
        <w:rPr/>
        <w:t>“</w:t>
      </w:r>
      <w:r>
        <w:rPr>
          <w:rFonts w:ascii="Times" w:hAnsi="Times"/>
          <w:i/>
          <w:sz w:val="24"/>
        </w:rPr>
        <w:t>Revolving Note”</w:t>
      </w:r>
      <w:r>
        <w:rPr>
          <w:rFonts w:ascii="Times" w:hAnsi="Times"/>
          <w:sz w:val="24"/>
        </w:rPr>
        <w:t xml:space="preserve"> and “</w:t>
      </w:r>
      <w:r>
        <w:rPr>
          <w:rFonts w:ascii="Times" w:hAnsi="Times"/>
          <w:i/>
          <w:sz w:val="24"/>
        </w:rPr>
        <w:t>Revolving Notes”</w:t>
      </w:r>
      <w:r>
        <w:rPr>
          <w:rFonts w:ascii="Times" w:hAnsi="Times"/>
          <w:sz w:val="24"/>
        </w:rPr>
        <w:t xml:space="preserve"> are defined in Section 1.10(d) hereof.</w:t>
      </w:r>
    </w:p>
    <w:p>
      <w:pPr>
        <w:pStyle w:val="TextBody"/>
        <w:bidi w:val="0"/>
        <w:spacing w:before="0" w:after="240"/>
        <w:ind w:left="0" w:right="0" w:firstLine="720"/>
        <w:jc w:val="both"/>
        <w:rPr/>
      </w:pPr>
      <w:r>
        <w:rPr/>
        <w:t>“</w:t>
      </w:r>
      <w:r>
        <w:rPr>
          <w:rFonts w:ascii="Times" w:hAnsi="Times"/>
          <w:i/>
          <w:sz w:val="24"/>
        </w:rPr>
        <w:t>Rolling Period”</w:t>
      </w:r>
      <w:r>
        <w:rPr>
          <w:rFonts w:ascii="Times" w:hAnsi="Times"/>
          <w:sz w:val="24"/>
        </w:rPr>
        <w:t xml:space="preserve"> means, as of any date, the four Fiscal Quarters ending on or immediately preceding such date.</w:t>
      </w:r>
    </w:p>
    <w:p>
      <w:pPr>
        <w:pStyle w:val="TextBody"/>
        <w:bidi w:val="0"/>
        <w:spacing w:before="0" w:after="240"/>
        <w:ind w:left="0" w:right="0" w:firstLine="720"/>
        <w:jc w:val="both"/>
        <w:rPr/>
      </w:pPr>
      <w:r>
        <w:rPr/>
        <w:t>“</w:t>
      </w:r>
      <w:r>
        <w:rPr>
          <w:rFonts w:ascii="Times" w:hAnsi="Times"/>
          <w:i/>
          <w:sz w:val="24"/>
        </w:rPr>
        <w:t>S&amp;P”</w:t>
      </w:r>
      <w:r>
        <w:rPr>
          <w:rFonts w:ascii="Times" w:hAnsi="Times"/>
          <w:sz w:val="24"/>
        </w:rPr>
        <w:t xml:space="preserve"> means S&amp;P Global, Inc. or any successor thereof.</w:t>
      </w:r>
    </w:p>
    <w:p>
      <w:pPr>
        <w:pStyle w:val="TextBody"/>
        <w:bidi w:val="0"/>
        <w:spacing w:before="0" w:after="240"/>
        <w:ind w:left="0" w:right="0" w:firstLine="720"/>
        <w:jc w:val="both"/>
        <w:rPr/>
      </w:pPr>
      <w:r>
        <w:rPr/>
        <w:t>“</w:t>
      </w:r>
      <w:r>
        <w:rPr>
          <w:rFonts w:ascii="Times" w:hAnsi="Times"/>
          <w:i/>
          <w:sz w:val="24"/>
        </w:rPr>
        <w:t>Sanctioned Country”</w:t>
      </w:r>
      <w:r>
        <w:rPr>
          <w:rFonts w:ascii="Times" w:hAnsi="Times"/>
          <w:sz w:val="24"/>
        </w:rPr>
        <w:t xml:space="preserve"> shall mean, at any time, a country or territory that is, or whose government is, the subject or target of any Sanctions.</w:t>
      </w:r>
    </w:p>
    <w:p>
      <w:pPr>
        <w:pStyle w:val="TextBody"/>
        <w:bidi w:val="0"/>
        <w:spacing w:before="0" w:after="240"/>
        <w:ind w:left="0" w:right="0" w:firstLine="720"/>
        <w:jc w:val="both"/>
        <w:rPr/>
      </w:pPr>
      <w:r>
        <w:rPr/>
        <w:t>“</w:t>
      </w:r>
      <w:r>
        <w:rPr>
          <w:rFonts w:ascii="Times" w:hAnsi="Times"/>
          <w:i/>
          <w:sz w:val="24"/>
        </w:rPr>
        <w:t>Sanctioned Person”</w:t>
      </w:r>
      <w:r>
        <w:rPr>
          <w:rFonts w:ascii="Times" w:hAnsi="Times"/>
          <w:sz w:val="24"/>
        </w:rPr>
        <w:t xml:space="preserve"> shall mean, at any time, (a) any Person listed in any Sanctions-related list of designated Persons maintained by OFAC or the U.S. Department of State, (b) any Person operating, organized or resident in a Sanctioned Country or (c) any Person owned or controlled by any such Person or Persons described in the foregoing clauses (a) or (b).</w:t>
      </w:r>
    </w:p>
    <w:p>
      <w:pPr>
        <w:pStyle w:val="TextBody"/>
        <w:bidi w:val="0"/>
        <w:spacing w:before="0" w:after="240"/>
        <w:ind w:left="0" w:right="0" w:firstLine="720"/>
        <w:jc w:val="both"/>
        <w:rPr/>
      </w:pPr>
      <w:r>
        <w:rPr/>
        <w:t>“</w:t>
      </w:r>
      <w:r>
        <w:rPr>
          <w:rFonts w:ascii="Times" w:hAnsi="Times"/>
          <w:i/>
          <w:sz w:val="24"/>
        </w:rPr>
        <w:t xml:space="preserve">Sanctions” </w:t>
      </w:r>
      <w:r>
        <w:rPr>
          <w:rFonts w:ascii="Times" w:hAnsi="Times"/>
          <w:sz w:val="24"/>
        </w:rPr>
        <w:t>shall mean economic or financial sanctions or trade embargoes imposed, administered or enforced from time to time by the U.S. government, including those administered by OFAC or the U.S. Department of State.</w:t>
      </w:r>
    </w:p>
    <w:p>
      <w:pPr>
        <w:pStyle w:val="TextBody"/>
        <w:bidi w:val="0"/>
        <w:spacing w:before="0" w:after="240"/>
        <w:ind w:left="0" w:right="0" w:firstLine="720"/>
        <w:jc w:val="both"/>
        <w:rPr/>
      </w:pPr>
      <w:r>
        <w:rPr/>
        <w:t>“</w:t>
      </w:r>
      <w:r>
        <w:rPr>
          <w:rFonts w:ascii="Times" w:hAnsi="Times"/>
          <w:i/>
          <w:sz w:val="24"/>
        </w:rPr>
        <w:t>Secured Indebtedness”</w:t>
      </w:r>
      <w:r>
        <w:rPr>
          <w:rFonts w:ascii="Times" w:hAnsi="Times"/>
          <w:sz w:val="24"/>
        </w:rPr>
        <w:t xml:space="preserve"> means all Indebtedness for Borrowed Money of the Parent and its Subsidiaries, that is secured by a Lien, other than the Obligations.</w:t>
      </w:r>
    </w:p>
    <w:p>
      <w:pPr>
        <w:pStyle w:val="TextBody"/>
        <w:bidi w:val="0"/>
        <w:spacing w:before="0" w:after="0"/>
        <w:ind w:left="0" w:right="0" w:firstLine="720"/>
        <w:jc w:val="both"/>
        <w:rPr/>
      </w:pPr>
      <w:r>
        <w:rPr/>
        <w:t>“</w:t>
      </w:r>
      <w:r>
        <w:rPr>
          <w:rFonts w:ascii="Times" w:hAnsi="Times"/>
          <w:i/>
          <w:sz w:val="24"/>
        </w:rPr>
        <w:t>Secured Recourse Indebtedness”</w:t>
      </w:r>
      <w:r>
        <w:rPr>
          <w:rFonts w:ascii="Times" w:hAnsi="Times"/>
          <w:sz w:val="24"/>
        </w:rPr>
        <w:t xml:space="preserve"> means Secured Indebtedness for which recourse for payment (except for customary exceptions for fraud, misapplication of funds, environmental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indemnities and other similar exceptions to recourse liability) is to Parent, Borrower or any Guarantor, other than the Obligations.</w:t>
      </w:r>
    </w:p>
    <w:p>
      <w:pPr>
        <w:pStyle w:val="TextBody"/>
        <w:bidi w:val="0"/>
        <w:spacing w:before="0" w:after="240"/>
        <w:ind w:left="0" w:right="0" w:firstLine="720"/>
        <w:jc w:val="both"/>
        <w:rPr/>
      </w:pPr>
      <w:r>
        <w:rPr/>
        <w:t>“</w:t>
      </w:r>
      <w:r>
        <w:rPr>
          <w:rFonts w:ascii="Times" w:hAnsi="Times"/>
          <w:i/>
          <w:sz w:val="24"/>
        </w:rPr>
        <w:t>SOFR</w:t>
      </w:r>
      <w:r>
        <w:rPr>
          <w:rFonts w:ascii="Times" w:hAnsi="Times"/>
          <w:sz w:val="24"/>
        </w:rPr>
        <w:t xml:space="preserve">” means a rate equal to the secured overnight financing rate as administered by the SOFR Administrator. </w:t>
      </w:r>
    </w:p>
    <w:p>
      <w:pPr>
        <w:pStyle w:val="TextBody"/>
        <w:bidi w:val="0"/>
        <w:spacing w:before="0" w:after="240"/>
        <w:ind w:left="0" w:right="0" w:firstLine="720"/>
        <w:jc w:val="both"/>
        <w:rPr/>
      </w:pPr>
      <w:r>
        <w:rPr/>
        <w:t>“</w:t>
      </w:r>
      <w:r>
        <w:rPr>
          <w:rFonts w:ascii="Times" w:hAnsi="Times"/>
          <w:i/>
          <w:sz w:val="24"/>
        </w:rPr>
        <w:t>SOFR Administrator</w:t>
      </w:r>
      <w:r>
        <w:rPr>
          <w:rFonts w:ascii="Times" w:hAnsi="Times"/>
          <w:sz w:val="24"/>
        </w:rPr>
        <w:t>” means the Federal Reserve Bank of New York (or a successor administrator of the secured overnight financing rate).</w:t>
      </w:r>
    </w:p>
    <w:p>
      <w:pPr>
        <w:pStyle w:val="TextBody"/>
        <w:bidi w:val="0"/>
        <w:spacing w:before="0" w:after="240"/>
        <w:ind w:left="0" w:right="0" w:firstLine="720"/>
        <w:jc w:val="both"/>
        <w:rPr/>
      </w:pPr>
      <w:bookmarkStart w:id="1706" w:name="_Ref47002986"/>
      <w:bookmarkEnd w:id="1706"/>
      <w:r>
        <w:rPr/>
        <w:t>“</w:t>
      </w:r>
      <w:r>
        <w:rPr>
          <w:rFonts w:ascii="Times" w:hAnsi="Times"/>
          <w:i/>
          <w:sz w:val="24"/>
        </w:rPr>
        <w:t>SOFR Administrator’s Website</w:t>
      </w:r>
      <w:r>
        <w:rPr>
          <w:rFonts w:ascii="Times" w:hAnsi="Times"/>
          <w:sz w:val="24"/>
        </w:rPr>
        <w:t>” 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240"/>
        <w:ind w:left="0" w:right="0" w:firstLine="720"/>
        <w:jc w:val="both"/>
        <w:rPr/>
      </w:pPr>
      <w:r>
        <w:rPr/>
        <w:t>“</w:t>
      </w:r>
      <w:r>
        <w:rPr>
          <w:rFonts w:ascii="Times" w:hAnsi="Times"/>
          <w:i/>
          <w:sz w:val="24"/>
        </w:rPr>
        <w:t>SOFR Business Day</w:t>
      </w:r>
      <w:r>
        <w:rPr>
          <w:rFonts w:ascii="Times" w:hAnsi="Times"/>
          <w:sz w:val="24"/>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0" w:after="240"/>
        <w:ind w:left="0" w:right="0" w:firstLine="720"/>
        <w:jc w:val="both"/>
        <w:rPr/>
      </w:pPr>
      <w:r>
        <w:rPr/>
        <w:t>“</w:t>
      </w:r>
      <w:r>
        <w:rPr>
          <w:rFonts w:ascii="Times" w:hAnsi="Times"/>
          <w:i/>
          <w:sz w:val="24"/>
        </w:rPr>
        <w:t>SOFR Determination Date</w:t>
      </w:r>
      <w:r>
        <w:rPr>
          <w:rFonts w:ascii="Times" w:hAnsi="Times"/>
          <w:sz w:val="24"/>
        </w:rPr>
        <w:t>” has the meaning specified in the definition of “Daily Simple SOFR”.</w:t>
      </w:r>
    </w:p>
    <w:p>
      <w:pPr>
        <w:pStyle w:val="TextBody"/>
        <w:bidi w:val="0"/>
        <w:spacing w:before="0" w:after="240"/>
        <w:ind w:left="0" w:right="0" w:firstLine="720"/>
        <w:jc w:val="both"/>
        <w:rPr/>
      </w:pPr>
      <w:r>
        <w:rPr/>
        <w:t>“</w:t>
      </w:r>
      <w:r>
        <w:rPr>
          <w:rFonts w:ascii="Times" w:hAnsi="Times"/>
          <w:i/>
          <w:sz w:val="24"/>
        </w:rPr>
        <w:t>SOFR Loan</w:t>
      </w:r>
      <w:r>
        <w:rPr>
          <w:rFonts w:ascii="Times" w:hAnsi="Times"/>
          <w:sz w:val="24"/>
        </w:rPr>
        <w:t>” means each Daily Simple SOFR Loan and each Term SOFR Loan.</w:t>
      </w:r>
    </w:p>
    <w:p>
      <w:pPr>
        <w:pStyle w:val="TextBody"/>
        <w:bidi w:val="0"/>
        <w:spacing w:before="0" w:after="240"/>
        <w:ind w:left="0" w:right="0" w:firstLine="720"/>
        <w:jc w:val="both"/>
        <w:rPr/>
      </w:pPr>
      <w:r>
        <w:rPr/>
        <w:t>“</w:t>
      </w:r>
      <w:r>
        <w:rPr>
          <w:rFonts w:ascii="Times" w:hAnsi="Times"/>
          <w:i/>
          <w:sz w:val="24"/>
        </w:rPr>
        <w:t>SOFR Rate Day</w:t>
      </w:r>
      <w:r>
        <w:rPr>
          <w:rFonts w:ascii="Times" w:hAnsi="Times"/>
          <w:sz w:val="24"/>
        </w:rPr>
        <w:t>” has the meaning specified in the definition of “Daily Simple SOFR”.</w:t>
      </w:r>
    </w:p>
    <w:p>
      <w:pPr>
        <w:pStyle w:val="TextBody"/>
        <w:bidi w:val="0"/>
        <w:spacing w:before="0" w:after="240"/>
        <w:ind w:left="0" w:right="0" w:firstLine="720"/>
        <w:jc w:val="both"/>
        <w:rPr/>
      </w:pPr>
      <w:r>
        <w:rPr/>
        <w:t>“</w:t>
      </w:r>
      <w:r>
        <w:rPr>
          <w:rFonts w:ascii="Times" w:hAnsi="Times"/>
          <w:i/>
          <w:sz w:val="24"/>
        </w:rPr>
        <w:t>Stock”</w:t>
      </w:r>
      <w:r>
        <w:rPr>
          <w:rFonts w:ascii="Times" w:hAnsi="Times"/>
          <w:sz w:val="24"/>
        </w:rPr>
        <w:t xml:space="preserve"> means shares of capital stock, beneficial or partnership interests, participations or other equivalents (regardless of how designated) of or in a corporation or equivalent entity, whether voting or non-voting, and includes, without limitation, common stock.</w:t>
      </w:r>
    </w:p>
    <w:p>
      <w:pPr>
        <w:pStyle w:val="TextBody"/>
        <w:bidi w:val="0"/>
        <w:spacing w:before="0" w:after="240"/>
        <w:ind w:left="0" w:right="0" w:firstLine="720"/>
        <w:jc w:val="both"/>
        <w:rPr/>
      </w:pPr>
      <w:r>
        <w:rPr/>
        <w:t>“</w:t>
      </w:r>
      <w:r>
        <w:rPr>
          <w:rFonts w:ascii="Times" w:hAnsi="Times"/>
          <w:i/>
          <w:sz w:val="24"/>
        </w:rPr>
        <w:t>Stock Equivalents”</w:t>
      </w:r>
      <w:r>
        <w:rPr>
          <w:rFonts w:ascii="Times" w:hAnsi="Times"/>
          <w:sz w:val="24"/>
        </w:rPr>
        <w:t xml:space="preserve"> means all securities (other than Stock) convertible into or exchangeable for Stock at the option of the holder, and all warrants, options or other rights to purchase or subscribe for any stock, whether or not presently convertible, exchangeable or exercisable.</w:t>
      </w:r>
    </w:p>
    <w:p>
      <w:pPr>
        <w:pStyle w:val="TextBody"/>
        <w:bidi w:val="0"/>
        <w:spacing w:before="0" w:after="240"/>
        <w:ind w:left="0" w:right="0" w:firstLine="720"/>
        <w:jc w:val="both"/>
        <w:rPr/>
      </w:pPr>
      <w:r>
        <w:rPr/>
        <w:t>“</w:t>
      </w:r>
      <w:r>
        <w:rPr>
          <w:rFonts w:ascii="Times" w:hAnsi="Times"/>
          <w:i/>
          <w:sz w:val="24"/>
        </w:rPr>
        <w:t>Subsidiary”</w:t>
      </w:r>
      <w:r>
        <w:rPr>
          <w:rFonts w:ascii="Times" w:hAnsi="Times"/>
          <w:sz w:val="24"/>
        </w:rPr>
        <w:t xml:space="preserve"> means, as to any particular parent corporation or organization, any other 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w:hAnsi="Times"/>
          <w:i/>
          <w:sz w:val="24"/>
        </w:rPr>
        <w:t>Subsidiary”</w:t>
      </w:r>
      <w:r>
        <w:rPr>
          <w:rFonts w:ascii="Times" w:hAnsi="Times"/>
          <w:sz w:val="24"/>
        </w:rPr>
        <w:t xml:space="preserve"> means a Subsidiary of Parent or the Borrower or of any of their direct or indirect Subsidiaries.</w:t>
      </w:r>
    </w:p>
    <w:p>
      <w:pPr>
        <w:pStyle w:val="TextBody"/>
        <w:bidi w:val="0"/>
        <w:spacing w:before="0" w:after="240"/>
        <w:ind w:left="0" w:right="0" w:firstLine="720"/>
        <w:jc w:val="both"/>
        <w:rPr/>
      </w:pPr>
      <w:r>
        <w:rPr/>
        <w:t>“</w:t>
      </w:r>
      <w:r>
        <w:rPr>
          <w:rFonts w:ascii="Times" w:hAnsi="Times"/>
          <w:i/>
          <w:sz w:val="24"/>
        </w:rPr>
        <w:t>Sustainability Linked Loan Principles</w:t>
      </w:r>
      <w:r>
        <w:rPr>
          <w:rFonts w:ascii="Times" w:hAnsi="Times"/>
          <w:sz w:val="22"/>
        </w:rPr>
        <w:t xml:space="preserve">” </w:t>
      </w:r>
      <w:r>
        <w:rPr>
          <w:rFonts w:ascii="Times" w:hAnsi="Times"/>
          <w:sz w:val="24"/>
        </w:rPr>
        <w:t>means the Sustainability Linked Loan Principles (</w:t>
      </w:r>
      <w:r>
        <w:rPr>
          <w:rFonts w:ascii="Times" w:hAnsi="Times"/>
          <w:sz w:val="22"/>
        </w:rPr>
        <w:t>as published in March, 2025 by the Loan Market Association, Asia Pacific Loan Market Association and Loan Syndications &amp; Trading Association</w:t>
      </w:r>
      <w:r>
        <w:rPr>
          <w:rFonts w:ascii="Times" w:hAnsi="Times"/>
          <w:sz w:val="24"/>
        </w:rPr>
        <w:t xml:space="preserve">) or such other principles and metrics mutually agreed to by the Borrower and the Sustainability Structuring Agent (each acting reasonably). </w:t>
      </w:r>
    </w:p>
    <w:p>
      <w:pPr>
        <w:pStyle w:val="TextBody"/>
        <w:bidi w:val="0"/>
        <w:spacing w:before="0" w:after="240"/>
        <w:ind w:left="0" w:right="0" w:firstLine="720"/>
        <w:jc w:val="both"/>
        <w:rPr/>
      </w:pPr>
      <w:r>
        <w:rPr/>
        <w:t>“</w:t>
      </w:r>
      <w:r>
        <w:rPr>
          <w:rFonts w:ascii="Times" w:hAnsi="Times"/>
          <w:i/>
          <w:sz w:val="24"/>
        </w:rPr>
        <w:t>Sustainability Structuring Agent</w:t>
      </w:r>
      <w:r>
        <w:rPr>
          <w:rFonts w:ascii="Times" w:hAnsi="Times"/>
          <w:sz w:val="24"/>
        </w:rPr>
        <w:t>” means Truist Bank, as sustainability structuring agent under the terms of this Agreement, and any of its successors.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Swap Obligation</w:t>
      </w:r>
      <w:r>
        <w:rPr>
          <w:rFonts w:ascii="Times" w:hAnsi="Times"/>
          <w:sz w:val="24"/>
        </w:rPr>
        <w:t>” 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both"/>
        <w:rPr/>
      </w:pPr>
      <w:r>
        <w:rPr/>
        <w:t>“</w:t>
      </w:r>
      <w:r>
        <w:rPr>
          <w:rFonts w:ascii="Times" w:hAnsi="Times"/>
          <w:i/>
          <w:sz w:val="24"/>
        </w:rPr>
        <w:t>Tangible Net Worth”</w:t>
      </w:r>
      <w:r>
        <w:rPr>
          <w:rFonts w:ascii="Times" w:hAnsi="Times"/>
          <w:sz w:val="24"/>
        </w:rPr>
        <w:t xml:space="preserve"> means for each applicable period, total shareholder’s equity and any non-controlling equity interests on the Parent’s consolidated balance sheet as reported in its Form 10-K or 10-Q for such period, </w:t>
      </w:r>
      <w:r>
        <w:rPr>
          <w:rFonts w:ascii="Times" w:hAnsi="Times"/>
          <w:sz w:val="24"/>
          <w:u w:val="single"/>
        </w:rPr>
        <w:t>plus</w:t>
      </w:r>
      <w:r>
        <w:rPr>
          <w:rFonts w:ascii="Times" w:hAnsi="Times"/>
          <w:sz w:val="24"/>
        </w:rPr>
        <w:t xml:space="preserve"> (i) accumulated depreciation and amortization and (ii) unrealized losses related to marketable securities, </w:t>
      </w:r>
      <w:r>
        <w:rPr>
          <w:rFonts w:ascii="Times" w:hAnsi="Times"/>
          <w:sz w:val="24"/>
          <w:u w:val="single"/>
        </w:rPr>
        <w:t>minus</w:t>
      </w:r>
      <w:r>
        <w:rPr>
          <w:rFonts w:ascii="Times" w:hAnsi="Times"/>
          <w:sz w:val="24"/>
        </w:rPr>
        <w:t>, to the extent included when determining stockholders’ equity, (x) all unrealized gains related to marketable securities and (y) all amounts appearing on the assets side of the Parent’s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pStyle w:val="TextBody"/>
        <w:bidi w:val="0"/>
        <w:spacing w:before="0" w:after="240"/>
        <w:ind w:left="0" w:right="0" w:firstLine="720"/>
        <w:jc w:val="both"/>
        <w:rPr/>
      </w:pPr>
      <w:r>
        <w:rPr/>
        <w:t>“</w:t>
      </w:r>
      <w:r>
        <w:rPr>
          <w:rFonts w:ascii="Times" w:hAnsi="Times"/>
          <w:i/>
          <w:sz w:val="24"/>
        </w:rPr>
        <w:t>Taxes”</w:t>
      </w:r>
      <w:r>
        <w:rPr>
          <w:rFonts w:ascii="Times" w:hAnsi="Times"/>
          <w:sz w:val="24"/>
        </w:rPr>
        <w:t xml:space="preserve"> means all present or future taxes, levies, imposts, duties, deductions, withholdings (including back 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w:hAnsi="Times"/>
          <w:i/>
          <w:sz w:val="24"/>
        </w:rPr>
        <w:t xml:space="preserve">Tenant” </w:t>
      </w:r>
      <w:r>
        <w:rPr>
          <w:rFonts w:ascii="Times" w:hAnsi="Times"/>
          <w:sz w:val="24"/>
        </w:rPr>
        <w:t>means any Person leasing, subleasing or otherwise occupying any portion of a Property under a Lease or other occupancy agreement with the Borrower or a Subsidiary that is the direct owner of such Property.</w:t>
      </w:r>
    </w:p>
    <w:p>
      <w:pPr>
        <w:pStyle w:val="TextBody"/>
        <w:bidi w:val="0"/>
        <w:spacing w:before="0" w:after="240"/>
        <w:ind w:left="0" w:right="0" w:firstLine="720"/>
        <w:jc w:val="both"/>
        <w:rPr/>
      </w:pPr>
      <w:r>
        <w:rPr/>
        <w:t>“</w:t>
      </w:r>
      <w:r>
        <w:rPr>
          <w:rFonts w:ascii="Times" w:hAnsi="Times"/>
          <w:i/>
          <w:sz w:val="24"/>
        </w:rPr>
        <w:t>Term Facility</w:t>
      </w:r>
      <w:r>
        <w:rPr>
          <w:rFonts w:ascii="Times" w:hAnsi="Times"/>
          <w:sz w:val="24"/>
        </w:rPr>
        <w:t>” means the 2029 Term Facility, 2031 Term Facility and any Incremental Term Loan Facility.</w:t>
      </w:r>
    </w:p>
    <w:p>
      <w:pPr>
        <w:pStyle w:val="TextBody"/>
        <w:bidi w:val="0"/>
        <w:spacing w:before="0" w:after="240"/>
        <w:ind w:left="0" w:right="0" w:firstLine="720"/>
        <w:jc w:val="both"/>
        <w:rPr/>
      </w:pPr>
      <w:r>
        <w:rPr/>
        <w:t>“</w:t>
      </w:r>
      <w:r>
        <w:rPr>
          <w:rFonts w:ascii="Times" w:hAnsi="Times"/>
          <w:i/>
          <w:sz w:val="24"/>
        </w:rPr>
        <w:t>Term Lender</w:t>
      </w:r>
      <w:r>
        <w:rPr>
          <w:rFonts w:ascii="Times" w:hAnsi="Times"/>
          <w:sz w:val="24"/>
        </w:rPr>
        <w:t>” means, any Lender that has a Term Loan Commitment or holds Term Loans at such time.</w:t>
      </w:r>
    </w:p>
    <w:p>
      <w:pPr>
        <w:pStyle w:val="TextBody"/>
        <w:bidi w:val="0"/>
        <w:spacing w:before="0" w:after="240"/>
        <w:ind w:left="0" w:right="0" w:firstLine="720"/>
        <w:jc w:val="both"/>
        <w:rPr/>
      </w:pPr>
      <w:r>
        <w:rPr/>
        <w:t>“</w:t>
      </w:r>
      <w:r>
        <w:rPr>
          <w:rFonts w:ascii="Times" w:hAnsi="Times"/>
          <w:i/>
          <w:sz w:val="24"/>
        </w:rPr>
        <w:t>Term Loan”</w:t>
      </w:r>
      <w:r>
        <w:rPr>
          <w:rFonts w:ascii="Times" w:hAnsi="Times"/>
          <w:sz w:val="24"/>
        </w:rPr>
        <w:t xml:space="preserve"> means the 2029 Term Loans, 2031 Term Loans and any other Incremental Term Loans made pursuant to Section 1.15 hereof and each includes a Base Rate Loan or a SOFR Loan, each of which is a “</w:t>
      </w:r>
      <w:r>
        <w:rPr>
          <w:rFonts w:ascii="Times" w:hAnsi="Times"/>
          <w:i/>
          <w:sz w:val="24"/>
        </w:rPr>
        <w:t>type”</w:t>
      </w:r>
      <w:r>
        <w:rPr>
          <w:rFonts w:ascii="Times" w:hAnsi="Times"/>
          <w:sz w:val="24"/>
        </w:rPr>
        <w:t xml:space="preserve"> of Term Loan hereunder.</w:t>
      </w:r>
    </w:p>
    <w:p>
      <w:pPr>
        <w:pStyle w:val="TextBody"/>
        <w:bidi w:val="0"/>
        <w:spacing w:before="0" w:after="240"/>
        <w:ind w:left="0" w:right="0" w:firstLine="720"/>
        <w:jc w:val="both"/>
        <w:rPr/>
      </w:pPr>
      <w:r>
        <w:rPr/>
        <w:t>“</w:t>
      </w:r>
      <w:r>
        <w:rPr>
          <w:rFonts w:ascii="Times" w:hAnsi="Times"/>
          <w:i/>
          <w:sz w:val="24"/>
        </w:rPr>
        <w:t>Term Loan Commitment</w:t>
      </w:r>
      <w:r>
        <w:rPr>
          <w:rFonts w:ascii="Times" w:hAnsi="Times"/>
          <w:sz w:val="24"/>
        </w:rPr>
        <w:t xml:space="preserve">” means, as to any Term Lender, its </w:t>
      </w:r>
      <w:bookmarkStart w:id="1707" w:name="_Hlk220421466"/>
      <w:bookmarkEnd w:id="1707"/>
      <w:r>
        <w:rPr>
          <w:rFonts w:ascii="Times" w:hAnsi="Times"/>
          <w:sz w:val="24"/>
        </w:rPr>
        <w:t>2029 Term Loan Commitment, 2031 Term Loan Commitment, and Incremental Term Loan Commitment.</w:t>
      </w:r>
    </w:p>
    <w:p>
      <w:pPr>
        <w:pStyle w:val="TextBody"/>
        <w:bidi w:val="0"/>
        <w:spacing w:before="0" w:after="240"/>
        <w:ind w:left="0" w:right="0" w:firstLine="720"/>
        <w:jc w:val="both"/>
        <w:rPr/>
      </w:pPr>
      <w:r>
        <w:rPr/>
        <w:t>“</w:t>
      </w:r>
      <w:r>
        <w:rPr>
          <w:rFonts w:ascii="Times" w:hAnsi="Times"/>
          <w:i/>
          <w:sz w:val="24"/>
        </w:rPr>
        <w:t>Term Loan Maturity Date</w:t>
      </w:r>
      <w:r>
        <w:rPr>
          <w:rFonts w:ascii="Times" w:hAnsi="Times"/>
          <w:sz w:val="24"/>
        </w:rPr>
        <w:t>” means (a) with respect to the 2029 Term Facility, February 4, 2029, (b) with respect to the 2031 Term Facility, February 4, 2031, and (c) with respect to any Incremental Term Loan Facility, the maturity date for such Incremental Term Loan Facility as set forth in the applicable Incremental Term Loan Amendment; provided, however, that, in each case, if such date is not a Business Day, the Maturity Date shall be the next preceding Business Day.</w:t>
      </w:r>
    </w:p>
    <w:p>
      <w:pPr>
        <w:pStyle w:val="TextBody"/>
        <w:bidi w:val="0"/>
        <w:spacing w:before="0" w:after="0"/>
        <w:ind w:left="0" w:right="0" w:firstLine="720"/>
        <w:jc w:val="both"/>
        <w:rPr/>
      </w:pPr>
      <w:r>
        <w:rPr/>
        <w:t>“</w:t>
      </w:r>
      <w:r>
        <w:rPr>
          <w:rFonts w:ascii="Times" w:hAnsi="Times"/>
          <w:i/>
          <w:sz w:val="24"/>
        </w:rPr>
        <w:t>Term SOFR</w:t>
      </w:r>
      <w:r>
        <w:rPr>
          <w:rFonts w:ascii="Times" w:hAnsi="Times"/>
          <w:sz w:val="24"/>
        </w:rPr>
        <w:t>” means, for any calculation with respect to a Term SOFR Loan, the Term SOFR Reference Rate for a tenor comparable to the applicable Interest Period on the day (such day, the “</w:t>
      </w:r>
      <w:r>
        <w:rPr>
          <w:rFonts w:ascii="Times" w:hAnsi="Times"/>
          <w:sz w:val="24"/>
          <w:u w:val="single"/>
        </w:rPr>
        <w:t>Periodic Term SOFR Determination Day</w:t>
      </w:r>
      <w:r>
        <w:rPr>
          <w:rFonts w:ascii="Times" w:hAnsi="Times"/>
          <w:sz w:val="24"/>
        </w:rPr>
        <w:t xml:space="preserve">”) that is two (2) SOFR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(3) SOFR Business Days prior to such Periodic Term SOFR Determination Day; provided, further, that if Term SOFR determined as provided above (shall ever be less than the Floor, then Term SOFR shall be deemed to be the Floor.</w:t>
      </w:r>
    </w:p>
    <w:p>
      <w:pPr>
        <w:pStyle w:val="TextBody"/>
        <w:bidi w:val="0"/>
        <w:spacing w:before="0" w:after="240"/>
        <w:ind w:left="0" w:right="0" w:firstLine="720"/>
        <w:jc w:val="left"/>
        <w:rPr/>
      </w:pPr>
      <w:r>
        <w:rPr/>
        <w:t>“</w:t>
      </w:r>
      <w:r>
        <w:rPr>
          <w:rFonts w:ascii="Times New Roman;Times;serif" w:hAnsi="Times New Roman;Times;serif"/>
          <w:i/>
          <w:sz w:val="24"/>
        </w:rPr>
        <w:t>Term SOFR Administrator</w:t>
      </w:r>
      <w:r>
        <w:rPr>
          <w:rFonts w:ascii="Times New Roman;Times;serif" w:hAnsi="Times New Roman;Times;serif"/>
          <w:sz w:val="24"/>
        </w:rPr>
        <w:t>” means CBA (or a successor administrator of the Term SOFR Reference Rate, as selected by the Administrative Agent in its reasonable discretion).</w:t>
      </w:r>
    </w:p>
    <w:p>
      <w:pPr>
        <w:pStyle w:val="TextBody"/>
        <w:bidi w:val="0"/>
        <w:spacing w:before="0" w:after="240"/>
        <w:ind w:left="0" w:right="0" w:firstLine="720"/>
        <w:jc w:val="left"/>
        <w:rPr/>
      </w:pPr>
      <w:r>
        <w:rPr/>
        <w:t>“</w:t>
      </w:r>
      <w:r>
        <w:rPr>
          <w:rFonts w:ascii="Times New Roman;Times;serif" w:hAnsi="Times New Roman;Times;serif"/>
          <w:i/>
          <w:sz w:val="24"/>
        </w:rPr>
        <w:t>Term SOFR Loan</w:t>
      </w:r>
      <w:r>
        <w:rPr>
          <w:rFonts w:ascii="Times New Roman;Times;serif" w:hAnsi="Times New Roman;Times;serif"/>
          <w:sz w:val="24"/>
        </w:rPr>
        <w:t>” means each Loan bearing interest at a rate based upon Term SOFR (other than pursuant to clause (c) of the definition of Base Rate).</w:t>
      </w:r>
    </w:p>
    <w:p>
      <w:pPr>
        <w:pStyle w:val="TextBody"/>
        <w:bidi w:val="0"/>
        <w:spacing w:before="0" w:after="240"/>
        <w:ind w:left="0" w:right="0" w:firstLine="720"/>
        <w:jc w:val="both"/>
        <w:rPr/>
      </w:pPr>
      <w:r>
        <w:rPr/>
        <w:t>“</w:t>
      </w:r>
      <w:r>
        <w:rPr>
          <w:rFonts w:ascii="Times" w:hAnsi="Times"/>
          <w:i/>
          <w:sz w:val="24"/>
        </w:rPr>
        <w:t>Term SOFR Reference Rate</w:t>
      </w:r>
      <w:r>
        <w:rPr>
          <w:rFonts w:ascii="Times" w:hAnsi="Times"/>
          <w:sz w:val="24"/>
        </w:rPr>
        <w:t>” means the forward-looking term rate based on SOFR.</w:t>
      </w:r>
    </w:p>
    <w:p>
      <w:pPr>
        <w:pStyle w:val="TextBody"/>
        <w:bidi w:val="0"/>
        <w:spacing w:before="0" w:after="0"/>
        <w:ind w:left="0" w:right="0" w:firstLine="720"/>
        <w:jc w:val="both"/>
        <w:rPr/>
      </w:pPr>
      <w:r>
        <w:rPr/>
        <w:t>“</w:t>
      </w:r>
      <w:r>
        <w:rPr>
          <w:rFonts w:ascii="Times" w:hAnsi="Times"/>
          <w:i/>
          <w:sz w:val="24"/>
        </w:rPr>
        <w:t>Total Asset Value”</w:t>
      </w:r>
      <w:r>
        <w:rPr>
          <w:rFonts w:ascii="Times" w:hAnsi="Times"/>
          <w:sz w:val="24"/>
        </w:rPr>
        <w:t xml:space="preserve"> means, as of the end of any Rolling Period, an amount equal to the sum of (a) for all Properties owned by the Borrower and its Subsidiaries for more than twelve (12) months, the quotient of (i) the Property NOI from such Properties divided by (ii) the Capitalization Rate </w:t>
      </w:r>
      <w:r>
        <w:rPr>
          <w:rFonts w:ascii="Times" w:hAnsi="Times"/>
          <w:i/>
          <w:sz w:val="24"/>
        </w:rPr>
        <w:t>plus</w:t>
      </w:r>
      <w:r>
        <w:rPr>
          <w:rFonts w:ascii="Times" w:hAnsi="Times"/>
          <w:sz w:val="24"/>
        </w:rPr>
        <w:t xml:space="preserve"> (b) for all Properties owned by the Borrower and its Subsidiaries for twelve (12) months or less, the lesser of (i) the book value (as defined in GAAP) of any such property or (ii), the value of any such Property as determined by the calculation in clause (a) above measured on an annualized basis rather than for the most recently ended period of four quarters </w:t>
      </w:r>
      <w:r>
        <w:rPr>
          <w:rFonts w:ascii="Times" w:hAnsi="Times"/>
          <w:i/>
          <w:sz w:val="24"/>
        </w:rPr>
        <w:t>plus</w:t>
      </w:r>
      <w:r>
        <w:rPr>
          <w:rFonts w:ascii="Times" w:hAnsi="Times"/>
          <w:sz w:val="24"/>
        </w:rPr>
        <w:t xml:space="preserve"> (c) the aggregate book value of all unimproved land holdings and/or construction in progress owned by the Borrower and its Subsidiaries </w:t>
      </w:r>
      <w:r>
        <w:rPr>
          <w:rFonts w:ascii="Times" w:hAnsi="Times"/>
          <w:i/>
          <w:sz w:val="24"/>
        </w:rPr>
        <w:t>plus</w:t>
      </w:r>
      <w:r>
        <w:rPr>
          <w:rFonts w:ascii="Times" w:hAnsi="Times"/>
          <w:sz w:val="24"/>
        </w:rPr>
        <w:t xml:space="preserve"> (d) cash, 1031 Cash Proceeds, cash equivalents and marketable securities owned by the Borrower and its Subsidiaries that are not (other than 1031 Cash Proceeds) then being held in or subject to escrow in connection with funding commitments of the Borrower or such Subsidiary </w:t>
      </w:r>
      <w:r>
        <w:rPr>
          <w:rFonts w:ascii="Times" w:hAnsi="Times"/>
          <w:i/>
          <w:sz w:val="24"/>
        </w:rPr>
        <w:t xml:space="preserve">plus </w:t>
      </w:r>
      <w:r>
        <w:rPr>
          <w:rFonts w:ascii="Times" w:hAnsi="Times"/>
          <w:sz w:val="24"/>
        </w:rPr>
        <w:t xml:space="preserve">(e) to the extent not already included in clauses (a) through (d), investments consisting of structured debt products, preferred equity, mortgage loans (other than leases structured as mortgages due to reimbursement requirements), mezzanine loans and notes receivable, including without limitation, Mortgage Receivables, owned by the Borrower and its Subsidiaries; </w:t>
      </w:r>
      <w:r>
        <w:rPr>
          <w:rFonts w:ascii="Times" w:hAnsi="Times"/>
          <w:i/>
          <w:sz w:val="24"/>
        </w:rPr>
        <w:t>provided</w:t>
      </w:r>
      <w:r>
        <w:rPr>
          <w:rFonts w:ascii="Times" w:hAnsi="Times"/>
          <w:sz w:val="24"/>
        </w:rPr>
        <w:t xml:space="preserve"> that, for purposes of calculating the Total Asset Value (A) cash investments in joint ventures shall not exceed in the aggregate at any one time outstanding an amount equal to 15% of the Total Asset Value of Parent and its Subsidiaries at such time, with any amounts in excess of 15% of the Total Asset Value being excluded from the calculation of Total Asset Value; (B) investments in Assets Under Development shall not exceed in the aggregate at any one time outstanding an amount equal to 15% of the Total Asset Value of Parent and its Subsidiaries at such time, with any amounts in excess of 15% of the Total Asset Value being excluded from the calculation of Total Asset Value; (C) investments in Land Assets shall not exceed in the aggregate at any one time outstanding an amount equal to 5% of the Total Asset Value of Parent and its Subsidiaries at such time, with any amounts in excess of 5% of the Total Asset Value being excluded from the calculation of Total Asset Value; (D) </w:t>
      </w:r>
      <w:bookmarkStart w:id="1708" w:name="_Hlk184324173"/>
      <w:bookmarkEnd w:id="1708"/>
      <w:r>
        <w:rPr>
          <w:rFonts w:ascii="Times" w:hAnsi="Times"/>
          <w:sz w:val="24"/>
        </w:rPr>
        <w:t xml:space="preserve">investments consisting of First Mortgage Loans and Other Structured Investments shall not exceed in the aggregate at any one time outstanding an amount equal to 20% of the Total Asset Value of Parent and its Subsidiaries at such time, with any amounts in excess of 20% of the Total Asset Value being excluded from the calculation of Total Asset Value; (E) investments consisting of Other Structured Investments shall not exceed in the aggregate at any one time outstanding an amount equal to 5%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of the Total Asset Value of Parent and its Subsidiaries at such time, with any amounts in excess of 5% of the Total Asset Value being excluded from the calculation of Total Asset Value; (F) investments in Public Investments shall not exceed in the aggregate at any one time outstanding an amount equal to 15% of the Total Asset Value of Parent and its Subsidiaries at such time, with any amounts in excess of 15% of the Total Asset Value being excluded from the calculation of Total Asset Value; and (G) the aggregate amount of investments described in clauses (A) through (F) above shall not exceed in the aggregate at any one time outstanding an amount equal to 30% of the Total Asset Value of Parent and its Subsidiaries at such time, with any amounts in excess of 30% of the Total Asset Value being excluded from the calculation of Total Asset Value.</w:t>
      </w:r>
    </w:p>
    <w:p>
      <w:pPr>
        <w:pStyle w:val="TextBody"/>
        <w:bidi w:val="0"/>
        <w:spacing w:before="0" w:after="240"/>
        <w:ind w:left="0" w:right="0" w:firstLine="720"/>
        <w:jc w:val="both"/>
        <w:rPr/>
      </w:pPr>
      <w:r>
        <w:rPr/>
        <w:t>“</w:t>
      </w:r>
      <w:r>
        <w:rPr>
          <w:rFonts w:ascii="Times" w:hAnsi="Times"/>
          <w:i/>
          <w:sz w:val="24"/>
        </w:rPr>
        <w:t>Total Indebtedness”</w:t>
      </w:r>
      <w:r>
        <w:rPr>
          <w:rFonts w:ascii="Times" w:hAnsi="Times"/>
          <w:sz w:val="24"/>
        </w:rPr>
        <w:t xml:space="preserve"> means, as of a given date, all liabilities of Parent and its Subsidiaries which would, in conformity with GAAP, be properly classified as a liability on a consolidated balance sheet of Parent and its Subsidiaries as of such date, excluding any amounts categorized as accrued expenses, accrued dividends, deposits held, deferred revenues, minority interests and other liabilities not directly associated with the borrowing of money.</w:t>
      </w:r>
    </w:p>
    <w:p>
      <w:pPr>
        <w:pStyle w:val="TextBody"/>
        <w:bidi w:val="0"/>
        <w:spacing w:before="0" w:after="240"/>
        <w:ind w:left="0" w:right="0" w:firstLine="720"/>
        <w:jc w:val="both"/>
        <w:rPr/>
      </w:pPr>
      <w:r>
        <w:rPr/>
        <w:t>“</w:t>
      </w:r>
      <w:r>
        <w:rPr>
          <w:rFonts w:ascii="Times" w:hAnsi="Times"/>
          <w:i/>
          <w:sz w:val="24"/>
        </w:rPr>
        <w:t>Total Outstandings</w:t>
      </w:r>
      <w:r>
        <w:rPr>
          <w:rFonts w:ascii="Times" w:hAnsi="Times"/>
          <w:sz w:val="24"/>
        </w:rPr>
        <w:t>” means the aggregate Outstanding Amount of all Loans for all Facilities and all L/C Obligations.</w:t>
      </w:r>
    </w:p>
    <w:p>
      <w:pPr>
        <w:pStyle w:val="TextBody"/>
        <w:bidi w:val="0"/>
        <w:spacing w:before="0" w:after="240"/>
        <w:ind w:left="0" w:right="0" w:firstLine="720"/>
        <w:jc w:val="both"/>
        <w:rPr/>
      </w:pPr>
      <w:r>
        <w:rPr/>
        <w:t>“</w:t>
      </w:r>
      <w:r>
        <w:rPr>
          <w:rFonts w:ascii="Times" w:hAnsi="Times"/>
          <w:i/>
          <w:sz w:val="24"/>
        </w:rPr>
        <w:t>Truist</w:t>
      </w:r>
      <w:r>
        <w:rPr>
          <w:rFonts w:ascii="Times" w:hAnsi="Times"/>
          <w:sz w:val="24"/>
        </w:rPr>
        <w:t>” means Truist Bank and its successors.</w:t>
      </w:r>
    </w:p>
    <w:p>
      <w:pPr>
        <w:pStyle w:val="TextBody"/>
        <w:bidi w:val="0"/>
        <w:spacing w:before="0" w:after="240"/>
        <w:ind w:left="0" w:right="0" w:firstLine="720"/>
        <w:jc w:val="both"/>
        <w:rPr/>
      </w:pPr>
      <w:r>
        <w:rPr/>
        <w:t>“</w:t>
      </w:r>
      <w:r>
        <w:rPr>
          <w:rFonts w:ascii="Times" w:hAnsi="Times"/>
          <w:i/>
          <w:sz w:val="24"/>
        </w:rPr>
        <w:t>TSI</w:t>
      </w:r>
      <w:r>
        <w:rPr>
          <w:rFonts w:ascii="Times" w:hAnsi="Times"/>
          <w:sz w:val="24"/>
        </w:rPr>
        <w:t xml:space="preserve">” means Truist Securities, Inc. and its successors. </w:t>
      </w:r>
    </w:p>
    <w:p>
      <w:pPr>
        <w:pStyle w:val="TextBody"/>
        <w:bidi w:val="0"/>
        <w:spacing w:before="0" w:after="240"/>
        <w:ind w:left="0" w:right="0" w:firstLine="720"/>
        <w:jc w:val="both"/>
        <w:rPr/>
      </w:pPr>
      <w:r>
        <w:rPr/>
        <w:t>“</w:t>
      </w:r>
      <w:r>
        <w:rPr>
          <w:rFonts w:ascii="Times" w:hAnsi="Times"/>
          <w:i/>
          <w:sz w:val="24"/>
        </w:rPr>
        <w:t>UCC”</w:t>
      </w:r>
      <w:r>
        <w:rPr>
          <w:rFonts w:ascii="Times" w:hAnsi="Times"/>
          <w:sz w:val="24"/>
        </w:rPr>
        <w:t xml:space="preserve"> means the Uniform Commercial Code as in effect in the State of New York.</w:t>
      </w:r>
    </w:p>
    <w:p>
      <w:pPr>
        <w:pStyle w:val="TextBody"/>
        <w:bidi w:val="0"/>
        <w:spacing w:before="0" w:after="240"/>
        <w:ind w:left="0" w:right="0" w:firstLine="720"/>
        <w:jc w:val="both"/>
        <w:rPr/>
      </w:pPr>
      <w:r>
        <w:rPr/>
        <w:t>“</w:t>
      </w:r>
      <w:r>
        <w:rPr>
          <w:rFonts w:ascii="Times" w:hAnsi="Times"/>
          <w:i/>
          <w:sz w:val="24"/>
        </w:rPr>
        <w:t>UK Financial Institution</w:t>
      </w:r>
      <w:r>
        <w:rPr>
          <w:rFonts w:ascii="Times" w:hAnsi="Times"/>
          <w:sz w:val="24"/>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w:hAnsi="Times"/>
          <w:i/>
          <w:sz w:val="24"/>
        </w:rPr>
        <w:t>UK Resolution Authority</w:t>
      </w:r>
      <w:r>
        <w:rPr>
          <w:rFonts w:ascii="Times" w:hAnsi="Times"/>
          <w:sz w:val="24"/>
        </w:rPr>
        <w:t>” 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w:hAnsi="Times"/>
          <w:i/>
          <w:sz w:val="24"/>
        </w:rPr>
        <w:t>Unadjusted Benchmark Replacement</w:t>
      </w:r>
      <w:r>
        <w:rPr>
          <w:rFonts w:ascii="Times" w:hAnsi="Times"/>
          <w:sz w:val="24"/>
        </w:rPr>
        <w:t>” means the applicable Benchmark Replacement excluding the related Benchmark Replacement Adjustment.</w:t>
      </w:r>
    </w:p>
    <w:p>
      <w:pPr>
        <w:pStyle w:val="TextBody"/>
        <w:bidi w:val="0"/>
        <w:spacing w:before="0" w:after="240"/>
        <w:ind w:left="0" w:right="0" w:firstLine="720"/>
        <w:jc w:val="both"/>
        <w:rPr/>
      </w:pPr>
      <w:r>
        <w:rPr/>
        <w:t>“</w:t>
      </w:r>
      <w:r>
        <w:rPr>
          <w:rFonts w:ascii="Times" w:hAnsi="Times"/>
          <w:i/>
          <w:sz w:val="24"/>
        </w:rPr>
        <w:t>Unencumbered Asset</w:t>
      </w:r>
      <w:r>
        <w:rPr>
          <w:rFonts w:ascii="Times" w:hAnsi="Times"/>
          <w:sz w:val="24"/>
        </w:rPr>
        <w:t>” means, as of any date of determination, each Unencumbered Real Property Asset and each Unencumbered Mortgage Receivable.</w:t>
      </w:r>
    </w:p>
    <w:p>
      <w:pPr>
        <w:pStyle w:val="TextBody"/>
        <w:bidi w:val="0"/>
        <w:spacing w:before="0" w:after="0"/>
        <w:ind w:left="0" w:right="0" w:firstLine="720"/>
        <w:jc w:val="both"/>
        <w:rPr/>
      </w:pPr>
      <w:r>
        <w:rPr/>
        <w:t>“</w:t>
      </w:r>
      <w:r>
        <w:rPr>
          <w:rFonts w:ascii="Times" w:hAnsi="Times"/>
          <w:i/>
          <w:sz w:val="24"/>
        </w:rPr>
        <w:t>Unencumbered Asset Value”</w:t>
      </w:r>
      <w:r>
        <w:rPr>
          <w:rFonts w:ascii="Times" w:hAnsi="Times"/>
          <w:sz w:val="24"/>
        </w:rPr>
        <w:t xml:space="preserve"> means an amount equal to the sum of (a) for all Unencumbered Real Property Assets owned for more than twelve (12) months, the quotient of (i) the Unencumbered Pool NOI for such Unencumbered Real Property Assets divided by (ii) the Capitalization Rate </w:t>
      </w:r>
      <w:r>
        <w:rPr>
          <w:rFonts w:ascii="Times" w:hAnsi="Times"/>
          <w:i/>
          <w:sz w:val="24"/>
        </w:rPr>
        <w:t>plus</w:t>
      </w:r>
      <w:r>
        <w:rPr>
          <w:rFonts w:ascii="Times" w:hAnsi="Times"/>
          <w:sz w:val="24"/>
        </w:rPr>
        <w:t xml:space="preserve"> (b) for all Unencumbered Real Property Assets owned for twelve (12) months or less, the lesser of (i) the undepreciated costs of any such Unencumbered Real Property Asset and (ii), the value of any such Unencumbered Real Property Asset as determined by the calculation in clause (a) above measured on an annualized basis rather than for the most recently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ended period of four quarters, </w:t>
      </w:r>
      <w:r>
        <w:rPr>
          <w:rFonts w:ascii="Times" w:hAnsi="Times"/>
          <w:i/>
          <w:sz w:val="24"/>
        </w:rPr>
        <w:t>plus</w:t>
      </w:r>
      <w:r>
        <w:rPr>
          <w:rFonts w:ascii="Times" w:hAnsi="Times"/>
          <w:sz w:val="24"/>
        </w:rPr>
        <w:t xml:space="preserve"> (c) the book value of Unencumbered Mortgage Receivables as of such date in accordance with GAAP; </w:t>
      </w:r>
      <w:r>
        <w:rPr>
          <w:rFonts w:ascii="Times" w:hAnsi="Times"/>
          <w:i/>
          <w:sz w:val="24"/>
        </w:rPr>
        <w:t>provided</w:t>
      </w:r>
      <w:r>
        <w:rPr>
          <w:rFonts w:ascii="Times" w:hAnsi="Times"/>
          <w:sz w:val="24"/>
        </w:rPr>
        <w:t xml:space="preserve"> that Unencumbered Asset Value shall be reduced by excluding a portion of the Property NOI, cost, or book value, as applicable, of any Unencumbered Assets attributable to any Unencumbered Assets that exceed the concentration limits in the Unencumbered Pool Requirements.</w:t>
      </w:r>
    </w:p>
    <w:p>
      <w:pPr>
        <w:pStyle w:val="TextBody"/>
        <w:bidi w:val="0"/>
        <w:spacing w:before="0" w:after="240"/>
        <w:ind w:left="0" w:right="0" w:firstLine="720"/>
        <w:jc w:val="both"/>
        <w:rPr/>
      </w:pPr>
      <w:r>
        <w:rPr/>
        <w:t>“</w:t>
      </w:r>
      <w:r>
        <w:rPr>
          <w:rFonts w:ascii="Times" w:hAnsi="Times"/>
          <w:i/>
          <w:sz w:val="24"/>
        </w:rPr>
        <w:t>Unencumbered Mortgage Receivable</w:t>
      </w:r>
      <w:r>
        <w:rPr>
          <w:rFonts w:ascii="Times" w:hAnsi="Times"/>
          <w:sz w:val="24"/>
        </w:rPr>
        <w:t xml:space="preserve">” </w:t>
      </w:r>
      <w:bookmarkStart w:id="1709" w:name="_Hlk183420205"/>
      <w:bookmarkEnd w:id="1709"/>
      <w:r>
        <w:rPr>
          <w:rFonts w:ascii="Times" w:hAnsi="Times"/>
          <w:sz w:val="24"/>
        </w:rPr>
        <w:t>means, as of any date of determination, each Eligible Mortgage Receivable that has been designated as an “Unencumbered Mortgage Receivable” in accordance with the provisions of this Agreement and has not otherwise been excluded or removed from the Unencumbered Pool.</w:t>
      </w:r>
    </w:p>
    <w:p>
      <w:pPr>
        <w:pStyle w:val="TextBody"/>
        <w:bidi w:val="0"/>
        <w:spacing w:before="0" w:after="240"/>
        <w:ind w:left="0" w:right="0" w:firstLine="720"/>
        <w:jc w:val="both"/>
        <w:rPr/>
      </w:pPr>
      <w:r>
        <w:rPr/>
        <w:t>“</w:t>
      </w:r>
      <w:r>
        <w:rPr>
          <w:rFonts w:ascii="Times" w:hAnsi="Times"/>
          <w:i/>
          <w:sz w:val="24"/>
        </w:rPr>
        <w:t>Unencumbered Pool</w:t>
      </w:r>
      <w:r>
        <w:rPr>
          <w:rFonts w:ascii="Times" w:hAnsi="Times"/>
          <w:sz w:val="24"/>
        </w:rPr>
        <w:t>” means, as of any date of determination, the collective reference to all Unencumbered Assets as of such date.</w:t>
      </w:r>
    </w:p>
    <w:p>
      <w:pPr>
        <w:pStyle w:val="TextBody"/>
        <w:bidi w:val="0"/>
        <w:spacing w:before="0" w:after="240"/>
        <w:ind w:left="0" w:right="0" w:firstLine="720"/>
        <w:jc w:val="both"/>
        <w:rPr/>
      </w:pPr>
      <w:r>
        <w:rPr/>
        <w:t>“</w:t>
      </w:r>
      <w:r>
        <w:rPr>
          <w:rFonts w:ascii="Times" w:hAnsi="Times"/>
          <w:i/>
          <w:sz w:val="24"/>
        </w:rPr>
        <w:t>Unencumbered Pool Determination Date</w:t>
      </w:r>
      <w:r>
        <w:rPr>
          <w:rFonts w:ascii="Times" w:hAnsi="Times"/>
          <w:sz w:val="24"/>
        </w:rPr>
        <w:t>” means each date on which the Unencumbered Pool is certified in writing to the Administrative Agent, as follows:</w:t>
      </w:r>
    </w:p>
    <w:p>
      <w:pPr>
        <w:pStyle w:val="TextBody"/>
        <w:bidi w:val="0"/>
        <w:spacing w:before="0" w:after="240"/>
        <w:ind w:left="720" w:right="0" w:hanging="0"/>
        <w:jc w:val="both"/>
        <w:rPr>
          <w:rFonts w:ascii="Times" w:hAnsi="Times"/>
          <w:sz w:val="24"/>
        </w:rPr>
      </w:pPr>
      <w:r>
        <w:rPr>
          <w:rFonts w:ascii="Times" w:hAnsi="Times"/>
          <w:sz w:val="24"/>
        </w:rPr>
        <w:t>(a)</w:t>
      </w:r>
      <w:r>
        <w:rPr>
          <w:rFonts w:ascii="Times" w:hAnsi="Times"/>
          <w:i/>
          <w:sz w:val="24"/>
        </w:rPr>
        <w:t>Quarterly</w:t>
      </w:r>
      <w:r>
        <w:rPr>
          <w:rFonts w:ascii="Times" w:hAnsi="Times"/>
          <w:sz w:val="24"/>
        </w:rPr>
        <w:t xml:space="preserve">.  As of the last day of each Fiscal Quarter. </w:t>
      </w:r>
    </w:p>
    <w:p>
      <w:pPr>
        <w:pStyle w:val="TextBody"/>
        <w:bidi w:val="0"/>
        <w:spacing w:before="0" w:after="240"/>
        <w:ind w:left="720" w:right="0" w:hanging="0"/>
        <w:jc w:val="both"/>
        <w:rPr>
          <w:rFonts w:ascii="Times" w:hAnsi="Times"/>
          <w:sz w:val="24"/>
        </w:rPr>
      </w:pPr>
      <w:r>
        <w:rPr>
          <w:rFonts w:ascii="Times" w:hAnsi="Times"/>
          <w:sz w:val="24"/>
        </w:rPr>
        <w:t>(b)</w:t>
      </w:r>
      <w:r>
        <w:rPr>
          <w:rFonts w:ascii="Times" w:hAnsi="Times"/>
          <w:i/>
          <w:sz w:val="24"/>
        </w:rPr>
        <w:t>Property Adjustments</w:t>
      </w:r>
      <w:r>
        <w:rPr>
          <w:rFonts w:ascii="Times" w:hAnsi="Times"/>
          <w:sz w:val="24"/>
        </w:rPr>
        <w:t>.  Following each addition or deletion of an Unencumbered Assets, the Unencumbered Asset Value shall be adjusted accordingly.</w:t>
      </w:r>
    </w:p>
    <w:p>
      <w:pPr>
        <w:pStyle w:val="TextBody"/>
        <w:bidi w:val="0"/>
        <w:spacing w:before="0" w:after="240"/>
        <w:ind w:left="0" w:right="0" w:firstLine="720"/>
        <w:jc w:val="both"/>
        <w:rPr/>
      </w:pPr>
      <w:r>
        <w:rPr/>
        <w:t>“</w:t>
      </w:r>
      <w:r>
        <w:rPr>
          <w:rFonts w:ascii="Times" w:hAnsi="Times"/>
          <w:i/>
          <w:sz w:val="24"/>
        </w:rPr>
        <w:t xml:space="preserve">Unencumbered Pool NOI” </w:t>
      </w:r>
      <w:r>
        <w:rPr>
          <w:rFonts w:ascii="Times" w:hAnsi="Times"/>
          <w:sz w:val="24"/>
        </w:rPr>
        <w:t>means for the most recent Rolling Period, the aggregate Property NOI attributable to the Unencumbered Real Property Assets.</w:t>
      </w:r>
    </w:p>
    <w:p>
      <w:pPr>
        <w:pStyle w:val="TextBody"/>
        <w:bidi w:val="0"/>
        <w:spacing w:before="0" w:after="0"/>
        <w:ind w:left="0" w:right="0" w:firstLine="720"/>
        <w:jc w:val="both"/>
        <w:rPr/>
      </w:pPr>
      <w:r>
        <w:rPr/>
        <w:t>“</w:t>
      </w:r>
      <w:r>
        <w:rPr>
          <w:rFonts w:ascii="Times" w:hAnsi="Times"/>
          <w:i/>
          <w:sz w:val="24"/>
        </w:rPr>
        <w:t>Unencumbered Pool Requirements”</w:t>
      </w:r>
      <w:r>
        <w:rPr>
          <w:rFonts w:ascii="Times" w:hAnsi="Times"/>
          <w:sz w:val="24"/>
        </w:rPr>
        <w:t xml:space="preserve"> means with respect to determining compliance with the covenants set forth in Sections 8.20(e) and 8.20(f), collectively that (a) at all times the Unencumbered Pool shall have no less than twenty (20) Unencumbered Real Property Assets; (b) the Unencumbered Asset Value shall at all times be equal to or in excess of $200,000,000; (c) no more than 25% of the Unencumbered Asset Value may be attributable to any one Unencumbered Asset (for the avoidance of doubt, an Unencumbered Asset that exceeds this sublimit may be included in the calculation of Unencumbered Asset Value; </w:t>
      </w:r>
      <w:r>
        <w:rPr>
          <w:rFonts w:ascii="Times" w:hAnsi="Times"/>
          <w:i/>
          <w:sz w:val="24"/>
        </w:rPr>
        <w:t>provided, that</w:t>
      </w:r>
      <w:r>
        <w:rPr>
          <w:rFonts w:ascii="Times" w:hAnsi="Times"/>
          <w:sz w:val="24"/>
        </w:rPr>
        <w:t xml:space="preserve"> any amount over 25% of the Unencumbered Asset Value is excluded from the calculation of the Unencumbered Asset Value); (d) no more than 20% of Unencumbered Asset Value may be attributable to any single Tenant, unless such Tenant’s Rating is equal to or better than BBB-/Baa3 from S&amp;P or Moody’s (a “</w:t>
      </w:r>
      <w:r>
        <w:rPr>
          <w:rFonts w:ascii="Times" w:hAnsi="Times"/>
          <w:i/>
          <w:sz w:val="24"/>
        </w:rPr>
        <w:t>Prime Tenant”</w:t>
      </w:r>
      <w:r>
        <w:rPr>
          <w:rFonts w:ascii="Times" w:hAnsi="Times"/>
          <w:sz w:val="24"/>
        </w:rPr>
        <w:t xml:space="preserve">), respectively (for the avoidance of doubt, to the extent that any single Tenant, other than a Prime Tenant, exceeds this sublimit, the related Unencumbered Assets may be included in the calculation of Unencumbered Asset Value in an amount of up to 20% of the Unencumbered Asset Value); (e) no more than 15% of Unencumbered Asset Value may be attributable to Unencumbered Real Property Assets constituting Acceptable Leasehold Interests (for the avoidance of doubt, an Unencumbered Real Property Asset that exceeds this sublimit may be included in the calculation of Unencumbered Asset Value; </w:t>
      </w:r>
      <w:r>
        <w:rPr>
          <w:rFonts w:ascii="Times" w:hAnsi="Times"/>
          <w:i/>
          <w:sz w:val="24"/>
        </w:rPr>
        <w:t>provided</w:t>
      </w:r>
      <w:r>
        <w:rPr>
          <w:rFonts w:ascii="Times" w:hAnsi="Times"/>
          <w:sz w:val="24"/>
        </w:rPr>
        <w:t xml:space="preserve">, that any amount over 15% of the Unencumbered Asset Value is excluded from the calculation of the Unencumbered Asset Value); (f) </w:t>
      </w:r>
      <w:bookmarkStart w:id="1710" w:name="_Hlk219721747"/>
      <w:bookmarkEnd w:id="1710"/>
      <w:r>
        <w:rPr>
          <w:rFonts w:ascii="Times" w:hAnsi="Times"/>
          <w:sz w:val="24"/>
        </w:rPr>
        <w:t xml:space="preserve">the Unencumbered Real Property Assets must have an aggregate Occupancy Rate of at least 85%; (g) no more than 25% of the Unencumbered Asset Value may be attributable to Unencumbered Real Property Assets which are located in the same MSA (for the avoidance of doubt, an Unencumbered Real Property Asset that exceeds this sublimit may be included in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calculation of Unencumbered Asset Value; </w:t>
      </w:r>
      <w:r>
        <w:rPr>
          <w:rFonts w:ascii="Times" w:hAnsi="Times"/>
          <w:i/>
          <w:sz w:val="24"/>
        </w:rPr>
        <w:t>provided</w:t>
      </w:r>
      <w:r>
        <w:rPr>
          <w:rFonts w:ascii="Times" w:hAnsi="Times"/>
          <w:sz w:val="24"/>
        </w:rPr>
        <w:t xml:space="preserve">, that any amount over 25% of the Unencumbered Asset Value is excluded from the calculation of the Unencumbered Asset Value); (h) no more than 15% of the Unencumbered Asset Value may be attributable to Unencumbered Mortgage Receivables in the aggregate (including those secured by Properties of an Other Approved Type) (for the avoidance of doubt, an Unencumbered Mortgage Receivable that exceeds this sublimit may be included in the calculation of Unencumbered Asset Value; </w:t>
      </w:r>
      <w:r>
        <w:rPr>
          <w:rFonts w:ascii="Times" w:hAnsi="Times"/>
          <w:i/>
          <w:sz w:val="24"/>
        </w:rPr>
        <w:t>provided</w:t>
      </w:r>
      <w:r>
        <w:rPr>
          <w:rFonts w:ascii="Times" w:hAnsi="Times"/>
          <w:sz w:val="24"/>
        </w:rPr>
        <w:t xml:space="preserve">, that any amount over 15% of the Unencumbered Asset Value is excluded from the calculation of the Unencumbered Asset Value); (i) no more than 5% of the Unencumbered Asset Value may be attributable to Unencumbered Mortgage Receivables secured by Properties of an Other Approved Type (for the avoidance of doubt, an Unencumbered Mortgage Receivable that exceeds this sublimit may be included in the calculation of Unencumbered Asset Value; </w:t>
      </w:r>
      <w:r>
        <w:rPr>
          <w:rFonts w:ascii="Times" w:hAnsi="Times"/>
          <w:i/>
          <w:sz w:val="24"/>
        </w:rPr>
        <w:t>provided</w:t>
      </w:r>
      <w:r>
        <w:rPr>
          <w:rFonts w:ascii="Times" w:hAnsi="Times"/>
          <w:sz w:val="24"/>
        </w:rPr>
        <w:t xml:space="preserve">, that any amount over 5% of the Unencumbered Asset Value is excluded from the calculation of the Unencumbered Asset Value); and (j) no more than 15% of the aggregate amount of the Unencumbered Pool Total Income may be attributable to cash interest (as calculated pursuant to the definition of Unencumbered Pool Total Income) from Unencumbered Mortgage Receivables (for the avoidance of doubt, an Unencumbered Mortgage Receivable that exceeds this sublimit may be included in the calculation of Unencumbered Pool Total Income; </w:t>
      </w:r>
      <w:r>
        <w:rPr>
          <w:rFonts w:ascii="Times" w:hAnsi="Times"/>
          <w:i/>
          <w:sz w:val="24"/>
        </w:rPr>
        <w:t>provided</w:t>
      </w:r>
      <w:r>
        <w:rPr>
          <w:rFonts w:ascii="Times" w:hAnsi="Times"/>
          <w:sz w:val="24"/>
        </w:rPr>
        <w:t>, that any amount over 15% of the Unencumbered Pool Total Income attributable to Unencumbered Mortgage Receivables is excluded from the calculation of the Unencumbered Pool Total Income).</w:t>
      </w:r>
    </w:p>
    <w:p>
      <w:pPr>
        <w:pStyle w:val="TextBody"/>
        <w:bidi w:val="0"/>
        <w:spacing w:before="0" w:after="240"/>
        <w:ind w:left="0" w:right="0" w:firstLine="720"/>
        <w:jc w:val="both"/>
        <w:rPr/>
      </w:pPr>
      <w:r>
        <w:rPr/>
        <w:t>“</w:t>
      </w:r>
      <w:r>
        <w:rPr>
          <w:rFonts w:ascii="Times" w:hAnsi="Times"/>
          <w:i/>
          <w:sz w:val="24"/>
        </w:rPr>
        <w:t>Unencumbered Pool Total Income</w:t>
      </w:r>
      <w:r>
        <w:rPr>
          <w:rFonts w:ascii="Times" w:hAnsi="Times"/>
          <w:sz w:val="24"/>
        </w:rPr>
        <w:t xml:space="preserve">” means for the most recent Rolling Period, the sum of (i) Unencumbered Pool NOI for such Rolling Period </w:t>
      </w:r>
      <w:r>
        <w:rPr>
          <w:rFonts w:ascii="Times" w:hAnsi="Times"/>
          <w:i/>
          <w:sz w:val="24"/>
        </w:rPr>
        <w:t>plus</w:t>
      </w:r>
      <w:r>
        <w:rPr>
          <w:rFonts w:ascii="Times" w:hAnsi="Times"/>
          <w:sz w:val="24"/>
        </w:rPr>
        <w:t xml:space="preserve"> (ii) an amount equal to cash interest from Unencumbered Mortgage Receivables calculated based on the annual interest rate applicable to such Unencumbered Mortgage Receivables as of the last day of such Rolling Period multiplied by the outstanding principal amount of such Unencumbered Mortgage Receivables as of the last day of such Rolling Period; </w:t>
      </w:r>
      <w:r>
        <w:rPr>
          <w:rFonts w:ascii="Times" w:hAnsi="Times"/>
          <w:i/>
          <w:sz w:val="24"/>
        </w:rPr>
        <w:t>provided</w:t>
      </w:r>
      <w:r>
        <w:rPr>
          <w:rFonts w:ascii="Times" w:hAnsi="Times"/>
          <w:sz w:val="24"/>
        </w:rPr>
        <w:t xml:space="preserve"> that Unencumbered Pool Total Income shall be reduced by excluding a portion of the cash interest from Unencumbered Mortgage Receivables attributable to any Unencumbered Mortgage Receivables that exceed the concentration limits in the Unencumbered Pool Requirements.</w:t>
      </w:r>
    </w:p>
    <w:p>
      <w:pPr>
        <w:pStyle w:val="TextBody"/>
        <w:bidi w:val="0"/>
        <w:spacing w:before="0" w:after="240"/>
        <w:ind w:left="0" w:right="0" w:firstLine="720"/>
        <w:jc w:val="both"/>
        <w:rPr/>
      </w:pPr>
      <w:r>
        <w:rPr/>
        <w:t>“</w:t>
      </w:r>
      <w:r>
        <w:rPr>
          <w:rFonts w:ascii="Times" w:hAnsi="Times"/>
          <w:i/>
          <w:sz w:val="24"/>
        </w:rPr>
        <w:t>Unencumbered Real Property Asset</w:t>
      </w:r>
      <w:r>
        <w:rPr>
          <w:rFonts w:ascii="Times" w:hAnsi="Times"/>
          <w:sz w:val="24"/>
        </w:rPr>
        <w:t>” means, as of any date of determination, each Eligible Property that has been designated as an “Unencumbered Real Property Asset” in accordance with the provisions of this Agreement and has not otherwise been excluded or removed from the Unencumbered Pool.</w:t>
      </w:r>
    </w:p>
    <w:p>
      <w:pPr>
        <w:pStyle w:val="TextBody"/>
        <w:bidi w:val="0"/>
        <w:spacing w:before="0" w:after="240"/>
        <w:ind w:left="0" w:right="0" w:firstLine="720"/>
        <w:jc w:val="both"/>
        <w:rPr/>
      </w:pPr>
      <w:r>
        <w:rPr/>
        <w:t>“</w:t>
      </w:r>
      <w:r>
        <w:rPr>
          <w:rFonts w:ascii="Times" w:hAnsi="Times"/>
          <w:i/>
          <w:sz w:val="24"/>
        </w:rPr>
        <w:t>Unfunded Vested Liabilities”</w:t>
      </w:r>
      <w:r>
        <w:rPr>
          <w:rFonts w:ascii="Times" w:hAnsi="Times"/>
          <w:sz w:val="24"/>
        </w:rPr>
        <w:t xml:space="preserve"> means, for any Plan at any time, the amount (if any) by which the present value of all vested nonforfeitable accrued benefits under such Plan exceeds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pStyle w:val="TextBody"/>
        <w:bidi w:val="0"/>
        <w:spacing w:before="0" w:after="240"/>
        <w:ind w:left="0" w:right="0" w:firstLine="720"/>
        <w:jc w:val="both"/>
        <w:rPr/>
      </w:pPr>
      <w:r>
        <w:rPr/>
        <w:t>“</w:t>
      </w:r>
      <w:r>
        <w:rPr>
          <w:rFonts w:ascii="Times" w:hAnsi="Times"/>
          <w:i/>
          <w:sz w:val="24"/>
        </w:rPr>
        <w:t>Unsecured Indebtedness</w:t>
      </w:r>
      <w:r>
        <w:rPr>
          <w:rFonts w:ascii="Times" w:hAnsi="Times"/>
          <w:sz w:val="24"/>
        </w:rPr>
        <w:t>” means, all Indebtedness for Borrowed Money of the Parent and its Subsidiaries that does not constitute Secured Indebtedness.</w:t>
      </w:r>
    </w:p>
    <w:p>
      <w:pPr>
        <w:pStyle w:val="TextBody"/>
        <w:bidi w:val="0"/>
        <w:spacing w:before="0" w:after="0"/>
        <w:ind w:left="0" w:right="0" w:firstLine="720"/>
        <w:jc w:val="both"/>
        <w:rPr/>
      </w:pPr>
      <w:bookmarkStart w:id="1711" w:name="_Hlk115350273"/>
      <w:bookmarkEnd w:id="1711"/>
      <w:r>
        <w:rPr/>
        <w:t>“</w:t>
      </w:r>
      <w:r>
        <w:rPr>
          <w:rFonts w:ascii="Times" w:hAnsi="Times"/>
          <w:i/>
          <w:sz w:val="24"/>
        </w:rPr>
        <w:t>Unsecured Interest Expense</w:t>
      </w:r>
      <w:r>
        <w:rPr>
          <w:rFonts w:ascii="Times" w:hAnsi="Times"/>
          <w:sz w:val="24"/>
        </w:rPr>
        <w:t xml:space="preserve">” means, as of any date of determination and for any period, the annual interest expense that would have been payable on all Unsecured Indebtedness during such period assuming an interest rate equal to the greater of (i) the weighted average interest rate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for such period applicable to all Unsecured Indebtedness as of such date of determination, (ii) 5.75% per annum and (iii) the 10-year treasury rate on the last day of such period plus 1.75%.</w:t>
      </w:r>
    </w:p>
    <w:p>
      <w:pPr>
        <w:pStyle w:val="TextBody"/>
        <w:bidi w:val="0"/>
        <w:spacing w:before="0" w:after="240"/>
        <w:ind w:left="0" w:right="0" w:firstLine="720"/>
        <w:jc w:val="both"/>
        <w:rPr/>
      </w:pPr>
      <w:r>
        <w:rPr/>
        <w:t>“</w:t>
      </w:r>
      <w:r>
        <w:rPr>
          <w:rFonts w:ascii="Times" w:hAnsi="Times"/>
          <w:i/>
          <w:sz w:val="24"/>
        </w:rPr>
        <w:t>Unused Revolving Credit Commitments”</w:t>
      </w:r>
      <w:r>
        <w:rPr>
          <w:rFonts w:ascii="Times" w:hAnsi="Times"/>
          <w:sz w:val="24"/>
        </w:rPr>
        <w:t xml:space="preserve"> means, at any time, the difference between the Revolving Credit Commitments then in effect and the aggregate outstanding principal amount of Revolving Loans and L/C Obligations.</w:t>
      </w:r>
    </w:p>
    <w:p>
      <w:pPr>
        <w:pStyle w:val="TextBody"/>
        <w:bidi w:val="0"/>
        <w:spacing w:before="0" w:after="240"/>
        <w:ind w:left="0" w:right="0" w:firstLine="720"/>
        <w:jc w:val="both"/>
        <w:rPr/>
      </w:pPr>
      <w:r>
        <w:rPr/>
        <w:t>“</w:t>
      </w:r>
      <w:r>
        <w:rPr>
          <w:rFonts w:ascii="Times" w:hAnsi="Times"/>
          <w:i/>
          <w:sz w:val="24"/>
        </w:rPr>
        <w:t>U.S. Dollars”</w:t>
      </w:r>
      <w:r>
        <w:rPr>
          <w:rFonts w:ascii="Times" w:hAnsi="Times"/>
          <w:sz w:val="24"/>
        </w:rPr>
        <w:t xml:space="preserve"> and “</w:t>
      </w:r>
      <w:r>
        <w:rPr>
          <w:rFonts w:ascii="Times" w:hAnsi="Times"/>
          <w:i/>
          <w:sz w:val="24"/>
        </w:rPr>
        <w:t>$”</w:t>
      </w:r>
      <w:r>
        <w:rPr>
          <w:rFonts w:ascii="Times" w:hAnsi="Times"/>
          <w:sz w:val="24"/>
        </w:rPr>
        <w:t xml:space="preserve"> each means the lawful currency of the United States of America.</w:t>
      </w:r>
    </w:p>
    <w:p>
      <w:pPr>
        <w:pStyle w:val="TextBody"/>
        <w:bidi w:val="0"/>
        <w:spacing w:before="0" w:after="240"/>
        <w:ind w:left="0" w:right="0" w:firstLine="720"/>
        <w:jc w:val="both"/>
        <w:rPr/>
      </w:pPr>
      <w:r>
        <w:rPr/>
        <w:t>“</w:t>
      </w:r>
      <w:r>
        <w:rPr>
          <w:rFonts w:ascii="Times" w:hAnsi="Times"/>
          <w:i/>
          <w:sz w:val="24"/>
        </w:rPr>
        <w:t>U.S. Person</w:t>
      </w:r>
      <w:r>
        <w:rPr>
          <w:rFonts w:ascii="Times" w:hAnsi="Times"/>
          <w:sz w:val="24"/>
        </w:rPr>
        <w:t>” 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before="0" w:after="240"/>
        <w:ind w:left="0" w:right="0" w:firstLine="720"/>
        <w:jc w:val="both"/>
        <w:rPr/>
      </w:pPr>
      <w:r>
        <w:rPr/>
        <w:t>“</w:t>
      </w:r>
      <w:r>
        <w:rPr>
          <w:rFonts w:ascii="Times" w:hAnsi="Times"/>
          <w:i/>
          <w:sz w:val="24"/>
        </w:rPr>
        <w:t>Voting Stock”</w:t>
      </w:r>
      <w:r>
        <w:rPr>
          <w:rFonts w:ascii="Times" w:hAnsi="Times"/>
          <w:sz w:val="24"/>
        </w:rPr>
        <w:t xml:space="preserve"> 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pStyle w:val="TextBody"/>
        <w:bidi w:val="0"/>
        <w:spacing w:before="0" w:after="240"/>
        <w:ind w:left="0" w:right="0" w:firstLine="720"/>
        <w:jc w:val="both"/>
        <w:rPr/>
      </w:pPr>
      <w:r>
        <w:rPr/>
        <w:t>“</w:t>
      </w:r>
      <w:r>
        <w:rPr>
          <w:rFonts w:ascii="Times" w:hAnsi="Times"/>
          <w:i/>
          <w:sz w:val="24"/>
        </w:rPr>
        <w:t>Welfare Plan”</w:t>
      </w:r>
      <w:r>
        <w:rPr>
          <w:rFonts w:ascii="Times" w:hAnsi="Times"/>
          <w:sz w:val="24"/>
        </w:rPr>
        <w:t xml:space="preserve"> means a “welfare plan” as defined in Section 3(1) of ERISA.</w:t>
      </w:r>
    </w:p>
    <w:p>
      <w:pPr>
        <w:pStyle w:val="TextBody"/>
        <w:bidi w:val="0"/>
        <w:spacing w:before="0" w:after="240"/>
        <w:ind w:left="0" w:right="0" w:firstLine="720"/>
        <w:jc w:val="both"/>
        <w:rPr/>
      </w:pPr>
      <w:r>
        <w:rPr/>
        <w:t>“</w:t>
      </w:r>
      <w:r>
        <w:rPr>
          <w:rFonts w:ascii="Times" w:hAnsi="Times"/>
          <w:i/>
          <w:sz w:val="24"/>
        </w:rPr>
        <w:t>Wholly-owned Subsidiary”</w:t>
      </w:r>
      <w:r>
        <w:rPr>
          <w:rFonts w:ascii="Times" w:hAnsi="Times"/>
          <w:sz w:val="24"/>
        </w:rPr>
        <w:t xml:space="preserve"> means a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pStyle w:val="TextBody"/>
        <w:bidi w:val="0"/>
        <w:spacing w:before="0" w:after="240"/>
        <w:ind w:left="0" w:right="0" w:firstLine="720"/>
        <w:jc w:val="both"/>
        <w:rPr/>
      </w:pPr>
      <w:r>
        <w:rPr/>
        <w:t>“</w:t>
      </w:r>
      <w:r>
        <w:rPr>
          <w:rFonts w:ascii="Times" w:hAnsi="Times"/>
          <w:i/>
          <w:sz w:val="24"/>
        </w:rPr>
        <w:t>Write-Down and Conversion Powers”</w:t>
      </w:r>
      <w:r>
        <w:rPr>
          <w:rFonts w:ascii="Times" w:hAnsi="Times"/>
          <w:sz w:val="24"/>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5.2.</w:t>
      </w:r>
      <w:bookmarkStart w:id="1712" w:name="_Toc221027840"/>
      <w:bookmarkEnd w:id="1712"/>
      <w:r>
        <w:rPr>
          <w:rFonts w:ascii="Times New Roman;Times;serif" w:hAnsi="Times New Roman;Times;serif"/>
          <w:i w:val="false"/>
          <w:caps w:val="false"/>
          <w:smallCaps w:val="false"/>
          <w:sz w:val="24"/>
          <w:u w:val="single"/>
        </w:rPr>
        <w:t>Interpretation</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foregoing definitions are equally applicable to both the singular and plural forms of the terms defined. The words </w:t>
      </w:r>
      <w:r>
        <w:rPr>
          <w:rFonts w:ascii="Times New Roman;Times;serif" w:hAnsi="Times New Roman;Times;serif"/>
          <w:i/>
          <w:sz w:val="24"/>
        </w:rPr>
        <w:t>“hereof”</w:t>
      </w:r>
      <w:r>
        <w:rPr>
          <w:rFonts w:ascii="Times New Roman;Times;serif" w:hAnsi="Times New Roman;Times;serif"/>
          <w:i w:val="false"/>
          <w:caps w:val="false"/>
          <w:smallCaps w:val="false"/>
          <w:sz w:val="24"/>
        </w:rPr>
        <w:t xml:space="preserve">, </w:t>
      </w:r>
      <w:r>
        <w:rPr>
          <w:rFonts w:ascii="Times New Roman;Times;serif" w:hAnsi="Times New Roman;Times;serif"/>
          <w:i/>
          <w:sz w:val="24"/>
        </w:rPr>
        <w:t>“herein”</w:t>
      </w:r>
      <w:r>
        <w:rPr>
          <w:rFonts w:ascii="Times New Roman;Times;serif" w:hAnsi="Times New Roman;Times;serif"/>
          <w:i w:val="false"/>
          <w:caps w:val="false"/>
          <w:smallCaps w:val="false"/>
          <w:sz w:val="24"/>
        </w:rPr>
        <w:t xml:space="preserve">, and </w:t>
      </w:r>
      <w:r>
        <w:rPr>
          <w:rFonts w:ascii="Times New Roman;Times;serif" w:hAnsi="Times New Roman;Times;serif"/>
          <w:i/>
          <w:sz w:val="24"/>
        </w:rPr>
        <w:t xml:space="preserve">“hereunder” </w:t>
      </w:r>
      <w:r>
        <w:rPr>
          <w:rFonts w:ascii="Times New Roman;Times;serif" w:hAnsi="Times New Roman;Times;serif"/>
          <w:i w:val="false"/>
          <w:caps w:val="false"/>
          <w:smallCaps w:val="false"/>
          <w:sz w:val="24"/>
        </w:rPr>
        <w:t>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5.3.</w:t>
      </w:r>
      <w:bookmarkStart w:id="1713" w:name="_Toc221027841"/>
      <w:bookmarkEnd w:id="1713"/>
      <w:r>
        <w:rPr>
          <w:rFonts w:ascii="Times New Roman;Times;serif" w:hAnsi="Times New Roman;Times;serif"/>
          <w:i w:val="false"/>
          <w:caps w:val="false"/>
          <w:smallCaps w:val="false"/>
          <w:sz w:val="24"/>
          <w:u w:val="single"/>
        </w:rPr>
        <w:t>Change in Accounting Principles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Parent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5.4.</w:t>
      </w:r>
      <w:bookmarkStart w:id="1714" w:name="_Toc221027842"/>
      <w:bookmarkStart w:id="1715" w:name="_Toc97558763"/>
      <w:bookmarkStart w:id="1716" w:name="_Toc93574607"/>
      <w:bookmarkEnd w:id="1714"/>
      <w:bookmarkEnd w:id="1715"/>
      <w:bookmarkEnd w:id="1716"/>
      <w:r>
        <w:rPr>
          <w:rFonts w:ascii="Times New Roman;Times;serif" w:hAnsi="Times New Roman;Times;serif"/>
          <w:i w:val="false"/>
          <w:caps w:val="false"/>
          <w:smallCaps w:val="false"/>
          <w:sz w:val="24"/>
          <w:u w:val="single"/>
        </w:rPr>
        <w:t>Rates</w:t>
      </w:r>
      <w:r>
        <w:rPr>
          <w:rFonts w:ascii="Times New Roman;Times;serif" w:hAnsi="Times New Roman;Times;serif"/>
          <w:i w:val="false"/>
          <w:caps w:val="false"/>
          <w:smallCaps w:val="false"/>
          <w:sz w:val="24"/>
        </w:rPr>
        <w:t xml:space="preserve">. The interest rate on Loans denominated in U.S.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Daily Simple SOFR,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Daily Simple SOFR,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Daily Simple SOFR,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Daily Simple SOFR,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Agent will promptly notify the Borrower and the Lenders of the effectiveness of any Conforming Changes in connection with the use or administration of Daily Simple SOFR and Term SOFR.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5.5.</w:t>
      </w:r>
      <w:bookmarkStart w:id="1717" w:name="_Toc221027843"/>
      <w:bookmarkEnd w:id="1717"/>
      <w:r>
        <w:rPr>
          <w:rFonts w:ascii="Times New Roman;Times;serif" w:hAnsi="Times New Roman;Times;serif"/>
          <w:i w:val="false"/>
          <w:caps w:val="false"/>
          <w:smallCaps w:val="false"/>
          <w:sz w:val="24"/>
          <w:u w:val="single"/>
        </w:rPr>
        <w:t>Divisions</w:t>
      </w:r>
      <w:r>
        <w:rPr>
          <w:rFonts w:ascii="Times New Roman;Times;serif" w:hAnsi="Times New Roman;Times;serif"/>
          <w:i w:val="false"/>
          <w:caps w:val="false"/>
          <w:smallCaps w:val="false"/>
          <w:sz w:val="24"/>
        </w:rPr>
        <w:t>.  For all purposes under the Loan Documents, in connection with a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6.</w:t>
      </w:r>
      <w:bookmarkStart w:id="1718" w:name="_Toc221027844"/>
      <w:bookmarkEnd w:id="1718"/>
      <w:r>
        <w:rPr>
          <w:rFonts w:ascii="Times New Roman;Times;serif" w:hAnsi="Times New Roman;Times;serif"/>
          <w:caps/>
          <w:sz w:val="24"/>
        </w:rPr>
        <w:t>Representations and Warranties.</w:t>
      </w:r>
    </w:p>
    <w:p>
      <w:pPr>
        <w:pStyle w:val="TextBody"/>
        <w:bidi w:val="0"/>
        <w:spacing w:before="0" w:after="240"/>
        <w:ind w:left="0" w:right="0" w:firstLine="720"/>
        <w:jc w:val="both"/>
        <w:rPr>
          <w:rFonts w:ascii="Times" w:hAnsi="Times"/>
          <w:sz w:val="24"/>
        </w:rPr>
      </w:pPr>
      <w:r>
        <w:rPr>
          <w:rFonts w:ascii="Times" w:hAnsi="Times"/>
          <w:sz w:val="24"/>
        </w:rPr>
        <w:t>The Borrower represents and warrants to the Administrative Agent, and the Lenders as follows: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w:t>
      </w:r>
      <w:bookmarkStart w:id="1719" w:name="_Toc221027845"/>
      <w:bookmarkEnd w:id="1719"/>
      <w:r>
        <w:rPr>
          <w:rFonts w:ascii="Times New Roman;Times;serif" w:hAnsi="Times New Roman;Times;serif"/>
          <w:i w:val="false"/>
          <w:caps w:val="false"/>
          <w:smallCaps w:val="false"/>
          <w:sz w:val="24"/>
          <w:u w:val="single"/>
        </w:rPr>
        <w:t>Organization and Qualification; Limited Operations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is duly organized, validly existing, and in good standing as a limited partnership</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under the laws of the State of Delaware.  The Parent is duly organized, validly existing, and in good standing as a corporation</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under the laws of the State of Maryland.  Each of Parent and the Borrower has full and adequate power to own their respective Properties and other assets and conduct their respective businesses as now conducted, and are duly licensed or qualified and in good standing in each jurisdiction in which the nature of their respective businesses conducted by them or the nature of the Properties and other assets owned or leased by them requires such licensing or qualifying and where the failure to be so qualified could reasonably be expected to have, in each instance,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w:t>
      </w:r>
      <w:bookmarkStart w:id="1720" w:name="_Toc221027846"/>
      <w:bookmarkEnd w:id="1720"/>
      <w:r>
        <w:rPr>
          <w:rFonts w:ascii="Times New Roman;Times;serif" w:hAnsi="Times New Roman;Times;serif"/>
          <w:i w:val="false"/>
          <w:caps w:val="false"/>
          <w:smallCaps w:val="false"/>
          <w:sz w:val="24"/>
          <w:u w:val="single"/>
        </w:rPr>
        <w:t>Subsidiaries</w:t>
      </w:r>
      <w:r>
        <w:rPr>
          <w:rFonts w:ascii="Times New Roman;Times;serif" w:hAnsi="Times New Roman;Times;serif"/>
          <w:i w:val="false"/>
          <w:caps w:val="false"/>
          <w:smallCaps w:val="false"/>
          <w:sz w:val="24"/>
        </w:rPr>
        <w:t>.  Each Subsidiary is duly organized, validly existing, and in good standing under the laws of the jurisdiction in which it is organized, has full and adequate power to own its Property and other assets and conduct its business as now conducted, and is duly licensed or qualified and in good standing in each jurisdiction in which the nature of the business conducted by it or the nature of the Property or other assets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6.3.</w:t>
      </w:r>
      <w:bookmarkStart w:id="1721" w:name="_Toc221027847"/>
      <w:bookmarkEnd w:id="1721"/>
      <w:r>
        <w:rPr>
          <w:rFonts w:ascii="Times New Roman;Times;serif" w:hAnsi="Times New Roman;Times;serif"/>
          <w:i w:val="false"/>
          <w:caps w:val="false"/>
          <w:smallCaps w:val="false"/>
          <w:sz w:val="24"/>
          <w:u w:val="single"/>
        </w:rPr>
        <w:t>Authority and Validity of Obligations</w:t>
      </w:r>
      <w:r>
        <w:rPr>
          <w:rFonts w:ascii="Times New Roman;Times;serif" w:hAnsi="Times New Roman;Times;serif"/>
          <w:i w:val="false"/>
          <w:caps w:val="false"/>
          <w:smallCaps w:val="false"/>
          <w:sz w:val="24"/>
        </w:rPr>
        <w:t>.  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Times;serif" w:hAnsi="Times New Roman;Times;serif"/>
          <w:i/>
          <w:sz w:val="24"/>
        </w:rPr>
        <w:t>e.g.,</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 Subsidiary or any of their Properties or other assets, in each case where such contravention or default, individually or in the aggregate, could reasonably be expected to have a Material Adverse Effect, or (c) result in the creation or imposition of any Lien on any Property or other assets of the Borrower or any Material Subsidiary (other than in favor of the Administrative Agent for its benefit and the benefit of the Lenders).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6.4.</w:t>
      </w:r>
      <w:bookmarkStart w:id="1722" w:name="_Toc221027848"/>
      <w:bookmarkEnd w:id="1722"/>
      <w:r>
        <w:rPr>
          <w:rFonts w:ascii="Times New Roman;Times;serif" w:hAnsi="Times New Roman;Times;serif"/>
          <w:i w:val="false"/>
          <w:caps w:val="false"/>
          <w:smallCaps w:val="false"/>
          <w:sz w:val="24"/>
          <w:u w:val="single"/>
        </w:rPr>
        <w:t>Use of Proceeds; Margin Stock</w:t>
      </w:r>
      <w:r>
        <w:rPr>
          <w:rFonts w:ascii="Times New Roman;Times;serif" w:hAnsi="Times New Roman;Times;serif"/>
          <w:i w:val="false"/>
          <w:caps w:val="false"/>
          <w:smallCaps w:val="false"/>
          <w:sz w:val="24"/>
        </w:rPr>
        <w:t>.  The Borrower shall use the proceeds of the Loans and Letters of Credit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of the assets of the Borrower and its Subsidiaries which are subject to any limitation on sale, pledge or other restriction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6.5.</w:t>
      </w:r>
      <w:bookmarkStart w:id="1723" w:name="_Hlk221024618"/>
      <w:bookmarkStart w:id="1724" w:name="_Toc221027849"/>
      <w:bookmarkEnd w:id="1723"/>
      <w:bookmarkEnd w:id="1724"/>
      <w:r>
        <w:rPr>
          <w:rFonts w:ascii="Times New Roman;Times;serif" w:hAnsi="Times New Roman;Times;serif"/>
          <w:i w:val="false"/>
          <w:caps w:val="false"/>
          <w:smallCaps w:val="false"/>
          <w:sz w:val="24"/>
          <w:u w:val="single"/>
        </w:rPr>
        <w:t>Financial Reports</w:t>
      </w:r>
      <w:r>
        <w:rPr>
          <w:rFonts w:ascii="Times New Roman;Times;serif" w:hAnsi="Times New Roman;Times;serif"/>
          <w:i w:val="false"/>
          <w:caps w:val="false"/>
          <w:smallCaps w:val="false"/>
          <w:sz w:val="24"/>
        </w:rPr>
        <w:t xml:space="preserve">.  The consolidated results of operations of Parent for the year ended December 31, 2024 and the three months ended September 30, 2025, and accompanying notes thereto, which consolidated financial statements are accompanied by the unqualified audit report of independent public accountants, heretofore furnished to the Administrative Agent and the Lenders, fairly present the consolidated financial condition of Parent as at said date and the consolidated results of its operations and cash flows for the period then ended in conformity with GAAP applied on a consistent basis.  Neither Parent nor Borrower has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contingent liabilities which are material to it and are required to be set forth in its consolidated financial statements or notes thereto in accordance with GAAP other than as indicated on such consolidated financial statements and notes thereto and projected financial statements, including with respect to future periods, on the consolidated financial statements and projected financial statements furnished pursuant to Section 8.5 hereof.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6.6.</w:t>
      </w:r>
      <w:bookmarkStart w:id="1725" w:name="_Toc221027850"/>
      <w:bookmarkEnd w:id="1725"/>
      <w:r>
        <w:rPr>
          <w:rFonts w:ascii="Times New Roman;Times;serif" w:hAnsi="Times New Roman;Times;serif"/>
          <w:i w:val="false"/>
          <w:caps w:val="false"/>
          <w:smallCaps w:val="false"/>
          <w:sz w:val="24"/>
          <w:u w:val="single"/>
        </w:rPr>
        <w:t>No Material Adverse Effect</w:t>
      </w:r>
      <w:r>
        <w:rPr>
          <w:rFonts w:ascii="Times New Roman;Times;serif" w:hAnsi="Times New Roman;Times;serif"/>
          <w:i/>
          <w:sz w:val="24"/>
        </w:rPr>
        <w:t>.  </w:t>
      </w:r>
      <w:r>
        <w:rPr>
          <w:rFonts w:ascii="Times New Roman;Times;serif" w:hAnsi="Times New Roman;Times;serif"/>
          <w:i w:val="false"/>
          <w:caps w:val="false"/>
          <w:smallCaps w:val="false"/>
          <w:sz w:val="24"/>
        </w:rPr>
        <w:t>Except as set forth on Schedule 6.6, since the date of delivery of the most recent financial statements delivered to the Administrative Agent pursuant to Section 8.5(c), there has been no event or circumstance individually or in the aggregate that has had or would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6.7.</w:t>
      </w:r>
      <w:bookmarkStart w:id="1726" w:name="_Toc221027851"/>
      <w:bookmarkEnd w:id="1726"/>
      <w:r>
        <w:rPr>
          <w:rFonts w:ascii="Times New Roman;Times;serif" w:hAnsi="Times New Roman;Times;serif"/>
          <w:i w:val="false"/>
          <w:caps w:val="false"/>
          <w:smallCaps w:val="false"/>
          <w:sz w:val="24"/>
          <w:u w:val="single"/>
        </w:rPr>
        <w:t>Full Disclosure</w:t>
      </w:r>
      <w:r>
        <w:rPr>
          <w:rFonts w:ascii="Times New Roman;Times;serif" w:hAnsi="Times New Roman;Times;serif"/>
          <w:i w:val="false"/>
          <w:caps w:val="false"/>
          <w:smallCaps w:val="false"/>
          <w:sz w:val="24"/>
        </w:rPr>
        <w:t>.  The statements and information furnished to the Administrative Agent and the Lenders in connection with the negotiation of this Agreement and the other Loan Documents and the commitments by the Lenders to provide all or part of the 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 (b) the financial information provided to the Administrative Agent and the Lenders is governed by Section 6.5 hereof.  The information included in the Beneficial Ownership Certification, as updated in accordance with Section 6.5(k), is true and correct in all respects.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6.8.</w:t>
      </w:r>
      <w:bookmarkStart w:id="1727" w:name="_Toc221027852"/>
      <w:bookmarkEnd w:id="1727"/>
      <w:r>
        <w:rPr>
          <w:rFonts w:ascii="Times New Roman;Times;serif" w:hAnsi="Times New Roman;Times;serif"/>
          <w:i w:val="false"/>
          <w:caps w:val="false"/>
          <w:smallCaps w:val="false"/>
          <w:sz w:val="24"/>
          <w:u w:val="single"/>
        </w:rPr>
        <w:t>Trademarks, Franchises, and Licenses</w:t>
      </w:r>
      <w:r>
        <w:rPr>
          <w:rFonts w:ascii="Times New Roman;Times;serif" w:hAnsi="Times New Roman;Times;serif"/>
          <w:i w:val="false"/>
          <w:caps w:val="false"/>
          <w:smallCaps w:val="false"/>
          <w:sz w:val="24"/>
        </w:rPr>
        <w:t>.  To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6.9.</w:t>
      </w:r>
      <w:bookmarkStart w:id="1728" w:name="_Toc221027853"/>
      <w:bookmarkEnd w:id="1728"/>
      <w:r>
        <w:rPr>
          <w:rFonts w:ascii="Times New Roman;Times;serif" w:hAnsi="Times New Roman;Times;serif"/>
          <w:i w:val="false"/>
          <w:caps w:val="false"/>
          <w:smallCaps w:val="false"/>
          <w:sz w:val="24"/>
          <w:u w:val="single"/>
        </w:rPr>
        <w:t>Governmental Authority and Licensing</w:t>
      </w:r>
      <w:r>
        <w:rPr>
          <w:rFonts w:ascii="Times New Roman;Times;serif" w:hAnsi="Times New Roman;Times;serif"/>
          <w:i w:val="false"/>
          <w:caps w:val="false"/>
          <w:smallCaps w:val="false"/>
          <w:sz w:val="24"/>
        </w:rPr>
        <w:t>.  The Borrower and its 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6.10.</w:t>
      </w:r>
      <w:bookmarkStart w:id="1729" w:name="_Toc221027854"/>
      <w:bookmarkEnd w:id="1729"/>
      <w:r>
        <w:rPr>
          <w:rFonts w:ascii="Times New Roman;Times;serif" w:hAnsi="Times New Roman;Times;serif"/>
          <w:i w:val="false"/>
          <w:caps w:val="false"/>
          <w:smallCaps w:val="false"/>
          <w:sz w:val="24"/>
          <w:u w:val="single"/>
        </w:rPr>
        <w:t>Good Title</w:t>
      </w:r>
      <w:r>
        <w:rPr>
          <w:rFonts w:ascii="Times New Roman;Times;serif" w:hAnsi="Times New Roman;Times;serif"/>
          <w:i w:val="false"/>
          <w:caps w:val="false"/>
          <w:smallCaps w:val="false"/>
          <w:sz w:val="24"/>
        </w:rPr>
        <w:t>.  The Borrower and its Subsidiaries have good and defensible title (or valid leasehold interests) to each Unencumbered Asset and their other material assets as reflected on the most recent consolidated balance sheet of Parent and its Subsidiaries furnished to the Administrative Agent and the Lenders (except for sales of assets in the ordinary course of business), subject to no Liens other than such thereof as are permitted by Section 8.7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6.11.</w:t>
      </w:r>
      <w:bookmarkStart w:id="1730" w:name="_Toc221027855"/>
      <w:bookmarkEnd w:id="1730"/>
      <w:r>
        <w:rPr>
          <w:rFonts w:ascii="Times New Roman;Times;serif" w:hAnsi="Times New Roman;Times;serif"/>
          <w:i w:val="false"/>
          <w:caps w:val="false"/>
          <w:smallCaps w:val="false"/>
          <w:sz w:val="24"/>
          <w:u w:val="single"/>
        </w:rPr>
        <w:t>Litigation and Other Controversies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Except as set forth on Schedule 6.11, there is no litigation or governmental or arbitration proceeding or labor controversy pending, nor to the knowledge of the Borrower threatened, against the Borrower or any Subsidiary or any of their Property or other assets which individually or in the aggregate, could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6.12.</w:t>
      </w:r>
      <w:bookmarkStart w:id="1731" w:name="_Toc221027856"/>
      <w:bookmarkEnd w:id="1731"/>
      <w:r>
        <w:rPr>
          <w:rFonts w:ascii="Times New Roman;Times;serif" w:hAnsi="Times New Roman;Times;serif"/>
          <w:i w:val="false"/>
          <w:caps w:val="false"/>
          <w:smallCaps w:val="false"/>
          <w:sz w:val="24"/>
          <w:u w:val="single"/>
        </w:rPr>
        <w:t>Taxes</w:t>
      </w:r>
      <w:r>
        <w:rPr>
          <w:rFonts w:ascii="Times New Roman;Times;serif" w:hAnsi="Times New Roman;Times;serif"/>
          <w:i w:val="false"/>
          <w:caps w:val="false"/>
          <w:smallCaps w:val="false"/>
          <w:sz w:val="24"/>
        </w:rPr>
        <w:t>.  All material tax returns required to be filed by Parent or any Subsidiary in any jurisdiction have, in fact, been filed, and all taxes, assessments, fees, and other governmental charges upon Parent or any Subsidiary or upon any of its Property, other assets,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Parent has not received written notice of any proposed additional tax assessment against Parent or its Subsidiaries for which adequate provisions in accordance with GAAP have not been made on their accounts.  Adequate provisions in accordance with GAAP for taxes on the books of Parent and each Subsidiary have been made for all open years, and for its current fiscal period.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6.13.</w:t>
      </w:r>
      <w:bookmarkStart w:id="1732" w:name="_Toc221027857"/>
      <w:bookmarkEnd w:id="1732"/>
      <w:r>
        <w:rPr>
          <w:rFonts w:ascii="Times New Roman;Times;serif" w:hAnsi="Times New Roman;Times;serif"/>
          <w:i w:val="false"/>
          <w:caps w:val="false"/>
          <w:smallCaps w:val="false"/>
          <w:sz w:val="24"/>
          <w:u w:val="single"/>
        </w:rPr>
        <w:t>Approvals</w:t>
      </w:r>
      <w:r>
        <w:rPr>
          <w:rFonts w:ascii="Times New Roman;Times;serif" w:hAnsi="Times New Roman;Times;serif"/>
          <w:i w:val="false"/>
          <w:caps w:val="false"/>
          <w:smallCaps w:val="false"/>
          <w:sz w:val="24"/>
        </w:rPr>
        <w:t>.  Except those already received, 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Guarantor of any Loan Document.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6.14.</w:t>
      </w:r>
      <w:bookmarkStart w:id="1733" w:name="_Toc221027858"/>
      <w:bookmarkEnd w:id="1733"/>
      <w:r>
        <w:rPr>
          <w:rFonts w:ascii="Times New Roman;Times;serif" w:hAnsi="Times New Roman;Times;serif"/>
          <w:i w:val="false"/>
          <w:caps w:val="false"/>
          <w:smallCaps w:val="false"/>
          <w:sz w:val="24"/>
          <w:u w:val="single"/>
        </w:rPr>
        <w:t>Affiliate Transactions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6.15.</w:t>
      </w:r>
      <w:bookmarkStart w:id="1734" w:name="_Toc221027859"/>
      <w:bookmarkEnd w:id="1734"/>
      <w:r>
        <w:rPr>
          <w:rFonts w:ascii="Times New Roman;Times;serif" w:hAnsi="Times New Roman;Times;serif"/>
          <w:i w:val="false"/>
          <w:caps w:val="false"/>
          <w:smallCaps w:val="false"/>
          <w:sz w:val="24"/>
          <w:u w:val="single"/>
        </w:rPr>
        <w:t>Investment Company</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None of the Borrower or any Subsidiary is an “investment company” or a company “controlled” by an “investment company” within the meaning of the Investment Company Act of 1940, as amended.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6.16.</w:t>
      </w:r>
      <w:bookmarkStart w:id="1735" w:name="_Toc221027860"/>
      <w:bookmarkEnd w:id="1735"/>
      <w:r>
        <w:rPr>
          <w:rFonts w:ascii="Times New Roman;Times;serif" w:hAnsi="Times New Roman;Times;serif"/>
          <w:i w:val="false"/>
          <w:caps w:val="false"/>
          <w:smallCaps w:val="false"/>
          <w:sz w:val="24"/>
          <w:u w:val="single"/>
        </w:rPr>
        <w:t>ERISA</w:t>
      </w:r>
      <w:r>
        <w:rPr>
          <w:rFonts w:ascii="Times New Roman;Times;serif" w:hAnsi="Times New Roman;Times;serif"/>
          <w:i w:val="false"/>
          <w:caps w:val="false"/>
          <w:smallCaps w:val="false"/>
          <w:sz w:val="24"/>
        </w:rPr>
        <w:t>.  The Borrower and each other member of their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6.17.</w:t>
      </w:r>
      <w:bookmarkStart w:id="1736" w:name="_Toc221027861"/>
      <w:bookmarkEnd w:id="1736"/>
      <w:r>
        <w:rPr>
          <w:rFonts w:ascii="Times New Roman;Times;serif" w:hAnsi="Times New Roman;Times;serif"/>
          <w:i w:val="false"/>
          <w:caps w:val="false"/>
          <w:smallCaps w:val="false"/>
          <w:sz w:val="24"/>
          <w:u w:val="single"/>
        </w:rPr>
        <w:t>Compliance with Laws</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Borrower and its Subsidiaries are in compliance with the requirements of all federal, state and local laws, rules and regulations applicable to or pertaining to their Property, assets, or business operations (including, without limitation, the Occupational Safety and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Times New Roman;Times;serif" w:hAnsi="Times New Roman;Times;serif"/>
          <w:i/>
          <w:sz w:val="24"/>
        </w:rPr>
        <w:t xml:space="preserve">provided </w:t>
      </w:r>
      <w:r>
        <w:rPr>
          <w:rFonts w:ascii="Times New Roman;Times;serif" w:hAnsi="Times New Roman;Times;serif"/>
          <w:sz w:val="24"/>
        </w:rPr>
        <w:t>that the Administrative Agent shall be entitled to make only one (1) such request per property during the initial term of this Agreement unless an Event of Default has occurred and is continuing.</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6.18.</w:t>
      </w:r>
      <w:bookmarkStart w:id="1737" w:name="_Toc221027862"/>
      <w:bookmarkEnd w:id="1737"/>
      <w:r>
        <w:rPr>
          <w:rFonts w:ascii="Times New Roman;Times;serif" w:hAnsi="Times New Roman;Times;serif"/>
          <w:i w:val="false"/>
          <w:caps w:val="false"/>
          <w:smallCaps w:val="false"/>
          <w:sz w:val="24"/>
          <w:u w:val="single"/>
        </w:rPr>
        <w:t>OFAC; Patriot Act</w:t>
      </w:r>
      <w:r>
        <w:rPr>
          <w:rFonts w:ascii="Times New Roman;Times;serif" w:hAnsi="Times New Roman;Times;serif"/>
          <w:i/>
          <w:sz w:val="24"/>
        </w:rPr>
        <w:t>.</w:t>
      </w:r>
      <w:r>
        <w:rPr>
          <w:rFonts w:ascii="Times New Roman;Times;serif" w:hAnsi="Times New Roman;Times;serif"/>
          <w:i/>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Borrower is in compliance, in all material respects, with the requirements of all Sanctions applicable to it, (b) each Subsidiary of the Borrower is in compliance, in all material respects, with the requirements of all Sanctions applicable to such Subsidiary, (c) the Borrower has provided to the Administrative Agent and the Lenders all information regarding the Borrower and its Affiliates and Subsidiaries necessary for the Administrative Agent and the Lenders to comply with all applicable Sanctions, and (d) neither the Borrower nor any of its Affiliates or Subsidiaries nor, to the knowledge of Borrower, any officer, director or Affiliate of any such Person or any of its Subsidiaries, is a Sanctioned Person.The Loan Parties have implemented and maintain in effect policies and procedures designed to ensure compliance by the Loan Parties, their Subsidiaries and Affiliates and their respective directors, officers, employees and agents with Anti-Corruption Laws and applicable Sanctions.  The Loan Parties, their Subsidiaries and Affiliates and their respective directors, officers and employees and to the knowledge of the Loan Parties, their agents, are in compliance with Anti-Corruption Laws and applicable Sanctions.  No Loan, use of proceeds or other transaction contemplated by this Agreement will violate any Anti-Corruption Law or applicable Sanctions.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Patriot Act</w:t>
      </w:r>
      <w:bookmarkStart w:id="1738" w:name="_Hlk219803450"/>
      <w:bookmarkEnd w:id="1738"/>
      <w:r>
        <w:rPr>
          <w:rFonts w:ascii="Times New Roman;Times;serif" w:hAnsi="Times New Roman;Times;serif"/>
          <w:sz w:val="24"/>
        </w:rPr>
        <w:t>. Neither any Loan Party nor any of its Subsidiaries is an “enemy” or an “ally of the enemy” within the meaning of Section 2 of the Trading with the Enemy Act or any enabling legislation or executive order relating thereto.  Neither any Loan Party nor any of its Subsidiaries is in violation of (a) the Trading with the Enemy Act, (b) any of the foreign assets control regulations of the United States Treasury Department (31 C.F.R., Subtitle B, Chapter V, as amended) or any enabling legislation or executive order relating thereto or (c) the Patriot Act.  None of the Loan Parties (i) is a blocked person described in Section 1 of Executive Order 13224 of the President of the United States or (ii) to the best of its knowledge, engages in any dealings or transactions, or is otherwise associated, with any such blocked person.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6.19.</w:t>
      </w:r>
      <w:bookmarkStart w:id="1739" w:name="_Toc221027863"/>
      <w:bookmarkEnd w:id="1739"/>
      <w:r>
        <w:rPr>
          <w:rFonts w:ascii="Times New Roman;Times;serif" w:hAnsi="Times New Roman;Times;serif"/>
          <w:i w:val="false"/>
          <w:caps w:val="false"/>
          <w:smallCaps w:val="false"/>
          <w:sz w:val="24"/>
          <w:u w:val="single"/>
        </w:rPr>
        <w:t>Other Agreements</w:t>
      </w:r>
      <w:r>
        <w:rPr>
          <w:rFonts w:ascii="Times New Roman;Times;serif" w:hAnsi="Times New Roman;Times;serif"/>
          <w:i w:val="false"/>
          <w:caps w:val="false"/>
          <w:smallCaps w:val="false"/>
          <w:sz w:val="24"/>
        </w:rPr>
        <w:t>.  Neither the Borrower nor any Subsidiary is in default under the terms of any covenant, indenture or agreement of or affecting such Person or any of its Properties or other assets,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6.20.</w:t>
      </w:r>
      <w:bookmarkStart w:id="1740" w:name="_Toc221027864"/>
      <w:bookmarkEnd w:id="1740"/>
      <w:r>
        <w:rPr>
          <w:rFonts w:ascii="Times New Roman;Times;serif" w:hAnsi="Times New Roman;Times;serif"/>
          <w:i w:val="false"/>
          <w:caps w:val="false"/>
          <w:smallCaps w:val="false"/>
          <w:sz w:val="24"/>
          <w:u w:val="single"/>
        </w:rPr>
        <w:t>Solvency</w:t>
      </w:r>
      <w:r>
        <w:rPr>
          <w:rFonts w:ascii="Times New Roman;Times;serif" w:hAnsi="Times New Roman;Times;serif"/>
          <w:i w:val="false"/>
          <w:caps w:val="false"/>
          <w:smallCaps w:val="false"/>
          <w:sz w:val="24"/>
        </w:rPr>
        <w:t>.  The Borrower and its Subsidiaries are solvent, able to pay their debts as they become due, and have sufficient capital to carry on their business and all businesses in which they are about to engage.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6.21.</w:t>
      </w:r>
      <w:bookmarkStart w:id="1741" w:name="_Toc221027865"/>
      <w:bookmarkEnd w:id="1741"/>
      <w:r>
        <w:rPr>
          <w:rFonts w:ascii="Times New Roman;Times;serif" w:hAnsi="Times New Roman;Times;serif"/>
          <w:i w:val="false"/>
          <w:caps w:val="false"/>
          <w:smallCaps w:val="false"/>
          <w:sz w:val="24"/>
          <w:u w:val="single"/>
        </w:rPr>
        <w:t>No Default</w:t>
      </w:r>
      <w:r>
        <w:rPr>
          <w:rFonts w:ascii="Times New Roman;Times;serif" w:hAnsi="Times New Roman;Times;serif"/>
          <w:i/>
          <w:sz w:val="24"/>
        </w:rPr>
        <w:t>.  </w:t>
      </w:r>
      <w:r>
        <w:rPr>
          <w:rFonts w:ascii="Times New Roman;Times;serif" w:hAnsi="Times New Roman;Times;serif"/>
          <w:i w:val="false"/>
          <w:caps w:val="false"/>
          <w:smallCaps w:val="false"/>
          <w:sz w:val="24"/>
        </w:rPr>
        <w:t>No Default or Event of Default has occurred and is continuing.</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6.22.</w:t>
      </w:r>
      <w:bookmarkStart w:id="1742" w:name="_Toc221027866"/>
      <w:bookmarkEnd w:id="1742"/>
      <w:r>
        <w:rPr>
          <w:rFonts w:ascii="Times New Roman;Times;serif" w:hAnsi="Times New Roman;Times;serif"/>
          <w:i w:val="false"/>
          <w:caps w:val="false"/>
          <w:smallCaps w:val="false"/>
          <w:sz w:val="24"/>
          <w:u w:val="single"/>
        </w:rPr>
        <w:t>No Broker Fees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6.23.</w:t>
      </w:r>
      <w:bookmarkStart w:id="1743" w:name="_Toc221027867"/>
      <w:bookmarkEnd w:id="1743"/>
      <w:r>
        <w:rPr>
          <w:rFonts w:ascii="Times New Roman;Times;serif" w:hAnsi="Times New Roman;Times;serif"/>
          <w:i w:val="false"/>
          <w:caps w:val="false"/>
          <w:smallCaps w:val="false"/>
          <w:sz w:val="24"/>
          <w:u w:val="single"/>
        </w:rPr>
        <w:t>Condition of Property; Casualties; Condemnation</w:t>
      </w:r>
      <w:r>
        <w:rPr>
          <w:rFonts w:ascii="Times New Roman;Times;serif" w:hAnsi="Times New Roman;Times;serif"/>
          <w:i w:val="false"/>
          <w:caps w:val="false"/>
          <w:smallCaps w:val="false"/>
          <w:sz w:val="24"/>
        </w:rPr>
        <w:t xml:space="preserve">.  Except as set forth in Schedule 6.23, each Property owned by 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Times New Roman;Times;serif" w:hAnsi="Times New Roman;Times;serif"/>
          <w:i/>
          <w:sz w:val="24"/>
        </w:rPr>
        <w:t>provided</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the Administrative Agent shall be entitled to make only one (1) such request during the initial term of this Agreement unless an Event of Default has occurred and is continuing.</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6.24.</w:t>
      </w:r>
      <w:bookmarkStart w:id="1744" w:name="_Toc221027868"/>
      <w:bookmarkEnd w:id="1744"/>
      <w:r>
        <w:rPr>
          <w:rFonts w:ascii="Times New Roman;Times;serif" w:hAnsi="Times New Roman;Times;serif"/>
          <w:i w:val="false"/>
          <w:caps w:val="false"/>
          <w:smallCaps w:val="false"/>
          <w:sz w:val="24"/>
          <w:u w:val="single"/>
        </w:rPr>
        <w:t>Legal Requirements and Zoning</w:t>
      </w:r>
      <w:r>
        <w:rPr>
          <w:rFonts w:ascii="Times New Roman;Times;serif" w:hAnsi="Times New Roman;Times;serif"/>
          <w:i w:val="false"/>
          <w:caps w:val="false"/>
          <w:smallCaps w:val="false"/>
          <w:sz w:val="24"/>
        </w:rPr>
        <w:t xml:space="preserve">.  To Borrower’s knowledge, the use 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restrictions of record or any material agreement affecting any such Property (or any portion thereof).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6.25.</w:t>
      </w:r>
      <w:bookmarkStart w:id="1745" w:name="_Toc221027869"/>
      <w:bookmarkEnd w:id="1745"/>
      <w:r>
        <w:rPr>
          <w:rFonts w:ascii="Times New Roman;Times;serif" w:hAnsi="Times New Roman;Times;serif"/>
          <w:i w:val="false"/>
          <w:caps w:val="false"/>
          <w:smallCaps w:val="false"/>
          <w:sz w:val="24"/>
          <w:u w:val="single"/>
        </w:rPr>
        <w:t>No Defaults; Landlord is in Compliance with Leases</w:t>
      </w:r>
      <w:r>
        <w:rPr>
          <w:rFonts w:ascii="Times New Roman;Times;serif" w:hAnsi="Times New Roman;Times;serif"/>
          <w:i w:val="false"/>
          <w:caps w:val="false"/>
          <w:smallCaps w:val="false"/>
          <w:sz w:val="24"/>
        </w:rPr>
        <w:t>.  Except as disclosed to the Administrative Agent in writing in accordance with Section 8.5(l) hereof, none of the tenants occupying Properties owned by the Borrower, Material Subsidiaries or any other Subsidiary of the Borrower are in default for a period in excess of sixty (60) days or “materially past due” (in accordance with customary commercial practice) on the monthly contractual rent payments.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6.26.</w:t>
      </w:r>
      <w:bookmarkStart w:id="1746" w:name="_Toc221027870"/>
      <w:bookmarkEnd w:id="1746"/>
      <w:r>
        <w:rPr>
          <w:rFonts w:ascii="Times New Roman;Times;serif" w:hAnsi="Times New Roman;Times;serif"/>
          <w:i w:val="false"/>
          <w:caps w:val="false"/>
          <w:smallCaps w:val="false"/>
          <w:sz w:val="24"/>
          <w:u w:val="single"/>
        </w:rPr>
        <w:t>Affected Financial Institution</w:t>
      </w:r>
      <w:r>
        <w:rPr>
          <w:rFonts w:ascii="Times New Roman;Times;serif" w:hAnsi="Times New Roman;Times;serif"/>
          <w:i w:val="false"/>
          <w:caps w:val="false"/>
          <w:smallCaps w:val="false"/>
          <w:sz w:val="24"/>
        </w:rPr>
        <w:t>.  Neither Borrower nor any Subsidiary is an Affected Financial Institution.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6.27.</w:t>
      </w:r>
      <w:bookmarkStart w:id="1747" w:name="_Toc221027871"/>
      <w:bookmarkEnd w:id="1747"/>
      <w:r>
        <w:rPr>
          <w:rFonts w:ascii="Times New Roman;Times;serif" w:hAnsi="Times New Roman;Times;serif"/>
          <w:i w:val="false"/>
          <w:caps w:val="false"/>
          <w:smallCaps w:val="false"/>
          <w:sz w:val="24"/>
          <w:u w:val="single"/>
        </w:rPr>
        <w:t>REIT Status</w:t>
      </w:r>
      <w:r>
        <w:rPr>
          <w:rFonts w:ascii="Times New Roman;Times;serif" w:hAnsi="Times New Roman;Times;serif"/>
          <w:i w:val="false"/>
          <w:caps w:val="false"/>
          <w:smallCaps w:val="false"/>
          <w:sz w:val="24"/>
        </w:rPr>
        <w:t>.  Parent has elected to be taxed as a REIT and will continue to operate in a manner so as to qualify as a REIT, and (b) will not revoke its election to be taxed as a REIT.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6.28.</w:t>
      </w:r>
      <w:bookmarkStart w:id="1748" w:name="_Toc221027872"/>
      <w:bookmarkEnd w:id="1748"/>
      <w:r>
        <w:rPr>
          <w:rFonts w:ascii="Times New Roman;Times;serif" w:hAnsi="Times New Roman;Times;serif"/>
          <w:i w:val="false"/>
          <w:caps w:val="false"/>
          <w:smallCaps w:val="false"/>
          <w:sz w:val="24"/>
          <w:u w:val="single"/>
        </w:rPr>
        <w:t>Covered Entities</w:t>
      </w:r>
      <w:r>
        <w:rPr>
          <w:rFonts w:ascii="Times New Roman;Times;serif" w:hAnsi="Times New Roman;Times;serif"/>
          <w:i w:val="false"/>
          <w:caps w:val="false"/>
          <w:smallCaps w:val="false"/>
          <w:sz w:val="24"/>
        </w:rPr>
        <w:t>.  Borrower is not a Covered Entity.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6.29.</w:t>
      </w:r>
      <w:bookmarkStart w:id="1749" w:name="_Toc221027873"/>
      <w:bookmarkEnd w:id="1749"/>
      <w:r>
        <w:rPr>
          <w:rFonts w:ascii="Times New Roman;Times;serif" w:hAnsi="Times New Roman;Times;serif"/>
          <w:i w:val="false"/>
          <w:caps w:val="false"/>
          <w:smallCaps w:val="false"/>
          <w:sz w:val="24"/>
          <w:u w:val="single"/>
        </w:rPr>
        <w:t>Outbound Investment Rules</w:t>
      </w:r>
      <w:r>
        <w:rPr>
          <w:rFonts w:ascii="Times New Roman;Times;serif" w:hAnsi="Times New Roman;Times;serif"/>
          <w:i w:val="false"/>
          <w:caps w:val="false"/>
          <w:smallCaps w:val="false"/>
          <w:sz w:val="24"/>
        </w:rPr>
        <w:t>. Neither any Loan Party nor any of its Subsidiaries is a ‘covered foreign person’ as that term is used in the Outbound Investment Rules. Neither any Loan Party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any Loan Party were a U.S. Person or (iii) any other activity that would cause the Administrative Agent and the Lenders to be in violation of the Outbound Investment Rules or cause the Administrative Agent and the Lenders to be legally prohibited by the Outbound Investment Rules from performing under this Agreement.</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7.</w:t>
      </w:r>
      <w:bookmarkStart w:id="1750" w:name="_Toc221027874"/>
      <w:bookmarkStart w:id="1751" w:name="_Ref70341278"/>
      <w:bookmarkStart w:id="1752" w:name="_Ref70341174"/>
      <w:bookmarkStart w:id="1753" w:name="_Ref70341110"/>
      <w:bookmarkEnd w:id="1750"/>
      <w:bookmarkEnd w:id="1751"/>
      <w:bookmarkEnd w:id="1752"/>
      <w:bookmarkEnd w:id="1753"/>
      <w:r>
        <w:rPr>
          <w:rFonts w:ascii="Times New Roman;Times;serif" w:hAnsi="Times New Roman;Times;serif"/>
          <w:caps/>
          <w:sz w:val="24"/>
        </w:rPr>
        <w:t>Conditions Precedent.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7.1.</w:t>
      </w:r>
      <w:bookmarkStart w:id="1754" w:name="_Toc221027875"/>
      <w:bookmarkEnd w:id="1754"/>
      <w:r>
        <w:rPr>
          <w:rFonts w:ascii="Times New Roman;Times;serif" w:hAnsi="Times New Roman;Times;serif"/>
          <w:i w:val="false"/>
          <w:caps w:val="false"/>
          <w:smallCaps w:val="false"/>
          <w:sz w:val="24"/>
          <w:u w:val="single"/>
        </w:rPr>
        <w:t>All Credit Events</w:t>
      </w:r>
      <w:r>
        <w:rPr>
          <w:rFonts w:ascii="Times New Roman;Times;serif" w:hAnsi="Times New Roman;Times;serif"/>
          <w:i w:val="false"/>
          <w:caps w:val="false"/>
          <w:smallCaps w:val="false"/>
          <w:sz w:val="24"/>
        </w:rPr>
        <w:t>.  At the time of each Credit Event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(b)no Default or Event of Default shall have occurred and be continuing or would occur as a result of such Credit Event and, after giving effect to such Credit Event, the sum of the aggregate principal amount of Revolving Loans and L/C Obligations outstanding, when taken together with the aggregate principal amount of Term Loans then outstanding, shall not exceed the Adjusted Availability;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(c)in the case of a Borrowing the Administrative Agent shall have received the notice required by Section 1.6 hereof, in the case of the issuance of any Letter of Credit, the L/C Issuer shall have received a duly completed Application for such Letter of Credit together with any fees called for by Section 2.1(b) hereof, and, in the case of an extension or increase in the amount of a Letter of Credit, a written request therefor in a form acceptable to the L/C Issuer together with fees called for by Section 2.1(b)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(d)such Credit Event shall not violate any order, judgment or decree of any court or other authority or any provision of law or regulation applicable to the Administrative Agent, the L/C Issuer or any Lender (including, without limitation, Regulation U of the Board of Governors of the Federal Reserve System) as then in effect; and</w:t>
      </w:r>
    </w:p>
    <w:p>
      <w:pPr>
        <w:pStyle w:val="TextBody"/>
        <w:bidi w:val="0"/>
        <w:spacing w:before="0" w:after="240"/>
        <w:ind w:left="0" w:right="0" w:firstLine="720"/>
        <w:jc w:val="both"/>
        <w:rPr>
          <w:rFonts w:ascii="Times" w:hAnsi="Times"/>
          <w:sz w:val="24"/>
        </w:rPr>
      </w:pPr>
      <w:r>
        <w:rPr>
          <w:rFonts w:ascii="Times" w:hAnsi="Times"/>
          <w:sz w:val="24"/>
        </w:rPr>
        <w:t xml:space="preserve">Each request for a Borrowing hereunder and each request for the issuance of, increase in the amount of, or extension of the expiration date of, a Letter of Credit shall be deemed to be a representation and warranty by the Borrower on the date on such Credit Event as to the facts specified in subsections (a) through (c), inclusive, of this Section 7.1; </w:t>
      </w:r>
      <w:r>
        <w:rPr>
          <w:rFonts w:ascii="Times" w:hAnsi="Times"/>
          <w:i/>
          <w:sz w:val="24"/>
        </w:rPr>
        <w:t xml:space="preserve">provided, however, </w:t>
      </w:r>
      <w:r>
        <w:rPr>
          <w:rFonts w:ascii="Times" w:hAnsi="Times"/>
          <w:sz w:val="24"/>
        </w:rPr>
        <w:t>that the Lenders may continue to make advances under the Revolving Facility, in the sole discretion of the Lenders with Revolving Credit Commitments, notwithstanding the failure of the Borrower to satisfy one or more of the conditions set forth above and any such advances so made shall not be deemed a waiver of any Default or Event of Default or other condition set forth above that may then exist.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7.2.</w:t>
      </w:r>
      <w:bookmarkStart w:id="1755" w:name="_Toc221027876"/>
      <w:bookmarkEnd w:id="1755"/>
      <w:r>
        <w:rPr>
          <w:rFonts w:ascii="Times New Roman;Times;serif" w:hAnsi="Times New Roman;Times;serif"/>
          <w:i w:val="false"/>
          <w:caps w:val="false"/>
          <w:smallCaps w:val="false"/>
          <w:sz w:val="24"/>
          <w:u w:val="single"/>
        </w:rPr>
        <w:t>Closing Date Credit Event</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Before or concurrently with any Credit Event on the Closing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Administrative Agent shall have received this Agreement duly executed by the Borrower, Parent and the Material Subsidiaries, as Guarantors, and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(b)if requested by any Lender, the Administrative Agent shall have received for such Lender such Lender’s duly executed Note of the Borrower dated as of the date hereof and otherwise in compliance with the provisions of Section 1.10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Administrative Agent shall have received copies of the Borrower’s, the Parent’s and each Material Subsidiaries articles of incorporation and bylaws (or comparable organizational documents) and any amendments thereto, certified in each instance by its Secretary or Assistant Secretary;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Administrative Agent shall have received copies of resolutions of the Borrower’s, Parent’s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Parent’s and each Material Subsidiary’s behalf, all certified in each instance by its Secretary or Assistant Secretary or other Authorized Representative;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(e)the Administrative Agent shall have received copies of the certificates of good standing for the Borrower, Parent and each Material Subsidiary (dated no earlier than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forty-five (45) days prior to the date hereof) from the office of the secretary of the state of its incorporation or organization;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(f)the Administrative Agent shall have received a list of the Borrower’s Authorized Representatives;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(g)the Administrative Agent shall have received the initial fees called for by Section 2.1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(h)the capital and organizational structure of the Borrower and its Subsidiaries shall be reasonably satisfactory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(i)the Administrative Agent shall have received a Compliance Certificate dated as of the Closing Date which shall evidence compliance with the covenants set forth in Section 8.20 and 8.21 after giving effect to the making of the Credit Events on the Closing Date and any repayment under the Existing KeyBank Agreement occurring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w:t>
      </w:r>
      <w:bookmarkStart w:id="1756" w:name="_Hlk220443649"/>
      <w:bookmarkEnd w:id="1756"/>
      <w:r>
        <w:rPr>
          <w:rFonts w:ascii="Times New Roman;Times;serif" w:hAnsi="Times New Roman;Times;serif"/>
          <w:sz w:val="24"/>
        </w:rPr>
        <w:t>the Administrative Agent shall have received financing statement, tax, and judgment lien search results against the Borrower and the Parent evidencing the absence of Liens on its Property and other assets except as Permitted Liens or as otherwise permitted by Section 8.8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(k)the Administrative Agent shall have received a written opinion of counsel to the Borrower, Parent and each Material Subsidiary, in form and substance reasonably satisfactory to the Administrative Agent;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(m)the Administrative Agent shall have received such other agreements, instruments, documents, certificates, and opinions as the Administrative Agent may reasonably request;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w:t>
      </w:r>
      <w:r>
        <w:rPr>
          <w:rFonts w:ascii="Times New Roman;Times;serif" w:hAnsi="Times New Roman;Times;serif"/>
          <w:i/>
          <w:sz w:val="24"/>
        </w:rPr>
        <w:t>know your customer”</w:t>
      </w:r>
      <w:r>
        <w:rPr>
          <w:rFonts w:ascii="Times New Roman;Times;serif" w:hAnsi="Times New Roman;Times;serif"/>
          <w:sz w:val="24"/>
        </w:rPr>
        <w:t xml:space="preserve"> or similar rules and regulations;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(o)the Administrative Agent shall have received pay-off and lien release letters (except with respect to any Permitted Liens) from secured creditors of the Borrower and each Subsidiary setting forth, among other things, the total amount of indebtedness outstanding and owing to them (or outstanding letters of credit issued for the account of the Borrower or any Subsidiary) and containing an undertaking to cause to be delivered to the Administrative Agent UCC termination statements and any other lien release instruments necessary to release their Liens on the assets of the Borrower and each Subsidiary, which pay-off and lien release letters shall be in form and substance reasonably acceptable to the Administrative Agent;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(p)the secured creditors of the Borrower and each Subsidiary shall have deposited in escrow UCC termination statements and other lien release instruments necessary to release their Liens (other than Permitted Liens) on the assets of the Borrower and each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(q) all Indebtedness under the Existing KeyBank Agreement shall have been repaid in full and the Existing KeyBank Agreement shall have been terminated;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(r)at least five days prior to the Closing Date, if the Borrower qualifies as a “legal entity customer” under the Beneficial Ownership Regulation, the Borrower shall deliver a Beneficial Ownership Certification in relation to 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7.3.</w:t>
      </w:r>
      <w:bookmarkStart w:id="1757" w:name="_Toc221027877"/>
      <w:bookmarkEnd w:id="1757"/>
      <w:r>
        <w:rPr>
          <w:rFonts w:ascii="Times New Roman;Times;serif" w:hAnsi="Times New Roman;Times;serif"/>
          <w:i w:val="false"/>
          <w:caps w:val="false"/>
          <w:smallCaps w:val="false"/>
          <w:sz w:val="24"/>
          <w:u w:val="single"/>
        </w:rPr>
        <w:t>Unencumbered Assets Additions and Deletions to the Unencumbered Pool</w:t>
      </w:r>
      <w:r>
        <w:rPr>
          <w:rFonts w:ascii="Times New Roman;Times;serif" w:hAnsi="Times New Roman;Times;serif"/>
          <w:i/>
          <w:sz w:val="24"/>
        </w:rPr>
        <w:t>.  </w:t>
      </w:r>
      <w:r>
        <w:rPr>
          <w:rFonts w:ascii="Times New Roman;Times;serif" w:hAnsi="Times New Roman;Times;serif"/>
          <w:i w:val="false"/>
          <w:caps w:val="false"/>
          <w:smallCaps w:val="false"/>
          <w:sz w:val="24"/>
        </w:rPr>
        <w:t>As of the Closing Date, the Borrower represents and warrants to the Lenders and the Administrative Agent that the Initial Unencumbered Assets qualify as Eligible Assets and that the information provided on Schedule 1.1 is true and correct in all material respects.</w:t>
      </w:r>
    </w:p>
    <w:p>
      <w:pPr>
        <w:pStyle w:val="TextBody"/>
        <w:bidi w:val="0"/>
        <w:spacing w:before="0" w:after="240"/>
        <w:ind w:left="0" w:right="0" w:firstLine="720"/>
        <w:jc w:val="both"/>
        <w:rPr>
          <w:rFonts w:ascii="Times" w:hAnsi="Times"/>
          <w:sz w:val="24"/>
        </w:rPr>
      </w:pPr>
      <w:r>
        <w:rPr>
          <w:rFonts w:ascii="Times" w:hAnsi="Times"/>
          <w:sz w:val="24"/>
        </w:rPr>
        <w:t>Upon not less than 10 Business Days prior written notice from the Borrower to the Administrative Agent, the Borrower can designate that an Eligible Asset be added (subject to the other requirements for a Property or Mortgage Receivable qualifying as an Eligible Asset) or deleted as an Unencumbered Asset.  Such notice shall be accompanied by a certification that the applicable Property or Mortgage Receivable meets the requirements of an Eligible Asset and a Compliance Certificate setting forth the calculations evidencing compliance with the covenants set forth in Section 8.20 and 8.21, as of the addition or deletion of the designated Property or Mortgage Receivable as an Unencumbered Asset, and with respect to a deletion, Borrower’s certification in such detail as reasonably required by the Administrative Agent that no Default or Event of Default exists under this Agreement and such deletion shall not (A) cause the Unencumbered Pool to violate the Unencumbered Pool Requirements, (B) cause a Default, or (C) cause or result in the Borrower failing to comply with any of the covenants contained in Section 8.20 and 8.21 hereof.  Each addition shall be an Eligible Asset in a minimum amount equal to $500,000 of Unencumbered Asset Value, or shall be comprised of more than one qualifying Eligible Assets that in the aggregate have a minimum amount equal to $1,000,000 of Unencumbered Asset Value.  All additions of a Property or Mortgage Receivable that does not satisfy the requirements to be an Eligible Asset shall be subject to reasonable approval by the  Required Lenders.</w:t>
      </w:r>
    </w:p>
    <w:p>
      <w:pPr>
        <w:pStyle w:val="TextBody"/>
        <w:bidi w:val="0"/>
        <w:spacing w:before="0" w:after="240"/>
        <w:ind w:left="0" w:right="0" w:firstLine="720"/>
        <w:jc w:val="both"/>
        <w:rPr>
          <w:rFonts w:ascii="Times" w:hAnsi="Times"/>
          <w:sz w:val="24"/>
        </w:rPr>
      </w:pPr>
      <w:r>
        <w:rPr>
          <w:rFonts w:ascii="Times" w:hAnsi="Times"/>
          <w:sz w:val="24"/>
        </w:rPr>
        <w:t>If no Default exists at the time of any deletion of a Property or Mortgage Receivable from qualifying as an Eligible Asset included in calculating the Gross Availability and the Adjusted Availability, as applicable, any Material Subsidiary which owned such Property or Mortgage Receivable, but that does not otherwise own any other Eligible Asset, shall be released from its obligations under its Guaranty.</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8.</w:t>
      </w:r>
      <w:bookmarkStart w:id="1758" w:name="_Toc221027878"/>
      <w:bookmarkEnd w:id="1758"/>
      <w:r>
        <w:rPr>
          <w:rFonts w:ascii="Times New Roman;Times;serif" w:hAnsi="Times New Roman;Times;serif"/>
          <w:caps/>
          <w:sz w:val="24"/>
        </w:rPr>
        <w:t>Covenants.</w:t>
      </w:r>
    </w:p>
    <w:p>
      <w:pPr>
        <w:pStyle w:val="TextBody"/>
        <w:bidi w:val="0"/>
        <w:spacing w:before="0" w:after="240"/>
        <w:ind w:left="0" w:right="0" w:firstLine="720"/>
        <w:jc w:val="both"/>
        <w:rPr>
          <w:rFonts w:ascii="Times" w:hAnsi="Times"/>
          <w:sz w:val="24"/>
        </w:rPr>
      </w:pPr>
      <w:r>
        <w:rPr>
          <w:rFonts w:ascii="Times" w:hAnsi="Times"/>
          <w:sz w:val="24"/>
        </w:rPr>
        <w:t>The Borrower agrees that, so long as any Loan is outstanding by the Borrower hereunder, except to the extent compliance in any case or cases is cured or waived in writing pursuant to the terms of Section 12.13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w:t>
      </w:r>
      <w:bookmarkStart w:id="1759" w:name="_Toc221027879"/>
      <w:bookmarkEnd w:id="1759"/>
      <w:r>
        <w:rPr>
          <w:rFonts w:ascii="Times New Roman;Times;serif" w:hAnsi="Times New Roman;Times;serif"/>
          <w:i w:val="false"/>
          <w:caps w:val="false"/>
          <w:smallCaps w:val="false"/>
          <w:sz w:val="24"/>
          <w:u w:val="single"/>
        </w:rPr>
        <w:t>Maintenance of Existence</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pStyle w:val="TextBody"/>
        <w:bidi w:val="0"/>
        <w:spacing w:before="0" w:after="240"/>
        <w:ind w:left="0" w:right="0" w:hanging="0"/>
        <w:jc w:val="both"/>
        <w:rPr>
          <w:rFonts w:ascii="Times" w:hAnsi="Times"/>
          <w:sz w:val="24"/>
        </w:rPr>
      </w:pPr>
      <w:r>
        <w:rPr>
          <w:rFonts w:ascii="Times" w:hAnsi="Times"/>
          <w:sz w:val="24"/>
        </w:rPr>
        <w:t>(ii)(a) At least one class of common stock of Parent shall at all times be duly listed on the New York Stock Exchange, the NYSE American or The NASDAQ Stock Market and (b) the Parent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w:t>
      </w:r>
      <w:bookmarkStart w:id="1760" w:name="_Toc221027880"/>
      <w:bookmarkEnd w:id="1760"/>
      <w:r>
        <w:rPr>
          <w:rFonts w:ascii="Times New Roman;Times;serif" w:hAnsi="Times New Roman;Times;serif"/>
          <w:i w:val="false"/>
          <w:caps w:val="false"/>
          <w:smallCaps w:val="false"/>
          <w:sz w:val="24"/>
          <w:u w:val="single"/>
        </w:rPr>
        <w:t>Maintenance of Properties, Agreements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and each Guarantor shall cause each of its tenants to maintain, preserve, and keep all of the Borrower’s and each Guarantor’s Properties and other assets in working condition and order (ordinary wear and tear excepted) in all material respects,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and Borrower and each Guarantor shall from time to time make all needful and proper repairs, renewals, replacements, additions, and betterments to its Properties and other assets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Parent in its business judgment or due to any breach by the other party thereto) and shall not modify or amend any material contract or agreement that would cause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8.3.</w:t>
      </w:r>
      <w:bookmarkStart w:id="1761" w:name="_Toc221027881"/>
      <w:bookmarkEnd w:id="1761"/>
      <w:r>
        <w:rPr>
          <w:rFonts w:ascii="Times New Roman;Times;serif" w:hAnsi="Times New Roman;Times;serif"/>
          <w:i w:val="false"/>
          <w:caps w:val="false"/>
          <w:smallCaps w:val="false"/>
          <w:sz w:val="24"/>
          <w:u w:val="single"/>
        </w:rPr>
        <w:t>Taxes and Assessment</w:t>
      </w:r>
      <w:r>
        <w:rPr>
          <w:rFonts w:ascii="Times New Roman;Times;serif" w:hAnsi="Times New Roman;Times;serif"/>
          <w:i/>
          <w:sz w:val="24"/>
        </w:rPr>
        <w:t>s</w:t>
      </w:r>
      <w:r>
        <w:rPr>
          <w:rFonts w:ascii="Times New Roman;Times;serif" w:hAnsi="Times New Roman;Times;serif"/>
          <w:i w:val="false"/>
          <w:caps w:val="false"/>
          <w:smallCaps w:val="false"/>
          <w:sz w:val="24"/>
        </w:rPr>
        <w:t>.  The Borrower and each Guarantor shall, or shall cause its tenants to, duly pay and discharge all taxes, rates, assessments, fees, and governmental charges upon or against it or its Properties or other assets,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8.4.</w:t>
      </w:r>
      <w:bookmarkStart w:id="1762" w:name="_Toc221027882"/>
      <w:bookmarkEnd w:id="1762"/>
      <w:r>
        <w:rPr>
          <w:rFonts w:ascii="Times New Roman;Times;serif" w:hAnsi="Times New Roman;Times;serif"/>
          <w:i w:val="false"/>
          <w:caps w:val="false"/>
          <w:smallCaps w:val="false"/>
          <w:sz w:val="24"/>
          <w:u w:val="single"/>
        </w:rPr>
        <w:t>Insurance</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Except where the Tenant of a Property shall maintain insurance pursuant to the terms of its Lease, the Borrower shall insure and keep insured, and shall cause each Subsidiary to insure and keep insured, with good and responsible insurance companies all insurable Properties and other assets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with good and responsible insurance companies</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as and to the extent usually insured by Persons similarly situated and conducting similar businesses.  The Borrower shall, upon the reasonable request of the Administrative Agent, furnish to the Administrative Agent and the Lenders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certificate setting forth in summary form the nature and extent of the insurance maintained pursuant to this Section 8.4.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8.5.</w:t>
      </w:r>
      <w:bookmarkStart w:id="1763" w:name="_Toc221027883"/>
      <w:bookmarkEnd w:id="1763"/>
      <w:r>
        <w:rPr>
          <w:rFonts w:ascii="Times New Roman;Times;serif" w:hAnsi="Times New Roman;Times;serif"/>
          <w:i w:val="false"/>
          <w:caps w:val="false"/>
          <w:smallCaps w:val="false"/>
          <w:sz w:val="24"/>
          <w:u w:val="single"/>
        </w:rPr>
        <w:t>Financial Reports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shall, and shall cause Parent and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(a)as soon as available, and in any event no later than ninety (90) days after the last day of each fiscal year of Parent, a copy of the consolidated and consolidating balance sheet of Parent and its Subsidiaries as of the last day of the fiscal year then ended and the consolidated and consolidating statements of income, retained earnings, and cash flows of Parent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Parent and reasonably satisfactory to the Administrative Agent, to the effect that the consolidated financial statements have been prepared in accordance with GAAP and present fairly in accordance with GAAP the consolidated financial condition of Parent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(c)as soon as available, and in any event no later than forty-five (45) days after the last day of each fiscal quarter of each fiscal year of Parent (or ninety (90) days after the last day of each fiscal year of Parent), a copy of the consolidated and consolidating balance sheet of Parent and its Subsidiaries as of the last day of such fiscal quarter and the consolidated and consolidating statements of income, retained earnings, and cash flows of Parent and its Subsidiaries for the fiscal quarter and for the fiscal year-to-date period then ended, each in reasonable detail showing in comparative form the figures for the corresponding date and period in the previous fiscal year, prepared by Parent in accordance with GAAP (subject to the absence of footnote disclosures and year-end audit adjustments) and certified to by its chief financial officer or another officer of Parent reasonably acceptable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1764" w:name="_Ref70340828"/>
      <w:bookmarkEnd w:id="1764"/>
      <w:r>
        <w:rPr>
          <w:rFonts w:ascii="Times New Roman;Times;serif" w:hAnsi="Times New Roman;Times;serif"/>
          <w:sz w:val="24"/>
        </w:rPr>
        <w:t>[Intentionally Omitted];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(e)with each of the financial statements delivered pursuant to subsections (a) and (b) above, a Compliance Certificate (“</w:t>
      </w:r>
      <w:r>
        <w:rPr>
          <w:rFonts w:ascii="Times New Roman;Times;serif" w:hAnsi="Times New Roman;Times;serif"/>
          <w:i/>
          <w:sz w:val="24"/>
        </w:rPr>
        <w:t>Compliance Certificate”</w:t>
      </w:r>
      <w:r>
        <w:rPr>
          <w:rFonts w:ascii="Times New Roman;Times;serif" w:hAnsi="Times New Roman;Times;serif"/>
          <w:sz w:val="24"/>
        </w:rPr>
        <w:t xml:space="preserve">) in the form attached hereto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as Exhibit E signed by the chief financial officer of Parent or another officer of Parent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(f)promptly after receipt thereof, any additional written reports, management letters or other detailed information contained in writing concerning significant aspects of Parent’s or any Subsidiary’s operations and financial affairs given to it by its independent public accountants;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(g)promptly after the sending or filing thereof, copies of each financial statement, report, notice or proxy statement sent by Parent or any Subsidiary to its stockholders or other equity holders, and upon written request from the Administrative Agent, copies of each regular, periodic or special report, registration statement or prospectus (including all Form 10-K, Form 10-Q and Form 8-K reports) filed by Parent or any Subsidiary with any securities exchange or the Securities and Exchange Commission or any successor agency;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(h)promptly after receipt thereof, a copy of each audit made by any regulatory agency of the books and records of Parent or any Subsidiary or of notice of any material noncompliance with any applicable law, regulation or guideline relating to Parent or any Subsidiary, or their respective businesses;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(i)[Intentionally Omitted];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(j)notice of any Change of Control;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(k)promptly after knowledge thereof shall have come to the attention of any Responsible Officer of Parent, written notice of (i) any threatened (in writing) or pending litigation or governmental or arbitration proceeding or labor controversy against Parent or any Subsidiary or any of their Property or other assets 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of such certification;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(l)within forty-five (45) days of the end of each of the first three (3) fiscal quarters and within 90 days after the close of the last fiscal quarter of the year (i) a list of all newly formed or acquired Subsidiaries during such quarter (such list shall contain the information relative to such new Subsidiaries as set forth in Schedule 6.2 hereto), and (ii)  a copy of any notice of a material default by the Borrower or any Guarantor from any ground lessor during such quarter;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(m)promptly after knowledge thereof shall have come to the attention of any Responsible Officer of Parent, written notice to the Administrative Agent if (i) amounts payable under a Lease of any Eligible Property or portion thereof included in the Unencumbered Asset Value is more than sixty (60) days past due, (ii) amounts payable under an Unencumbered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Mortgage Receivable is more than sixty (60) days past due, or (iii) any Unencumbered Asset fails to qualify as an Eligible Asset;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(n)promptly after the request of any Lender, any other information or report reasonably requested by a Lender;</w:t>
      </w:r>
    </w:p>
    <w:p>
      <w:pPr>
        <w:pStyle w:val="TextBody"/>
        <w:bidi w:val="0"/>
        <w:spacing w:before="0" w:after="240"/>
        <w:ind w:left="0" w:right="0" w:firstLine="720"/>
        <w:jc w:val="both"/>
        <w:rPr>
          <w:rFonts w:ascii="Times" w:hAnsi="Times"/>
          <w:sz w:val="24"/>
        </w:rPr>
      </w:pPr>
      <w:r>
        <w:rPr>
          <w:rFonts w:ascii="Times" w:hAnsi="Times"/>
          <w:i/>
          <w:sz w:val="24"/>
        </w:rPr>
        <w:t>provided, however</w:t>
      </w:r>
      <w:r>
        <w:rPr>
          <w:rFonts w:ascii="Times" w:hAnsi="Times"/>
          <w:sz w:val="24"/>
        </w:rPr>
        <w:t>, to the extent such items set forth above are filed with the Securities and Exchange Commission or otherwise are publicly available, the Borrower shall be deemed to have satisfied this covenant once it provides notice to the Administrative Agent of such availability.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8.6.</w:t>
      </w:r>
      <w:bookmarkStart w:id="1765" w:name="_Toc221027884"/>
      <w:bookmarkEnd w:id="1765"/>
      <w:r>
        <w:rPr>
          <w:rFonts w:ascii="Times New Roman;Times;serif" w:hAnsi="Times New Roman;Times;serif"/>
          <w:i w:val="false"/>
          <w:caps w:val="false"/>
          <w:smallCaps w:val="false"/>
          <w:sz w:val="24"/>
          <w:u w:val="single"/>
        </w:rPr>
        <w:t>Inspection</w:t>
      </w:r>
      <w:r>
        <w:rPr>
          <w:rFonts w:ascii="Times New Roman;Times;serif" w:hAnsi="Times New Roman;Times;serif"/>
          <w:i w:val="false"/>
          <w:caps w:val="false"/>
          <w:smallCaps w:val="false"/>
          <w:sz w:val="24"/>
        </w:rPr>
        <w:t>.  The Borrower shall, and shall cause Parent and each Subsidiary to, permit the Administrative Agent, each Lender and each of their duly authorized representatives and agents during normal business hours to visit and inspect any of its Properties,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Parent hereby authorizes such accountants with Parent present to discuss with the Administrative Agent and such Lenders the finances and affairs of the Parent and its Subsidiaries) at such reasonable times and intervals as the Administrative Agent or any such Lender may designate and, so long as no Default or Event of Default exists, with reasonable prior notice to Parent.  The Administrative Agent, and Lenders shall use reasonable efforts to coordinate inspections undertaken in accordance with this Section 8.6 to reduce the administrative burden of such inspections on the Parent and their Subsidiaries.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8.7.</w:t>
      </w:r>
      <w:bookmarkStart w:id="1766" w:name="_Toc221027885"/>
      <w:bookmarkEnd w:id="1766"/>
      <w:r>
        <w:rPr>
          <w:rFonts w:ascii="Times New Roman;Times;serif" w:hAnsi="Times New Roman;Times;serif"/>
          <w:i w:val="false"/>
          <w:caps w:val="false"/>
          <w:smallCaps w:val="false"/>
          <w:sz w:val="24"/>
          <w:u w:val="single"/>
        </w:rPr>
        <w:t>Liens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Borrower shall not, nor shall it permit any Subsidiary to, create, incur or permit to exist any Lien of any kind on any Property or other assets owned by any such Person;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the foregoing shall not apply to nor operate to prevent any Permitted Liens.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8.8.</w:t>
      </w:r>
      <w:bookmarkStart w:id="1767" w:name="_Toc221027886"/>
      <w:bookmarkEnd w:id="1767"/>
      <w:r>
        <w:rPr>
          <w:rFonts w:ascii="Times New Roman;Times;serif" w:hAnsi="Times New Roman;Times;serif"/>
          <w:i w:val="false"/>
          <w:caps w:val="false"/>
          <w:smallCaps w:val="false"/>
          <w:sz w:val="24"/>
          <w:u w:val="single"/>
        </w:rPr>
        <w:t>Investments, Acquisitions, Loans and Advances</w:t>
      </w:r>
      <w:r>
        <w:rPr>
          <w:rFonts w:ascii="Times New Roman;Times;serif" w:hAnsi="Times New Roman;Times;serif"/>
          <w:i w:val="false"/>
          <w:caps w:val="false"/>
          <w:smallCaps w:val="false"/>
          <w:sz w:val="24"/>
        </w:rPr>
        <w:t xml:space="preserve">.  The Borrower shall not, nor shall it permit any Subsidiary to (i) directly or indirectly, make, retain or have outstanding any of the following any investments (whether through the purchase of stock or obligations or otherwise) in any Person, Property or improvements on Property, or any loans, advances, lines of credit, mortgage loans or other financings (including pursuant to sale/leaseback transactions) to any other Person, or (ii) acquire any Property, improvements on Property or all or any substantial part of the assets or business of any other Person or division thereof;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the foregoing shall not apply to nor operate to prevent, with respect to the Borrower or any Subsidiary, any of the following: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(b)investments in commercial paper with a Rating of at least P-1 by Moody’s and at least A-1 by S&amp;P maturing within one (1) year of the date of issuance thereof;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(c)interest bearing assets or investments in certificates of deposit issued by any Lender or by any United States commercial bank having capital and surplus of not less than $100,000,000 which have a maturity of one (1) year or less;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(e)investments in money market funds that invest solely, and which are restricted by their respective charters to invest solely, in investments of the type described in the immediately preceding subsections (a), (b), (c), and (d) above;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(f)the Borrower’s investments from time to time in its Subsidiaries, and investments made from time to time by a Subsidiary in one or more of its Subsidiaries;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(g)intercompany advances made from time to time among the Borrower and its Subsidiaries in the ordinary course of business to finance working capital needs;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(h)investments from time to time in individual Properties, including Eligible Properties and Acceptable Leasehold Interests, Land Assets, and Assets Under Development, or in joint venture or other entities which own such individual Properties, including Eligible Properties, Acceptable Leasehold Interests, Land Assets, and Assets Under Development, provided that such investment does not cause a breach of the financial covenants set forth in Section 8.20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w:t>
      </w:r>
      <w:bookmarkStart w:id="1768" w:name="_Ref114676318"/>
      <w:bookmarkEnd w:id="1768"/>
      <w:r>
        <w:rPr>
          <w:rFonts w:ascii="Times New Roman;Times;serif" w:hAnsi="Times New Roman;Times;serif"/>
          <w:sz w:val="24"/>
        </w:rPr>
        <w:t xml:space="preserve">Public Investments;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(j)investments from time to time in mortgages, deeds of trust, deeds to secure debt or similar instruments that are a lien upon Property, Mortgage Receivables, mezzanine loans, notes receivable, structured debt products, and preferred equity securities; provided that, such investment does not cause a breach of the financial covenants set forth in Section 8.20 hereof;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(k)repurchases (including tender offers (</w:t>
      </w:r>
      <w:r>
        <w:rPr>
          <w:rFonts w:ascii="Times New Roman;Times;serif" w:hAnsi="Times New Roman;Times;serif"/>
          <w:i/>
          <w:sz w:val="24"/>
        </w:rPr>
        <w:t>e.g.</w:t>
      </w:r>
      <w:r>
        <w:rPr>
          <w:rFonts w:ascii="Times New Roman;Times;serif" w:hAnsi="Times New Roman;Times;serif"/>
          <w:sz w:val="24"/>
        </w:rPr>
        <w:t xml:space="preserve"> Dutch or modified Dutch tender offers)) of Parent’s stock in accordance with the provisions of this Agreement. </w:t>
      </w:r>
    </w:p>
    <w:p>
      <w:pPr>
        <w:pStyle w:val="TextBody"/>
        <w:bidi w:val="0"/>
        <w:spacing w:before="0" w:after="240"/>
        <w:ind w:left="0" w:right="0" w:hanging="0"/>
        <w:jc w:val="both"/>
        <w:rPr>
          <w:rFonts w:ascii="Times" w:hAnsi="Times"/>
          <w:sz w:val="24"/>
        </w:rPr>
      </w:pPr>
      <w:r>
        <w:rPr>
          <w:rFonts w:ascii="Times" w:hAnsi="Times"/>
          <w:sz w:val="24"/>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8.9.</w:t>
      </w:r>
      <w:bookmarkStart w:id="1769" w:name="_Toc221027887"/>
      <w:bookmarkEnd w:id="1769"/>
      <w:r>
        <w:rPr>
          <w:rFonts w:ascii="Times New Roman;Times;serif" w:hAnsi="Times New Roman;Times;serif"/>
          <w:i w:val="false"/>
          <w:caps w:val="false"/>
          <w:smallCaps w:val="false"/>
          <w:sz w:val="24"/>
          <w:u w:val="single"/>
        </w:rPr>
        <w:t>Mergers, Consolidations and Sales</w:t>
      </w:r>
      <w:r>
        <w:rPr>
          <w:rFonts w:ascii="Times New Roman;Times;serif" w:hAnsi="Times New Roman;Times;serif"/>
          <w:i/>
          <w:sz w:val="24"/>
        </w:rPr>
        <w:t>.</w:t>
      </w:r>
      <w:r>
        <w:rPr>
          <w:rFonts w:ascii="Times New Roman;Times;serif" w:hAnsi="Times New Roman;Times;serif"/>
          <w:i/>
          <w:caps w:val="false"/>
          <w:smallCaps w:val="false"/>
          <w:sz w:val="24"/>
        </w:rPr>
        <w:t xml:space="preserve">  </w:t>
      </w:r>
      <w:bookmarkStart w:id="1770" w:name="_Hlk219725200"/>
      <w:bookmarkEnd w:id="1770"/>
      <w:r>
        <w:rPr>
          <w:rFonts w:ascii="Times New Roman;Times;serif" w:hAnsi="Times New Roman;Times;serif"/>
          <w:i w:val="false"/>
          <w:caps w:val="false"/>
          <w:smallCaps w:val="false"/>
          <w:sz w:val="24"/>
        </w:rPr>
        <w:t xml:space="preserve">Except with the prior written consent of the Required Lenders (which shall not be unreasonably withheld, conditioned or delayed), the Borrower shall not, nor shall it permit Parent or any Subsidiary to, be a party to any merger or consolidation, or sell, transfer, lease or otherwise dispose of all or substantially all of its Property or other assets;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so long as the Borrower and Subsidiaries are in compliance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with all covenants and agreements in this Agreement and no Default or Event of Default then exist, this Section shall not apply to nor operate to prevent: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sale, transfer, lease or other disposition of Property and other assets of the Borrower and its Subsidiaries to one another in the ordinary course of its business;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merger of any Subsidiary with and into the Borrower or any other Subsidiary, </w:t>
      </w:r>
      <w:r>
        <w:rPr>
          <w:rFonts w:ascii="Times New Roman;Times;serif" w:hAnsi="Times New Roman;Times;serif"/>
          <w:i/>
          <w:sz w:val="24"/>
        </w:rPr>
        <w:t>provided</w:t>
      </w:r>
      <w:r>
        <w:rPr>
          <w:rFonts w:ascii="Times New Roman;Times;serif" w:hAnsi="Times New Roman;Times;serif"/>
          <w:sz w:val="24"/>
        </w:rPr>
        <w:t xml:space="preserve"> that, in the case of any merger involving the Borrower, the Borrower is the corporation surviving the merger;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sale, transfer or other disposition of any tangible personal property that, in the reasonable business judgment of the Borrower or its Subsidiary, has become obsolete or worn out, and which is disposed of in the ordinary course of business;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(e)any merger if it results in the simultaneous payoff in immediately available funds of the Obligations;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(f)any merger or consolidation, directly or indirectly, with any other Person so long as (i) Parent, the Borrower and the Subsidiaries, as applicable, shall be the survivor thereof; (ii) the Borrower shall have given the Administrative Agent and the Lenders at least fifteen (15) Business Days’ prior written notice of such consolidation or merger; (iii) immediately prior thereto, and immediately thereafter and after giving effect thereto, no Default or Event of Default has occurred or would result therefrom; and (iv) at the time the Borrower gives notice pursuant to clause (ii) of this subsection, the Borrower shall have delivered to the Administrative Agent for distribution to each of the Lenders a Compliance Certificate, calculated on a pro forma basis based on information then available to the Borrower, evidencing the continued compliance by Parent, the Borrower and the Subsidiaries with the terms and conditions of this Agreement and the other Loan Documents, including, without limitation, the financial covenants contained in Section 8.20, after giving effect to such consolidation or merger.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8.10.</w:t>
      </w:r>
      <w:bookmarkStart w:id="1771" w:name="_Toc221027888"/>
      <w:bookmarkEnd w:id="1771"/>
      <w:r>
        <w:rPr>
          <w:rFonts w:ascii="Times New Roman;Times;serif" w:hAnsi="Times New Roman;Times;serif"/>
          <w:i w:val="false"/>
          <w:caps w:val="false"/>
          <w:smallCaps w:val="false"/>
          <w:sz w:val="24"/>
          <w:u w:val="single"/>
        </w:rPr>
        <w:t>Maintenance of Subsidiaries</w:t>
      </w:r>
      <w:r>
        <w:rPr>
          <w:rFonts w:ascii="Times New Roman;Times;serif" w:hAnsi="Times New Roman;Times;serif"/>
          <w:i w:val="false"/>
          <w:caps w:val="false"/>
          <w:smallCaps w:val="false"/>
          <w:sz w:val="24"/>
        </w:rPr>
        <w:t xml:space="preserve">.  The Borrower shall not assign, sell or transfer, nor shall it permit any Material Subsidiary to issue, assign, sell or transfer, any shares of capital stock or other equity interests of a Material Subsidiary;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8.11.</w:t>
      </w:r>
      <w:bookmarkStart w:id="1772" w:name="_Toc221027889"/>
      <w:bookmarkEnd w:id="1772"/>
      <w:r>
        <w:rPr>
          <w:rFonts w:ascii="Times New Roman;Times;serif" w:hAnsi="Times New Roman;Times;serif"/>
          <w:i w:val="false"/>
          <w:caps w:val="false"/>
          <w:smallCaps w:val="false"/>
          <w:sz w:val="24"/>
          <w:u w:val="single"/>
        </w:rPr>
        <w:t>ERISA</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Properties or other assets.  Upon the Borrower or a Subsidiary obtaining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8.12.</w:t>
      </w:r>
      <w:bookmarkStart w:id="1773" w:name="_Toc221027890"/>
      <w:bookmarkEnd w:id="1773"/>
      <w:r>
        <w:rPr>
          <w:rFonts w:ascii="Times New Roman;Times;serif" w:hAnsi="Times New Roman;Times;serif"/>
          <w:i w:val="false"/>
          <w:caps w:val="false"/>
          <w:smallCaps w:val="false"/>
          <w:sz w:val="24"/>
          <w:u w:val="single"/>
        </w:rPr>
        <w:t>Compliance with Laws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Borrower shall, and shall cause each Subsidiary to, comply in all material respects with the requirements of all federal, state, and local laws, rules, regulations, ordinances and orders applicable to or pertaining to its Properties, assets, or business operations, where any such non-compliance, individually or in the aggregate, could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8.13.</w:t>
      </w:r>
      <w:bookmarkStart w:id="1774" w:name="_Toc221027891"/>
      <w:bookmarkEnd w:id="1774"/>
      <w:r>
        <w:rPr>
          <w:rFonts w:ascii="Times New Roman;Times;serif" w:hAnsi="Times New Roman;Times;serif"/>
          <w:i w:val="false"/>
          <w:caps w:val="false"/>
          <w:smallCaps w:val="false"/>
          <w:sz w:val="24"/>
          <w:u w:val="single"/>
        </w:rPr>
        <w:t>Compliance with Sanctions and Anti-Corruption Laws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Borrower shall at all times comply in all material respects with the requirements of all Sanctions applicable to the Borrower and shall cause each of its Subsidiaries to comply with the requirements of all Sanctions applicable to such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Borrower shall provide the Administrative Agent and the Lenders any information regarding the Borrower, its Affiliates, and its Subsidiaries necessary for the Administrative Agent and the Lenders to comply with all applicable Sanctions, to verify the identity of the Loan Parties</w:t>
      </w:r>
      <w:bookmarkStart w:id="1775" w:name="_DV_M813"/>
      <w:bookmarkEnd w:id="1775"/>
      <w:r>
        <w:rPr>
          <w:rFonts w:ascii="Times New Roman;Times;serif" w:hAnsi="Times New Roman;Times;serif"/>
          <w:sz w:val="24"/>
        </w:rPr>
        <w:t>, or to comply with any Applicable Law, including, without limitation, Section 326 of the Patriot Act at 31 U.S.C. Section 5318; subject however, in the case of Affiliates, to the Borrower’s ability to provide information applicable to them.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(c)If a Responsible Officer of the Borrower obtains actual knowledge or receives any written notice that the Borrower, any Subsidiary of Borrower, or any officer, director or Affiliate of Borrower or any Subsidiary or that any Person that owns or controls any such Person is a Sanctioned Person (such occurrence, an “</w:t>
      </w:r>
      <w:r>
        <w:rPr>
          <w:rFonts w:ascii="Times New Roman;Times;serif" w:hAnsi="Times New Roman;Times;serif"/>
          <w:i/>
          <w:sz w:val="24"/>
        </w:rPr>
        <w:t>OFAC Event”</w:t>
      </w:r>
      <w:r>
        <w:rPr>
          <w:rFonts w:ascii="Times New Roman;Times;serif" w:hAnsi="Times New Roman;Times;serif"/>
          <w:sz w:val="24"/>
        </w:rPr>
        <w: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applicable Sanctions,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applicable Sanctions (including the freezing and/or blocking of assets and reporting such action to OFAC).</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Sanctions, or (ii) in any other manner that would result in a violation of Sanctions or Anti-Corruption Laws by any Person (including any Person participating in the Loans, whether as underwriter, lender, advisor, investor, or otherwise).  No part of the proceeds of the Loan or extensions of credit hereunder will be used, directly or indirectly, in furtherance of an offer, payment, promise to pay, or authorization of the payment or giving of money, or anything else of value, to any Person in violation of applicable Anti-Corruption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(e)Borrower will not, nor will it permit any Subsidiary to, violate any Anti-Corruption Law in any material respect.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(f)Borrower and each Subsidiary will maintain in effect policies and procedures designed to ensure compliance by such Persons, their Subsidiaries, and their respective directors, officers, employees, and agents with applicable Anti-Corruption Laws.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8.14.</w:t>
      </w:r>
      <w:bookmarkStart w:id="1776" w:name="_Toc221027892"/>
      <w:bookmarkEnd w:id="1776"/>
      <w:r>
        <w:rPr>
          <w:rFonts w:ascii="Times New Roman;Times;serif" w:hAnsi="Times New Roman;Times;serif"/>
          <w:i w:val="false"/>
          <w:caps w:val="false"/>
          <w:smallCaps w:val="false"/>
          <w:sz w:val="24"/>
          <w:u w:val="single"/>
        </w:rPr>
        <w:t>Burdensome Contracts With Affiliates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Except (a) compensation, bonus and benefit arrangements with employees, officers and directors approved by Parent’s board of directors or committee thereof, (b) transactions permitted by Section 8.9 hereof, (c) transactions in the ordinary course of business of the Borrower, Parent or its Subsidiaries or (d) transactions approved by the Parent’s board of directors and reasonably acceptable to the Administrative Agent, the Borrower shall not, nor shall it permit Parent or any Subsidiary to, enter into any contract, agreement or business arrangement with any of its Affiliates on terms and conditions which are less favorable to the Borrower, Parent or such Subsidiary than would be usual and customary in similar contracts, agreements or business arrangements between Persons not affiliated with each other.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8.15.</w:t>
      </w:r>
      <w:bookmarkStart w:id="1777" w:name="_Toc221027893"/>
      <w:bookmarkEnd w:id="1777"/>
      <w:r>
        <w:rPr>
          <w:rFonts w:ascii="Times New Roman;Times;serif" w:hAnsi="Times New Roman;Times;serif"/>
          <w:i w:val="false"/>
          <w:caps w:val="false"/>
          <w:smallCaps w:val="false"/>
          <w:sz w:val="24"/>
          <w:u w:val="single"/>
        </w:rPr>
        <w:t>No Changes in Fiscal Year</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Fiscal Year of the Parent and its Subsidiaries ends on December 31</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of each year; and the Borrower shall not, nor shall it permit Parent or any Subsidiary to, change its Fiscal Year from its present basis.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8.16.</w:t>
      </w:r>
      <w:bookmarkStart w:id="1778" w:name="_Toc221027894"/>
      <w:bookmarkEnd w:id="1778"/>
      <w:r>
        <w:rPr>
          <w:rFonts w:ascii="Times New Roman;Times;serif" w:hAnsi="Times New Roman;Times;serif"/>
          <w:i w:val="false"/>
          <w:caps w:val="false"/>
          <w:smallCaps w:val="false"/>
          <w:sz w:val="24"/>
          <w:u w:val="single"/>
        </w:rPr>
        <w:t>Formation of Subsidiaries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Promptly upon the formation or acquisition of any Material Subsidiary, the Borrower shall provide the Administrative Agent and the Lenders notice thereof and timely comply with the requirements of Sections 4.2 and 8.24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8.17.</w:t>
      </w:r>
      <w:bookmarkStart w:id="1779" w:name="_Toc221027895"/>
      <w:bookmarkEnd w:id="1779"/>
      <w:r>
        <w:rPr>
          <w:rFonts w:ascii="Times New Roman;Times;serif" w:hAnsi="Times New Roman;Times;serif"/>
          <w:i w:val="false"/>
          <w:caps w:val="false"/>
          <w:smallCaps w:val="false"/>
          <w:sz w:val="24"/>
          <w:u w:val="single"/>
        </w:rPr>
        <w:t>Change in the Nature of Business</w:t>
      </w:r>
      <w:r>
        <w:rPr>
          <w:rFonts w:ascii="Times New Roman;Times;serif" w:hAnsi="Times New Roman;Times;serif"/>
          <w:i/>
          <w:sz w:val="24"/>
        </w:rPr>
        <w:t>.  </w:t>
      </w:r>
      <w:r>
        <w:rPr>
          <w:rFonts w:ascii="Times New Roman;Times;serif" w:hAnsi="Times New Roman;Times;serif"/>
          <w:i w:val="false"/>
          <w:caps w:val="false"/>
          <w:smallCaps w:val="false"/>
          <w:sz w:val="24"/>
        </w:rPr>
        <w:t>The Borrower shall not, nor shall it permit any Subsidiary to, engage in any business or activity if as a result the general nature of the business of the Borrower or any Subsidiary would be changed in any material respect from the general nature of the business engaged in by it as of the Closing Date.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8.18.</w:t>
      </w:r>
      <w:bookmarkStart w:id="1780" w:name="_Toc221027896"/>
      <w:bookmarkEnd w:id="1780"/>
      <w:r>
        <w:rPr>
          <w:rFonts w:ascii="Times New Roman;Times;serif" w:hAnsi="Times New Roman;Times;serif"/>
          <w:i w:val="false"/>
          <w:caps w:val="false"/>
          <w:smallCaps w:val="false"/>
          <w:sz w:val="24"/>
          <w:u w:val="single"/>
        </w:rPr>
        <w:t>Use of Proceeds</w:t>
      </w:r>
      <w:r>
        <w:rPr>
          <w:rFonts w:ascii="Times New Roman;Times;serif" w:hAnsi="Times New Roman;Times;serif"/>
          <w:i w:val="false"/>
          <w:caps w:val="false"/>
          <w:smallCaps w:val="false"/>
          <w:sz w:val="24"/>
        </w:rPr>
        <w:t>.  The Borrower shall use the credit extended under this Agreement solely for the purposes set forth in, or otherwise permitted by, Section 6.4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8.19.</w:t>
      </w:r>
      <w:bookmarkStart w:id="1781" w:name="_Toc221027897"/>
      <w:bookmarkEnd w:id="1781"/>
      <w:r>
        <w:rPr>
          <w:rFonts w:ascii="Times New Roman;Times;serif" w:hAnsi="Times New Roman;Times;serif"/>
          <w:i w:val="false"/>
          <w:caps w:val="false"/>
          <w:smallCaps w:val="false"/>
          <w:sz w:val="24"/>
          <w:u w:val="single"/>
        </w:rPr>
        <w:t>No Restrictions</w:t>
      </w:r>
      <w:r>
        <w:rPr>
          <w:rFonts w:ascii="Times New Roman;Times;serif" w:hAnsi="Times New Roman;Times;serif"/>
          <w:i w:val="false"/>
          <w:caps w:val="false"/>
          <w:smallCaps w:val="false"/>
          <w:sz w:val="24"/>
        </w:rPr>
        <w:t>.  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Subsidiary’s capital stock or other equity interests owned by the Borrower or any other Subsidiary (other than limitations on Restricted Payments comparable to those in Section 8.25 in any documentation evidencing any Other Unsecured Indebtedness), (b) pay any indebtedness owed to the Borrower or any other Subsidiary, (c) make loans or advances to the Borrower or any other Subsidiary, (d) transfer any of its Properties or other assets to the Borrower or any other Subsidiary (other than limitations on transfers comparable to those in Section 8.9 in any documentation evidencing any Other Unsecured Indebtedness)</w:t>
      </w:r>
      <w:r>
        <w:rPr>
          <w:rFonts w:ascii="Times New Roman;Times;serif" w:hAnsi="Times New Roman;Times;serif"/>
          <w:i/>
          <w:sz w:val="24"/>
        </w:rPr>
        <w:t>; provided however, that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8.20.</w:t>
      </w:r>
      <w:bookmarkStart w:id="1782" w:name="_Toc221027898"/>
      <w:bookmarkStart w:id="1783" w:name="_Ref113883288"/>
      <w:bookmarkEnd w:id="1782"/>
      <w:bookmarkEnd w:id="1783"/>
      <w:r>
        <w:rPr>
          <w:rFonts w:ascii="Times New Roman;Times;serif" w:hAnsi="Times New Roman;Times;serif"/>
          <w:i w:val="false"/>
          <w:caps w:val="false"/>
          <w:smallCaps w:val="false"/>
          <w:sz w:val="24"/>
          <w:u w:val="single"/>
        </w:rPr>
        <w:t>Financial Covenants</w:t>
      </w:r>
      <w:r>
        <w:rPr>
          <w:rFonts w:ascii="Times New Roman;Times;serif" w:hAnsi="Times New Roman;Times;serif"/>
          <w:i/>
          <w:sz w:val="24"/>
        </w:rPr>
        <w:t>.</w:t>
      </w:r>
      <w:r>
        <w:rPr>
          <w:rFonts w:ascii="Times New Roman;Times;serif" w:hAnsi="Times New Roman;Times;serif"/>
          <w:i/>
          <w:caps w:val="false"/>
          <w:smallCaps w:val="false"/>
          <w:sz w:val="24"/>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Maximum Total Indebtedness to Total Asset Value Ratio</w:t>
      </w:r>
      <w:r>
        <w:rPr>
          <w:rFonts w:ascii="Times New Roman;Times;serif" w:hAnsi="Times New Roman;Times;serif"/>
          <w:sz w:val="24"/>
        </w:rPr>
        <w:t xml:space="preserve">.  As of the last day of each Fiscal Quarter of the Borrower, the Borrower shall not permit the ratio of Total Indebtedness to Total Asset Value to be greater than 0.60 to 1.00; </w:t>
      </w:r>
      <w:r>
        <w:rPr>
          <w:rFonts w:ascii="Times New Roman;Times;serif" w:hAnsi="Times New Roman;Times;serif"/>
          <w:sz w:val="24"/>
          <w:u w:val="single"/>
        </w:rPr>
        <w:t>provided</w:t>
      </w:r>
      <w:r>
        <w:rPr>
          <w:rFonts w:ascii="Times New Roman;Times;serif" w:hAnsi="Times New Roman;Times;serif"/>
          <w:sz w:val="24"/>
        </w:rPr>
        <w:t>, that such ratio may increase to up to 0.65 to 1.00 in 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8.20(a) or Section 8.20(e) in reliance on this proviso more than two times during the term of this Agreement, and (d) such ratio is not greater than 0.65 to 1.00 at any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Maximum Secured Indebtedness to Total Asset Value Ratio</w:t>
      </w:r>
      <w:r>
        <w:rPr>
          <w:rFonts w:ascii="Times New Roman;Times;serif" w:hAnsi="Times New Roman;Times;serif"/>
          <w:sz w:val="24"/>
        </w:rPr>
        <w:t>.  As of the last day of each Fiscal Quarter of the Borrower, the Borrower shall not permit the ratio of Secured Indebtedness to Total Asset Value to be greater than 0.40 to 1.00.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Minimum EBITDA to Fixed Charges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EBITDA for the applicable Rolling Period to Fixed Charges for such Rolling Period to be less than 1.50 to 1.0.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Maximum Secured Recourse Indebtedness to Total Asset Value Ratio</w:t>
      </w:r>
      <w:r>
        <w:rPr>
          <w:rFonts w:ascii="Times New Roman;Times;serif" w:hAnsi="Times New Roman;Times;serif"/>
          <w:sz w:val="24"/>
        </w:rPr>
        <w:t>.  As of the last day of each Fiscal Quarter of the Borrower, the Borrower shall not permit the ratio of Secured Recourse Indebtedness to Total Asset Value to be greater than 0.10 to 1.0.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Maximum Unsecured Indebtedness to Unencumbered Asset Value Ratio</w:t>
      </w:r>
      <w:r>
        <w:rPr>
          <w:rFonts w:ascii="Times New Roman;Times;serif" w:hAnsi="Times New Roman;Times;serif"/>
          <w:sz w:val="24"/>
        </w:rPr>
        <w:t xml:space="preserve">.  As of the last day of each Fiscal Quarter of the Borrower, the Borrower shall not permit the ratio of Unsecured Indebtedness to Unencumbered Asset Value to be greater than 0.60 to 1.00; </w:t>
      </w:r>
      <w:r>
        <w:rPr>
          <w:rFonts w:ascii="Times New Roman;Times;serif" w:hAnsi="Times New Roman;Times;serif"/>
          <w:sz w:val="24"/>
          <w:u w:val="single"/>
        </w:rPr>
        <w:t>provided</w:t>
      </w:r>
      <w:r>
        <w:rPr>
          <w:rFonts w:ascii="Times New Roman;Times;serif" w:hAnsi="Times New Roman;Times;serif"/>
          <w:sz w:val="24"/>
        </w:rPr>
        <w:t>, that such ratio may increase to up to 0.65 to 1.00 in connection with a Material Acquisition so long as (a) the Borrower completed a Material Acquisition during the quarter in which such ratio first exceeded 0.60 to 1.00, (b) such ratio does not exceed 0.60 to 1.00 for a period of more than three (3) fiscal quarters immediately following the fiscal quarter in which such Material Acquisition was completed, (c) the Borrower has not maintained compliance with this Section 8.20(e) or Section 8.20(a) in reliance on this proviso more than two times during the term of this Agreement, and (d) such ratio is not greater than 0.65 to 1.00 at any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Minimum Income from Unencumbered Assets to Unsecured Interest Expense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(i) the Unencumbered Pool Total Income for the applicable Rolling Period to (ii) Unsecured Interest Expense for such Rolling Period to be less than 1.75 to 1.0</w:t>
      </w:r>
      <w:bookmarkStart w:id="1784" w:name="_Hlk115351521"/>
      <w:bookmarkEnd w:id="1784"/>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Maintenance of Net Worth</w:t>
      </w:r>
      <w:r>
        <w:rPr>
          <w:rFonts w:ascii="Times New Roman;Times;serif" w:hAnsi="Times New Roman;Times;serif"/>
          <w:sz w:val="24"/>
        </w:rPr>
        <w:t>.  The Borrower shall, as of the last day of each Fiscal Quarter, maintain a Tangible Net Worth of not less than the sum of (a) $286,323,349  </w:t>
      </w:r>
      <w:r>
        <w:rPr>
          <w:rFonts w:ascii="Times New Roman;Times;serif" w:hAnsi="Times New Roman;Times;serif"/>
          <w:sz w:val="24"/>
          <w:u w:val="single"/>
        </w:rPr>
        <w:t>plus</w:t>
      </w:r>
      <w:r>
        <w:rPr>
          <w:rFonts w:ascii="Times New Roman;Times;serif" w:hAnsi="Times New Roman;Times;serif"/>
          <w:sz w:val="24"/>
        </w:rPr>
        <w:t xml:space="preserve"> (b) 75% of the aggregate net proceeds received by Parent or any of its Subsidiaries in connection with any offering of Stock or Stock Equivalents of the Borrower, Parent or the Subsidiaries since December 31, 2025.</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8.21.</w:t>
      </w:r>
      <w:bookmarkStart w:id="1785" w:name="_Toc221027899"/>
      <w:bookmarkStart w:id="1786" w:name="_Ref83720982"/>
      <w:bookmarkEnd w:id="1785"/>
      <w:bookmarkEnd w:id="1786"/>
      <w:r>
        <w:rPr>
          <w:rFonts w:ascii="Times New Roman;Times;serif" w:hAnsi="Times New Roman;Times;serif"/>
          <w:i w:val="false"/>
          <w:caps w:val="false"/>
          <w:smallCaps w:val="false"/>
          <w:sz w:val="24"/>
          <w:u w:val="single"/>
        </w:rPr>
        <w:t>Pool Covenants</w:t>
      </w:r>
      <w:r>
        <w:rPr>
          <w:rFonts w:ascii="Times New Roman;Times;serif" w:hAnsi="Times New Roman;Times;serif"/>
          <w:i w:val="false"/>
          <w:caps w:val="false"/>
          <w:smallCaps w:val="false"/>
          <w:sz w:val="24"/>
        </w:rPr>
        <w:t xml:space="preserve">.  The Borrower shall cause the Unencumbered Pool to at all times comply with the Unencumbered Pool Requirements (other than with respect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Unencumbered Assets that may exceed concentration limits but still be included in the Unencumbered Asset Value in compliance with the definition of Unencumbered Pool Requirements) and shall exclude from the calculation of Unencumbered Asset Value any portion of Property NOI, cost, or book value of any Unencumbered Assets attributable to any Unencumbered Assets that exceed the concentration limits set forth in the Unencumbered Pool Requirements or that cease to satisfy the conditions to be Unencumbered Assets.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8.22.</w:t>
      </w:r>
      <w:bookmarkStart w:id="1787" w:name="_Toc221027900"/>
      <w:bookmarkEnd w:id="1787"/>
      <w:r>
        <w:rPr>
          <w:rFonts w:ascii="Times New Roman;Times;serif" w:hAnsi="Times New Roman;Times;serif"/>
          <w:i w:val="false"/>
          <w:caps w:val="false"/>
          <w:smallCaps w:val="false"/>
          <w:sz w:val="24"/>
          <w:u w:val="single"/>
        </w:rPr>
        <w:t>Electronic Delivery of Certain Information</w:t>
      </w:r>
      <w:r>
        <w:rPr>
          <w:rFonts w:ascii="Times New Roman;Times;serif" w:hAnsi="Times New Roman;Times;serif"/>
          <w:i/>
          <w:sz w:val="24"/>
        </w:rPr>
        <w:t>.</w:t>
      </w:r>
      <w:r>
        <w:rPr>
          <w:rFonts w:ascii="Times New Roman;Times;serif" w:hAnsi="Times New Roman;Times;serif"/>
          <w:i/>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(a)Documents, including 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L/C Issuer)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New York time on the opening of business on the next business day for the recipient. Notwithstanding anything contained herein, in every instance the Borrower shall be required to provide paper copies of the certificates required by Sections 8.5(d) and 8.5(e) to the 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(b)Documents required to be delivered pursuant to Section 1 may be delivered electronically to a website provided for such purpose by the Administrative Agent pursuant to the procedures provided to the Borrower by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 This Agreement and any document, amendment, approval, consent, information, notice, certificate, request, statement, disclosure or authorization related to this Agreement (each a “</w:t>
      </w:r>
      <w:r>
        <w:rPr>
          <w:rFonts w:ascii="Times New Roman;Times;serif" w:hAnsi="Times New Roman;Times;serif"/>
          <w:i/>
          <w:sz w:val="24"/>
        </w:rPr>
        <w:t>Communication</w:t>
      </w:r>
      <w:r>
        <w:rPr>
          <w:rFonts w:ascii="Times New Roman;Times;serif" w:hAnsi="Times New Roman;Times;serif"/>
          <w:sz w:val="24"/>
        </w:rPr>
        <w:t xml:space="preserve">”),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Times New Roman;Times;serif" w:hAnsi="Times New Roman;Times;serif"/>
          <w:i/>
          <w:sz w:val="24"/>
        </w:rPr>
        <w:t>Electronic Copy</w:t>
      </w:r>
      <w:r>
        <w:rPr>
          <w:rFonts w:ascii="Times New Roman;Times;serif" w:hAnsi="Times New Roman;Times;serif"/>
          <w:sz w:val="24"/>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val="false"/>
          <w:caps w:val="false"/>
          <w:smallCaps w:val="false"/>
          <w:sz w:val="24"/>
        </w:rPr>
        <w:t>Section 8.23.</w:t>
      </w:r>
      <w:bookmarkStart w:id="1788" w:name="_Toc221027901"/>
      <w:bookmarkEnd w:id="1788"/>
      <w:r>
        <w:rPr>
          <w:rFonts w:ascii="Times New Roman;Times;serif" w:hAnsi="Times New Roman;Times;serif"/>
          <w:i w:val="false"/>
          <w:caps w:val="false"/>
          <w:smallCaps w:val="false"/>
          <w:sz w:val="24"/>
          <w:u w:val="single"/>
        </w:rPr>
        <w:t>Reserved.</w:t>
      </w:r>
      <w:r>
        <w:rPr>
          <w:rFonts w:ascii="Times New Roman;Times;serif" w:hAnsi="Times New Roman;Times;serif"/>
          <w:i/>
          <w:sz w:val="24"/>
        </w:rPr>
        <w:t xml:space="preserve">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8.24.</w:t>
      </w:r>
      <w:bookmarkStart w:id="1789" w:name="_Toc221027902"/>
      <w:bookmarkEnd w:id="1789"/>
      <w:r>
        <w:rPr>
          <w:rFonts w:ascii="Times New Roman;Times;serif" w:hAnsi="Times New Roman;Times;serif"/>
          <w:i w:val="false"/>
          <w:caps w:val="false"/>
          <w:smallCaps w:val="false"/>
          <w:sz w:val="24"/>
          <w:u w:val="single"/>
        </w:rPr>
        <w:t>REIT Status</w:t>
      </w:r>
      <w:r>
        <w:rPr>
          <w:rFonts w:ascii="Times New Roman;Times;serif" w:hAnsi="Times New Roman;Times;serif"/>
          <w:i/>
          <w:sz w:val="24"/>
        </w:rPr>
        <w:t>.</w:t>
      </w:r>
      <w:r>
        <w:rPr>
          <w:rFonts w:ascii="Times New Roman;Times;serif" w:hAnsi="Times New Roman;Times;serif"/>
          <w:i w:val="false"/>
          <w:caps w:val="false"/>
          <w:smallCaps w:val="false"/>
          <w:sz w:val="24"/>
        </w:rPr>
        <w:t>Parent shall maintain its status as a REIT.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8.25.</w:t>
      </w:r>
      <w:bookmarkStart w:id="1790" w:name="_Toc221027903"/>
      <w:bookmarkEnd w:id="1790"/>
      <w:r>
        <w:rPr>
          <w:rFonts w:ascii="Times New Roman;Times;serif" w:hAnsi="Times New Roman;Times;serif"/>
          <w:i w:val="false"/>
          <w:caps w:val="false"/>
          <w:smallCaps w:val="false"/>
          <w:sz w:val="24"/>
          <w:u w:val="single"/>
        </w:rPr>
        <w:t>Restricted Payments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Borrower shall not, nor shall Parent or any Subsidiary to, declare or make any Restricted Payment; </w:t>
      </w:r>
      <w:r>
        <w:rPr>
          <w:rFonts w:ascii="Times New Roman;Times;serif" w:hAnsi="Times New Roman;Times;serif"/>
          <w:i/>
          <w:sz w:val="24"/>
        </w:rPr>
        <w:t>provided</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(a)(i) Parent may declare or make Restricted Payments in cash to its equity holders in an aggregate amount not to exceed the greater of (x) ninety-five percent (95%) of Parent’s Adjusted FFO (excluding any regular distributions to holders of preferred partnership units in Borrower and distributions necessary to pay holders of preferred stock of Parent) for each Rolling Period (commencing with the Rolling Period ending on December 31, 2025), or (y) the amount necessary for Parent to be able to make Restricted Payments required to maintain its status as a REIT and to avoid the imposition of any federal or state income tax, and to avoid the imposition of the excise tax described by Section 4981 of the Code, in each case on Parent;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in either case, during the continuance of an Event of Default, (A) Restricted Payments made pursuant to this clause (a) shall not exceed the amounts described in clause (y), and (B) no other cash Restricted Payments will be permitted;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Borrower may make Restricted Payments ratably to the holders of its Equity Interests to permit Parent to make the Restricted Payments permitted under clause (a) above;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(c)each Subsidiary may make Restricted Payments ratably to the holders of its Equity Interests;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(d)Parent, 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(e)Parent, the Borrower and each Guarantor may make cash payments in lieu of the issuance of fractional shares representing insignificant interests in connection with the exercise of warrants, options or other securities convertible into or exchangeable for equity interests of Parent, the Borrower or any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(f)so long as no Change of Control results therefrom, Parent,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(g)so long as no Change of Control results therefrom, the Borrower and each Subsidiary that is a Guarantor may make dividends or distributions to allow Parent to make payments in connection with share purchase programs, to the extent not otherwise prohibited by the terms of this Agreement;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(h)Parent may exercise any redemption or conversion rights with respect to its Equity Interests in accordance with the terms of the governing documents setting out any such rights and, to the extent paid in cash from sources other than a concurrent offering of Equity Interests of the Parent, subject to Section 8.25(a).</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8.26.</w:t>
      </w:r>
      <w:bookmarkStart w:id="1791" w:name="_Toc221027904"/>
      <w:bookmarkEnd w:id="1791"/>
      <w:r>
        <w:rPr>
          <w:rFonts w:ascii="Times New Roman;Times;serif" w:hAnsi="Times New Roman;Times;serif"/>
          <w:i w:val="false"/>
          <w:caps w:val="false"/>
          <w:smallCaps w:val="false"/>
          <w:sz w:val="24"/>
          <w:u w:val="single"/>
        </w:rPr>
        <w:t>Other Unsecured Indebtedness Guarantees</w:t>
      </w:r>
      <w:r>
        <w:rPr>
          <w:rFonts w:ascii="Times New Roman;Times;serif" w:hAnsi="Times New Roman;Times;serif"/>
          <w:i w:val="false"/>
          <w:caps w:val="false"/>
          <w:smallCaps w:val="false"/>
          <w:sz w:val="24"/>
        </w:rPr>
        <w:t xml:space="preserve">.  No Subsidiary shall guaranty the payment of, or agree to enter into a guaranty of the payment of, any Other Unsecured Indebtedness without simultaneously entering into and delivering to the Administrative Agent, for the benefit of the Lenders, a comparable guaranty of the payment of the Obligations; provided, that the foregoing shall not restrict or prohibit any Subsidiary guaranty of any Property level Indebtedness for Borrowed Money which otherwise remains in compliance with Section 8.20.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8.27.</w:t>
      </w:r>
      <w:bookmarkStart w:id="1792" w:name="_Toc221027905"/>
      <w:bookmarkEnd w:id="1792"/>
      <w:r>
        <w:rPr>
          <w:rFonts w:ascii="Times New Roman;Times;serif" w:hAnsi="Times New Roman;Times;serif"/>
          <w:i w:val="false"/>
          <w:caps w:val="false"/>
          <w:smallCaps w:val="false"/>
          <w:sz w:val="24"/>
          <w:u w:val="single"/>
        </w:rPr>
        <w:t>Outbound Investment Rules</w:t>
      </w:r>
      <w:r>
        <w:rPr>
          <w:rFonts w:ascii="Times New Roman;Times;serif" w:hAnsi="Times New Roman;Times;serif"/>
          <w:i w:val="false"/>
          <w:caps w:val="false"/>
          <w:smallCaps w:val="false"/>
          <w:sz w:val="24"/>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and the Lenders to be in violation of the Outbound Investment Rules or cause the Administrative Agent and the Lenders to be legally prohibited by the Outbound Investment Rules from performing under this Agreement.</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9.</w:t>
      </w:r>
      <w:bookmarkStart w:id="1793" w:name="_Toc221027906"/>
      <w:bookmarkEnd w:id="1793"/>
      <w:r>
        <w:rPr>
          <w:rFonts w:ascii="Times New Roman;Times;serif" w:hAnsi="Times New Roman;Times;serif"/>
          <w:caps/>
          <w:sz w:val="24"/>
        </w:rPr>
        <w:t>EVENTS OF DEFAULT AND REMEDIES.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9.1.</w:t>
      </w:r>
      <w:bookmarkStart w:id="1794" w:name="_Toc221027907"/>
      <w:bookmarkEnd w:id="1794"/>
      <w:r>
        <w:rPr>
          <w:rFonts w:ascii="Times New Roman;Times;serif" w:hAnsi="Times New Roman;Times;serif"/>
          <w:i w:val="false"/>
          <w:caps w:val="false"/>
          <w:smallCaps w:val="false"/>
          <w:sz w:val="24"/>
          <w:u w:val="single"/>
        </w:rPr>
        <w:t>Events of Default</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Any one or more of the following shall constitute an </w:t>
      </w:r>
      <w:r>
        <w:rPr>
          <w:rFonts w:ascii="Times New Roman;Times;serif" w:hAnsi="Times New Roman;Times;serif"/>
          <w:i/>
          <w:sz w:val="24"/>
        </w:rPr>
        <w:t>“Event of Default”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(a)default in the payment when due of all or any part of the principal of any Loan (whether at the stated maturity thereof or at any other time provided for in this Agreement, including a mandatory prepayment required by Section 1.8(b)) or of any Reimbursement Obligation; or default for a period of three (3) Business Days in the payment when due of any interest, fee or other Obligation payable hereunder or under any other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(b)default in the observance or performance of any covenant set forth in Sections 8.1 (only with respect to the first sentence thereof), 8.5 (for a period of five (5) days), 8.7, 8.8, 8.9, 8.10, 8.13, 8.20, 8.21 (if not replaced with another Eligible Asset or Eligible Assets in accordance with Section 7.3 hereof within ten (10) Business Days after the period of notice required by Section 7.3), 8.23, or 8.25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w:t>
      </w:r>
      <w:r>
        <w:rPr>
          <w:rFonts w:ascii="Times New Roman;Times;serif" w:hAnsi="Times New Roman;Times;serif"/>
          <w:i/>
          <w:sz w:val="24"/>
        </w:rPr>
        <w:t>provided, however</w:t>
      </w:r>
      <w:r>
        <w:rPr>
          <w:rFonts w:ascii="Times New Roman;Times;serif" w:hAnsi="Times New Roman;Times;serif"/>
          <w:sz w:val="24"/>
        </w:rPr>
        <w:t xml:space="preserve">, if such a default is susceptible of cure but cannot reasonably be cured within such thirty (30) day period and provided further that the Borrower shall have commenced to cure 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Times New Roman;Times;serif" w:hAnsi="Times New Roman;Times;serif"/>
          <w:i/>
          <w:sz w:val="24"/>
        </w:rPr>
        <w:t xml:space="preserve">provided, </w:t>
      </w:r>
      <w:r>
        <w:rPr>
          <w:rFonts w:ascii="Times New Roman;Times;serif" w:hAnsi="Times New Roman;Times;serif"/>
          <w:sz w:val="24"/>
        </w:rPr>
        <w:t xml:space="preserve">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 except as expressly permitted by the terms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(f)default and expiration of any cure periods related thereto shall occur under (x) any nonrecourse Indebtedness for Borrowed Money issued, assumed or guaranteed by the Borrower or any Subsidiary aggregating in excess of $30,000,000 or (y) any recourse Indebtedness for Borrowed Money issued, assumed or guaranteed by the Borrower or any Subsidiary aggregating in excess of $10,000,000, or a default and expiration of any cure periods related thereto, shall occur under any indenture, agreement or other instrument under which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(g)any judgment or judgments, writ or writs or warrant or warrants of attachment, or any similar process or processes, shall be entered or filed against the Borrower or any Subsidiary, or against any of its Properties or other assets, in an aggregate amount in excess of $5,000,000 (except to the extent fully covered by insurance pursuant to which the insurer has accepted liability therefor in writing), and which remains undischarged, unvacated, unbonded or unstayed for a period of thirty (30) days;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Times New Roman;Times;serif" w:hAnsi="Times New Roman;Times;serif"/>
          <w:i/>
          <w:sz w:val="24"/>
        </w:rPr>
        <w:t>Material Plan”</w:t>
      </w:r>
      <w:r>
        <w:rPr>
          <w:rFonts w:ascii="Times New Roman;Times;serif" w:hAnsi="Times New Roman;Times;serif"/>
          <w:sz w:val="24"/>
        </w:rPr>
        <w:t xml:space="preserve">)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(i)any Change of Control shall occur;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Properties or other assets,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(k)a custodian, receiver, trustee, examiner, liquidator or similar official shall be appointed for the Borrower or any Subsidiary, or any substantial part of any of its Properties or other assets, or a proceeding described in Section 9.1(j)(v) shall be instituted against the Borrower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or any Subsidiary, and such appointment continues undischarged or such proceeding continues undismissed or unstayed for a period of sixty (60) days;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(l)the Common Stock of Parent fails to be duly listed on the New York Stock Exchange, the NYSE American or The NASDAQ Stock Market;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the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9.2.</w:t>
      </w:r>
      <w:bookmarkStart w:id="1795" w:name="_Toc221027908"/>
      <w:bookmarkEnd w:id="1795"/>
      <w:r>
        <w:rPr>
          <w:rFonts w:ascii="Times New Roman;Times;serif" w:hAnsi="Times New Roman;Times;serif"/>
          <w:i w:val="false"/>
          <w:caps w:val="false"/>
          <w:smallCaps w:val="false"/>
          <w:sz w:val="24"/>
          <w:u w:val="single"/>
        </w:rPr>
        <w:t>Non-Bankruptcy Defaults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Required Lenders, declare the principal of and the accrued interest on all outstanding Term Loans and Incremental Term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Lenders, demand that the Borrower immediately pay to the Administrative Agent the full amount then available for drawing under each or any Letter of Credit, and the Borrower agrees to immediately make such payment.  The Administrative Agent, after giving notice to the Borrower pursuant to Section 9.1(c) or this Section 9.2, shall also promptly send a copy of such notice to the other Lenders, but the failure to do so shall not impair or annul the effect of such notice.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9.3.</w:t>
      </w:r>
      <w:bookmarkStart w:id="1796" w:name="_Toc221027909"/>
      <w:bookmarkEnd w:id="1796"/>
      <w:r>
        <w:rPr>
          <w:rFonts w:ascii="Times New Roman;Times;serif" w:hAnsi="Times New Roman;Times;serif"/>
          <w:i w:val="false"/>
          <w:caps w:val="false"/>
          <w:smallCaps w:val="false"/>
          <w:sz w:val="24"/>
          <w:u w:val="single"/>
        </w:rPr>
        <w:t>Bankruptcy Defaults</w:t>
      </w:r>
      <w:r>
        <w:rPr>
          <w:rFonts w:ascii="Times New Roman;Times;serif" w:hAnsi="Times New Roman;Times;serif"/>
          <w:i w:val="false"/>
          <w:caps w:val="false"/>
          <w:smallCaps w:val="false"/>
          <w:sz w:val="24"/>
        </w:rPr>
        <w:t>.  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 and the Borrower shall immediately pay to the Administrative Agent the full amount then available for drawing under all outstanding Letters of Credit.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9.4.</w:t>
      </w:r>
      <w:bookmarkStart w:id="1797" w:name="_Toc221027910"/>
      <w:bookmarkEnd w:id="1797"/>
      <w:r>
        <w:rPr>
          <w:rFonts w:ascii="Times New Roman;Times;serif" w:hAnsi="Times New Roman;Times;serif"/>
          <w:i w:val="false"/>
          <w:caps w:val="false"/>
          <w:smallCaps w:val="false"/>
          <w:sz w:val="24"/>
          <w:u w:val="single"/>
        </w:rPr>
        <w:t>Collateral for Undrawn Letters of Credit</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the prepayment of the amount available for drawing under any or all outstanding Letters of Credit is required under Section 1.8(b), Section 1.14, Section 9.2 or Section 9.3 above, the Borrower shall forthwith pay one hundred three percent (103%) of the amount required to be so prepaid (to cash collateralize fees and interest as well as the amount of the Letter of Credit), to be held by the Administrative Agent as provided in subsection (b) below.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(b)All amounts prepaid pursuant to subsection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Times;serif" w:hAnsi="Times New Roman;Times;serif"/>
          <w:i/>
          <w:sz w:val="24"/>
        </w:rPr>
        <w:t>Collateral Account”</w:t>
      </w:r>
      <w:r>
        <w:rPr>
          <w:rFonts w:ascii="Times New Roman;Times;serif" w:hAnsi="Times New Roman;Times;serif"/>
          <w:sz w:val="24"/>
        </w:rPr>
        <w:t xml:space="preserve">) as security for, and for application by the Administrative Agent (to the extent available) to, the reimbursement of any payment under any Letter of Credit then or thereafter made by the L/C Issuer, and to the payment of the unpaid balance of all other Obligations (and to all Hedging Liability and Funds Transfer and Deposit Account Liability).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w:t>
      </w:r>
      <w:r>
        <w:rPr>
          <w:rFonts w:ascii="Times New Roman;Times;serif" w:hAnsi="Times New Roman;Times;serif"/>
          <w:i/>
          <w:sz w:val="24"/>
        </w:rPr>
        <w:t>provided</w:t>
      </w:r>
      <w:r>
        <w:rPr>
          <w:rFonts w:ascii="Times New Roman;Times;serif" w:hAnsi="Times New Roman;Times;serif"/>
          <w:sz w:val="24"/>
        </w:rPr>
        <w:t xml:space="preserve"> that the Administrative Agent is irrevocably authorized to sell investments held in the Collateral Account when and as required to make payments out of the Collateral Account for application to amounts then due and owing from the Borrower to the L/C Issuer, the Administrative Agent or the Lenders; </w:t>
      </w:r>
      <w:r>
        <w:rPr>
          <w:rFonts w:ascii="Times New Roman;Times;serif" w:hAnsi="Times New Roman;Times;serif"/>
          <w:i/>
          <w:sz w:val="24"/>
        </w:rPr>
        <w:t>provided, however,</w:t>
      </w:r>
      <w:r>
        <w:rPr>
          <w:rFonts w:ascii="Times New Roman;Times;serif" w:hAnsi="Times New Roman;Times;serif"/>
          <w:sz w:val="24"/>
        </w:rPr>
        <w:t xml:space="preserve"> that (i) if the Borrower shall have made payment of all obligations referred to in subsection (a) above required under Section 1.8(b) and Section 1.14 hereof, if any, at the request of the Borrower the Administrative Agent shall release to the Borrower amounts held in the Collateral Account so long as at the time of the release and after giving effect thereto no Default or Event of Default exists and, in the case of Section 1.14 hereof, the Defaulting Lender Period with respect to the relevant Defaulting Lender has terminated, and (ii) if the Borrower shall have made payment of all obligations referred to in subsection (a) above required under Section 9.2 or 9.3 hereof, so long as no Letters of Credit, Revolving Credit Commitments, Revolving Loans or other Obligations, Hedging Liability, or Funds Transfer and Deposit Account Liability remain outstanding, at the request of the Borrower the Administrative Agent shall release to the Borrower any remaining amounts held in the Collateral Account.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9.5.</w:t>
      </w:r>
      <w:bookmarkStart w:id="1798" w:name="_Toc221027911"/>
      <w:bookmarkStart w:id="1799" w:name="_Toc69823633"/>
      <w:bookmarkEnd w:id="1798"/>
      <w:bookmarkEnd w:id="1799"/>
      <w:r>
        <w:rPr>
          <w:rFonts w:ascii="Times New Roman;Times;serif" w:hAnsi="Times New Roman;Times;serif"/>
          <w:i w:val="false"/>
          <w:caps w:val="false"/>
          <w:smallCaps w:val="false"/>
          <w:sz w:val="24"/>
          <w:u w:val="single"/>
        </w:rPr>
        <w:t>Notice of Default</w:t>
      </w:r>
      <w:r>
        <w:rPr>
          <w:rFonts w:ascii="Times New Roman;Times;serif" w:hAnsi="Times New Roman;Times;serif"/>
          <w:i w:val="false"/>
          <w:caps w:val="false"/>
          <w:smallCaps w:val="false"/>
          <w:sz w:val="24"/>
        </w:rPr>
        <w:t>.  The Administrative Agent shall give notice to the Borrower under Section 9.1 hereof promptly upon being requested to do so by any Lender and shall thereupon notify all the Lenders thereof.</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10.</w:t>
      </w:r>
      <w:bookmarkStart w:id="1800" w:name="_Toc221027912"/>
      <w:bookmarkEnd w:id="1800"/>
      <w:r>
        <w:rPr>
          <w:rFonts w:ascii="Times New Roman;Times;serif" w:hAnsi="Times New Roman;Times;serif"/>
          <w:caps/>
          <w:sz w:val="24"/>
        </w:rPr>
        <w:t>Change in Circumstances.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10.1.</w:t>
      </w:r>
      <w:bookmarkStart w:id="1801" w:name="_Toc221027913"/>
      <w:bookmarkEnd w:id="1801"/>
      <w:r>
        <w:rPr>
          <w:rFonts w:ascii="Times New Roman;Times;serif" w:hAnsi="Times New Roman;Times;serif"/>
          <w:i w:val="false"/>
          <w:caps w:val="false"/>
          <w:smallCaps w:val="false"/>
          <w:sz w:val="24"/>
          <w:u w:val="single"/>
        </w:rPr>
        <w:t>Change of Law</w:t>
      </w:r>
      <w:r>
        <w:rPr>
          <w:rFonts w:ascii="Times New Roman;Times;serif" w:hAnsi="Times New Roman;Times;serif"/>
          <w:i w:val="false"/>
          <w:caps w:val="false"/>
          <w:smallCaps w:val="false"/>
          <w:sz w:val="24"/>
        </w:rPr>
        <w:t xml:space="preserve">.  Notwithstanding any other provisions of this Agreement or any other Loan Document, if at any time any Change in Law makes it unlawful for any Lender to make or continue to maintain any SOFR Loans or to perform its obligations as contemplated hereby related to SOFR Loans, such Lender shall promptly give written notice thereof to the Borrower and such Lender’s obligations to make or maintain SOFR Loans under this Agreement shall be suspended until it is no longer unlawful for such Lender to make or maintain SOFR Loans.  The Borrower shall promptly prepay the outstanding principal amount of any such affected SOFR Loans, together with all interest accrued thereon and all other amounts then due and payable to such Lender under this Agreement or, subject to all of the terms and conditions of this Agreement, convert such affected SOFR Loans into Base Rate Loans;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subject to all of the terms and conditions of this Agreement (unless the affected SOFR Loans are converted into Base Rate Loans), the Borrower may then elect to borrow the principal amount of the affected SOFR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Loans from such Lender by means of Base Rate Loans from such Lender, which Base Rate Loans shall not be made ratably by the Lenders but only from such affected Lender.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10.2.</w:t>
      </w:r>
      <w:bookmarkStart w:id="1802" w:name="_Toc221027914"/>
      <w:bookmarkStart w:id="1803" w:name="_Ref99960797"/>
      <w:bookmarkStart w:id="1804" w:name="_Toc97558778"/>
      <w:bookmarkStart w:id="1805" w:name="_Toc93574619"/>
      <w:bookmarkStart w:id="1806" w:name="_Ref93525415"/>
      <w:bookmarkStart w:id="1807" w:name="_Toc81414265"/>
      <w:bookmarkStart w:id="1808" w:name="_Ref17150935"/>
      <w:bookmarkStart w:id="1809" w:name="_Ref16685928"/>
      <w:bookmarkStart w:id="1810" w:name="_Ref16685467"/>
      <w:bookmarkStart w:id="1811" w:name="_Ref524347559"/>
      <w:bookmarkStart w:id="1812" w:name="_Ref524347558"/>
      <w:bookmarkStart w:id="1813" w:name="_Ref524347557"/>
      <w:bookmarkStart w:id="1814" w:name="_Toc128299749"/>
      <w:bookmarkEnd w:id="1802"/>
      <w:bookmarkEnd w:id="1803"/>
      <w:bookmarkEnd w:id="1804"/>
      <w:bookmarkEnd w:id="1805"/>
      <w:bookmarkEnd w:id="1806"/>
      <w:bookmarkEnd w:id="1807"/>
      <w:bookmarkEnd w:id="1808"/>
      <w:bookmarkEnd w:id="1809"/>
      <w:bookmarkEnd w:id="1810"/>
      <w:bookmarkEnd w:id="1811"/>
      <w:bookmarkEnd w:id="1812"/>
      <w:bookmarkEnd w:id="1813"/>
      <w:bookmarkEnd w:id="1814"/>
      <w:r>
        <w:rPr>
          <w:rFonts w:ascii="Times New Roman;Times;serif" w:hAnsi="Times New Roman;Times;serif"/>
          <w:i w:val="false"/>
          <w:caps w:val="false"/>
          <w:smallCaps w:val="false"/>
          <w:sz w:val="24"/>
          <w:u w:val="single"/>
        </w:rPr>
        <w:t>Temporary Inability to Determine Rates Alternate Rate of Interest</w:t>
      </w:r>
      <w:r>
        <w:rPr>
          <w:rFonts w:ascii="Times New Roman;Times;serif" w:hAnsi="Times New Roman;Times;serif"/>
          <w:i w:val="false"/>
          <w:caps w:val="false"/>
          <w:smallCaps w:val="false"/>
          <w:sz w:val="24"/>
        </w:rPr>
        <w:t>.  If (A) the Administrative Agent determines (which determination shall be conclusive and binding absent manifest error) that Daily Simple SOFR or Term SOFR cannot be determined pursuant to the definition thereof or (B) the Required Lenders determine that for any reason in connection with any request for a SOFR Loan or a conversion thereto or a continuation thereof that Daily Simple SOFR or Term SOFR for any requested Interest Period with respect to a proposed SOFR Loan does not adequately and fairly reflect the cost to such Lenders of funding such Loan, and the Required Lenders have provided notice of such determination to the Administrative Agent, in each case of (A) and (B), on or prior to the first day of any Interest Period, the Administrative Agent will promptly so notify the Borrower and each Lender.  Upon notice thereof by the Administrative Agent to the Borrower, (i) any obligation of the Lenders to make or continue the applicable SOFR Loans or to convert Base Rate Loans to SOFR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borrowing of, conversion to or continuation of any applicable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in respect of Term SOFR Loans, or immediately in respect of Daily Simple SOFR Loans.  Upon any such conversion, the Borrower shall also pay accrued interest on the amount so converted, together with any additional amounts required pursuant to Section 1.11.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10.3.</w:t>
      </w:r>
      <w:bookmarkStart w:id="1815" w:name="_Toc221027915"/>
      <w:bookmarkEnd w:id="1815"/>
      <w:r>
        <w:rPr>
          <w:rFonts w:ascii="Times New Roman;Times;serif" w:hAnsi="Times New Roman;Times;serif"/>
          <w:i w:val="false"/>
          <w:caps w:val="false"/>
          <w:smallCaps w:val="false"/>
          <w:sz w:val="24"/>
          <w:u w:val="single"/>
        </w:rPr>
        <w:t>Increased Cost and Reduced Return</w:t>
      </w:r>
      <w:r>
        <w:rPr>
          <w:rFonts w:ascii="Times New Roman;Times;serif" w:hAnsi="Times New Roman;Times;serif"/>
          <w:i w:val="false"/>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any Change in Law shall: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(i)subject any Lender (or its Lending Office) to any Tax (other than (A) Indemnified Taxes, (B) Taxes described in clauses (b) through (d) of the definition of Excluded Taxes, and (C) Connection Income Taxes) with respect to its SOFR Loans, its Notes or any other amounts due under this Agreement or any other Loan Document in respect of its SOFR Loans, (except for changes in the basis or rate of (A) Indemnified Taxes, (B) Taxes described in clauses (b) through (d) of the definition of Excluded Taxes and (C) Connection Income Taxes); 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and Lender (or its Lending Office)or on the interbank market any other condition affecting its SOFR Loans, it Notes or its obligations to make SOFR Loans;</w:t>
      </w:r>
    </w:p>
    <w:p>
      <w:pPr>
        <w:pStyle w:val="TextBody"/>
        <w:bidi w:val="0"/>
        <w:spacing w:before="0" w:after="240"/>
        <w:ind w:left="0" w:right="0" w:hanging="0"/>
        <w:jc w:val="both"/>
        <w:rPr>
          <w:rFonts w:ascii="Times" w:hAnsi="Times"/>
          <w:sz w:val="24"/>
        </w:rPr>
      </w:pPr>
      <w:r>
        <w:rPr>
          <w:rFonts w:ascii="Times" w:hAnsi="Times"/>
          <w:sz w:val="24"/>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 certificate of a Lender claiming compensation under Sections 1.11, 10.1, 10.3 and 12.1 and setting forth the additional amount or amounts to be paid to it hereunder shall be conclusive if reasonably determined.  In determining such amount, such Lender may use any reasonable averaging and attribution methods.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(d)Failure or delay on the part of any Lender to demand compensation pursuant to this Section shall not constitute a waiver of such Lender’s right to demand such compensation; </w:t>
      </w:r>
      <w:r>
        <w:rPr>
          <w:rFonts w:ascii="Times New Roman;Times;serif" w:hAnsi="Times New Roman;Times;serif"/>
          <w:i/>
          <w:sz w:val="24"/>
        </w:rPr>
        <w:t>provided</w:t>
      </w:r>
      <w:r>
        <w:rPr>
          <w:rFonts w:ascii="Times New Roman;Times;serif" w:hAnsi="Times New Roman;Times;serif"/>
          <w:sz w:val="24"/>
        </w:rPr>
        <w:t xml:space="preserve">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10.4.</w:t>
      </w:r>
      <w:bookmarkStart w:id="1816" w:name="_Toc221027916"/>
      <w:bookmarkEnd w:id="1816"/>
      <w:r>
        <w:rPr>
          <w:rFonts w:ascii="Times New Roman;Times;serif" w:hAnsi="Times New Roman;Times;serif"/>
          <w:i w:val="false"/>
          <w:caps w:val="false"/>
          <w:smallCaps w:val="false"/>
          <w:sz w:val="24"/>
          <w:u w:val="single"/>
        </w:rPr>
        <w:t>Lending Offices</w:t>
      </w:r>
      <w:r>
        <w:rPr>
          <w:rFonts w:ascii="Times New Roman;Times;serif" w:hAnsi="Times New Roman;Times;serif"/>
          <w:i w:val="false"/>
          <w:caps w:val="false"/>
          <w:smallCaps w:val="false"/>
          <w:sz w:val="24"/>
        </w:rPr>
        <w:t xml:space="preserve">.  Each Lender may, at its option, elect to make its Loans hereunder at the branch, office or affiliate specified on the appropriate signature page hereof (each a </w:t>
      </w:r>
      <w:r>
        <w:rPr>
          <w:rFonts w:ascii="Times New Roman;Times;serif" w:hAnsi="Times New Roman;Times;serif"/>
          <w:i/>
          <w:sz w:val="24"/>
        </w:rPr>
        <w:t>“Lending Office”</w:t>
      </w:r>
      <w:r>
        <w:rPr>
          <w:rFonts w:ascii="Times New Roman;Times;serif" w:hAnsi="Times New Roman;Times;serif"/>
          <w:i w:val="false"/>
          <w:caps w:val="false"/>
          <w:smallCaps w:val="false"/>
          <w:sz w:val="24"/>
        </w:rPr>
        <w:t xml:space="preserve">)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Loans to reduce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liability of the Borrower to such Lender under Section 10.3 hereof or to avoid the unavailability of SOFR Loans under Section 10.2 hereof, so long as such designation is not otherwise disadvantageous to the Lender.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10.5.</w:t>
      </w:r>
      <w:bookmarkStart w:id="1817" w:name="_Toc221027917"/>
      <w:bookmarkEnd w:id="1817"/>
      <w:r>
        <w:rPr>
          <w:rFonts w:ascii="Times New Roman;Times;serif" w:hAnsi="Times New Roman;Times;serif"/>
          <w:i w:val="false"/>
          <w:caps w:val="false"/>
          <w:smallCaps w:val="false"/>
          <w:sz w:val="24"/>
          <w:u w:val="single"/>
        </w:rPr>
        <w:t>Discretion of Lender as to Manner of Funding</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SOFR Loans shall be made as if each Lender had actually funded and maintained each SOFR Loan through the purchase of deposits in the applicable interbank market having a maturity corresponding to such Loan’s Interest Period, and bearing an interest rate equal to the applicable SOFR for any applicable Interest Period.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10.6.</w:t>
      </w:r>
      <w:bookmarkStart w:id="1818" w:name="_Toc93574626"/>
      <w:bookmarkStart w:id="1819" w:name="_Ref93524401"/>
      <w:bookmarkStart w:id="1820" w:name="_Toc221027918"/>
      <w:bookmarkStart w:id="1821" w:name="_Ref99960761"/>
      <w:bookmarkStart w:id="1822" w:name="_Toc97558786"/>
      <w:bookmarkEnd w:id="1818"/>
      <w:bookmarkEnd w:id="1819"/>
      <w:bookmarkEnd w:id="1820"/>
      <w:bookmarkEnd w:id="1821"/>
      <w:bookmarkEnd w:id="1822"/>
      <w:r>
        <w:rPr>
          <w:rFonts w:ascii="Times New Roman;Times;serif" w:hAnsi="Times New Roman;Times;serif"/>
          <w:i w:val="false"/>
          <w:caps w:val="false"/>
          <w:smallCaps w:val="false"/>
          <w:sz w:val="24"/>
          <w:u w:val="single"/>
        </w:rPr>
        <w:t>Permanent Inability to Determine Rate; Benchmark Replacement</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823" w:name="_Ref93524393"/>
      <w:bookmarkEnd w:id="1823"/>
      <w:r>
        <w:rPr>
          <w:rFonts w:ascii="Times New Roman;Times;serif" w:hAnsi="Times New Roman;Times;serif"/>
          <w:sz w:val="24"/>
          <w:u w:val="single"/>
        </w:rPr>
        <w:t>Benchmark Replacement</w:t>
      </w:r>
      <w:r>
        <w:rPr>
          <w:rFonts w:ascii="Times New Roman;Times;serif" w:hAnsi="Times New Roman;Times;serif"/>
          <w:sz w:val="24"/>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Boston, Massachusetts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Benchmark Replacement Conforming Changes</w:t>
      </w:r>
      <w:r>
        <w:rPr>
          <w:rFonts w:ascii="Times New Roman;Times;serif" w:hAnsi="Times New Roman;Times;serif"/>
          <w:sz w:val="24"/>
        </w:rPr>
        <w: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Notices; Standards for Decisions and Determinations</w:t>
      </w:r>
      <w:r>
        <w:rPr>
          <w:rFonts w:ascii="Times New Roman;Times;serif" w:hAnsi="Times New Roman;Times;serif"/>
          <w:sz w:val="24"/>
        </w:rPr>
        <w:t>.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1824" w:name="_Ref93525364"/>
      <w:bookmarkEnd w:id="1824"/>
      <w:r>
        <w:rPr>
          <w:rFonts w:ascii="Times New Roman;Times;serif" w:hAnsi="Times New Roman;Times;serif"/>
          <w:sz w:val="24"/>
          <w:u w:val="single"/>
        </w:rPr>
        <w:t>Unavailability of Tenor of Benchmark</w:t>
      </w:r>
      <w:r>
        <w:rPr>
          <w:rFonts w:ascii="Times New Roman;Times;serif" w:hAnsi="Times New Roman;Times;serif"/>
          <w:sz w:val="24"/>
        </w:rPr>
        <w:t xml:space="preserve">.  Notwithstanding anything to the contrary herein or in any other Loan Document, at any time (including in connection with the implementation of a Benchmark Replacement), (i) if any then-current Benchmark is a term rate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Benchmark Unavailability Period</w:t>
      </w:r>
      <w:r>
        <w:rPr>
          <w:rFonts w:ascii="Times New Roman;Times;serif" w:hAnsi="Times New Roman;Times;serif"/>
          <w:sz w:val="24"/>
        </w:rPr>
        <w:t>.  Upon the Borrower’s receipt of notice of the commencement of a Benchmark Unavailability Period, the Borrower may revoke any request for the applicable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Term SOFR (or then-current Benchmark) will not be used in any determination of Base Rate.</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11.</w:t>
      </w:r>
      <w:bookmarkStart w:id="1825" w:name="_Toc221027919"/>
      <w:bookmarkEnd w:id="1825"/>
      <w:r>
        <w:rPr>
          <w:rFonts w:ascii="Times New Roman;Times;serif" w:hAnsi="Times New Roman;Times;serif"/>
          <w:caps/>
          <w:sz w:val="24"/>
        </w:rPr>
        <w:t>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w:t>
      </w:r>
      <w:bookmarkStart w:id="1826" w:name="_Toc221027920"/>
      <w:bookmarkEnd w:id="1826"/>
      <w:r>
        <w:rPr>
          <w:rFonts w:ascii="Times New Roman;Times;serif" w:hAnsi="Times New Roman;Times;serif"/>
          <w:i w:val="false"/>
          <w:caps w:val="false"/>
          <w:smallCaps w:val="false"/>
          <w:sz w:val="24"/>
          <w:u w:val="single"/>
        </w:rPr>
        <w:t>Appointment and Authority</w:t>
      </w:r>
      <w:r>
        <w:rPr>
          <w:rFonts w:ascii="Times New Roman;Times;serif" w:hAnsi="Times New Roman;Times;serif"/>
          <w:i w:val="false"/>
          <w:caps w:val="false"/>
          <w:smallCaps w:val="false"/>
          <w:sz w:val="24"/>
        </w:rPr>
        <w:t>.  Each of the Lenders hereby irrevocably appoints Truist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11.2.</w:t>
      </w:r>
      <w:bookmarkStart w:id="1827" w:name="_Toc221027921"/>
      <w:bookmarkEnd w:id="1827"/>
      <w:r>
        <w:rPr>
          <w:rFonts w:ascii="Times New Roman;Times;serif" w:hAnsi="Times New Roman;Times;serif"/>
          <w:i w:val="false"/>
          <w:caps w:val="false"/>
          <w:smallCaps w:val="false"/>
          <w:sz w:val="24"/>
          <w:u w:val="single"/>
        </w:rPr>
        <w:t>Rights as a Lender</w:t>
      </w:r>
      <w:r>
        <w:rPr>
          <w:rFonts w:ascii="Times New Roman;Times;serif" w:hAnsi="Times New Roman;Times;serif"/>
          <w:i/>
          <w:sz w:val="24"/>
        </w:rPr>
        <w:t xml:space="preserve">. </w:t>
      </w:r>
      <w:r>
        <w:rPr>
          <w:rFonts w:ascii="Times New Roman;Times;serif" w:hAnsi="Times New Roman;Times;serif"/>
          <w:i w:val="false"/>
          <w:caps w:val="false"/>
          <w:smallCaps w:val="false"/>
          <w:sz w:val="24"/>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11.3.</w:t>
      </w:r>
      <w:bookmarkStart w:id="1828" w:name="_Toc221027922"/>
      <w:bookmarkEnd w:id="1828"/>
      <w:r>
        <w:rPr>
          <w:rFonts w:ascii="Times New Roman;Times;serif" w:hAnsi="Times New Roman;Times;serif"/>
          <w:i w:val="false"/>
          <w:caps w:val="false"/>
          <w:smallCaps w:val="false"/>
          <w:sz w:val="24"/>
          <w:u w:val="single"/>
        </w:rPr>
        <w:t>Action by Administrative Agent; Exculpatory Provisions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(i)shall not be subject to any fiduciary or other implied duties, regardless of whether a Default has occurred and is continuing;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i/>
          <w:sz w:val="24"/>
        </w:rPr>
        <w:t>provided</w:t>
      </w:r>
      <w:r>
        <w:rPr>
          <w:rFonts w:ascii="Times New Roman;Times;serif" w:hAnsi="Times New Roman;Times;serif"/>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12.13), or (ii) in the absence of its own gross negligence or willful misconduct as determined by a court of competent jurisdiction by final and nonappealable judgment.  Any such action taken or failure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 act pursuant to the foregoing shall be binding on all Lenders.  The Administrative Agent shall be deemed not to have knowledge of any Default unless and until notice describing such Default is given to the Administrative Agent in writing by the Borrower, a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 elsewhere herein, other than to confirm receipt of items expressly required to be delivered to 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11.4.</w:t>
      </w:r>
      <w:bookmarkStart w:id="1829" w:name="_Toc221027923"/>
      <w:bookmarkEnd w:id="1829"/>
      <w:r>
        <w:rPr>
          <w:rFonts w:ascii="Times New Roman;Times;serif" w:hAnsi="Times New Roman;Times;serif"/>
          <w:i w:val="false"/>
          <w:caps w:val="false"/>
          <w:smallCaps w:val="false"/>
          <w:sz w:val="24"/>
          <w:u w:val="single"/>
        </w:rPr>
        <w:t>Reliance by Administrative Agent</w:t>
      </w:r>
      <w:r>
        <w:rPr>
          <w:rFonts w:ascii="Times New Roman;Times;serif" w:hAnsi="Times New Roman;Times;serif"/>
          <w:i w:val="false"/>
          <w:caps w:val="false"/>
          <w:smallCaps w:val="false"/>
          <w:sz w:val="24"/>
        </w:rPr>
        <w:t>.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11.5.</w:t>
      </w:r>
      <w:bookmarkStart w:id="1830" w:name="_Toc221027924"/>
      <w:bookmarkEnd w:id="1830"/>
      <w:r>
        <w:rPr>
          <w:rFonts w:ascii="Times New Roman;Times;serif" w:hAnsi="Times New Roman;Times;serif"/>
          <w:i w:val="false"/>
          <w:caps w:val="false"/>
          <w:smallCaps w:val="false"/>
          <w:sz w:val="24"/>
          <w:u w:val="single"/>
        </w:rPr>
        <w:t>Delegation of Duties</w:t>
      </w:r>
      <w:r>
        <w:rPr>
          <w:rFonts w:ascii="Times New Roman;Times;serif" w:hAnsi="Times New Roman;Times;serif"/>
          <w:i w:val="false"/>
          <w:caps w:val="false"/>
          <w:smallCaps w:val="false"/>
          <w:sz w:val="24"/>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11.6.</w:t>
      </w:r>
      <w:bookmarkStart w:id="1831" w:name="_Toc221027925"/>
      <w:bookmarkEnd w:id="1831"/>
      <w:r>
        <w:rPr>
          <w:rFonts w:ascii="Times New Roman;Times;serif" w:hAnsi="Times New Roman;Times;serif"/>
          <w:i w:val="false"/>
          <w:caps w:val="false"/>
          <w:smallCaps w:val="false"/>
          <w:sz w:val="24"/>
          <w:u w:val="single"/>
        </w:rPr>
        <w:t>Resignation of Administrative Agent; Removal of Administrative Agent</w:t>
      </w:r>
      <w:r>
        <w:rPr>
          <w:rFonts w:ascii="Times New Roman;Times;serif" w:hAnsi="Times New Roman;Times;serif"/>
          <w:i w:val="false"/>
          <w:caps w:val="false"/>
          <w:smallCaps w:val="false"/>
          <w:sz w:val="24"/>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Administrative Agent may at any time give notice of its resignation to the Lenders, the L/C Issuer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Times;serif" w:hAnsi="Times New Roman;Times;serif"/>
          <w:i/>
          <w:sz w:val="24"/>
        </w:rPr>
        <w:t>Resignation Effective Date”</w:t>
      </w:r>
      <w:r>
        <w:rPr>
          <w:rFonts w:ascii="Times New Roman;Times;serif" w:hAnsi="Times New Roman;Times;serif"/>
          <w:sz w:val="24"/>
        </w:rPr>
        <w:t>), then the retiring Administrative Agent may (but shall not be obligated to), on behalf of the Lenders and the L/C Issuer, appoint a successor Administrative Agent meeting the qualifications set forth above.  Whether or not a successor has been appointed, such resignation or removal shall become effective in accordance with such notice on the Resignation Effective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(b)With effect from the Resignation Effective Date, (i) the retiring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L/C Issuer directly, until such time, if any, as the Required Lenders appoint a successor Administrative Agent as provided for above. If on the Resignation Effective Date no successor has been appointed and accepted such appointment, the Administrative Agent’s rights in the Collateral Documents shall be assigned without representation, recourse or warranty to the Lenders and L/C Issuer as their interests may appear.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11.7.</w:t>
      </w:r>
      <w:bookmarkStart w:id="1832" w:name="_Toc221027926"/>
      <w:bookmarkEnd w:id="1832"/>
      <w:r>
        <w:rPr>
          <w:rFonts w:ascii="Times New Roman;Times;serif" w:hAnsi="Times New Roman;Times;serif"/>
          <w:i w:val="false"/>
          <w:caps w:val="false"/>
          <w:smallCaps w:val="false"/>
          <w:sz w:val="24"/>
          <w:u w:val="single"/>
        </w:rPr>
        <w:t>Non-Reliance on Administrative Agent and Other Lenders</w:t>
      </w:r>
      <w:r>
        <w:rPr>
          <w:rFonts w:ascii="Times New Roman;Times;serif" w:hAnsi="Times New Roman;Times;serif"/>
          <w:i w:val="false"/>
          <w:caps w:val="false"/>
          <w:smallCaps w:val="false"/>
          <w:sz w:val="24"/>
        </w:rPr>
        <w:t xml:space="preserve">.  Each Lender and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this Agreement, any other Loan Document or any related agreement or any document furnished hereunder or thereunder.</w:t>
      </w:r>
    </w:p>
    <w:p>
      <w:pPr>
        <w:pStyle w:val="TextBody"/>
        <w:bidi w:val="0"/>
        <w:spacing w:before="0" w:after="240"/>
        <w:ind w:left="0" w:right="0" w:firstLine="720"/>
        <w:jc w:val="both"/>
        <w:rPr>
          <w:rFonts w:ascii="Times" w:hAnsi="Times"/>
          <w:sz w:val="24"/>
        </w:rPr>
      </w:pPr>
      <w:r>
        <w:rPr>
          <w:rFonts w:ascii="Times" w:hAnsi="Times"/>
          <w:sz w:val="24"/>
        </w:rPr>
        <w:t>Upon a Lender’s written request, the Administrative Agent agrees to forward to such Lender, when complete, copies of any field audit, examination, or appraisal report prepared by or for the Administrative Agent with respect to the Borrower or any Material Subsidiary (herein, “</w:t>
      </w:r>
      <w:r>
        <w:rPr>
          <w:rFonts w:ascii="Times" w:hAnsi="Times"/>
          <w:i/>
          <w:sz w:val="24"/>
        </w:rPr>
        <w:t>Reports”</w:t>
      </w:r>
      <w:r>
        <w:rPr>
          <w:rFonts w:ascii="Times" w:hAnsi="Times"/>
          <w:sz w:val="24"/>
        </w:rPr>
        <w:t xml:space="preserve">).  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 </w:t>
      </w:r>
      <w:bookmarkStart w:id="1833" w:name="_Toc33604089"/>
      <w:bookmarkEnd w:id="1833"/>
      <w:r>
        <w:rPr>
          <w:rFonts w:ascii="Times" w:hAnsi="Times"/>
          <w:sz w:val="24"/>
        </w:rPr>
        <w:t>any other indemnification provision contained in this Agreement,</w:t>
      </w:r>
      <w:bookmarkStart w:id="1834" w:name="_Toc33603732"/>
      <w:bookmarkEnd w:id="1834"/>
      <w:r>
        <w:rPr>
          <w:rFonts w:ascii="Times" w:hAnsi="Times"/>
          <w:sz w:val="24"/>
        </w:rPr>
        <w:t xml:space="preserve">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11.8.</w:t>
      </w:r>
      <w:bookmarkStart w:id="1835" w:name="_Toc221027927"/>
      <w:bookmarkEnd w:id="1835"/>
      <w:r>
        <w:rPr>
          <w:rFonts w:ascii="Times New Roman;Times;serif" w:hAnsi="Times New Roman;Times;serif"/>
          <w:i w:val="false"/>
          <w:caps w:val="false"/>
          <w:smallCaps w:val="false"/>
          <w:sz w:val="24"/>
          <w:u w:val="single"/>
        </w:rPr>
        <w:t>L/C Issuer</w:t>
      </w:r>
      <w:r>
        <w:rPr>
          <w:rFonts w:ascii="Times New Roman;Times;serif" w:hAnsi="Times New Roman;Times;serif"/>
          <w:i/>
          <w:caps w:val="false"/>
          <w:smallCaps w:val="false"/>
          <w:sz w:val="24"/>
          <w:u w:val="single"/>
        </w:rPr>
        <w:t xml:space="preserve"> </w:t>
      </w:r>
      <w:r>
        <w:rPr>
          <w:rFonts w:ascii="Times New Roman;Times;serif" w:hAnsi="Times New Roman;Times;serif"/>
          <w:i w:val="false"/>
          <w:caps w:val="false"/>
          <w:smallCaps w:val="false"/>
          <w:sz w:val="24"/>
        </w:rPr>
        <w:t xml:space="preserve">.  The L/C Issuer shall act on behalf of the Revolving Lenders with respect to any Letters of Credit issued by it and the documents associated therewith.  The L/C Issuer shall have all of the benefits and immunities (i) provided to the Administrative Agent in this Section 11 with respect to any acts taken or omissions suffered by the L/C Issuer in connection with Letters of Credit issued by it or proposed to be issued by it and the Applications pertaining to such Letters of Credit made or to be made hereunder as fully as if the term “Administrative Agent”, as used in this Section 11, included the L/C Issuer with respect to such acts or omissions and (ii) as additionally provided in this Agreement with respect to such L/C Issuer.  Any resignation by the Person then acting as Administrative Agent pursuant to Section 11.6 shall also constitute its resignation or the resignation of its Affiliate as L/C except as it may otherwise agree.  If such Person then acting as L/C Issuer so resigns,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Loans or fund risk participations in Reimbursement Obligations pursuant to Section 1.3.  Upon the appointment by the Borrower of a successor L/C Issuer hereunder (which successor shall in all cases be a Lender other than a Defaulting Lender), (i) such successor shall succeed to and become vested with all of the rights, powers, privileges and duties of the retiring L/C Issuer (other than any rights to indemnity payments or other amounts that remain owing to the retiring L/C Issuer), and (ii) the retiring L/C Issuer shall be discharged from all of their respective duties and obligations hereunder or under the other Loan Documents other than with respect to its outstanding Letters of Credit, and (iii) upon the request of the resigning L/C Issuer, the successor L/C Issuer shall issue letters of credit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11.9.</w:t>
      </w:r>
      <w:bookmarkStart w:id="1836" w:name="_Toc221027928"/>
      <w:bookmarkEnd w:id="1836"/>
      <w:r>
        <w:rPr>
          <w:rFonts w:ascii="Times New Roman;Times;serif" w:hAnsi="Times New Roman;Times;serif"/>
          <w:i w:val="false"/>
          <w:caps w:val="false"/>
          <w:smallCaps w:val="false"/>
          <w:sz w:val="24"/>
          <w:u w:val="single"/>
        </w:rPr>
        <w:t>Hedging Liability and Funds Transfer and Deposit Account Liability</w:t>
      </w:r>
      <w:r>
        <w:rPr>
          <w:rFonts w:ascii="Times New Roman;Times;serif" w:hAnsi="Times New Roman;Times;serif"/>
          <w:i w:val="false"/>
          <w:caps w:val="false"/>
          <w:smallCaps w:val="false"/>
          <w:sz w:val="24"/>
        </w:rPr>
        <w:t>.  By virtue of a Lender’s execution of this Agreement or an assignment agreement pursuant to Section 12.10, as the case may be, any Affiliate of such Lender (including any Qualifying 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3.1.  In connection with any such distribution of payments and collections, or any request for the release of the Guaranties and the Administrative Agent’s Liens in connection with the termination of the Revolving Credit Commitments, Term Loan Commitments and Incremental Term Loan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  For the avoidance of doubt, all references in this Section 11.9 to any Lender or Affiliate of a Lender shall include or be deemed to include each Qualifying Counterparty, even if such Qualifying Counterparty or any Person affiliated with such Qualifying Counterparty shall cease to be a Lender hereunder, such that any such Qualifying Counterparty shall continue to be entitled to all of the rights and benefits otherwise afforded to such Qualifying Counterparty hereunder (including without limitation the Guaranties provided under Section 13).</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11.10.</w:t>
      </w:r>
      <w:bookmarkStart w:id="1837" w:name="_Toc221027929"/>
      <w:bookmarkEnd w:id="1837"/>
      <w:r>
        <w:rPr>
          <w:rFonts w:ascii="Times New Roman;Times;serif" w:hAnsi="Times New Roman;Times;serif"/>
          <w:i w:val="false"/>
          <w:caps w:val="false"/>
          <w:smallCaps w:val="false"/>
          <w:sz w:val="24"/>
          <w:u w:val="single"/>
        </w:rPr>
        <w:t>Designation of Additional Agents</w:t>
      </w:r>
      <w:r>
        <w:rPr>
          <w:rFonts w:ascii="Times New Roman;Times;serif" w:hAnsi="Times New Roman;Times;serif"/>
          <w:i w:val="false"/>
          <w:caps w:val="false"/>
          <w:smallCaps w:val="false"/>
          <w:sz w:val="24"/>
        </w:rPr>
        <w:t>.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11.11.</w:t>
      </w:r>
      <w:bookmarkStart w:id="1838" w:name="_Toc221027930"/>
      <w:bookmarkEnd w:id="1838"/>
      <w:r>
        <w:rPr>
          <w:rFonts w:ascii="Times New Roman;Times;serif" w:hAnsi="Times New Roman;Times;serif"/>
          <w:i w:val="false"/>
          <w:caps w:val="false"/>
          <w:smallCaps w:val="false"/>
          <w:sz w:val="24"/>
          <w:u w:val="single"/>
        </w:rPr>
        <w:t>Reserved</w:t>
      </w:r>
      <w:r>
        <w:rPr>
          <w:rFonts w:ascii="Times New Roman;Times;serif" w:hAnsi="Times New Roman;Times;serif"/>
          <w:i w:val="false"/>
          <w:caps w:val="false"/>
          <w:smallCaps w:val="false"/>
          <w:sz w:val="24"/>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11.12.</w:t>
      </w:r>
      <w:bookmarkStart w:id="1839" w:name="_Toc221027931"/>
      <w:bookmarkEnd w:id="1839"/>
      <w:r>
        <w:rPr>
          <w:rFonts w:ascii="Times New Roman;Times;serif" w:hAnsi="Times New Roman;Times;serif"/>
          <w:i w:val="false"/>
          <w:caps w:val="false"/>
          <w:smallCaps w:val="false"/>
          <w:sz w:val="24"/>
          <w:u w:val="single"/>
        </w:rPr>
        <w:t>Authorization to Release Guaranties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11.13.</w:t>
      </w:r>
      <w:bookmarkStart w:id="1840" w:name="_Toc221027932"/>
      <w:bookmarkEnd w:id="1840"/>
      <w:r>
        <w:rPr>
          <w:rFonts w:ascii="Times New Roman;Times;serif" w:hAnsi="Times New Roman;Times;serif"/>
          <w:i w:val="false"/>
          <w:caps w:val="false"/>
          <w:smallCaps w:val="false"/>
          <w:sz w:val="24"/>
          <w:u w:val="single"/>
        </w:rPr>
        <w:t>Authorization of Administrative Agent to File Proofs of Claim</w:t>
      </w:r>
      <w:r>
        <w:rPr>
          <w:rFonts w:ascii="Times New Roman;Times;serif" w:hAnsi="Times New Roman;Times;serif"/>
          <w:i/>
          <w:sz w:val="24"/>
        </w:rPr>
        <w:t>.  </w:t>
      </w:r>
      <w:r>
        <w:rPr>
          <w:rFonts w:ascii="Times New Roman;Times;serif" w:hAnsi="Times New Roman;Times;serif"/>
          <w:i w:val="false"/>
          <w:caps w:val="false"/>
          <w:smallCaps w:val="false"/>
          <w:sz w:val="24"/>
        </w:rPr>
        <w:t>In case of the pendency of any proceeding under any Debtor Relief Law or any other judicial proceeding relative to Borrower or any Guarantor,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the Loan Documents including, but not limited to, Sections 1.1, 10.3, 1.11, and 12.15) allowed in such judicial proceeding; and</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(b)to collect and receive any monies or other property payable or deliverable on any such claims and to distribute the same;</w:t>
      </w:r>
    </w:p>
    <w:p>
      <w:pPr>
        <w:pStyle w:val="TextBody"/>
        <w:bidi w:val="0"/>
        <w:spacing w:before="200" w:after="240"/>
        <w:ind w:left="0" w:right="0" w:hanging="0"/>
        <w:jc w:val="both"/>
        <w:rPr>
          <w:rFonts w:ascii="Times" w:hAnsi="Times"/>
          <w:sz w:val="24"/>
        </w:rPr>
      </w:pPr>
      <w:r>
        <w:rPr>
          <w:rFonts w:ascii="Times" w:hAnsi="Times"/>
          <w:sz w:val="24"/>
        </w:rPr>
        <w:t>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12.</w:t>
      </w:r>
      <w:bookmarkStart w:id="1841" w:name="_Toc221027933"/>
      <w:bookmarkEnd w:id="1841"/>
      <w:r>
        <w:rPr>
          <w:rFonts w:ascii="Times New Roman;Times;serif" w:hAnsi="Times New Roman;Times;serif"/>
          <w:smallCaps/>
          <w:sz w:val="24"/>
        </w:rPr>
        <w:t>Miscellaneous</w:t>
      </w:r>
      <w:r>
        <w:rPr>
          <w:rFonts w:ascii="Times New Roman;Times;serif" w:hAnsi="Times New Roman;Times;serif"/>
          <w:caps/>
          <w:sz w:val="24"/>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w:t>
      </w:r>
      <w:bookmarkStart w:id="1842" w:name="_Toc221027934"/>
      <w:bookmarkEnd w:id="1842"/>
      <w:r>
        <w:rPr>
          <w:rFonts w:ascii="Times New Roman;Times;serif" w:hAnsi="Times New Roman;Times;serif"/>
          <w:i w:val="false"/>
          <w:caps w:val="false"/>
          <w:smallCaps w:val="false"/>
          <w:sz w:val="24"/>
          <w:u w:val="single"/>
        </w:rPr>
        <w:t>Withholding Taxes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Payments Free of Withholding</w:t>
      </w:r>
      <w:r>
        <w:rPr>
          <w:rFonts w:ascii="Times New Roman;Times;serif" w:hAnsi="Times New Roman;Times;serif"/>
          <w:sz w:val="24"/>
        </w:rPr>
        <w:t xml:space="preserve">.  Except as 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the L/C Issuer, and the Administrative Agent free and clear of such taxes (including such taxes on such additional amount) is equal to the amount which that Lender, L/C Issuer, or the Administrative Agent (as the case may be) would have received had such withholding not been made.  If the Administrative Agent, the L/C Issuer, or any Lender pays any amount in respect of any such taxes, penalties or interest, the Borrower or such Guarantor shall reimburse the Administrative Agent, the L/C Issuer or such Lender for that payment on demand in the currency in which such payment was made.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U.S. Withholding Tax Exemptions</w:t>
      </w:r>
      <w:r>
        <w:rPr>
          <w:rFonts w:ascii="Times New Roman;Times;serif" w:hAnsi="Times New Roman;Times;serif"/>
          <w:sz w:val="24"/>
        </w:rPr>
        <w:t>.  Each Lender or L/C Issuer that is not a United States person (as such term is defined in Section 7701(a)(30) of the Code) shall submit to the Borrower and the Administrative Agent on or before the date the initial Credit Event is made hereunder or, if later, the date such financial institution becomes a Lender or L/C Issuer hereunder, two duly completed and signed copies of (i) either Form W 8 BEN-E (relating to such Lender or L/C Issuer and entitling it to a complete exemption from withholding under the Code on all amounts to be received by such Lender or L/C Issuer, including fees, pursuant to the Loan Documents and the Obligations) or Form W 8 ECI (relating to all amounts to be received by such Lender or L/C Issuer,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 8 BEN-E, or any successor form prescribed by the Internal Revenue Service, and a certificate representing that such Lender is not a bank for purposes of Section 881(c) of the Code, is not a 10 percent shareholder (within the meaning of Section 871(h)(3)(B) of the Code) of the Borrower and is not a controlled foreign corporation related to the Borrower (within the meaning of Section 864(d)(4) of the Code).  Thereafter and from time to time, each Lender and L/C Issuer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or L/C Issuer and (ii) required under then current United States law or regulations to avoid or reduce United States withholding taxes on payments in respect of all amounts to be received by such Lender or L/C Issuer, including fees, pursuant to the Loan Documents or the Obligations.  Upon the request of the Borrower or the Administrative Agent, each Lender and L/C Issuer that is a United States person (as such term is defined in Section 7701(a)(30) of the Code) shall submit to the Borrower and the Administrative Agent a certificate to the effect that it is such a United States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Inability of Lender to Submit Forms</w:t>
      </w:r>
      <w:r>
        <w:rPr>
          <w:rFonts w:ascii="Times New Roman;Times;serif" w:hAnsi="Times New Roman;Times;serif"/>
          <w:sz w:val="24"/>
        </w:rPr>
        <w:t xml:space="preserve">.  If any Lender or L/C Issuer determines, as a result of any change in applicable law, regulation or treaty, or in any official application or interpretation thereof, that it is unable to submit to the Borrower or the Administrative Agent any form or certificate that such Lender or L/C Issuer is obligated to submit pursuant to subsection (b) of this Section 12.1 or that such Lender or L/C Issuer is required to withdraw or cancel any such form or certificate previously submitted or any such form or certificate otherwise becomes ineffective or inaccurate, such Lender or L/C Issuer shall promptly notify the Borrower and Administrative Agent of such fact and the Lender or L/C Issuer shall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that extent not be obligated to provide any such form or certificate and will be entitled to withdraw or cancel any affected form or certificate, as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Compliance with FATCA</w:t>
      </w:r>
      <w:r>
        <w:rPr>
          <w:rFonts w:ascii="Times New Roman;Times;serif" w:hAnsi="Times New Roman;Times;serif"/>
          <w:i/>
          <w:sz w:val="24"/>
        </w:rPr>
        <w:t>.</w:t>
      </w:r>
      <w:r>
        <w:rPr>
          <w:rFonts w:ascii="Times New Roman;Times;serif" w:hAnsi="Times New Roman;Times;serif"/>
          <w:sz w:val="24"/>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Times;serif" w:hAnsi="Times New Roman;Times;serif"/>
          <w:i/>
          <w:sz w:val="24"/>
        </w:rPr>
        <w:t>FATCA”</w:t>
      </w:r>
      <w:r>
        <w:rPr>
          <w:rFonts w:ascii="Times New Roman;Times;serif" w:hAnsi="Times New Roman;Times;serif"/>
          <w:sz w:val="24"/>
        </w:rPr>
        <w:t xml:space="preserve"> shall include any amendments made to FATCA after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Indemnification by the Lenders.</w:t>
      </w:r>
      <w:r>
        <w:rPr>
          <w:rFonts w:ascii="Times New Roman;Times;serif" w:hAnsi="Times New Roman;Times;serif"/>
          <w:sz w:val="24"/>
        </w:rPr>
        <w:t xml:space="preserve"> Each Lender shall severally indemnify the 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Treatment of Certain Refunds</w:t>
      </w:r>
      <w:r>
        <w:rPr>
          <w:rFonts w:ascii="Times New Roman;Times;serif" w:hAnsi="Times New Roman;Times;serif"/>
          <w:sz w:val="24"/>
        </w:rPr>
        <w:t xml:space="preserve">.  If any Lender or L/C Issuer determines, in its sole discretion 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 giving rise to such refund), net of all out of pocket expenses of such Lender or L/C Issuer and without interest (other than any interest paid by the relevant Governmental Authority with respect to such refund); provided that the Borrower or such Guarantor, upon the request of such Lender or L/C Issuer, agrees to promptly repay the amount paid over with respect to such refund (plus any penalties, interest or other charges imposed by the relevant Governmental Authority) to such Lender or L/C Issuer in the event such Lender or L/C Issuer is required to repay such refund to the relevant Governmental Authority.  Nothing herein contained shall interfere with the right of a Lender or L/C Issuer to arrange its tax affairs in whatever manner it thinks fit nor oblige any Lender or L/C Issuer to claim any tax refund or to make available its tax returns or disclose any information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relating to its tax affairs or any computations in respect thereof or any other confidential information or require any Lender or L/C Issuer to do anything that would prejudice its ability to benefit from any other refunds, credits, reliefs, remissions or repayments to which it may be entitled.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Evidence of Payments</w:t>
      </w:r>
      <w:r>
        <w:rPr>
          <w:rFonts w:ascii="Times New Roman;Times;serif" w:hAnsi="Times New Roman;Times;serif"/>
          <w:i/>
          <w:sz w:val="24"/>
        </w:rPr>
        <w:t>.</w:t>
      </w:r>
      <w:r>
        <w:rPr>
          <w:rFonts w:ascii="Times New Roman;Times;serif" w:hAnsi="Times New Roman;Times;serif"/>
          <w:sz w:val="24"/>
        </w:rPr>
        <w:t xml:space="preserve">  As soon as practicable after any payment of Taxes by the Borrower or a Guarantor to a Governmental Authority pursuant to this Section, </w:t>
      </w:r>
      <w:r>
        <w:rPr>
          <w:rFonts w:ascii="Cambria" w:hAnsi="Cambria"/>
          <w:sz w:val="24"/>
        </w:rPr>
        <w:t xml:space="preserve">the Borrower or such Guarantor </w:t>
      </w:r>
      <w:r>
        <w:rPr>
          <w:rFonts w:ascii="Times New Roman;Times;serif" w:hAnsi="Times New Roman;Times;serif"/>
          <w:sz w:val="24"/>
        </w:rPr>
        <w:t>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w:t>
      </w:r>
      <w:bookmarkStart w:id="1843" w:name="_Toc221027935"/>
      <w:bookmarkEnd w:id="1843"/>
      <w:r>
        <w:rPr>
          <w:rFonts w:ascii="Times New Roman;Times;serif" w:hAnsi="Times New Roman;Times;serif"/>
          <w:i w:val="false"/>
          <w:caps w:val="false"/>
          <w:smallCaps w:val="false"/>
          <w:sz w:val="24"/>
          <w:u w:val="single"/>
        </w:rPr>
        <w:t>No Waiver, Cumulative Remedies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No delay or failure on the part of the Administrative Agent, the 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12.3.</w:t>
      </w:r>
      <w:bookmarkStart w:id="1844" w:name="_Toc221027936"/>
      <w:bookmarkEnd w:id="1844"/>
      <w:r>
        <w:rPr>
          <w:rFonts w:ascii="Times New Roman;Times;serif" w:hAnsi="Times New Roman;Times;serif"/>
          <w:i w:val="false"/>
          <w:caps w:val="false"/>
          <w:smallCaps w:val="false"/>
          <w:sz w:val="24"/>
          <w:u w:val="single"/>
        </w:rPr>
        <w:t>Non-Business Days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12.4.</w:t>
      </w:r>
      <w:bookmarkStart w:id="1845" w:name="_Toc221027937"/>
      <w:bookmarkEnd w:id="1845"/>
      <w:r>
        <w:rPr>
          <w:rFonts w:ascii="Times New Roman;Times;serif" w:hAnsi="Times New Roman;Times;serif"/>
          <w:i w:val="false"/>
          <w:caps w:val="false"/>
          <w:smallCaps w:val="false"/>
          <w:sz w:val="24"/>
          <w:u w:val="single"/>
        </w:rPr>
        <w:t>Documentary Taxes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12.5.</w:t>
      </w:r>
      <w:bookmarkStart w:id="1846" w:name="_Toc221027938"/>
      <w:bookmarkEnd w:id="1846"/>
      <w:r>
        <w:rPr>
          <w:rFonts w:ascii="Times New Roman;Times;serif" w:hAnsi="Times New Roman;Times;serif"/>
          <w:i w:val="false"/>
          <w:caps w:val="false"/>
          <w:smallCaps w:val="false"/>
          <w:sz w:val="24"/>
          <w:u w:val="single"/>
        </w:rPr>
        <w:t>Survival of Representations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12.6.</w:t>
      </w:r>
      <w:bookmarkStart w:id="1847" w:name="_Toc221027939"/>
      <w:bookmarkEnd w:id="1847"/>
      <w:r>
        <w:rPr>
          <w:rFonts w:ascii="Times New Roman;Times;serif" w:hAnsi="Times New Roman;Times;serif"/>
          <w:i w:val="false"/>
          <w:caps w:val="false"/>
          <w:smallCaps w:val="false"/>
          <w:sz w:val="24"/>
          <w:u w:val="single"/>
        </w:rPr>
        <w:t>Survival of Indemnities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All indemnities and other provisions relative to reimbursement to the Lenders and L/C Issuer of amounts sufficient to protect the yield of the Lenders and L/C Issuer with respect to the Revolving Loans and Letters of Credit, including, but not limited to, Sections 1.11, 10.3, and 12.15 hereof, shall (subject to Section 10.3(c) hereof) survive the termination of this Agreement and the other Loan Documents and the payment of the Obligations.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12.7.</w:t>
      </w:r>
      <w:bookmarkStart w:id="1848" w:name="_Toc221027940"/>
      <w:bookmarkStart w:id="1849" w:name="_Ref83736062"/>
      <w:bookmarkEnd w:id="1848"/>
      <w:bookmarkEnd w:id="1849"/>
      <w:r>
        <w:rPr>
          <w:rFonts w:ascii="Times New Roman;Times;serif" w:hAnsi="Times New Roman;Times;serif"/>
          <w:i w:val="false"/>
          <w:caps w:val="false"/>
          <w:smallCaps w:val="false"/>
          <w:sz w:val="24"/>
          <w:u w:val="single"/>
        </w:rPr>
        <w:t>Sharing of Set-Off</w:t>
      </w:r>
      <w:r>
        <w:rPr>
          <w:rFonts w:ascii="Times New Roman;Times;serif" w:hAnsi="Times New Roman;Times;serif"/>
          <w:i/>
          <w:sz w:val="24"/>
        </w:rPr>
        <w:t xml:space="preserve">. </w:t>
      </w:r>
      <w:r>
        <w:rPr>
          <w:rFonts w:ascii="Times New Roman;Times;serif" w:hAnsi="Times New Roman;Times;serif"/>
          <w:i w:val="false"/>
          <w:caps w:val="false"/>
          <w:smallCaps w:val="false"/>
          <w:sz w:val="24"/>
        </w:rPr>
        <w:t>Each Lender agrees with each other Lender a party hereto that if such Lender shall receive and retain any payment, whether by set off or application of deposit balances or otherwise, on any of the Loans or Reimbursement Obligations in excess of its ratable share of payments on all such Obligations then outstanding to the Lenders, then such 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provided, however,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12.7, amounts owed to or recovered by the L/C Issuer in connection with Reimbursement Obligations in which Lenders have been required to fund their participation shall be treated as amounts owed to or recovered by the L/C Issuer as a Lender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12.8.</w:t>
      </w:r>
      <w:bookmarkStart w:id="1850" w:name="_Toc221027941"/>
      <w:bookmarkEnd w:id="1850"/>
      <w:r>
        <w:rPr>
          <w:rFonts w:ascii="Times New Roman;Times;serif" w:hAnsi="Times New Roman;Times;serif"/>
          <w:i w:val="false"/>
          <w:caps w:val="false"/>
          <w:smallCaps w:val="false"/>
          <w:sz w:val="24"/>
          <w:u w:val="single"/>
        </w:rPr>
        <w:t>Notices</w:t>
      </w:r>
      <w:r>
        <w:rPr>
          <w:rFonts w:ascii="Times New Roman;Times;serif" w:hAnsi="Times New Roman;Times;serif"/>
          <w:i w:val="false"/>
          <w:caps w:val="false"/>
          <w:smallCaps w:val="false"/>
          <w:sz w:val="24"/>
        </w:rPr>
        <w:t>.  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or L/C Issuer shall be addressed to its respective address or telecopier number set forth below:</w:t>
      </w:r>
    </w:p>
    <w:tbl>
      <w:tblPr>
        <w:tblW w:w="7112" w:type="dxa"/>
        <w:jc w:val="left"/>
        <w:tblInd w:w="0" w:type="dxa"/>
        <w:tblLayout w:type="fixed"/>
        <w:tblCellMar>
          <w:top w:w="0" w:type="dxa"/>
          <w:left w:w="0" w:type="dxa"/>
          <w:bottom w:w="0" w:type="dxa"/>
          <w:right w:w="0" w:type="dxa"/>
        </w:tblCellMar>
      </w:tblPr>
      <w:tblGrid>
        <w:gridCol w:w="3346"/>
        <w:gridCol w:w="3766"/>
      </w:tblGrid>
      <w:tr>
        <w:trPr/>
        <w:tc>
          <w:tcPr>
            <w:tcW w:w="334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Borrower:</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369 N. New York Ave. Suite 201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Winter Park, Florida 32789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Philip Mays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407-904-3324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pmays@ctoreit.com</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1140 Williamson Boulevard</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Suite 140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Daytona Beach, Florida 32114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Lisa Vorkoun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386-944-5641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lvorkoun@alpinereit.com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copy to:</w:t>
            </w:r>
          </w:p>
          <w:p>
            <w:pPr>
              <w:pStyle w:val="TableContents"/>
              <w:bidi w:val="0"/>
              <w:spacing w:before="0" w:after="0"/>
              <w:ind w:left="0" w:right="0" w:hanging="0"/>
              <w:jc w:val="left"/>
              <w:rPr/>
            </w:pPr>
            <w:r>
              <w:rPr/>
              <w:t>​</w:t>
            </w:r>
          </w:p>
        </w:tc>
        <w:tc>
          <w:tcPr>
            <w:tcW w:w="376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Administrative Agent:</w:t>
            </w:r>
          </w:p>
          <w:p>
            <w:pPr>
              <w:pStyle w:val="TableContents"/>
              <w:bidi w:val="0"/>
              <w:spacing w:before="0" w:after="0"/>
              <w:ind w:left="0" w:right="0" w:hanging="0"/>
              <w:jc w:val="left"/>
              <w:rPr/>
            </w:pPr>
            <w:bookmarkStart w:id="1851" w:name="_Hlk221024269"/>
            <w:bookmarkEnd w:id="1851"/>
            <w:r>
              <w:rPr/>
              <w:t>​</w:t>
            </w:r>
          </w:p>
          <w:p>
            <w:pPr>
              <w:pStyle w:val="TableContents"/>
              <w:bidi w:val="0"/>
              <w:spacing w:before="0" w:after="0"/>
              <w:ind w:left="0" w:right="0" w:hanging="0"/>
              <w:jc w:val="left"/>
              <w:rPr>
                <w:rFonts w:ascii="Times New Roman;Times;serif" w:hAnsi="Times New Roman;Times;serif"/>
                <w:sz w:val="24"/>
              </w:rPr>
            </w:pPr>
            <w:bookmarkStart w:id="1852" w:name="_Hlk221026067"/>
            <w:bookmarkEnd w:id="1852"/>
            <w:r>
              <w:rPr>
                <w:rFonts w:ascii="Times New Roman;Times;serif" w:hAnsi="Times New Roman;Times;serif"/>
                <w:sz w:val="24"/>
              </w:rPr>
              <w:t>Truist Bank</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Agency Services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303 Peachtree Street, N.E., 25th Floor</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Mail Code 7662</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Atlanta, Georgia 30308</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Agency Services Manager</w:t>
            </w:r>
          </w:p>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Email: Agency.Services@truist.com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a copy to:</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Riemer &amp; Braunstein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100 Cambridge Street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Boston, MA 02114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Saúl De La Guardia</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sdelaguardia@riemerlaw.com</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617-880-3533</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50" w:type="dxa"/>
        <w:jc w:val="left"/>
        <w:tblInd w:w="0" w:type="dxa"/>
        <w:tblLayout w:type="fixed"/>
        <w:tblCellMar>
          <w:top w:w="0" w:type="dxa"/>
          <w:left w:w="0" w:type="dxa"/>
          <w:bottom w:w="0" w:type="dxa"/>
          <w:right w:w="0" w:type="dxa"/>
        </w:tblCellMar>
      </w:tblPr>
      <w:tblGrid>
        <w:gridCol w:w="2596"/>
        <w:gridCol w:w="154"/>
      </w:tblGrid>
      <w:tr>
        <w:trPr/>
        <w:tc>
          <w:tcPr>
            <w:tcW w:w="25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Vinson &amp; Elkins LLP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845 Texas Avenue</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Suite 4700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Houston, TX 77002</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Noelle C. Alix</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713-758-1124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nalix@velaw.com</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both"/>
        <w:rPr>
          <w:rFonts w:ascii="Times" w:hAnsi="Times"/>
          <w:sz w:val="24"/>
        </w:rPr>
      </w:pPr>
      <w:r>
        <w:rPr>
          <w:rFonts w:ascii="Times" w:hAnsi="Times"/>
          <w:sz w:val="24"/>
        </w:rPr>
        <w:t xml:space="preserve">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w:t>
      </w:r>
      <w:r>
        <w:rPr>
          <w:rFonts w:ascii="Times" w:hAnsi="Times"/>
          <w:i/>
          <w:sz w:val="24"/>
        </w:rPr>
        <w:t xml:space="preserve">provided </w:t>
      </w:r>
      <w:r>
        <w:rPr>
          <w:rFonts w:ascii="Times" w:hAnsi="Times"/>
          <w:sz w:val="24"/>
        </w:rPr>
        <w:t>that any notice given pursuant to Section 1 hereof shall be effective only upon receipt.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12.9.</w:t>
      </w:r>
      <w:bookmarkStart w:id="1853" w:name="_Toc221027942"/>
      <w:bookmarkEnd w:id="1853"/>
      <w:r>
        <w:rPr>
          <w:rFonts w:ascii="Times New Roman;Times;serif" w:hAnsi="Times New Roman;Times;serif"/>
          <w:i w:val="false"/>
          <w:caps w:val="false"/>
          <w:smallCaps w:val="false"/>
          <w:sz w:val="24"/>
          <w:u w:val="single"/>
        </w:rPr>
        <w:t>Counterparts</w:t>
      </w:r>
      <w:r>
        <w:rPr>
          <w:rFonts w:ascii="Times New Roman;Times;serif" w:hAnsi="Times New Roman;Times;serif"/>
          <w:i w:val="false"/>
          <w:caps w:val="false"/>
          <w:smallCaps w:val="false"/>
          <w:sz w:val="24"/>
        </w:rPr>
        <w:t>.  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12.10.</w:t>
      </w:r>
      <w:bookmarkStart w:id="1854" w:name="_Toc221027943"/>
      <w:bookmarkEnd w:id="1854"/>
      <w:r>
        <w:rPr>
          <w:rFonts w:ascii="Times New Roman;Times;serif" w:hAnsi="Times New Roman;Times;serif"/>
          <w:i w:val="false"/>
          <w:caps w:val="false"/>
          <w:smallCaps w:val="false"/>
          <w:sz w:val="24"/>
          <w:u w:val="single"/>
        </w:rPr>
        <w:t>Successors and Assigns</w:t>
      </w:r>
      <w:r>
        <w:rPr>
          <w:rFonts w:ascii="Times New Roman;Times;serif" w:hAnsi="Times New Roman;Times;serif"/>
          <w:i w:val="false"/>
          <w:caps w:val="false"/>
          <w:smallCaps w:val="false"/>
          <w:sz w:val="24"/>
        </w:rPr>
        <w:t>.  This Agreement shall be binding upon the Borrower, the Guarantors and their respective successors and permitted assigns, and shall inure to the benefit of the Administrative Agent, the L/C Issuer,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 and, with respect to any Letter of Credit or the Application therefor, the L/C Issuer.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12.11.</w:t>
      </w:r>
      <w:bookmarkStart w:id="1855" w:name="_Toc221027944"/>
      <w:bookmarkEnd w:id="1855"/>
      <w:r>
        <w:rPr>
          <w:rFonts w:ascii="Times New Roman;Times;serif" w:hAnsi="Times New Roman;Times;serif"/>
          <w:i w:val="false"/>
          <w:caps w:val="false"/>
          <w:smallCaps w:val="false"/>
          <w:sz w:val="24"/>
          <w:u w:val="single"/>
        </w:rPr>
        <w:t>Participants</w:t>
      </w:r>
      <w:r>
        <w:rPr>
          <w:rFonts w:ascii="Times New Roman;Times;serif" w:hAnsi="Times New Roman;Times;serif"/>
          <w:i w:val="false"/>
          <w:caps w:val="false"/>
          <w:smallCaps w:val="false"/>
          <w:sz w:val="24"/>
        </w:rPr>
        <w:t xml:space="preserve">.  Each Lender shall have the right at its own cost to grant participations (to be evidenced by one or more agreements or certificates of participation) in the Loans made and Reimbursement Obligations and/or Revolving Credit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without limitation, the right to approve any amendment, modification or waiver of any provision of the Loan Documents, except that such agreement may provide that such Lender will not agree 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provided that prior to any such disclosure any such participant or prospective participant shall agree in writing to be subject to the confidentiality provisions contained herein.  No participation may be granted or sold to the Borrower, any Guarantor, any Affiliate or Subsidiary of Borrower or Guarantor, any Defaulting Lender or any natural person.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12.12.</w:t>
      </w:r>
      <w:bookmarkStart w:id="1856" w:name="_Ref70341009"/>
      <w:bookmarkStart w:id="1857" w:name="_Toc221027945"/>
      <w:bookmarkEnd w:id="1856"/>
      <w:bookmarkEnd w:id="1857"/>
      <w:r>
        <w:rPr>
          <w:rFonts w:ascii="Times New Roman;Times;serif" w:hAnsi="Times New Roman;Times;serif"/>
          <w:i w:val="false"/>
          <w:caps w:val="false"/>
          <w:smallCaps w:val="false"/>
          <w:sz w:val="24"/>
          <w:u w:val="single"/>
        </w:rPr>
        <w:t>Assignments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(a)Any Lender may at any time assign to one or more Eligible Assignees all or a portion of such Lender’s rights and obligations under this Agreement (including all or a portion of its Commitment and the Loans at the time owing to it); </w:t>
      </w:r>
      <w:r>
        <w:rPr>
          <w:rFonts w:ascii="Times New Roman;Times;serif" w:hAnsi="Times New Roman;Times;serif"/>
          <w:i/>
          <w:sz w:val="24"/>
        </w:rPr>
        <w:t>provided</w:t>
      </w:r>
      <w:r>
        <w:rPr>
          <w:rFonts w:ascii="Times New Roman;Times;serif" w:hAnsi="Times New Roman;Times;serif"/>
          <w:sz w:val="24"/>
        </w:rPr>
        <w:t xml:space="preserve"> that any such assignment shall be subject to the following conditions: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Minimum Amounts</w:t>
      </w:r>
      <w:r>
        <w:rPr>
          <w:rFonts w:ascii="Times New Roman;Times;serif" w:hAnsi="Times New Roman;Times;serif"/>
          <w:sz w:val="24"/>
        </w:rPr>
        <w:t>.  (A) In the case of an assignment of the entire remaining amount of the assigning Lender’s Revolving Credit Commitment and the Revolving Loans, and participation interest in L/C Obligations at the time owing to it, or the entire amount of 2029 Term Loans, 2031 Term Loans or Incremental Loans, or in the case of an assignment to a Lender, an Affiliate of a Lender or an Approved Fund, no minimum amount need be assigned; and (B) in any case not described in subsection (a)(i)(A) of this Section 12.12, the aggregate amount of the Revolving Credit Commitment (which for this purpose includes Revolving Loans and participation interest in L/C Obligations outstanding thereunder) or, if the Revolving Credit Commitment is not then in effect, the principal outstanding balance of the Revolving Loans and participation interest in L/C Obligations, or the principal outstanding balance of the Term Loans or Incremental Term Loans of the assigning Lender subject to each such assignment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for such Class unless each of the Administrative Agent and, so long as no Event of Default has occurred and is continuing, the Borrower otherwise consents (each such consent not to be unreasonably withheld or delayed);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sz w:val="24"/>
          <w:u w:val="single"/>
        </w:rPr>
        <w:t>Proportionate Amounts</w:t>
      </w:r>
      <w:r>
        <w:rPr>
          <w:rFonts w:ascii="Times New Roman;Times;serif" w:hAnsi="Times New Roman;Times;serif"/>
          <w:sz w:val="24"/>
        </w:rPr>
        <w:t>.  Each partial assignment shall be made as an assignment of a proportionate part of all the assigning Lender’s rights and obligations under this Agreement with respect to the applicable Facility; except that this clause (ii) shall not prohibit any Lender from assigning all or a portion of its rights and obligations among separate Facilities on a non-pro rata basis.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sz w:val="24"/>
          <w:u w:val="single"/>
        </w:rPr>
        <w:t>Required Consents</w:t>
      </w:r>
      <w:r>
        <w:rPr>
          <w:rFonts w:ascii="Times New Roman;Times;serif" w:hAnsi="Times New Roman;Times;serif"/>
          <w:sz w:val="24"/>
        </w:rPr>
        <w:t>.  No consent shall be required for any assignment except to the extent required by Section 12.12(a)(i)(B) and, in addition: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(B)the consent of the Administrative Agent (such consent not to be unreasonably withheld or delayed and to be given or denied within five (5) Business Days of written request therefor) shall be required in respect of (i) if such assignment is to a Person that is not a Lender with a Revolving Credit Commitment, an Affiliate of such Lender or an Approved Fund with respect to such Lender or (ii) the Term Loans or Incremental Term Loans (if any) to a Person who is not a Lender, an Affiliate of a Lender or an Approved Fund;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(C)the consent of the L/C Issuer (such consent not to be unreasonably withheld or delayed and to be given or denied within five (5) Business Days of written request therefor) shall be required for any assignment that increases the obligation of the assignee to participate in exposure under one or more Letters of Credit (whether or not then outstanding).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sz w:val="24"/>
          <w:u w:val="single"/>
        </w:rPr>
        <w:t>Assignment and Acceptance</w:t>
      </w:r>
      <w:r>
        <w:rPr>
          <w:rFonts w:ascii="Times New Roman;Times;serif" w:hAnsi="Times New Roman;Times;serif"/>
          <w:sz w:val="24"/>
        </w:rPr>
        <w:t>. The parties to each assignment shall execute and deliver to the Administrative Agent an Assignment and Acceptance, together with a processing and recordation fee of $5,500, and the assignee, if it is not a Lender, shall deliver to the Administrative Agent an Administrative Questionnaire.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w:t>
      </w:r>
      <w:r>
        <w:rPr>
          <w:rFonts w:ascii="Times New Roman;Times;serif" w:hAnsi="Times New Roman;Times;serif"/>
          <w:sz w:val="24"/>
          <w:u w:val="single"/>
        </w:rPr>
        <w:t>No Assignment to Borrower, Guarantors, Affiliates or Subsidiaries</w:t>
      </w:r>
      <w:r>
        <w:rPr>
          <w:rFonts w:ascii="Times New Roman;Times;serif" w:hAnsi="Times New Roman;Times;serif"/>
          <w:sz w:val="24"/>
        </w:rPr>
        <w:t>.  No such assignment shall be made to the Borrower, any Guarantor or any Affiliate or Subsidiary of the Borrower or any Guarantor.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(vi)</w:t>
      </w:r>
      <w:r>
        <w:rPr>
          <w:rFonts w:ascii="Times New Roman;Times;serif" w:hAnsi="Times New Roman;Times;serif"/>
          <w:sz w:val="24"/>
          <w:u w:val="single"/>
        </w:rPr>
        <w:t>No Assignment to Natural Persons.</w:t>
      </w:r>
      <w:r>
        <w:rPr>
          <w:rFonts w:ascii="Times New Roman;Times;serif" w:hAnsi="Times New Roman;Times;serif"/>
          <w:sz w:val="24"/>
        </w:rPr>
        <w:t xml:space="preserve">  No such assignment shall be made to a natural person (or holding company, investment vehicle or trust for, or owned and operated for the primary benefit of a natural person).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(vii)</w:t>
      </w:r>
      <w:r>
        <w:rPr>
          <w:rFonts w:ascii="Times New Roman;Times;serif" w:hAnsi="Times New Roman;Times;serif"/>
          <w:sz w:val="24"/>
          <w:u w:val="single"/>
        </w:rPr>
        <w:t>No Assignment to Defaulting Lender</w:t>
      </w:r>
      <w:r>
        <w:rPr>
          <w:rFonts w:ascii="Times New Roman;Times;serif" w:hAnsi="Times New Roman;Times;serif"/>
          <w:i/>
          <w:sz w:val="24"/>
        </w:rPr>
        <w:t>.</w:t>
      </w:r>
      <w:r>
        <w:rPr>
          <w:rFonts w:ascii="Times New Roman;Times;serif" w:hAnsi="Times New Roman;Times;serif"/>
          <w:sz w:val="24"/>
        </w:rPr>
        <w:t xml:space="preserve">  No such assignment shall be made to a Defaulting Lender.</w:t>
      </w:r>
    </w:p>
    <w:p>
      <w:pPr>
        <w:pStyle w:val="TextBody"/>
        <w:bidi w:val="0"/>
        <w:spacing w:before="0" w:after="0"/>
        <w:ind w:left="0" w:right="0" w:hanging="0"/>
        <w:jc w:val="both"/>
        <w:rPr>
          <w:rFonts w:ascii="Times" w:hAnsi="Times"/>
          <w:sz w:val="24"/>
        </w:rPr>
      </w:pPr>
      <w:r>
        <w:rPr>
          <w:rFonts w:ascii="Times" w:hAnsi="Times"/>
          <w:sz w:val="24"/>
        </w:rPr>
        <w:t xml:space="preserve">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shall be treated for purposes of this Agreement as a sale by such Lender of a participation in such rights and obligations in accordance with Section 12.11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Register</w:t>
      </w:r>
      <w:r>
        <w:rPr>
          <w:rFonts w:ascii="Times New Roman;Times;serif" w:hAnsi="Times New Roman;Times;serif"/>
          <w:sz w:val="24"/>
        </w:rPr>
        <w:t>.  The Administrative Agent, acting solely for this purpose as an agent of the Borrower, shall maintain at one of its offices in New York, New York, a copy of each Assignment and Acceptance delivered to it and a register for the recordation of the names and addresses of the Lenders, and the Revolving Credit Commitments of, and principal amounts of the Revolving Loans, Term Loans and Incremental Term Loans owing to, each Lender pursuant to the terms hereof from time to time (the “Register”).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or L/C Issuer that grants a participation as described in Section 12.11 shall, acting solely for this purpose as an agent of the Borrower, maintain a register on which it enters the name and address of each participant and the principal amounts (and stated interest) of each participant's interest in the Revolving Loans, Term Loans and Incremental Term Loans made and Reimbursement Obligations and/or Revolving Credit Commitments or other obligations under this Agreement (the “Participant Register”); provided that no Lender or L/C Issuer shall have any obligation to disclose all or any portion of the Participant Register to any Person (including the identity of any participant or any information relating to a participant's interest in any Revolving Loans made and Reimbursement Obligations and/or Revolving Credit Commitments or other obligations under this Agreement) except to the extent that such disclosure is necessary to establish that such Obligation or Revolving Credit Commitment is in registered form under Section 5f.103-1(c) of the Treasury Regulations or is otherwise required by this Agreement. The entries in the Participant Register shall be conclusive absent manifest error, and such Lender or L/C Issuer shall treat each person whose name is recorded in the Participant Register as the owner of such participation for all purposes of this Agreement notwithstanding any notice to the contrary.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Times New Roman;Times;serif" w:hAnsi="Times New Roman;Times;serif"/>
          <w:i/>
          <w:sz w:val="24"/>
        </w:rPr>
        <w:t>provided</w:t>
      </w:r>
      <w:r>
        <w:rPr>
          <w:rFonts w:ascii="Times New Roman;Times;serif" w:hAnsi="Times New Roman;Times;serif"/>
          <w:sz w:val="24"/>
        </w:rPr>
        <w:t xml:space="preserve"> that no such pledge or grant of a security interest shall release a Lender from any of its obligations hereunder or substitute any such pledgee or secured party for such Lender as a party hereto; </w:t>
      </w:r>
      <w:r>
        <w:rPr>
          <w:rFonts w:ascii="Times New Roman;Times;serif" w:hAnsi="Times New Roman;Times;serif"/>
          <w:i/>
          <w:sz w:val="24"/>
        </w:rPr>
        <w:t>provided further, however,</w:t>
      </w:r>
      <w:r>
        <w:rPr>
          <w:rFonts w:ascii="Times New Roman;Times;serif" w:hAnsi="Times New Roman;Times;serif"/>
          <w:sz w:val="24"/>
        </w:rPr>
        <w:t xml:space="preserve"> the right of any such pledgee or grantee (other than any Federal Reserve Bank) to further transfer all or any portion of the rights pledged or granted to it, whether by means of foreclosure or otherwise, shall be at all times subject to the terms of this Agreement.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12.13.</w:t>
      </w:r>
      <w:bookmarkStart w:id="1858" w:name="_Toc221027946"/>
      <w:bookmarkEnd w:id="1858"/>
      <w:r>
        <w:rPr>
          <w:rFonts w:ascii="Times New Roman;Times;serif" w:hAnsi="Times New Roman;Times;serif"/>
          <w:i w:val="false"/>
          <w:caps w:val="false"/>
          <w:smallCaps w:val="false"/>
          <w:sz w:val="24"/>
          <w:u w:val="single"/>
        </w:rPr>
        <w:t>Amendments</w:t>
      </w:r>
      <w:r>
        <w:rPr>
          <w:rFonts w:ascii="Times New Roman;Times;serif" w:hAnsi="Times New Roman;Times;serif"/>
          <w:i w:val="false"/>
          <w:caps w:val="false"/>
          <w:smallCaps w:val="false"/>
          <w:sz w:val="24"/>
        </w:rPr>
        <w:t>. Any provision of this Agreement or the other Loan Documents may be amended or waived if, but only if, such amendment or waiver is in writing and is signed by (a) the Borrower, (b) the Required Lenders (or Administrative Agent acting at the direction of the Required Lenders), and (c) if the rights or duties of the Administrative Agent, the Sustainability Structuring Agent, or the L/C Issuer are affected thereby, the Administrative Agent or the L/C Issuer, as applicable; provided that: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(i)no amendment or waiver pursuant to this Section 12.13 shall (A) increase any Commitment of any Lender without the consent of such Lender or (B) reduce the amount of or postpone the date for any scheduled payment of any principal of or interest on any Loan or of any Reimbursement Obligation or of any fee payable hereunder (including by way of a waiver of a Default or Event of Default under Section 9.1(a)) without the consent of the Lender to which such payment is owing or which has committed to make such Revolving Loan or Letter of Credit (or participate therein) hereunder; </w:t>
      </w:r>
      <w:r>
        <w:rPr>
          <w:rFonts w:ascii="Times New Roman;Times;serif" w:hAnsi="Times New Roman;Times;serif"/>
          <w:i/>
          <w:sz w:val="24"/>
        </w:rPr>
        <w:t>provided</w:t>
      </w:r>
      <w:r>
        <w:rPr>
          <w:rFonts w:ascii="Times New Roman;Times;serif" w:hAnsi="Times New Roman;Times;serif"/>
          <w:sz w:val="24"/>
        </w:rPr>
        <w:t xml:space="preserve"> that only the written consent of the Required Lenders shall be required for (x) the waiver or retraction of an imposition of interest payable under Section 1.9, or (y) any modification or waiver of the covenants set forth in Section 8.20 or 8.21, (C) extend the Revolving Credit Termination Date without the consent of each affected Revolving Lender or (D) extend the Term Loan Maturity Date or the maturity date of any Incremental Term Loan without the consent of each affected Term Loan Lender or Incremental Term Loan Lender, as applicable;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(ii)no amendment or waiver pursuant to this Section 12.13 shall, unless signed by each Lender, affected thereby, change the definitions of Required Lenders, Required Class Lenders or Required Revolving Lenders, change the provisions of this Section 12.13, affect the number of Lenders required to take any action hereunder or under any other Loan Document, change the pro rata application of payments or order of application of payments and collections set forth in Section 1.12(a), Section 3.1 or Section 12.7, or change any other provision of this Agreement or add any provision to this Agreement, in each case, in a manner that would alter, or would have the effect of altering the pro rata sharing of payments required thereby, or release any Guarantor (except as expressly contemplated in this Agreement);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(iii)while any Revolving Loans are outstanding, no amendment or waiver pursuant shall amend, modify or waive (A) Section 7.2 or any other provision of this Agreement if the effect of such amendment, modification or waiver is to require the Revolving Lenders to make Revolving Loans when such Lenders would not otherwise be required to do so, or (B) the L/C sublimit, in each case, without the prior written consent of the Required Revolving Lenders;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(iv)any term of this Agreement or of any other Loan Document relating solely to the rights or obligations of the Lenders of a particular Class, and not Lenders of any other Class, may be amended, and the performance or observance by the Borrower or any other Loan Party or any Subsidiary of any such terms may be waived (either generally or in a particular instance and either retroactively or prospectively) with, and only with, the written consent of the Required Class Lenders for such Class of Lenders (and, in the case of an amendment to any Loan Document, the written consent of each Loan Party which is a party thereto);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(v)no amendment to Section 13 hereof shall be made without the consent of the Guarantors affected thereby;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(vi)no amendment, modification or waiver shall be made, unless signed by each Lender affected thereby, that subordinates or has the effect of subordinating all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any portion of the Obligations or any Liens under the Loan Documents to any other Indebtedness or obligation.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b w:val="false"/>
          <w:i w:val="false"/>
          <w:caps w:val="false"/>
          <w:smallCaps w:val="false"/>
          <w:sz w:val="24"/>
        </w:rPr>
        <w:t>Section 12.14.</w:t>
      </w:r>
      <w:bookmarkStart w:id="1859" w:name="_Toc221027947"/>
      <w:bookmarkEnd w:id="1859"/>
      <w:r>
        <w:rPr>
          <w:rFonts w:ascii="Times New Roman;Times;serif" w:hAnsi="Times New Roman;Times;serif"/>
          <w:b w:val="false"/>
          <w:i w:val="false"/>
          <w:caps w:val="false"/>
          <w:smallCaps w:val="false"/>
          <w:sz w:val="24"/>
          <w:u w:val="single"/>
        </w:rPr>
        <w:t>Headings</w:t>
      </w:r>
      <w:r>
        <w:rPr>
          <w:rFonts w:ascii="Times New Roman;Times;serif" w:hAnsi="Times New Roman;Times;serif"/>
          <w:b w:val="false"/>
          <w:i/>
          <w:sz w:val="24"/>
        </w:rPr>
        <w:t xml:space="preserve">. </w:t>
      </w:r>
      <w:r>
        <w:rPr>
          <w:rFonts w:ascii="Times New Roman;Times;serif" w:hAnsi="Times New Roman;Times;serif"/>
          <w:b w:val="false"/>
          <w:i w:val="false"/>
          <w:caps w:val="false"/>
          <w:smallCaps w:val="false"/>
          <w:sz w:val="24"/>
        </w:rPr>
        <w:t>Section headings used in this Agreement are for reference only and shall not affect the construction of this Agreement.</w:t>
      </w:r>
      <w:bookmarkStart w:id="1860" w:name="_Toc221027948"/>
      <w:bookmarkEnd w:id="1860"/>
      <w:r>
        <w:rPr>
          <w:rFonts w:ascii="Times New Roman;Times;serif" w:hAnsi="Times New Roman;Times;serif"/>
          <w:b w:val="false"/>
          <w:i w:val="false"/>
          <w:caps w:val="false"/>
          <w:smallCaps w:val="false"/>
          <w:sz w:val="24"/>
          <w:u w:val="single"/>
        </w:rPr>
        <w:t>Costs and Expenses; Indemnification</w:t>
      </w:r>
      <w:r>
        <w:rPr>
          <w:rFonts w:ascii="Times New Roman;Times;serif" w:hAnsi="Times New Roman;Times;serif"/>
          <w:b w:val="false"/>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Borrower agrees to pay all reasonable costs and expenses of the Administrative Agent and the Sustainability Structuring Agent in connection with the preparation, negotiation, syndication, and administration of the Loan Documents, including, without limitation, the reasonable fees and disbursements of counsel to the Administrative Agent and the Sustainability Structuring Agent, in connection with the preparation and execution of the Loan Documents, and any amendment, waiver or consent related thereto, whether or not the transactions contemplated herein are consummated.  The Borrower agrees to pay to the Administrative Agent, the Sustainability Structuring Agent, the L/C Issuer, and each Lender all costs and expenses reasonably incurred or paid by the Administrative Agent, the L/C Issuer,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the L/C Issuer, each Lender, and any security trustee therefor, and their respective directors, officers, employees, agents, financial advisors, and consultants (each such Person being called an “Indemnitee”)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of any Revolving Loan or Letter of Credit, other than those which arise from the gross negligence or willful misconduct of the party claiming indemnification.  The Borrower, upon demand by the Administrative Agent, the L/C Issuer, or a Lender at any time, shall reimburse the Administrative Agent, the L/C Issuer, or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Revolving Loan or Letter of Credit or the use of the proceeds thereof.  The obligations of the parties under this Section 12.15 shall survive the termination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following:  (i) any presence, release, threatened release or disposal of any hazardous or toxic substance or petroleum by the Borrower or any Subsidiary or otherwise occurring on or with respect to its Properties (whether owned or leased), (ii) the operation or violation of any environmental law, whether federal, state, or local, and any regulations promulgated thereunder, by the Borrower or any Subsidiary or otherwise occurring on or with respect to its Properties (whether owned or leased), (iii) any claim for personal injury or property damage in connection with the Borrower or any Subsidiary or otherwise occurring on or with respect to its Properties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12.16.</w:t>
      </w:r>
      <w:bookmarkStart w:id="1861" w:name="_Toc221027949"/>
      <w:bookmarkEnd w:id="1861"/>
      <w:r>
        <w:rPr>
          <w:rFonts w:ascii="Times New Roman;Times;serif" w:hAnsi="Times New Roman;Times;serif"/>
          <w:i w:val="false"/>
          <w:caps w:val="false"/>
          <w:smallCaps w:val="false"/>
          <w:sz w:val="24"/>
          <w:u w:val="single"/>
        </w:rPr>
        <w:t>Set-off</w:t>
      </w:r>
      <w:r>
        <w:rPr>
          <w:rFonts w:ascii="Times New Roman;Times;serif" w:hAnsi="Times New Roman;Times;serif"/>
          <w:i w:val="false"/>
          <w:caps w:val="false"/>
          <w:smallCaps w:val="false"/>
          <w:sz w:val="24"/>
        </w:rPr>
        <w:t>.  In addition to any rights now or hereafter granted under the Loan Documents or applicable law and not by way of limitation of any such rights, during the continuance of any Event of Default, with the prior written consent of the Administrative Agent, each Lender, the L/C Issuer,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 off and to appropriate and to apply any and all deposits (general or special, including, but not limited to, indebtedness evidenced by certificates of deposit, whether matured or unmatured, and in whatever currency denominated, but not including trust accounts) and any other indebtedness at any time held or owing by that Lender, L/C Issuer, subsequent holder, or affiliate, to or for the credit or the account of the Borrower or such Guarantor, whether or not matured, against and on account of the Obligations then due of the Borrower or such Guarantor to that Lender, L/C Issuer, or subsequent holder under the Loan Documents, including, but not limited to, all claims of any nature or description arising out of or connected with the Loan Documents, irrespective of whether or not that Lender, L/C Issuer, or subsequent holder shall have made any demand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12.17.</w:t>
      </w:r>
      <w:bookmarkStart w:id="1862" w:name="_Toc221027950"/>
      <w:bookmarkEnd w:id="1862"/>
      <w:r>
        <w:rPr>
          <w:rFonts w:ascii="Times New Roman;Times;serif" w:hAnsi="Times New Roman;Times;serif"/>
          <w:i w:val="false"/>
          <w:caps w:val="false"/>
          <w:smallCaps w:val="false"/>
          <w:sz w:val="24"/>
          <w:u w:val="single"/>
        </w:rPr>
        <w:t>Entire Agreement</w:t>
      </w:r>
      <w:r>
        <w:rPr>
          <w:rFonts w:ascii="Times New Roman;Times;serif" w:hAnsi="Times New Roman;Times;serif"/>
          <w:i w:val="false"/>
          <w:caps w:val="false"/>
          <w:smallCaps w:val="false"/>
          <w:sz w:val="24"/>
        </w:rPr>
        <w:t>.  The Loan Documents constitute the entire understanding of the parties thereto with respect to the subject matter thereof and any prior agreements, whether written or oral, with respect thereto are superseded hereby.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12.18.</w:t>
      </w:r>
      <w:bookmarkStart w:id="1863" w:name="_Toc221027951"/>
      <w:bookmarkEnd w:id="1863"/>
      <w:r>
        <w:rPr>
          <w:rFonts w:ascii="Times New Roman;Times;serif" w:hAnsi="Times New Roman;Times;serif"/>
          <w:i w:val="false"/>
          <w:caps w:val="false"/>
          <w:smallCaps w:val="false"/>
          <w:sz w:val="24"/>
          <w:u w:val="single"/>
        </w:rPr>
        <w:t>Governing Law</w:t>
      </w:r>
      <w:r>
        <w:rPr>
          <w:rFonts w:ascii="Times New Roman;Times;serif" w:hAnsi="Times New Roman;Times;serif"/>
          <w:i w:val="false"/>
          <w:caps w:val="false"/>
          <w:smallCaps w:val="false"/>
          <w:sz w:val="24"/>
        </w:rPr>
        <w:t>.  This Agreement and the other Loan Documents (except as otherwise specified therein), and the rights and duties of the parties hereto, shall be construed and determined in accordance with the internal laws of the State of New York.</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12.19.</w:t>
      </w:r>
      <w:bookmarkStart w:id="1864" w:name="_Toc221027952"/>
      <w:bookmarkEnd w:id="1864"/>
      <w:r>
        <w:rPr>
          <w:rFonts w:ascii="Times New Roman;Times;serif" w:hAnsi="Times New Roman;Times;serif"/>
          <w:i w:val="false"/>
          <w:caps w:val="false"/>
          <w:smallCaps w:val="false"/>
          <w:sz w:val="24"/>
          <w:u w:val="single"/>
        </w:rPr>
        <w:t>Severability of Provisions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12.20.</w:t>
      </w:r>
      <w:bookmarkStart w:id="1865" w:name="_Toc221027953"/>
      <w:bookmarkEnd w:id="1865"/>
      <w:r>
        <w:rPr>
          <w:rFonts w:ascii="Times New Roman;Times;serif" w:hAnsi="Times New Roman;Times;serif"/>
          <w:i w:val="false"/>
          <w:caps w:val="false"/>
          <w:smallCaps w:val="false"/>
          <w:sz w:val="24"/>
          <w:u w:val="single"/>
        </w:rPr>
        <w:t>Excess Interest</w:t>
      </w:r>
      <w:r>
        <w:rPr>
          <w:rFonts w:ascii="Times New Roman;Times;serif" w:hAnsi="Times New Roman;Times;serif"/>
          <w:i w:val="false"/>
          <w:caps w:val="false"/>
          <w:smallCaps w:val="false"/>
          <w:sz w:val="24"/>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Revolving Loans or other obligations outstanding under this Agreement or any other Loan Document (</w:t>
      </w:r>
      <w:r>
        <w:rPr>
          <w:rFonts w:ascii="Times New Roman;Times;serif" w:hAnsi="Times New Roman;Times;serif"/>
          <w:i/>
          <w:sz w:val="24"/>
        </w:rPr>
        <w:t>“Excess Interest”</w:t>
      </w:r>
      <w:r>
        <w:rPr>
          <w:rFonts w:ascii="Times New Roman;Times;serif" w:hAnsi="Times New Roman;Times;serif"/>
          <w:i w:val="false"/>
          <w:caps w:val="false"/>
          <w:smallCaps w:val="false"/>
          <w:sz w:val="24"/>
        </w:rPr>
        <w:t xml:space="preserve">).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Times;serif" w:hAnsi="Times New Roman;Times;serif"/>
          <w:i/>
          <w:sz w:val="24"/>
        </w:rPr>
        <w:t>“Maximum Rate”</w:t>
      </w:r>
      <w:r>
        <w:rPr>
          <w:rFonts w:ascii="Times New Roman;Times;serif" w:hAnsi="Times New Roman;Times;serif"/>
          <w:i w:val="false"/>
          <w:caps w:val="false"/>
          <w:smallCaps w:val="false"/>
          <w:sz w:val="24"/>
        </w:rPr>
        <w:t>),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12.21.</w:t>
      </w:r>
      <w:bookmarkStart w:id="1866" w:name="_Toc221027954"/>
      <w:bookmarkEnd w:id="1866"/>
      <w:r>
        <w:rPr>
          <w:rFonts w:ascii="Times New Roman;Times;serif" w:hAnsi="Times New Roman;Times;serif"/>
          <w:i w:val="false"/>
          <w:caps w:val="false"/>
          <w:smallCaps w:val="false"/>
          <w:sz w:val="24"/>
          <w:u w:val="single"/>
        </w:rPr>
        <w:t>Construction</w:t>
      </w:r>
      <w:r>
        <w:rPr>
          <w:rFonts w:ascii="Times New Roman;Times;serif" w:hAnsi="Times New Roman;Times;serif"/>
          <w:i w:val="false"/>
          <w:caps w:val="false"/>
          <w:smallCaps w:val="false"/>
          <w:sz w:val="24"/>
        </w:rPr>
        <w:t>.  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r>
        <w:rPr>
          <w:rFonts w:ascii="Times New Roman;Times;serif" w:hAnsi="Times New Roman;Times;serif"/>
          <w:i w:val="false"/>
          <w:smallCaps/>
          <w:sz w:val="24"/>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12.22.</w:t>
      </w:r>
      <w:bookmarkStart w:id="1867" w:name="_Toc221027955"/>
      <w:bookmarkEnd w:id="1867"/>
      <w:r>
        <w:rPr>
          <w:rFonts w:ascii="Times New Roman;Times;serif" w:hAnsi="Times New Roman;Times;serif"/>
          <w:i w:val="false"/>
          <w:caps w:val="false"/>
          <w:smallCaps w:val="false"/>
          <w:sz w:val="24"/>
          <w:u w:val="single"/>
        </w:rPr>
        <w:t>Lender’s Obligations Several</w:t>
      </w:r>
      <w:r>
        <w:rPr>
          <w:rFonts w:ascii="Times New Roman;Times;serif" w:hAnsi="Times New Roman;Times;serif"/>
          <w:i w:val="false"/>
          <w:caps w:val="false"/>
          <w:smallCaps w:val="false"/>
          <w:sz w:val="24"/>
        </w:rPr>
        <w:t>.  Lender’s and L/C Issuer’s Obligations Several" \l 2 .  The obligations of the Lenders and L/C Issuer hereunder are several and not joint.  Nothing contained in this Agreement and no action taken by the Lenders or L/C Issuer pursuant hereto shall be deemed to constitute the Lenders and L/C Issuer a partnership, association, joint venture or other entity.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12.23.</w:t>
      </w:r>
      <w:bookmarkStart w:id="1868" w:name="_Toc221027956"/>
      <w:bookmarkEnd w:id="1868"/>
      <w:r>
        <w:rPr>
          <w:rFonts w:ascii="Times New Roman;Times;serif" w:hAnsi="Times New Roman;Times;serif"/>
          <w:i w:val="false"/>
          <w:caps w:val="false"/>
          <w:smallCaps w:val="false"/>
          <w:sz w:val="24"/>
          <w:u w:val="single"/>
        </w:rPr>
        <w:t>Submission to Jurisdiction; Waiver of Jury Trial</w:t>
      </w:r>
      <w:r>
        <w:rPr>
          <w:rFonts w:ascii="Times New Roman;Times;serif" w:hAnsi="Times New Roman;Times;serif"/>
          <w:i w:val="false"/>
          <w:caps w:val="false"/>
          <w:smallCaps w:val="false"/>
          <w:sz w:val="24"/>
        </w:rPr>
        <w:t xml:space="preserve">.  The Borrower and each Guarantor hereby submits to the nonexclusive jurisdiction of the United States District Court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BORROWER, EACH GUARANTOR, THE ADMINISTRATIVE AGENT, THE L/C ISSUER, AND THE LENDERS HEREBY IRREVOCABLY WAIVE ANY AND ALL RIGHT TO TRIAL BY JURY IN ANY LEGAL PROCEEDING ARISING OUT OF OR RELATING TO ANY LOAN DOCUMENT OR THE TRANSACTIONS CONTEMPLATED THEREBY.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12.24.</w:t>
      </w:r>
      <w:bookmarkStart w:id="1869" w:name="_Toc221027957"/>
      <w:bookmarkEnd w:id="1869"/>
      <w:r>
        <w:rPr>
          <w:rFonts w:ascii="Times New Roman;Times;serif" w:hAnsi="Times New Roman;Times;serif"/>
          <w:i w:val="false"/>
          <w:caps w:val="false"/>
          <w:smallCaps w:val="false"/>
          <w:sz w:val="24"/>
          <w:u w:val="single"/>
        </w:rPr>
        <w:t>USA Patriot Act</w:t>
      </w:r>
      <w:r>
        <w:rPr>
          <w:rFonts w:ascii="Times New Roman;Times;serif" w:hAnsi="Times New Roman;Times;serif"/>
          <w:i w:val="false"/>
          <w:caps w:val="false"/>
          <w:smallCaps w:val="false"/>
          <w:sz w:val="24"/>
        </w:rPr>
        <w:t>.  Administrative Agent, each Lender and L/C Issuer hereby notifies the Loan Parties that (a) pursuant to the requirements of the USA PATRIOT Act (Title III of Pub. L. 107-56 (signed into law October 26, 2001)) (the “</w:t>
      </w:r>
      <w:r>
        <w:rPr>
          <w:rFonts w:ascii="Times New Roman;Times;serif" w:hAnsi="Times New Roman;Times;serif"/>
          <w:i/>
          <w:sz w:val="24"/>
        </w:rPr>
        <w:t>Patriot Act</w:t>
      </w:r>
      <w:r>
        <w:rPr>
          <w:rFonts w:ascii="Times New Roman;Times;serif" w:hAnsi="Times New Roman;Times;serif"/>
          <w:i/>
          <w:caps w:val="false"/>
          <w:smallCaps w:val="false"/>
          <w:sz w:val="24"/>
        </w:rPr>
        <w:t>”</w:t>
      </w:r>
      <w:r>
        <w:rPr>
          <w:rFonts w:ascii="Times New Roman;Times;serif" w:hAnsi="Times New Roman;Times;serif"/>
          <w:i w:val="false"/>
          <w:caps w:val="false"/>
          <w:smallCaps w:val="false"/>
          <w:sz w:val="24"/>
        </w:rPr>
        <w:t>), it is required to obtain, verify and record information that identifies each Loan Party, which information includes the name and address of such Loan Party and other information that will allow such Lender, L/C Issuer or Administrative Agent, as applicable, to identify such Loan Party in accordance with the Patriot Act and (b) pursuant to the Beneficial Ownership Regulation, it is required to obtain a Beneficial Ownership Certificate.  Each Loan Party shall provide to the extent commercially reasonable, such information and take such other actions as are reasonably requested by Administrative Agent or any Lender or L/C Issuer in order to assist Administrative Agent and each Lender and L/C Issuer in maintaining compliance with the Patriot Act and the Beneficial Ownership Regulation.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12.25.</w:t>
      </w:r>
      <w:bookmarkStart w:id="1870" w:name="_Toc221027958"/>
      <w:bookmarkEnd w:id="1870"/>
      <w:r>
        <w:rPr>
          <w:rFonts w:ascii="Times New Roman;Times;serif" w:hAnsi="Times New Roman;Times;serif"/>
          <w:i w:val="false"/>
          <w:caps w:val="false"/>
          <w:smallCaps w:val="false"/>
          <w:sz w:val="24"/>
          <w:u w:val="single"/>
        </w:rPr>
        <w:t>Confidentiality</w:t>
      </w:r>
      <w:r>
        <w:rPr>
          <w:rFonts w:ascii="Times New Roman;Times;serif" w:hAnsi="Times New Roman;Times;serif"/>
          <w:i w:val="false"/>
          <w:caps w:val="false"/>
          <w:smallCaps w:val="false"/>
          <w:sz w:val="24"/>
        </w:rPr>
        <w:t xml:space="preserve">.  Each of the Administrative Agent, the Lenders, and the L/C Issuer severally agrees to maintain the confidentiality of the Information (as defined below), except that Information may be disclosed in compliance with applicable law (a) to its and its Affiliates’ directors, officers, employees and agents, including accountants, legal counsel and other 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provided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provided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or the L/C Issuer on a non confidential basis from a source other than the Borrower or any Subsidiary or any of their directors, officers, employees or agents, including accountants, legal counsel and other advisors; provided that the Administrative Agent, any Lender or the L/C Issuer may use such Information as permitted by clause (a) above, but the Administrative Agent, any Lender or the L/C Issuer shall not otherwise disclose such Information except as permitted by clauses (b) - (g), (i), (j) or (k) of this Section 12.25, (i) to rating agencies if requested or required by such agencies in connection with a rating relating to the Revolving Loans or the Revolving Credit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provided that only basic information about the pricing and structure of the transaction evidenced hereby may be disclosed pursuant to this subsection (j).  For purposes of this Section 12.25, “Information”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of its Subsidiaries or from any other Person on behalf of the Borrower or any of the Subsidiaries.  Each of the Administrative Agent, the Lenders, and the L/C Issuer specifically acknowledges that the common stock of Parent is traded on the New York Stock Exchange under the trading symbol “PINE.”  Each of the Administrative Agent, the Lenders, and the L/C Issuer further expressly acknowledges that it is aware that the securities laws of the United States prohibit any person who has received from an issuer material, non-public information, including information concerning the matters that are the subject of this Agreement, from purchasing or selling securities of such issuer on the basis of material, non-public information concerning the issuer of such securities or, subject to certain limited exceptions, from communicating such information to any other Person.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12.26.</w:t>
      </w:r>
      <w:bookmarkStart w:id="1871" w:name="_Toc221027959"/>
      <w:bookmarkEnd w:id="1871"/>
      <w:r>
        <w:rPr>
          <w:rFonts w:ascii="Times New Roman;Times;serif" w:hAnsi="Times New Roman;Times;serif"/>
          <w:i w:val="false"/>
          <w:caps w:val="false"/>
          <w:smallCaps w:val="false"/>
          <w:sz w:val="24"/>
          <w:u w:val="single"/>
        </w:rPr>
        <w:t>Limitation of Recourse</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12.27.</w:t>
      </w:r>
      <w:bookmarkStart w:id="1872" w:name="_Toc221027960"/>
      <w:bookmarkEnd w:id="1872"/>
      <w:r>
        <w:rPr>
          <w:rFonts w:ascii="Times New Roman;Times;serif" w:hAnsi="Times New Roman;Times;serif"/>
          <w:i w:val="false"/>
          <w:caps w:val="false"/>
          <w:smallCaps w:val="false"/>
          <w:sz w:val="24"/>
          <w:u w:val="single"/>
        </w:rPr>
        <w:t>Other Taxes</w:t>
      </w:r>
      <w:r>
        <w:rPr>
          <w:rFonts w:ascii="Times New Roman;Times;serif" w:hAnsi="Times New Roman;Times;serif"/>
          <w:i w:val="false"/>
          <w:caps w:val="false"/>
          <w:smallCaps w:val="false"/>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Borrower agrees to pay on demand, and indemnify and hold the Administrative Agent and the Lenders harmless from, any Other Taxes payable in respect of this Agreement or any other Loan Document, including interest and penalties, in the event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such taxes are assessed, irrespective of when such assessment is made and whether or not any credit is then in use or available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12.28.</w:t>
      </w:r>
      <w:bookmarkStart w:id="1873" w:name="_Toc221027961"/>
      <w:bookmarkEnd w:id="1873"/>
      <w:r>
        <w:rPr>
          <w:rFonts w:ascii="Times New Roman;Times;serif" w:hAnsi="Times New Roman;Times;serif"/>
          <w:i w:val="false"/>
          <w:caps w:val="false"/>
          <w:smallCaps w:val="false"/>
          <w:sz w:val="24"/>
          <w:u w:val="single"/>
        </w:rPr>
        <w:t>Amendment and Restatement; No Novation</w:t>
      </w:r>
      <w:r>
        <w:rPr>
          <w:rFonts w:ascii="Times New Roman;Times;serif" w:hAnsi="Times New Roman;Times;serif"/>
          <w:i w:val="false"/>
          <w:caps w:val="false"/>
          <w:smallCaps w:val="false"/>
          <w:sz w:val="24"/>
        </w:rPr>
        <w:t>.  From and after the date of this Agreement, all references to the Original Credit Agreement in any Loan Document or in any other instrument or document shall, unless otherwise explicitly stated therein, be deemed to refer to this Agreement.  This Agreement shall become effective as of the date hereof, and supersede all provisions of the Original Credit Agreement as of such date, upon the execution of this Agreement by each of the parties hereto and fulfillment of the conditions precedent contained in Section 7.2 hereof.  This Agreement shall constitute for all purposes an amendment and restatement of the Original Credit Agreement and not a new agreement and all obligations outstanding under the Original Credit Agreement shall continue to be outstanding hereunder and shall not constitute a novation of the indebtedness or other obligations outstanding under the Original Credit Agreement.  On the Closing Date, the Loans and related Obligations made under the Original Credit Agreement shall be deemed to have been made under this Agreement, without the execution by the Borrower or the Lenders of any other documentation.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12.29.</w:t>
      </w:r>
      <w:bookmarkStart w:id="1874" w:name="_Toc221027962"/>
      <w:bookmarkStart w:id="1875" w:name="_Ref114046781"/>
      <w:bookmarkEnd w:id="1874"/>
      <w:bookmarkEnd w:id="1875"/>
      <w:r>
        <w:rPr>
          <w:rFonts w:ascii="Times New Roman;Times;serif" w:hAnsi="Times New Roman;Times;serif"/>
          <w:i w:val="false"/>
          <w:caps w:val="false"/>
          <w:smallCaps w:val="false"/>
          <w:sz w:val="24"/>
          <w:u w:val="single"/>
        </w:rPr>
        <w:t>Acknowledgement and Consent to Bail-In of Affected Financial Institutions</w:t>
      </w:r>
      <w:r>
        <w:rPr>
          <w:rFonts w:ascii="Times New Roman;Times;serif" w:hAnsi="Times New Roman;Times;serif"/>
          <w:i/>
          <w:sz w:val="24"/>
        </w:rPr>
        <w:t>.  </w:t>
      </w:r>
      <w:r>
        <w:rPr>
          <w:rFonts w:ascii="Times New Roman;Times;serif" w:hAnsi="Times New Roman;Times;serif"/>
          <w:i w:val="false"/>
          <w:caps w:val="false"/>
          <w:smallCaps w:val="false"/>
          <w:sz w:val="24"/>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effects of any Bail-In Action on any such liability, including, if applicable: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(i)a reduction in full or in part or cancellation of any such liability;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(iii)the variation of the terms of such liability in connection with the exercise of the write-down and conversion powers of any Affected Resolution Authority.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12.30.</w:t>
      </w:r>
      <w:bookmarkStart w:id="1876" w:name="_Toc221027963"/>
      <w:bookmarkEnd w:id="1876"/>
      <w:r>
        <w:rPr>
          <w:rFonts w:ascii="Times New Roman;Times;serif" w:hAnsi="Times New Roman;Times;serif"/>
          <w:i w:val="false"/>
          <w:caps w:val="false"/>
          <w:smallCaps w:val="false"/>
          <w:sz w:val="24"/>
          <w:u w:val="single"/>
        </w:rPr>
        <w:t>Acknowledgement Regarding Any Supported QFCs</w:t>
      </w:r>
      <w:r>
        <w:rPr>
          <w:rFonts w:ascii="Times New Roman;Times;serif" w:hAnsi="Times New Roman;Times;serif"/>
          <w:i/>
          <w:sz w:val="24"/>
        </w:rPr>
        <w:t>.  </w:t>
      </w:r>
      <w:r>
        <w:rPr>
          <w:rFonts w:ascii="Times New Roman;Times;serif" w:hAnsi="Times New Roman;Times;serif"/>
          <w:i w:val="false"/>
          <w:caps w:val="false"/>
          <w:smallCaps w:val="false"/>
          <w:sz w:val="24"/>
        </w:rPr>
        <w:t xml:space="preserve">To the extent that the  Loan Documents provide support, through a guarantee or otherwise, for Hedging Agreements or any other agreement or instrument that is a QFC (such support, </w:t>
      </w:r>
      <w:r>
        <w:rPr>
          <w:rFonts w:ascii="Times New Roman;Times;serif" w:hAnsi="Times New Roman;Times;serif"/>
          <w:i/>
          <w:sz w:val="24"/>
        </w:rPr>
        <w:t>“QFC Credit Support”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each such QFC a </w:t>
      </w:r>
      <w:r>
        <w:rPr>
          <w:rFonts w:ascii="Times New Roman;Times;serif" w:hAnsi="Times New Roman;Times;serif"/>
          <w:i/>
          <w:sz w:val="24"/>
        </w:rPr>
        <w:t>“Supported QFC”</w:t>
      </w:r>
      <w:r>
        <w:rPr>
          <w:rFonts w:ascii="Times New Roman;Times;serif" w:hAnsi="Times New Roman;Times;serif"/>
          <w:i w:val="false"/>
          <w:caps w:val="false"/>
          <w:smallCaps w:val="false"/>
          <w:sz w:val="24"/>
        </w:rPr>
        <w:t xml:space="preserve">), the parties acknowledge and agree as follows with respect to the resolution power of the Federal Deposit Insurance Corporation under the Federal Deposit Insurance Act and Title II of the Dodd-Frank Wall Street Reform and Consumer Protection Act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(together with the regulations promulgated thereunder, the </w:t>
      </w:r>
      <w:r>
        <w:rPr>
          <w:rFonts w:ascii="Times New Roman;Times;serif" w:hAnsi="Times New Roman;Times;serif"/>
          <w:sz w:val="24"/>
        </w:rPr>
        <w:t>“</w:t>
      </w:r>
      <w:r>
        <w:rPr>
          <w:rFonts w:ascii="Times New Roman;Times;serif" w:hAnsi="Times New Roman;Times;serif"/>
          <w:b w:val="false"/>
          <w:i/>
          <w:sz w:val="24"/>
        </w:rPr>
        <w:t>U.S. Special Resolution Regimes”</w:t>
      </w:r>
      <w:r>
        <w:rPr>
          <w:rFonts w:ascii="Times New Roman;Times;serif" w:hAnsi="Times New Roman;Times;serif"/>
          <w:b w:val="false"/>
          <w:i w:val="false"/>
          <w:caps w:val="false"/>
          <w:smallCaps w:val="false"/>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(a)In the event a Covered Entity that is party to a Supported QFC (each, a “</w:t>
      </w:r>
      <w:r>
        <w:rPr>
          <w:rFonts w:ascii="Times New Roman;Times;serif" w:hAnsi="Times New Roman;Times;serif"/>
          <w:i/>
          <w:sz w:val="24"/>
        </w:rPr>
        <w:t>Covered Party”</w:t>
      </w:r>
      <w:r>
        <w:rPr>
          <w:rFonts w:ascii="Times New Roman;Times;serif" w:hAnsi="Times New Roman;Times;serif"/>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(b)As used in this Section, the following terms have the following meanings:</w:t>
      </w:r>
    </w:p>
    <w:p>
      <w:pPr>
        <w:pStyle w:val="TextBody"/>
        <w:bidi w:val="0"/>
        <w:spacing w:before="0" w:after="240"/>
        <w:ind w:left="720" w:right="0" w:hanging="0"/>
        <w:jc w:val="both"/>
        <w:rPr/>
      </w:pPr>
      <w:r>
        <w:rPr/>
        <w:t>“</w:t>
      </w:r>
      <w:r>
        <w:rPr>
          <w:rFonts w:ascii="Times" w:hAnsi="Times"/>
          <w:i/>
          <w:sz w:val="24"/>
        </w:rPr>
        <w:t xml:space="preserve">BHC Act Affiliate” </w:t>
      </w:r>
      <w:r>
        <w:rPr>
          <w:rFonts w:ascii="Times" w:hAnsi="Times"/>
          <w:sz w:val="24"/>
        </w:rPr>
        <w:t>of a party means an “affiliate” (as such term is defined under, and interpreted in accordance with, 12 U.S.C. 1841(k)) of such party.</w:t>
      </w:r>
    </w:p>
    <w:p>
      <w:pPr>
        <w:pStyle w:val="TextBody"/>
        <w:bidi w:val="0"/>
        <w:spacing w:before="0" w:after="240"/>
        <w:ind w:left="720" w:right="0" w:hanging="0"/>
        <w:jc w:val="both"/>
        <w:rPr/>
      </w:pPr>
      <w:r>
        <w:rPr/>
        <w:t>“</w:t>
      </w:r>
      <w:r>
        <w:rPr>
          <w:rFonts w:ascii="Times" w:hAnsi="Times"/>
          <w:i/>
          <w:sz w:val="24"/>
        </w:rPr>
        <w:t>Covered Entity</w:t>
      </w:r>
      <w:r>
        <w:rPr>
          <w:rFonts w:ascii="Times" w:hAnsi="Times"/>
          <w:sz w:val="24"/>
        </w:rPr>
        <w:t>” means any of the following: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(i)a “covered entity” as that term is defined in, and interpreted in accordance with, 12 C.F.R. §252.82(b);</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(ii)a “covered bank” as that term is defined in, and interpreted in accordance with, 12 C.F.R. §47.3(b);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(iii)a “covered FSI” as that term is defined in, and interpreted in accordance with, 12 C.F.R. §382.2(b).</w:t>
      </w:r>
    </w:p>
    <w:p>
      <w:pPr>
        <w:pStyle w:val="TextBody"/>
        <w:bidi w:val="0"/>
        <w:spacing w:before="0" w:after="240"/>
        <w:ind w:left="720" w:right="0" w:hanging="0"/>
        <w:jc w:val="both"/>
        <w:rPr/>
      </w:pPr>
      <w:r>
        <w:rPr/>
        <w:t>“</w:t>
      </w:r>
      <w:r>
        <w:rPr>
          <w:rFonts w:ascii="Times" w:hAnsi="Times"/>
          <w:i/>
          <w:sz w:val="24"/>
        </w:rPr>
        <w:t>Default Rights”</w:t>
      </w:r>
      <w:r>
        <w:rPr>
          <w:rFonts w:ascii="Times" w:hAnsi="Times"/>
          <w:sz w:val="24"/>
        </w:rPr>
        <w:t xml:space="preserve"> has the meaning assigned to that term in, and shall be interpreted in accordance with, 12 C.F.R. §§252.81, 47.2 or 382.1, as applicable.</w:t>
      </w:r>
    </w:p>
    <w:p>
      <w:pPr>
        <w:pStyle w:val="TextBody"/>
        <w:bidi w:val="0"/>
        <w:spacing w:before="0" w:after="240"/>
        <w:ind w:left="720" w:right="0" w:hanging="0"/>
        <w:jc w:val="both"/>
        <w:rPr/>
      </w:pPr>
      <w:r>
        <w:rPr/>
        <w:t>“</w:t>
      </w:r>
      <w:r>
        <w:rPr>
          <w:rFonts w:ascii="Times" w:hAnsi="Times"/>
          <w:i/>
          <w:sz w:val="24"/>
        </w:rPr>
        <w:t>QFC”</w:t>
      </w:r>
      <w:r>
        <w:rPr>
          <w:rFonts w:ascii="Times" w:hAnsi="Times"/>
          <w:sz w:val="24"/>
        </w:rPr>
        <w:t xml:space="preserve"> has the meaning assigned to the term “qualified financial contract” in, and shall be interpreted in accordance with, 12 U.S.C. 5390(c)(8)(D).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12.31.</w:t>
      </w:r>
      <w:bookmarkStart w:id="1877" w:name="_Toc221027964"/>
      <w:bookmarkEnd w:id="1877"/>
      <w:r>
        <w:rPr>
          <w:rFonts w:ascii="Times New Roman;Times;serif" w:hAnsi="Times New Roman;Times;serif"/>
          <w:i w:val="false"/>
          <w:caps w:val="false"/>
          <w:smallCaps w:val="false"/>
          <w:sz w:val="24"/>
          <w:u w:val="single"/>
        </w:rPr>
        <w:t>Erroneous Payment</w:t>
      </w:r>
      <w:r>
        <w:rPr>
          <w:rFonts w:ascii="Times New Roman;Times;serif" w:hAnsi="Times New Roman;Times;serif"/>
          <w:i w:val="false"/>
          <w:caps w:val="false"/>
          <w:smallCaps w:val="false"/>
          <w:sz w:val="24"/>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Administrative Agent notifies a Lender, or any Person who has received funds on behalf of a Lender (any such Lender or other recipient, a “</w:t>
      </w:r>
      <w:r>
        <w:rPr>
          <w:rFonts w:ascii="Times New Roman;Times;serif" w:hAnsi="Times New Roman;Times;serif"/>
          <w:i/>
          <w:sz w:val="24"/>
        </w:rPr>
        <w:t>Payment Recipient</w:t>
      </w:r>
      <w:r>
        <w:rPr>
          <w:rFonts w:ascii="Times New Roman;Times;serif" w:hAnsi="Times New Roman;Times;serif"/>
          <w:sz w:val="24"/>
        </w:rPr>
        <w:t>”) that Administrative Agent has determined in its sole discretion (whether or not after 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i/>
          <w:sz w:val="24"/>
        </w:rPr>
        <w:t>Erroneous Payment</w:t>
      </w:r>
      <w:r>
        <w:rPr>
          <w:rFonts w:ascii="Times New Roman;Times;serif" w:hAnsi="Times New Roman;Times;serif"/>
          <w:sz w:val="24"/>
        </w:rPr>
        <w: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of Administrative Agent to any Payment Recipient under this Section 12.30(a) shall be conclusive, absent manifest error.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it acknowledges and agrees that (A) in the case of immediately preceding clauses (x) or (y), an error and mistake shall be presumed to have been made (absent written confirmation from Administrative Agent to the contrary) or (B) an error and mistake has been made (in the case of immediately preceding clause (z)), in each case, with respect to such payment, prepayment or repayment;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w:t>
      </w:r>
      <w:r>
        <w:rPr>
          <w:rFonts w:ascii="Times New Roman;Times;serif" w:hAnsi="Times New Roman;Times;serif"/>
          <w:sz w:val="24"/>
        </w:rPr>
        <w:t>such Lender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i/>
          <w:sz w:val="24"/>
        </w:rPr>
        <w:t>Erroneous Payment Return Deficiency</w:t>
      </w:r>
      <w:r>
        <w:rPr>
          <w:rFonts w:ascii="Times New Roman;Times;serif" w:hAnsi="Times New Roman;Times;serif"/>
          <w:sz w:val="24"/>
        </w:rPr>
        <w:t>”),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Times;serif" w:hAnsi="Times New Roman;Times;serif"/>
          <w:i/>
          <w:sz w:val="24"/>
        </w:rPr>
        <w:t>Erroneous Payment Impacted Class</w:t>
      </w:r>
      <w:r>
        <w:rPr>
          <w:rFonts w:ascii="Times New Roman;Times;serif" w:hAnsi="Times New Roman;Times;serif"/>
          <w:sz w:val="24"/>
        </w:rPr>
        <w:t>”) in an amount equal to the Erroneous Payment Return Deficiency (or such lesser amount as Administrative Agent may specify) (such assignment of the Loans (but not Commitments) of the Erroneous Payment Impacted Class, the “</w:t>
      </w:r>
      <w:r>
        <w:rPr>
          <w:rFonts w:ascii="Times New Roman;Times;serif" w:hAnsi="Times New Roman;Times;serif"/>
          <w:i/>
          <w:sz w:val="24"/>
        </w:rPr>
        <w:t>Erroneous Payment Deficiency Assignment</w:t>
      </w:r>
      <w:r>
        <w:rPr>
          <w:rFonts w:ascii="Times New Roman;Times;serif" w:hAnsi="Times New Roman;Times;serif"/>
          <w:sz w:val="24"/>
        </w:rPr>
        <w:t>”) (on a cashless basis and such amount calculated at par plus any accrued and unpaid interest (with the assignment fee to be waived by Administrative Agent in such instance)), and is hereby (together with Borrower) deemed to execute and deliver an Assignment and Acceptance with respect to such Erroneous Payment Deficiency Assignment, and such Lender shall deliver any Notes evidencing such Loans to Borrower Representative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(ii)  Subject to this Section 12.30, the Administrative Agent may, in its discretion, sell any Loans acquired pursuant to an Erroneous Payment Deficiency Assignment and upon receipt of the proceeds of such sale, the Erroneous Payment Return Deficiency owing by the applicable Lender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Times;serif" w:hAnsi="Times New Roman;Times;serif"/>
          <w:i/>
          <w:sz w:val="24"/>
        </w:rPr>
        <w:t>Erroneous Payment Subrogation Rights</w:t>
      </w:r>
      <w:r>
        <w:rPr>
          <w:rFonts w:ascii="Times New Roman;Times;serif" w:hAnsi="Times New Roman;Times;serif"/>
          <w:sz w:val="24"/>
        </w:rPr>
        <w:t>”) (</w:t>
      </w:r>
      <w:r>
        <w:rPr>
          <w:rFonts w:ascii="Times New Roman;Times;serif" w:hAnsi="Times New Roman;Times;serif"/>
          <w:sz w:val="24"/>
          <w:u w:val="single"/>
        </w:rPr>
        <w:t>provided</w:t>
      </w:r>
      <w:r>
        <w:rPr>
          <w:rFonts w:ascii="Times New Roman;Times;serif" w:hAnsi="Times New Roman;Times;serif"/>
          <w:sz w:val="24"/>
        </w:rPr>
        <w:t xml:space="preserve"> that the Borrower’s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w:t>
      </w:r>
      <w:r>
        <w:rPr>
          <w:rFonts w:ascii="Times New Roman;Times;serif" w:hAnsi="Times New Roman;Times;serif"/>
          <w:sz w:val="24"/>
          <w:u w:val="single"/>
        </w:rPr>
        <w:t>provided</w:t>
      </w:r>
      <w:r>
        <w:rPr>
          <w:rFonts w:ascii="Times New Roman;Times;serif" w:hAnsi="Times New Roman;Times;serif"/>
          <w:sz w:val="24"/>
        </w:rPr>
        <w:t xml:space="preserve"> that this Section 12.30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(g)Each party’s obligations, agreements and waivers under this Section 12.30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13.</w:t>
      </w:r>
      <w:bookmarkStart w:id="1878" w:name="_Toc221027965"/>
      <w:bookmarkEnd w:id="1878"/>
      <w:r>
        <w:rPr>
          <w:rFonts w:ascii="Times New Roman;Times;serif" w:hAnsi="Times New Roman;Times;serif"/>
          <w:caps/>
          <w:sz w:val="24"/>
        </w:rPr>
        <w:t>The Guarantees.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13.1.</w:t>
      </w:r>
      <w:bookmarkStart w:id="1879" w:name="_Toc221027966"/>
      <w:bookmarkEnd w:id="1879"/>
      <w:r>
        <w:rPr>
          <w:rFonts w:ascii="Times New Roman;Times;serif" w:hAnsi="Times New Roman;Times;serif"/>
          <w:i w:val="false"/>
          <w:caps w:val="false"/>
          <w:smallCaps w:val="false"/>
          <w:sz w:val="24"/>
          <w:u w:val="single"/>
        </w:rPr>
        <w:t>The Guarantees</w:t>
      </w:r>
      <w:r>
        <w:rPr>
          <w:rFonts w:ascii="Times New Roman;Times;serif" w:hAnsi="Times New Roman;Times;serif"/>
          <w:i w:val="false"/>
          <w:caps w:val="false"/>
          <w:smallCaps w:val="false"/>
          <w:sz w:val="24"/>
        </w:rPr>
        <w:t xml:space="preserve">.  To induce the Lenders to provide the credits described herein and in consideration of benefits expected to accrue to the Borrower by reason of the Loans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and Revolving Credit Commitments and for other good and valuable consideration, receipt of which is hereby acknowledged, Parent and each Material Subsidiary party hereto (including any Material Subsidiary formed or acquired after the Closing Date executing an Additional Guarantor Supplement in the form attached hereto as Exhibit G or such other form acceptable to the Administrative Agent) hereby unconditionally and irrevocably guarantees jointly and severally to the Administrative Agent, the Lenders, and their Affiliates, and each Qualifying Counterparty (even if such Qualifying Counterparty or any Person affiliated with such Qualifying Counterparty shall cease to be a Lender hereunder), the due and punctual payment of all present and future Obligations, including, but not limited to, the due and punctual payment of principal of and interest on the Term Loans, Incremental Term Loans (if any), Revolving Loans, the Reimbursement Obligations,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13.2.</w:t>
      </w:r>
      <w:bookmarkStart w:id="1880" w:name="_Toc221027967"/>
      <w:bookmarkEnd w:id="1880"/>
      <w:r>
        <w:rPr>
          <w:rFonts w:ascii="Times New Roman;Times;serif" w:hAnsi="Times New Roman;Times;serif"/>
          <w:i w:val="false"/>
          <w:caps w:val="false"/>
          <w:smallCaps w:val="false"/>
          <w:sz w:val="24"/>
          <w:u w:val="single"/>
        </w:rPr>
        <w:t>Guarantee Unconditional</w:t>
      </w:r>
      <w:r>
        <w:rPr>
          <w:rFonts w:ascii="Times New Roman;Times;serif" w:hAnsi="Times New Roman;Times;serif"/>
          <w:i w:val="false"/>
          <w:caps w:val="false"/>
          <w:smallCaps w:val="false"/>
          <w:sz w:val="24"/>
        </w:rPr>
        <w:t>.  The obligations of each Guarantor under this Section 13 shall be unconditional and absolute and, without limiting the generality of the foregoing, shall not be released, discharged, or otherwise affected 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(a)any extension, renewal, settlement, compromise, waiver, or release in respect of any obligation of the Borrower or other obligor or of any other guarantor under this Agreement or any other Loan Document or by operation of law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(b)any modification or amendment of or supplement to this Agreement or any other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existence of any claim, set-off, or other rights which the Borrower or other obligor or any other guarantor may have at any time against the Administrative Agent, any Lender, or any other Person, whether or not arising in connection herewith;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(e)any failure to assert, or any assertion of, any claim or demand or any exercise of, or failure to exercise, any rights or remedies against the Borrower or other obligor, any other guarantor, or any other Person or Properties or other assets;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(f)any application of any sums by whomsoever paid or howsoever realized to any obligation of the Borrower or other obligor, regardless of what obligations of the Borrower or other obligor remain unpaid;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Term Loans, Incremental Term Loans (if any), Revolving Loan or any Reimbursement Obligation or any other amount payable under the Loan Documents;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13.3.</w:t>
      </w:r>
      <w:bookmarkStart w:id="1881" w:name="_Toc221027968"/>
      <w:bookmarkEnd w:id="1881"/>
      <w:r>
        <w:rPr>
          <w:rFonts w:ascii="Times New Roman;Times;serif" w:hAnsi="Times New Roman;Times;serif"/>
          <w:i w:val="false"/>
          <w:caps w:val="false"/>
          <w:smallCaps w:val="false"/>
          <w:sz w:val="24"/>
          <w:u w:val="single"/>
        </w:rPr>
        <w:t>Discharge Only upon Payment in Full; Reinstatement in Certain Circumstances</w:t>
      </w:r>
      <w:r>
        <w:rPr>
          <w:rFonts w:ascii="Times New Roman;Times;serif" w:hAnsi="Times New Roman;Times;serif"/>
          <w:i w:val="false"/>
          <w:caps w:val="false"/>
          <w:smallCaps w:val="false"/>
          <w:sz w:val="24"/>
        </w:rPr>
        <w:t>.  Each Guarantor’s obligations under this Section 13 shall remain in full force and effect until the Revolving Credit Commitments are terminated, all Letters of Credit have expired, and the principal of and interest on the Loans and all other amounts payable by the Borrower and the Guarantors under this Agreement and all other Loan Documents have been paid in full.  If at any time any payment of the principal of or interest on any Loan or any Reimbursement Obligation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13.4.</w:t>
      </w:r>
      <w:bookmarkStart w:id="1882" w:name="_Toc221027969"/>
      <w:bookmarkEnd w:id="1882"/>
      <w:r>
        <w:rPr>
          <w:rFonts w:ascii="Times New Roman;Times;serif" w:hAnsi="Times New Roman;Times;serif"/>
          <w:i w:val="false"/>
          <w:caps w:val="false"/>
          <w:smallCaps w:val="false"/>
          <w:sz w:val="24"/>
          <w:u w:val="single"/>
        </w:rPr>
        <w:t>Subrogation</w:t>
      </w:r>
      <w:r>
        <w:rPr>
          <w:rFonts w:ascii="Times New Roman;Times;serif" w:hAnsi="Times New Roman;Times;serif"/>
          <w:i w:val="false"/>
          <w:caps w:val="false"/>
          <w:smallCaps w:val="false"/>
          <w:sz w:val="24"/>
        </w:rPr>
        <w:t>.  Each Guarantor agrees it will not exercise any rights which it may acquire by way of subrogation by any payment made hereunder, or otherwise, until all the obligations guaranteed hereby shall have been paid in full subsequent to the termination of all the Revolving Credit Commitments and expiration of all Letters of Credit.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Revolving Credit Commitments and expiration of all Letters of Credit,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Liability and Hedging Liability, whether matured or unmatured, in accordance with the terms of this Agreement.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13.5.</w:t>
      </w:r>
      <w:bookmarkStart w:id="1883" w:name="_Toc221027970"/>
      <w:bookmarkEnd w:id="1883"/>
      <w:r>
        <w:rPr>
          <w:rFonts w:ascii="Times New Roman;Times;serif" w:hAnsi="Times New Roman;Times;serif"/>
          <w:i w:val="false"/>
          <w:caps w:val="false"/>
          <w:smallCaps w:val="false"/>
          <w:sz w:val="24"/>
          <w:u w:val="single"/>
        </w:rPr>
        <w:t>Waivers</w:t>
      </w:r>
      <w:r>
        <w:rPr>
          <w:rFonts w:ascii="Times New Roman;Times;serif" w:hAnsi="Times New Roman;Times;serif"/>
          <w:i w:val="false"/>
          <w:caps w:val="false"/>
          <w:smallCaps w:val="false"/>
          <w:sz w:val="24"/>
        </w:rPr>
        <w:t>.  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13.6.</w:t>
      </w:r>
      <w:bookmarkStart w:id="1884" w:name="_Toc221027971"/>
      <w:bookmarkEnd w:id="1884"/>
      <w:r>
        <w:rPr>
          <w:rFonts w:ascii="Times New Roman;Times;serif" w:hAnsi="Times New Roman;Times;serif"/>
          <w:i w:val="false"/>
          <w:caps w:val="false"/>
          <w:smallCaps w:val="false"/>
          <w:sz w:val="24"/>
          <w:u w:val="single"/>
        </w:rPr>
        <w:t>Limit on Recovery</w:t>
      </w:r>
      <w:r>
        <w:rPr>
          <w:rFonts w:ascii="Times New Roman;Times;serif" w:hAnsi="Times New Roman;Times;serif"/>
          <w:i w:val="false"/>
          <w:caps w:val="false"/>
          <w:smallCaps w:val="false"/>
          <w:sz w:val="24"/>
        </w:rPr>
        <w:t>.  Notwithstanding any other provision hereof, the 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13.7.</w:t>
      </w:r>
      <w:bookmarkStart w:id="1885" w:name="_Toc221027972"/>
      <w:bookmarkEnd w:id="1885"/>
      <w:r>
        <w:rPr>
          <w:rFonts w:ascii="Times New Roman;Times;serif" w:hAnsi="Times New Roman;Times;serif"/>
          <w:i w:val="false"/>
          <w:caps w:val="false"/>
          <w:smallCaps w:val="false"/>
          <w:sz w:val="24"/>
          <w:u w:val="single"/>
        </w:rPr>
        <w:t>Stay of Acceleration</w:t>
      </w:r>
      <w:r>
        <w:rPr>
          <w:rFonts w:ascii="Times New Roman;Times;serif" w:hAnsi="Times New Roman;Times;serif"/>
          <w:i w:val="false"/>
          <w:caps w:val="false"/>
          <w:smallCaps w:val="false"/>
          <w:sz w:val="24"/>
        </w:rPr>
        <w:t>.  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13.8.</w:t>
      </w:r>
      <w:bookmarkStart w:id="1886" w:name="_Toc221027973"/>
      <w:bookmarkEnd w:id="1886"/>
      <w:r>
        <w:rPr>
          <w:rFonts w:ascii="Times New Roman;Times;serif" w:hAnsi="Times New Roman;Times;serif"/>
          <w:i w:val="false"/>
          <w:caps w:val="false"/>
          <w:smallCaps w:val="false"/>
          <w:sz w:val="24"/>
          <w:u w:val="single"/>
        </w:rPr>
        <w:t>Benefit to Guarantors</w:t>
      </w:r>
      <w:r>
        <w:rPr>
          <w:rFonts w:ascii="Times New Roman;Times;serif" w:hAnsi="Times New Roman;Times;serif"/>
          <w:i w:val="false"/>
          <w:caps w:val="false"/>
          <w:smallCaps w:val="false"/>
          <w:sz w:val="24"/>
        </w:rPr>
        <w:t>.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13.9.</w:t>
      </w:r>
      <w:bookmarkStart w:id="1887" w:name="_Toc221027974"/>
      <w:bookmarkEnd w:id="1887"/>
      <w:r>
        <w:rPr>
          <w:rFonts w:ascii="Times New Roman;Times;serif" w:hAnsi="Times New Roman;Times;serif"/>
          <w:i w:val="false"/>
          <w:caps w:val="false"/>
          <w:smallCaps w:val="false"/>
          <w:sz w:val="24"/>
          <w:u w:val="single"/>
        </w:rPr>
        <w:t>Guarantor Covenants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Each Guarantor shall take such action as the Borrower is required by this Agreement to cause such Guarantor to take, and shall refrain from taking such action as the Borrower is required by this Agreement to prohibit such Guarantor from taking.</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13.10.</w:t>
      </w:r>
      <w:bookmarkStart w:id="1888" w:name="_Toc221027975"/>
      <w:bookmarkEnd w:id="1888"/>
      <w:r>
        <w:rPr>
          <w:rFonts w:ascii="Times New Roman;Times;serif" w:hAnsi="Times New Roman;Times;serif"/>
          <w:i w:val="false"/>
          <w:caps w:val="false"/>
          <w:smallCaps w:val="false"/>
          <w:sz w:val="24"/>
          <w:u w:val="single"/>
        </w:rPr>
        <w:t>Keepwell</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pStyle w:val="TextBody"/>
        <w:bidi w:val="0"/>
        <w:spacing w:before="0" w:after="240"/>
        <w:ind w:left="0" w:right="0" w:firstLine="240"/>
        <w:jc w:val="center"/>
        <w:rPr>
          <w:rFonts w:ascii="Times" w:hAnsi="Times"/>
          <w:smallCaps/>
          <w:sz w:val="24"/>
        </w:rPr>
      </w:pPr>
      <w:r>
        <w:rPr>
          <w:rFonts w:ascii="Times" w:hAnsi="Times"/>
          <w:smallCaps/>
          <w:sz w:val="24"/>
        </w:rPr>
        <w:t>[Signature Pages to Follow]</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This Credit Agreement is entered into between us for the uses and purposes hereinabove set forth as of the date first above written.    </w:t>
      </w:r>
    </w:p>
    <w:p>
      <w:pPr>
        <w:pStyle w:val="TextBody"/>
        <w:bidi w:val="0"/>
        <w:spacing w:before="320" w:after="0"/>
        <w:ind w:left="4320" w:right="0" w:hanging="0"/>
        <w:jc w:val="left"/>
        <w:rPr/>
      </w:pPr>
      <w:r>
        <w:rPr>
          <w:smallCaps/>
        </w:rPr>
        <w:t>“</w:t>
      </w:r>
      <w:r>
        <w:rPr>
          <w:rFonts w:ascii="Times New Roman;Times;serif" w:hAnsi="Times New Roman;Times;serif"/>
          <w:b/>
          <w:i/>
          <w:smallCaps/>
          <w:sz w:val="24"/>
        </w:rPr>
        <w:t>Borrower</w:t>
      </w:r>
      <w:r>
        <w:rPr>
          <w:rFonts w:ascii="Times New Roman;Times;serif" w:hAnsi="Times New Roman;Times;serif"/>
          <w:smallCaps/>
          <w:sz w:val="24"/>
        </w:rPr>
        <w:t>”</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Alpine Income Property OP, LP,</w:t>
        <w:br/>
      </w:r>
      <w:r>
        <w:rPr>
          <w:rFonts w:ascii="Times New Roman;Times;serif" w:hAnsi="Times New Roman;Times;serif"/>
          <w:sz w:val="24"/>
        </w:rPr>
        <w:t>a Delaware limited partnership</w:t>
      </w:r>
    </w:p>
    <w:tbl>
      <w:tblPr>
        <w:tblW w:w="9183" w:type="dxa"/>
        <w:jc w:val="left"/>
        <w:tblInd w:w="0" w:type="dxa"/>
        <w:tblLayout w:type="fixed"/>
        <w:tblCellMar>
          <w:top w:w="0" w:type="dxa"/>
          <w:left w:w="0" w:type="dxa"/>
          <w:bottom w:w="0" w:type="dxa"/>
          <w:right w:w="0" w:type="dxa"/>
        </w:tblCellMar>
      </w:tblPr>
      <w:tblGrid>
        <w:gridCol w:w="23"/>
        <w:gridCol w:w="425"/>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 xml:space="preserve">By: </w:t>
            </w:r>
          </w:p>
        </w:tc>
        <w:tc>
          <w:tcPr>
            <w:tcW w:w="873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bl>
    <w:tbl>
      <w:tblPr>
        <w:tblW w:w="7713" w:type="dxa"/>
        <w:jc w:val="left"/>
        <w:tblInd w:w="0" w:type="dxa"/>
        <w:tblLayout w:type="fixed"/>
        <w:tblCellMar>
          <w:top w:w="0" w:type="dxa"/>
          <w:left w:w="0" w:type="dxa"/>
          <w:bottom w:w="0" w:type="dxa"/>
          <w:right w:w="0" w:type="dxa"/>
        </w:tblCellMar>
      </w:tblPr>
      <w:tblGrid>
        <w:gridCol w:w="23"/>
        <w:gridCol w:w="42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 xml:space="preserve">By: </w:t>
            </w:r>
          </w:p>
        </w:tc>
        <w:tc>
          <w:tcPr>
            <w:tcW w:w="72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bl>
    <w:p>
      <w:pPr>
        <w:pStyle w:val="TextBody"/>
        <w:pBdr/>
        <w:bidi w:val="0"/>
        <w:spacing w:before="280" w:after="0"/>
        <w:ind w:left="5040" w:right="0" w:hanging="720"/>
        <w:jc w:val="left"/>
        <w:rPr/>
      </w:pPr>
      <w:r>
        <w:rPr/>
        <w:t>​</w:t>
      </w:r>
    </w:p>
    <w:tbl>
      <w:tblPr>
        <w:tblW w:w="2193" w:type="dxa"/>
        <w:jc w:val="left"/>
        <w:tblInd w:w="0" w:type="dxa"/>
        <w:tblLayout w:type="fixed"/>
        <w:tblCellMar>
          <w:top w:w="0" w:type="dxa"/>
          <w:left w:w="0" w:type="dxa"/>
          <w:bottom w:w="0" w:type="dxa"/>
          <w:right w:w="0" w:type="dxa"/>
        </w:tblCellMar>
      </w:tblPr>
      <w:tblGrid>
        <w:gridCol w:w="23"/>
        <w:gridCol w:w="305"/>
        <w:gridCol w:w="186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By</w:t>
            </w:r>
          </w:p>
        </w:tc>
        <w:tc>
          <w:tcPr>
            <w:tcW w:w="186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u w:val="single"/>
              </w:rPr>
              <w:t>/s/ Daniel E. Smith</w:t>
            </w:r>
            <w:r>
              <w:rPr>
                <w:rFonts w:ascii="Times New Roman;Times;serif" w:hAnsi="Times New Roman;Times;serif"/>
                <w:sz w:val="24"/>
                <w:u w:val="single"/>
                <w:bdr w:val="single" w:sz="2" w:space="1" w:color="000000"/>
              </w:rPr>
              <w:t>​ ​</w:t>
            </w:r>
          </w:p>
        </w:tc>
      </w:tr>
    </w:tbl>
    <w:p>
      <w:pPr>
        <w:pStyle w:val="TextBody"/>
        <w:pBdr/>
        <w:bidi w:val="0"/>
        <w:spacing w:before="0" w:after="0"/>
        <w:ind w:left="5760" w:right="0" w:hanging="720"/>
        <w:jc w:val="left"/>
        <w:rPr>
          <w:rFonts w:ascii="Times New Roman;Times;serif" w:hAnsi="Times New Roman;Times;serif"/>
          <w:sz w:val="24"/>
        </w:rPr>
      </w:pPr>
      <w:r>
        <w:rPr>
          <w:rFonts w:ascii="Times New Roman;Times;serif" w:hAnsi="Times New Roman;Times;serif"/>
          <w:sz w:val="24"/>
        </w:rPr>
        <w:t>Name: Daniel E. Smith</w:t>
      </w:r>
    </w:p>
    <w:tbl>
      <w:tblPr>
        <w:tblW w:w="6738" w:type="dxa"/>
        <w:jc w:val="left"/>
        <w:tblInd w:w="0" w:type="dxa"/>
        <w:tblLayout w:type="fixed"/>
        <w:tblCellMar>
          <w:top w:w="0" w:type="dxa"/>
          <w:left w:w="0" w:type="dxa"/>
          <w:bottom w:w="0" w:type="dxa"/>
          <w:right w:w="0" w:type="dxa"/>
        </w:tblCellMar>
      </w:tblPr>
      <w:tblGrid>
        <w:gridCol w:w="23"/>
        <w:gridCol w:w="57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Title: </w:t>
            </w:r>
          </w:p>
        </w:tc>
        <w:tc>
          <w:tcPr>
            <w:tcW w:w="614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General Counsel and 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280" w:after="0"/>
        <w:ind w:left="4320" w:right="0" w:hanging="648"/>
        <w:jc w:val="left"/>
        <w:rPr/>
      </w:pPr>
      <w:r>
        <w:rPr>
          <w:smallCaps/>
        </w:rPr>
        <w:t>“</w:t>
      </w:r>
      <w:r>
        <w:rPr>
          <w:rFonts w:ascii="Times New Roman;Times;serif" w:hAnsi="Times New Roman;Times;serif"/>
          <w:b/>
          <w:i/>
          <w:smallCaps/>
          <w:sz w:val="24"/>
        </w:rPr>
        <w:t>Guarantors</w:t>
      </w:r>
      <w:r>
        <w:rPr>
          <w:rFonts w:ascii="Times New Roman;Times;serif" w:hAnsi="Times New Roman;Times;serif"/>
          <w:smallCaps/>
          <w:sz w:val="24"/>
        </w:rPr>
        <w:t>”</w:t>
      </w:r>
    </w:p>
    <w:p>
      <w:pPr>
        <w:pStyle w:val="TextBody"/>
        <w:pBdr/>
        <w:bidi w:val="0"/>
        <w:spacing w:before="280" w:after="0"/>
        <w:ind w:left="4320" w:right="0" w:hanging="648"/>
        <w:jc w:val="left"/>
        <w:rPr/>
      </w:pPr>
      <w:r>
        <w:rPr>
          <w:smallCaps/>
        </w:rPr>
        <w:t>“</w:t>
      </w:r>
      <w:r>
        <w:rPr>
          <w:rFonts w:ascii="Times New Roman;Times;serif" w:hAnsi="Times New Roman;Times;serif"/>
          <w:b/>
          <w:i/>
          <w:smallCaps/>
          <w:sz w:val="24"/>
        </w:rPr>
        <w:t>Parent</w:t>
      </w:r>
      <w:r>
        <w:rPr>
          <w:rFonts w:ascii="Times New Roman;Times;serif" w:hAnsi="Times New Roman;Times;serif"/>
          <w:smallCaps/>
          <w:sz w:val="24"/>
        </w:rPr>
        <w:t>”</w:t>
      </w:r>
    </w:p>
    <w:p>
      <w:pPr>
        <w:pStyle w:val="TextBody"/>
        <w:pBdr/>
        <w:bidi w:val="0"/>
        <w:spacing w:before="280" w:after="0"/>
        <w:ind w:left="4320" w:right="0" w:hanging="648"/>
        <w:jc w:val="left"/>
        <w:rPr>
          <w:rFonts w:ascii="Times New Roman;Times;serif" w:hAnsi="Times New Roman;Times;serif"/>
          <w:sz w:val="24"/>
        </w:rPr>
      </w:pPr>
      <w:r>
        <w:rPr>
          <w:rFonts w:ascii="Times New Roman;Times;serif" w:hAnsi="Times New Roman;Times;serif"/>
          <w:smallCaps/>
          <w:sz w:val="24"/>
        </w:rPr>
        <w:t>Alpine Income Property Trust, Inc.</w:t>
      </w:r>
      <w:r>
        <w:rPr>
          <w:rFonts w:ascii="Times New Roman;Times;serif" w:hAnsi="Times New Roman;Times;serif"/>
          <w:sz w:val="24"/>
        </w:rPr>
        <w:t xml:space="preserve">,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a Maryland corporation</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By:</w:t>
      </w:r>
      <w:bookmarkStart w:id="1889" w:name="_Hlk221111206"/>
      <w:bookmarkEnd w:id="1889"/>
      <w:r>
        <w:rPr>
          <w:rFonts w:ascii="Times New Roman;Times;serif" w:hAnsi="Times New Roman;Times;serif"/>
          <w:sz w:val="24"/>
          <w:u w:val="single"/>
        </w:rPr>
        <w:t>/s/ Daniel E. Smith</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Daniel E. Smith</w:t>
      </w:r>
    </w:p>
    <w:tbl>
      <w:tblPr>
        <w:tblW w:w="6738" w:type="dxa"/>
        <w:jc w:val="left"/>
        <w:tblInd w:w="0" w:type="dxa"/>
        <w:tblLayout w:type="fixed"/>
        <w:tblCellMar>
          <w:top w:w="0" w:type="dxa"/>
          <w:left w:w="0" w:type="dxa"/>
          <w:bottom w:w="0" w:type="dxa"/>
          <w:right w:w="0" w:type="dxa"/>
        </w:tblCellMar>
      </w:tblPr>
      <w:tblGrid>
        <w:gridCol w:w="23"/>
        <w:gridCol w:w="57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Title: </w:t>
            </w:r>
          </w:p>
        </w:tc>
        <w:tc>
          <w:tcPr>
            <w:tcW w:w="614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General Counsel and Corporate Secretary</w:t>
            </w:r>
          </w:p>
        </w:tc>
      </w:tr>
    </w:tbl>
    <w:p>
      <w:pPr>
        <w:pStyle w:val="TextBody"/>
        <w:pBdr/>
        <w:bidi w:val="0"/>
        <w:spacing w:before="0" w:after="0"/>
        <w:ind w:left="4320" w:right="0" w:hanging="720"/>
        <w:jc w:val="left"/>
        <w:rPr/>
      </w:pPr>
      <w:r>
        <w:rPr/>
        <w:t>​</w:t>
      </w:r>
    </w:p>
    <w:p>
      <w:pPr>
        <w:pStyle w:val="TextBody"/>
        <w:pBdr/>
        <w:bidi w:val="0"/>
        <w:spacing w:before="0" w:after="0"/>
        <w:ind w:left="4320" w:right="0" w:hanging="720"/>
        <w:jc w:val="left"/>
        <w:rPr/>
      </w:pPr>
      <w:r>
        <w:rPr/>
        <w:t>​</w:t>
      </w:r>
    </w:p>
    <w:p>
      <w:pPr>
        <w:pStyle w:val="TextBody"/>
        <w:pBdr/>
        <w:bidi w:val="0"/>
        <w:spacing w:before="0" w:after="0"/>
        <w:ind w:left="4320" w:right="0" w:hanging="720"/>
        <w:jc w:val="left"/>
        <w:rPr/>
      </w:pPr>
      <w:r>
        <w:rPr/>
        <w:t>​</w:t>
      </w:r>
    </w:p>
    <w:p>
      <w:pPr>
        <w:pStyle w:val="TextBody"/>
        <w:pBdr/>
        <w:bidi w:val="0"/>
        <w:spacing w:before="0" w:after="0"/>
        <w:ind w:left="4320" w:right="0" w:hanging="720"/>
        <w:jc w:val="left"/>
        <w:rPr/>
      </w:pPr>
      <w:r>
        <w:rPr/>
        <w:t>​</w:t>
      </w:r>
    </w:p>
    <w:p>
      <w:pPr>
        <w:pStyle w:val="TextBody"/>
        <w:bidi w:val="0"/>
        <w:spacing w:before="0" w:after="0"/>
        <w:ind w:left="4320" w:right="0" w:hanging="0"/>
        <w:jc w:val="left"/>
        <w:rPr/>
      </w:pPr>
      <w:r>
        <w:rPr/>
        <w:t>“</w:t>
      </w:r>
      <w:r>
        <w:rPr>
          <w:rFonts w:ascii="Times New Roman;Times;serif" w:hAnsi="Times New Roman;Times;serif"/>
          <w:b/>
          <w:i/>
          <w:smallCaps/>
          <w:sz w:val="24"/>
        </w:rPr>
        <w:t>Material Subsidiaries</w:t>
      </w:r>
      <w:r>
        <w:rPr>
          <w:rFonts w:ascii="Times New Roman;Times;serif" w:hAnsi="Times New Roman;Times;serif"/>
          <w:smallCaps/>
          <w:sz w:val="24"/>
        </w:rPr>
        <w:t>”</w:t>
      </w:r>
    </w:p>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smallCaps/>
        </w:rPr>
      </w:pPr>
      <w:r>
        <w:rPr>
          <w:smallCaps/>
        </w:rPr>
        <w:t>​</w:t>
      </w:r>
    </w:p>
    <w:p>
      <w:pPr>
        <w:pStyle w:val="TextBody"/>
        <w:bidi w:val="0"/>
        <w:spacing w:before="0" w:after="0"/>
        <w:ind w:left="4320" w:right="0" w:hanging="0"/>
        <w:jc w:val="left"/>
        <w:rPr>
          <w:rFonts w:ascii="Times New Roman;Times;serif" w:hAnsi="Times New Roman;Times;serif"/>
          <w:smallCaps/>
          <w:sz w:val="24"/>
        </w:rPr>
      </w:pPr>
      <w:r>
        <w:rPr>
          <w:rFonts w:ascii="Times New Roman;Times;serif" w:hAnsi="Times New Roman;Times;serif"/>
          <w:smallCaps/>
          <w:sz w:val="24"/>
        </w:rPr>
        <w:t>Indigo Henry LLC</w:t>
      </w:r>
    </w:p>
    <w:tbl>
      <w:tblPr>
        <w:tblW w:w="4518" w:type="dxa"/>
        <w:jc w:val="left"/>
        <w:tblInd w:w="0" w:type="dxa"/>
        <w:tblLayout w:type="fixed"/>
        <w:tblCellMar>
          <w:top w:w="0" w:type="dxa"/>
          <w:left w:w="0" w:type="dxa"/>
          <w:bottom w:w="0" w:type="dxa"/>
          <w:right w:w="0" w:type="dxa"/>
        </w:tblCellMar>
      </w:tblPr>
      <w:tblGrid>
        <w:gridCol w:w="23"/>
        <w:gridCol w:w="425"/>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 xml:space="preserve">By: </w:t>
            </w:r>
          </w:p>
        </w:tc>
        <w:tc>
          <w:tcPr>
            <w:tcW w:w="4070"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member</w:t>
            </w:r>
          </w:p>
        </w:tc>
      </w:tr>
    </w:tbl>
    <w:tbl>
      <w:tblPr>
        <w:tblW w:w="9183" w:type="dxa"/>
        <w:jc w:val="left"/>
        <w:tblInd w:w="0" w:type="dxa"/>
        <w:tblLayout w:type="fixed"/>
        <w:tblCellMar>
          <w:top w:w="0" w:type="dxa"/>
          <w:left w:w="0" w:type="dxa"/>
          <w:bottom w:w="0" w:type="dxa"/>
          <w:right w:w="0" w:type="dxa"/>
        </w:tblCellMar>
      </w:tblPr>
      <w:tblGrid>
        <w:gridCol w:w="23"/>
        <w:gridCol w:w="365"/>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By:</w:t>
            </w:r>
          </w:p>
        </w:tc>
        <w:tc>
          <w:tcPr>
            <w:tcW w:w="879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bl>
    <w:tbl>
      <w:tblPr>
        <w:tblW w:w="7713" w:type="dxa"/>
        <w:jc w:val="left"/>
        <w:tblInd w:w="0" w:type="dxa"/>
        <w:tblLayout w:type="fixed"/>
        <w:tblCellMar>
          <w:top w:w="0" w:type="dxa"/>
          <w:left w:w="0" w:type="dxa"/>
          <w:bottom w:w="0" w:type="dxa"/>
          <w:right w:w="0" w:type="dxa"/>
        </w:tblCellMar>
      </w:tblPr>
      <w:tblGrid>
        <w:gridCol w:w="23"/>
        <w:gridCol w:w="42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 xml:space="preserve">By: </w:t>
            </w:r>
          </w:p>
        </w:tc>
        <w:tc>
          <w:tcPr>
            <w:tcW w:w="726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bl>
    <w:tbl>
      <w:tblPr>
        <w:tblW w:w="2313" w:type="dxa"/>
        <w:jc w:val="left"/>
        <w:tblInd w:w="0" w:type="dxa"/>
        <w:tblLayout w:type="fixed"/>
        <w:tblCellMar>
          <w:top w:w="0" w:type="dxa"/>
          <w:left w:w="0" w:type="dxa"/>
          <w:bottom w:w="0" w:type="dxa"/>
          <w:right w:w="0" w:type="dxa"/>
        </w:tblCellMar>
      </w:tblPr>
      <w:tblGrid>
        <w:gridCol w:w="23"/>
        <w:gridCol w:w="365"/>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640" w:after="0"/>
              <w:jc w:val="left"/>
              <w:rPr>
                <w:rFonts w:ascii="Times New Roman;Times;serif" w:hAnsi="Times New Roman;Times;serif"/>
                <w:sz w:val="24"/>
              </w:rPr>
            </w:pPr>
            <w:r>
              <w:rPr>
                <w:rFonts w:ascii="Times New Roman;Times;serif" w:hAnsi="Times New Roman;Times;serif"/>
                <w:sz w:val="24"/>
              </w:rPr>
              <w:t>By:</w:t>
            </w:r>
          </w:p>
        </w:tc>
        <w:tc>
          <w:tcPr>
            <w:tcW w:w="1925" w:type="dxa"/>
            <w:tcBorders/>
            <w:vAlign w:val="center"/>
          </w:tcPr>
          <w:p>
            <w:pPr>
              <w:pStyle w:val="TableContents"/>
              <w:bidi w:val="0"/>
              <w:spacing w:before="640" w:after="0"/>
              <w:ind w:left="0" w:right="0" w:hanging="0"/>
              <w:jc w:val="both"/>
              <w:rPr>
                <w:rFonts w:ascii="Times New Roman;Times;serif" w:hAnsi="Times New Roman;Times;serif"/>
                <w:sz w:val="24"/>
                <w:u w:val="single"/>
              </w:rPr>
            </w:pPr>
            <w:r>
              <w:rPr>
                <w:rFonts w:ascii="Times New Roman;Times;serif" w:hAnsi="Times New Roman;Times;serif"/>
                <w:sz w:val="24"/>
                <w:u w:val="single"/>
              </w:rPr>
              <w:t>/s/ Daniel E. Smith​ ​​ ​</w:t>
            </w:r>
          </w:p>
        </w:tc>
      </w:tr>
    </w:tbl>
    <w:tbl>
      <w:tblPr>
        <w:tblW w:w="2208" w:type="dxa"/>
        <w:jc w:val="left"/>
        <w:tblInd w:w="0" w:type="dxa"/>
        <w:tblLayout w:type="fixed"/>
        <w:tblCellMar>
          <w:top w:w="0" w:type="dxa"/>
          <w:left w:w="0" w:type="dxa"/>
          <w:bottom w:w="0" w:type="dxa"/>
          <w:right w:w="0" w:type="dxa"/>
        </w:tblCellMar>
      </w:tblPr>
      <w:tblGrid>
        <w:gridCol w:w="23"/>
        <w:gridCol w:w="650"/>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Name:</w:t>
            </w:r>
          </w:p>
        </w:tc>
        <w:tc>
          <w:tcPr>
            <w:tcW w:w="153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Daniel E. Smith</w:t>
            </w:r>
          </w:p>
        </w:tc>
      </w:tr>
    </w:tbl>
    <w:tbl>
      <w:tblPr>
        <w:tblW w:w="6678" w:type="dxa"/>
        <w:jc w:val="left"/>
        <w:tblInd w:w="0" w:type="dxa"/>
        <w:tblLayout w:type="fixed"/>
        <w:tblCellMar>
          <w:top w:w="0" w:type="dxa"/>
          <w:left w:w="0" w:type="dxa"/>
          <w:bottom w:w="0" w:type="dxa"/>
          <w:right w:w="0" w:type="dxa"/>
        </w:tblCellMar>
      </w:tblPr>
      <w:tblGrid>
        <w:gridCol w:w="23"/>
        <w:gridCol w:w="51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614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General Counsel and Corporate Secretary</w:t>
            </w:r>
          </w:p>
        </w:tc>
      </w:tr>
    </w:tbl>
    <w:p>
      <w:pPr>
        <w:pStyle w:val="TextBody"/>
        <w:pBdr/>
        <w:bidi w:val="0"/>
        <w:spacing w:before="0" w:after="0"/>
        <w:ind w:left="6480" w:right="0" w:hanging="72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CTO19 Albany GA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CTO19 Troy WI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Barker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Bingham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Blanding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Chazy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Cut &amp; Shoot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Del Rio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Hammond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Harrisville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Heuvelton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Howell MI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Kermit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Limestone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Milford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Newtonsville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Odessa LLC</w:t>
      </w:r>
    </w:p>
    <w:tbl>
      <w:tblPr>
        <w:tblW w:w="4593" w:type="dxa"/>
        <w:jc w:val="left"/>
        <w:tblInd w:w="0" w:type="dxa"/>
        <w:tblLayout w:type="fixed"/>
        <w:tblCellMar>
          <w:top w:w="0" w:type="dxa"/>
          <w:left w:w="0" w:type="dxa"/>
          <w:bottom w:w="0" w:type="dxa"/>
          <w:right w:w="0" w:type="dxa"/>
        </w:tblCellMar>
      </w:tblPr>
      <w:tblGrid>
        <w:gridCol w:w="23"/>
        <w:gridCol w:w="425"/>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 xml:space="preserve">By: </w:t>
            </w:r>
          </w:p>
        </w:tc>
        <w:tc>
          <w:tcPr>
            <w:tcW w:w="414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bl>
    <w:tbl>
      <w:tblPr>
        <w:tblW w:w="9183" w:type="dxa"/>
        <w:jc w:val="left"/>
        <w:tblInd w:w="0" w:type="dxa"/>
        <w:tblLayout w:type="fixed"/>
        <w:tblCellMar>
          <w:top w:w="0" w:type="dxa"/>
          <w:left w:w="0" w:type="dxa"/>
          <w:bottom w:w="0" w:type="dxa"/>
          <w:right w:w="0" w:type="dxa"/>
        </w:tblCellMar>
      </w:tblPr>
      <w:tblGrid>
        <w:gridCol w:w="23"/>
        <w:gridCol w:w="365"/>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By:</w:t>
            </w:r>
          </w:p>
        </w:tc>
        <w:tc>
          <w:tcPr>
            <w:tcW w:w="879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bl>
    <w:tbl>
      <w:tblPr>
        <w:tblW w:w="7713" w:type="dxa"/>
        <w:jc w:val="left"/>
        <w:tblInd w:w="0" w:type="dxa"/>
        <w:tblLayout w:type="fixed"/>
        <w:tblCellMar>
          <w:top w:w="0" w:type="dxa"/>
          <w:left w:w="0" w:type="dxa"/>
          <w:bottom w:w="0" w:type="dxa"/>
          <w:right w:w="0" w:type="dxa"/>
        </w:tblCellMar>
      </w:tblPr>
      <w:tblGrid>
        <w:gridCol w:w="23"/>
        <w:gridCol w:w="42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 xml:space="preserve">By: </w:t>
            </w:r>
          </w:p>
        </w:tc>
        <w:tc>
          <w:tcPr>
            <w:tcW w:w="726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bl>
    <w:tbl>
      <w:tblPr>
        <w:tblW w:w="2313" w:type="dxa"/>
        <w:jc w:val="left"/>
        <w:tblInd w:w="0" w:type="dxa"/>
        <w:tblLayout w:type="fixed"/>
        <w:tblCellMar>
          <w:top w:w="0" w:type="dxa"/>
          <w:left w:w="0" w:type="dxa"/>
          <w:bottom w:w="0" w:type="dxa"/>
          <w:right w:w="0" w:type="dxa"/>
        </w:tblCellMar>
      </w:tblPr>
      <w:tblGrid>
        <w:gridCol w:w="23"/>
        <w:gridCol w:w="365"/>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640" w:after="0"/>
              <w:jc w:val="left"/>
              <w:rPr>
                <w:rFonts w:ascii="Times New Roman;Times;serif" w:hAnsi="Times New Roman;Times;serif"/>
                <w:sz w:val="24"/>
              </w:rPr>
            </w:pPr>
            <w:r>
              <w:rPr>
                <w:rFonts w:ascii="Times New Roman;Times;serif" w:hAnsi="Times New Roman;Times;serif"/>
                <w:sz w:val="24"/>
              </w:rPr>
              <w:t>By:</w:t>
            </w:r>
          </w:p>
        </w:tc>
        <w:tc>
          <w:tcPr>
            <w:tcW w:w="1925" w:type="dxa"/>
            <w:tcBorders/>
            <w:vAlign w:val="center"/>
          </w:tcPr>
          <w:p>
            <w:pPr>
              <w:pStyle w:val="TableContents"/>
              <w:bidi w:val="0"/>
              <w:spacing w:before="640" w:after="0"/>
              <w:ind w:left="0" w:right="0" w:hanging="0"/>
              <w:jc w:val="both"/>
              <w:rPr>
                <w:rFonts w:ascii="Times New Roman;Times;serif" w:hAnsi="Times New Roman;Times;serif"/>
                <w:sz w:val="24"/>
                <w:u w:val="single"/>
              </w:rPr>
            </w:pPr>
            <w:r>
              <w:rPr>
                <w:rFonts w:ascii="Times New Roman;Times;serif" w:hAnsi="Times New Roman;Times;serif"/>
                <w:sz w:val="24"/>
                <w:u w:val="single"/>
              </w:rPr>
              <w:t>/s/ Daniel E. Smith​ ​​ ​</w:t>
            </w:r>
          </w:p>
        </w:tc>
      </w:tr>
    </w:tbl>
    <w:tbl>
      <w:tblPr>
        <w:tblW w:w="2208" w:type="dxa"/>
        <w:jc w:val="left"/>
        <w:tblInd w:w="0" w:type="dxa"/>
        <w:tblLayout w:type="fixed"/>
        <w:tblCellMar>
          <w:top w:w="0" w:type="dxa"/>
          <w:left w:w="0" w:type="dxa"/>
          <w:bottom w:w="0" w:type="dxa"/>
          <w:right w:w="0" w:type="dxa"/>
        </w:tblCellMar>
      </w:tblPr>
      <w:tblGrid>
        <w:gridCol w:w="23"/>
        <w:gridCol w:w="650"/>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Name:</w:t>
            </w:r>
          </w:p>
        </w:tc>
        <w:tc>
          <w:tcPr>
            <w:tcW w:w="153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Daniel E. Smith</w:t>
            </w:r>
          </w:p>
        </w:tc>
      </w:tr>
    </w:tbl>
    <w:tbl>
      <w:tblPr>
        <w:tblW w:w="6678" w:type="dxa"/>
        <w:jc w:val="left"/>
        <w:tblInd w:w="0" w:type="dxa"/>
        <w:tblLayout w:type="fixed"/>
        <w:tblCellMar>
          <w:top w:w="0" w:type="dxa"/>
          <w:left w:w="0" w:type="dxa"/>
          <w:bottom w:w="0" w:type="dxa"/>
          <w:right w:w="0" w:type="dxa"/>
        </w:tblCellMar>
      </w:tblPr>
      <w:tblGrid>
        <w:gridCol w:w="23"/>
        <w:gridCol w:w="515"/>
        <w:gridCol w:w="614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614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Senior Vice President, General Counsel and Corporate Secretary</w:t>
            </w:r>
          </w:p>
        </w:tc>
      </w:tr>
    </w:tbl>
    <w:p>
      <w:pPr>
        <w:pStyle w:val="TextBody"/>
        <w:pBdr/>
        <w:bidi w:val="0"/>
        <w:spacing w:before="0" w:after="0"/>
        <w:ind w:left="6480" w:right="0" w:hanging="72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Salem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Seguin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Severn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PINE20 Somerville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PINE20 Tyn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PINE20 Willis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PINE20 Winthrop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II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III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V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VII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VIII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IX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PINE21 Acquisitions X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PINE22 ACQ 3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PINE22 Malden Mo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PINE22 Maple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PINE22 Wash Mo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 xml:space="preserve">PINE23 IN Lender LLC </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PINE23 TN Lender LLC</w:t>
      </w:r>
    </w:p>
    <w:p>
      <w:pPr>
        <w:pStyle w:val="TextBody"/>
        <w:pBdr/>
        <w:bidi w:val="0"/>
        <w:spacing w:before="0" w:after="0"/>
        <w:ind w:left="4320" w:right="0" w:hanging="547"/>
        <w:jc w:val="left"/>
        <w:rPr>
          <w:rFonts w:ascii="Times New Roman;Times;serif" w:hAnsi="Times New Roman;Times;serif"/>
          <w:smallCaps/>
          <w:sz w:val="24"/>
        </w:rPr>
      </w:pPr>
      <w:r>
        <w:rPr>
          <w:rFonts w:ascii="Times New Roman;Times;serif" w:hAnsi="Times New Roman;Times;serif"/>
          <w:smallCaps/>
          <w:sz w:val="24"/>
        </w:rPr>
        <w:t>PINE24 Concord LLC</w:t>
      </w:r>
    </w:p>
    <w:p>
      <w:pPr>
        <w:pStyle w:val="TextBody"/>
        <w:pBdr/>
        <w:bidi w:val="0"/>
        <w:spacing w:before="0" w:after="0"/>
        <w:ind w:left="4320" w:right="0" w:hanging="547"/>
        <w:jc w:val="left"/>
        <w:rPr>
          <w:smallCaps/>
        </w:rPr>
      </w:pPr>
      <w:r>
        <w:rPr>
          <w:smallCaps/>
        </w:rPr>
        <w:t>​</w:t>
      </w:r>
    </w:p>
    <w:tbl>
      <w:tblPr>
        <w:tblW w:w="4593" w:type="dxa"/>
        <w:jc w:val="left"/>
        <w:tblInd w:w="0" w:type="dxa"/>
        <w:tblLayout w:type="fixed"/>
        <w:tblCellMar>
          <w:top w:w="0" w:type="dxa"/>
          <w:left w:w="0" w:type="dxa"/>
          <w:bottom w:w="0" w:type="dxa"/>
          <w:right w:w="0" w:type="dxa"/>
        </w:tblCellMar>
      </w:tblPr>
      <w:tblGrid>
        <w:gridCol w:w="23"/>
        <w:gridCol w:w="425"/>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 xml:space="preserve">By: </w:t>
            </w:r>
          </w:p>
        </w:tc>
        <w:tc>
          <w:tcPr>
            <w:tcW w:w="414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Alpine Income Property OP, LP,</w:t>
            </w:r>
            <w:r>
              <w:rPr>
                <w:rFonts w:ascii="Times New Roman;Times;serif" w:hAnsi="Times New Roman;Times;serif"/>
                <w:smallCaps/>
                <w:sz w:val="24"/>
              </w:rPr>
              <w:br/>
            </w:r>
            <w:r>
              <w:rPr>
                <w:rFonts w:ascii="Times New Roman;Times;serif" w:hAnsi="Times New Roman;Times;serif"/>
                <w:sz w:val="24"/>
              </w:rPr>
              <w:t>a Delaware limited partnership, its Manager</w:t>
            </w:r>
          </w:p>
        </w:tc>
      </w:tr>
    </w:tbl>
    <w:tbl>
      <w:tblPr>
        <w:tblW w:w="9183" w:type="dxa"/>
        <w:jc w:val="left"/>
        <w:tblInd w:w="0" w:type="dxa"/>
        <w:tblLayout w:type="fixed"/>
        <w:tblCellMar>
          <w:top w:w="0" w:type="dxa"/>
          <w:left w:w="0" w:type="dxa"/>
          <w:bottom w:w="0" w:type="dxa"/>
          <w:right w:w="0" w:type="dxa"/>
        </w:tblCellMar>
      </w:tblPr>
      <w:tblGrid>
        <w:gridCol w:w="23"/>
        <w:gridCol w:w="365"/>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By:</w:t>
            </w:r>
          </w:p>
        </w:tc>
        <w:tc>
          <w:tcPr>
            <w:tcW w:w="879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bl>
    <w:tbl>
      <w:tblPr>
        <w:tblW w:w="7713" w:type="dxa"/>
        <w:jc w:val="left"/>
        <w:tblInd w:w="0" w:type="dxa"/>
        <w:tblLayout w:type="fixed"/>
        <w:tblCellMar>
          <w:top w:w="0" w:type="dxa"/>
          <w:left w:w="0" w:type="dxa"/>
          <w:bottom w:w="0" w:type="dxa"/>
          <w:right w:w="0" w:type="dxa"/>
        </w:tblCellMar>
      </w:tblPr>
      <w:tblGrid>
        <w:gridCol w:w="23"/>
        <w:gridCol w:w="42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 xml:space="preserve">By: </w:t>
            </w:r>
          </w:p>
        </w:tc>
        <w:tc>
          <w:tcPr>
            <w:tcW w:w="7265" w:type="dxa"/>
            <w:tcBorders/>
            <w:vAlign w:val="center"/>
          </w:tcPr>
          <w:p>
            <w:pPr>
              <w:pStyle w:val="TableContents"/>
              <w:bidi w:val="0"/>
              <w:spacing w:before="240" w:after="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bl>
    <w:tbl>
      <w:tblPr>
        <w:tblW w:w="2313" w:type="dxa"/>
        <w:jc w:val="left"/>
        <w:tblInd w:w="0" w:type="dxa"/>
        <w:tblLayout w:type="fixed"/>
        <w:tblCellMar>
          <w:top w:w="0" w:type="dxa"/>
          <w:left w:w="0" w:type="dxa"/>
          <w:bottom w:w="0" w:type="dxa"/>
          <w:right w:w="0" w:type="dxa"/>
        </w:tblCellMar>
      </w:tblPr>
      <w:tblGrid>
        <w:gridCol w:w="23"/>
        <w:gridCol w:w="365"/>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640" w:after="0"/>
              <w:jc w:val="left"/>
              <w:rPr>
                <w:rFonts w:ascii="Times New Roman;Times;serif" w:hAnsi="Times New Roman;Times;serif"/>
                <w:sz w:val="24"/>
              </w:rPr>
            </w:pPr>
            <w:bookmarkStart w:id="1890" w:name="_Hlk221111455"/>
            <w:bookmarkEnd w:id="1890"/>
            <w:r>
              <w:rPr>
                <w:rFonts w:ascii="Times New Roman;Times;serif" w:hAnsi="Times New Roman;Times;serif"/>
                <w:sz w:val="24"/>
              </w:rPr>
              <w:t>By:</w:t>
            </w:r>
          </w:p>
        </w:tc>
        <w:tc>
          <w:tcPr>
            <w:tcW w:w="1925" w:type="dxa"/>
            <w:tcBorders/>
            <w:vAlign w:val="center"/>
          </w:tcPr>
          <w:p>
            <w:pPr>
              <w:pStyle w:val="TableContents"/>
              <w:bidi w:val="0"/>
              <w:spacing w:before="640" w:after="0"/>
              <w:ind w:left="0" w:right="0" w:hanging="0"/>
              <w:jc w:val="both"/>
              <w:rPr>
                <w:rFonts w:ascii="Times New Roman;Times;serif" w:hAnsi="Times New Roman;Times;serif"/>
                <w:sz w:val="24"/>
                <w:u w:val="single"/>
              </w:rPr>
            </w:pPr>
            <w:r>
              <w:rPr>
                <w:rFonts w:ascii="Times New Roman;Times;serif" w:hAnsi="Times New Roman;Times;serif"/>
                <w:sz w:val="24"/>
                <w:u w:val="single"/>
              </w:rPr>
              <w:t>/s/ Daniel E. Smith​ ​​ ​</w:t>
            </w:r>
          </w:p>
        </w:tc>
      </w:tr>
    </w:tbl>
    <w:tbl>
      <w:tblPr>
        <w:tblW w:w="2208" w:type="dxa"/>
        <w:jc w:val="left"/>
        <w:tblInd w:w="0" w:type="dxa"/>
        <w:tblLayout w:type="fixed"/>
        <w:tblCellMar>
          <w:top w:w="0" w:type="dxa"/>
          <w:left w:w="0" w:type="dxa"/>
          <w:bottom w:w="0" w:type="dxa"/>
          <w:right w:w="0" w:type="dxa"/>
        </w:tblCellMar>
      </w:tblPr>
      <w:tblGrid>
        <w:gridCol w:w="23"/>
        <w:gridCol w:w="650"/>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Name:</w:t>
            </w:r>
          </w:p>
        </w:tc>
        <w:tc>
          <w:tcPr>
            <w:tcW w:w="153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Daniel E. Smith</w:t>
            </w:r>
          </w:p>
        </w:tc>
      </w:tr>
    </w:tbl>
    <w:tbl>
      <w:tblPr>
        <w:tblW w:w="6738" w:type="dxa"/>
        <w:jc w:val="left"/>
        <w:tblInd w:w="0" w:type="dxa"/>
        <w:tblLayout w:type="fixed"/>
        <w:tblCellMar>
          <w:top w:w="0" w:type="dxa"/>
          <w:left w:w="0" w:type="dxa"/>
          <w:bottom w:w="0" w:type="dxa"/>
          <w:right w:w="0" w:type="dxa"/>
        </w:tblCellMar>
      </w:tblPr>
      <w:tblGrid>
        <w:gridCol w:w="23"/>
        <w:gridCol w:w="515"/>
        <w:gridCol w:w="6200"/>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620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Senior Vice President, General Counsel and Corporate Secretary </w:t>
            </w:r>
          </w:p>
        </w:tc>
      </w:tr>
    </w:tbl>
    <w:p>
      <w:pPr>
        <w:pStyle w:val="TextBody"/>
        <w:pBdr/>
        <w:bidi w:val="0"/>
        <w:spacing w:before="0" w:after="0"/>
        <w:ind w:left="6480" w:right="0" w:hanging="72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432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PINE24 Coolray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PINE24 Downers Grove LLC</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z w:val="24"/>
        </w:rPr>
        <w:t>PINE24 Knoxville LLC</w:t>
      </w:r>
      <w:r>
        <w:rPr>
          <w:rFonts w:ascii="Times New Roman;Times;serif" w:hAnsi="Times New Roman;Times;serif"/>
          <w:caps/>
          <w:sz w:val="22"/>
        </w:rPr>
        <w:t xml:space="preserve">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PINE24 Mt Carmel OH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PINE24 Oceanside BH LLC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PINE24 Oceanside MV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PINE24 Oceanside SB LLC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PINE24 Short Pump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Canton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CR Austin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Cornerstone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Fremont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PINE25 Longcliff LLC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PINE25 MM 2 LLC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Orange Park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Ormond Beach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Palm Pike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PINE25 Parham LLC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Reno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Rivana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PINE25 Riverpoint LLC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PINE25 Stone Mountain LLC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Tupelo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PINE25 Westminster LLC</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PINE 25 Willowbrook LLC </w:t>
      </w:r>
    </w:p>
    <w:p>
      <w:pPr>
        <w:pStyle w:val="TextBody"/>
        <w:bidi w:val="0"/>
        <w:spacing w:before="0" w:after="0"/>
        <w:ind w:left="4320" w:right="0" w:hanging="0"/>
        <w:jc w:val="left"/>
        <w:rPr/>
      </w:pPr>
      <w:r>
        <w:rPr/>
        <w:t>​</w:t>
      </w:r>
    </w:p>
    <w:p>
      <w:pPr>
        <w:pStyle w:val="TextBody"/>
        <w:bidi w:val="0"/>
        <w:spacing w:before="0" w:after="0"/>
        <w:ind w:left="0" w:right="0" w:hanging="0"/>
        <w:jc w:val="left"/>
        <w:rPr/>
      </w:pPr>
      <w:r>
        <w:rPr/>
        <w:t>​</w:t>
      </w:r>
    </w:p>
    <w:tbl>
      <w:tblPr>
        <w:tblW w:w="4593" w:type="dxa"/>
        <w:jc w:val="left"/>
        <w:tblInd w:w="0" w:type="dxa"/>
        <w:tblLayout w:type="fixed"/>
        <w:tblCellMar>
          <w:top w:w="0" w:type="dxa"/>
          <w:left w:w="0" w:type="dxa"/>
          <w:bottom w:w="0" w:type="dxa"/>
          <w:right w:w="0" w:type="dxa"/>
        </w:tblCellMar>
      </w:tblPr>
      <w:tblGrid>
        <w:gridCol w:w="23"/>
        <w:gridCol w:w="425"/>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 xml:space="preserve">By: </w:t>
            </w:r>
          </w:p>
        </w:tc>
        <w:tc>
          <w:tcPr>
            <w:tcW w:w="414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Alpine Income Property OP, LP,</w:t>
              <w:br/>
              <w:t>a Delaware limited partnership, its Manager</w:t>
            </w:r>
          </w:p>
        </w:tc>
      </w:tr>
    </w:tbl>
    <w:tbl>
      <w:tblPr>
        <w:tblW w:w="9183" w:type="dxa"/>
        <w:jc w:val="left"/>
        <w:tblInd w:w="0" w:type="dxa"/>
        <w:tblLayout w:type="fixed"/>
        <w:tblCellMar>
          <w:top w:w="0" w:type="dxa"/>
          <w:left w:w="0" w:type="dxa"/>
          <w:bottom w:w="0" w:type="dxa"/>
          <w:right w:w="0" w:type="dxa"/>
        </w:tblCellMar>
      </w:tblPr>
      <w:tblGrid>
        <w:gridCol w:w="23"/>
        <w:gridCol w:w="365"/>
        <w:gridCol w:w="87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87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Alpine Income Property GP, LLC, a Delaware limited liability company, its General Partner,</w:t>
            </w:r>
          </w:p>
        </w:tc>
      </w:tr>
    </w:tbl>
    <w:tbl>
      <w:tblPr>
        <w:tblW w:w="7713" w:type="dxa"/>
        <w:jc w:val="left"/>
        <w:tblInd w:w="0" w:type="dxa"/>
        <w:tblLayout w:type="fixed"/>
        <w:tblCellMar>
          <w:top w:w="0" w:type="dxa"/>
          <w:left w:w="0" w:type="dxa"/>
          <w:bottom w:w="0" w:type="dxa"/>
          <w:right w:w="0" w:type="dxa"/>
        </w:tblCellMar>
      </w:tblPr>
      <w:tblGrid>
        <w:gridCol w:w="23"/>
        <w:gridCol w:w="425"/>
        <w:gridCol w:w="7265"/>
      </w:tblGrid>
      <w:tr>
        <w:trPr/>
        <w:tc>
          <w:tcPr>
            <w:tcW w:w="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 xml:space="preserve">By: </w:t>
            </w:r>
          </w:p>
        </w:tc>
        <w:tc>
          <w:tcPr>
            <w:tcW w:w="726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Alpine Income Property Trust, Inc., a Maryland corporation, its sole member</w:t>
            </w:r>
          </w:p>
        </w:tc>
      </w:tr>
    </w:tbl>
    <w:tbl>
      <w:tblPr>
        <w:tblW w:w="2313" w:type="dxa"/>
        <w:jc w:val="left"/>
        <w:tblInd w:w="0" w:type="dxa"/>
        <w:tblLayout w:type="fixed"/>
        <w:tblCellMar>
          <w:top w:w="0" w:type="dxa"/>
          <w:left w:w="0" w:type="dxa"/>
          <w:bottom w:w="0" w:type="dxa"/>
          <w:right w:w="0" w:type="dxa"/>
        </w:tblCellMar>
      </w:tblPr>
      <w:tblGrid>
        <w:gridCol w:w="23"/>
        <w:gridCol w:w="365"/>
        <w:gridCol w:w="192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640" w:after="0"/>
              <w:jc w:val="left"/>
              <w:rPr>
                <w:rFonts w:ascii="Times New Roman;Times;serif" w:hAnsi="Times New Roman;Times;serif"/>
                <w:sz w:val="24"/>
              </w:rPr>
            </w:pPr>
            <w:r>
              <w:rPr>
                <w:rFonts w:ascii="Times New Roman;Times;serif" w:hAnsi="Times New Roman;Times;serif"/>
                <w:sz w:val="24"/>
              </w:rPr>
              <w:t>By:</w:t>
            </w:r>
          </w:p>
        </w:tc>
        <w:tc>
          <w:tcPr>
            <w:tcW w:w="1925" w:type="dxa"/>
            <w:tcBorders/>
            <w:vAlign w:val="center"/>
          </w:tcPr>
          <w:p>
            <w:pPr>
              <w:pStyle w:val="TableContents"/>
              <w:bidi w:val="0"/>
              <w:spacing w:before="640" w:after="0"/>
              <w:ind w:left="0" w:right="0" w:hanging="0"/>
              <w:jc w:val="both"/>
              <w:rPr>
                <w:rFonts w:ascii="Times New Roman;Times;serif" w:hAnsi="Times New Roman;Times;serif"/>
                <w:sz w:val="24"/>
                <w:u w:val="single"/>
              </w:rPr>
            </w:pPr>
            <w:r>
              <w:rPr>
                <w:rFonts w:ascii="Times New Roman;Times;serif" w:hAnsi="Times New Roman;Times;serif"/>
                <w:sz w:val="24"/>
                <w:u w:val="single"/>
              </w:rPr>
              <w:t>/s/ Daniel E. Smith​ ​​ ​</w:t>
            </w:r>
          </w:p>
        </w:tc>
      </w:tr>
    </w:tbl>
    <w:tbl>
      <w:tblPr>
        <w:tblW w:w="2208" w:type="dxa"/>
        <w:jc w:val="left"/>
        <w:tblInd w:w="0" w:type="dxa"/>
        <w:tblLayout w:type="fixed"/>
        <w:tblCellMar>
          <w:top w:w="0" w:type="dxa"/>
          <w:left w:w="0" w:type="dxa"/>
          <w:bottom w:w="0" w:type="dxa"/>
          <w:right w:w="0" w:type="dxa"/>
        </w:tblCellMar>
      </w:tblPr>
      <w:tblGrid>
        <w:gridCol w:w="23"/>
        <w:gridCol w:w="650"/>
        <w:gridCol w:w="1535"/>
      </w:tblGrid>
      <w:tr>
        <w:trPr/>
        <w:tc>
          <w:tcPr>
            <w:tcW w:w="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Name:</w:t>
            </w:r>
          </w:p>
        </w:tc>
        <w:tc>
          <w:tcPr>
            <w:tcW w:w="153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Daniel E. Smith</w:t>
            </w:r>
          </w:p>
        </w:tc>
      </w:tr>
    </w:tbl>
    <w:p>
      <w:pPr>
        <w:pStyle w:val="TextBody"/>
        <w:pBdr/>
        <w:bidi w:val="0"/>
        <w:spacing w:before="0" w:after="0"/>
        <w:ind w:left="5850" w:right="0" w:hanging="1290"/>
        <w:jc w:val="left"/>
        <w:rPr>
          <w:rFonts w:ascii="Times New Roman;Times;serif" w:hAnsi="Times New Roman;Times;serif"/>
          <w:sz w:val="24"/>
        </w:rPr>
      </w:pPr>
      <w:r>
        <w:rPr>
          <w:rFonts w:ascii="Times New Roman;Times;serif" w:hAnsi="Times New Roman;Times;serif"/>
          <w:sz w:val="24"/>
        </w:rPr>
        <w:t>Title: Senior Vice President, General Counsel and Corporate Secretary</w:t>
      </w:r>
    </w:p>
    <w:p>
      <w:pPr>
        <w:pStyle w:val="TextBody"/>
        <w:pBdr/>
        <w:bidi w:val="0"/>
        <w:spacing w:before="0" w:after="0"/>
        <w:ind w:left="5850" w:right="0" w:hanging="63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pPr>
      <w:r>
        <w:rPr>
          <w:smallCaps/>
        </w:rPr>
        <w:t>“</w:t>
      </w:r>
      <w:r>
        <w:rPr>
          <w:rFonts w:ascii="Times New Roman;Times;serif" w:hAnsi="Times New Roman;Times;serif"/>
          <w:b/>
          <w:i/>
          <w:smallCaps/>
          <w:sz w:val="24"/>
        </w:rPr>
        <w:t>Administrative Agent</w:t>
      </w:r>
      <w:r>
        <w:rPr>
          <w:rFonts w:ascii="Times New Roman;Times;serif" w:hAnsi="Times New Roman;Times;serif"/>
          <w:smallCaps/>
          <w:sz w:val="24"/>
        </w:rPr>
        <w:t>”</w:t>
      </w:r>
    </w:p>
    <w:p>
      <w:pPr>
        <w:pStyle w:val="TextBody"/>
        <w:bidi w:val="0"/>
        <w:spacing w:before="280" w:after="0"/>
        <w:ind w:left="4320" w:right="0" w:hanging="0"/>
        <w:jc w:val="left"/>
        <w:rPr>
          <w:rFonts w:ascii="Times New Roman;Times;serif" w:hAnsi="Times New Roman;Times;serif"/>
          <w:smallCaps/>
          <w:sz w:val="24"/>
        </w:rPr>
      </w:pPr>
      <w:r>
        <w:rPr>
          <w:rFonts w:ascii="Times New Roman;Times;serif" w:hAnsi="Times New Roman;Times;serif"/>
          <w:smallCaps/>
          <w:sz w:val="24"/>
        </w:rPr>
        <w:t>Truist Bank,</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as Administrative Agent</w:t>
      </w:r>
    </w:p>
    <w:p>
      <w:pPr>
        <w:pStyle w:val="TextBody"/>
        <w:bidi w:val="0"/>
        <w:spacing w:before="640" w:after="0"/>
        <w:ind w:left="4320" w:right="0" w:hanging="0"/>
        <w:jc w:val="both"/>
        <w:rPr>
          <w:rFonts w:ascii="Times New Roman;Times;serif" w:hAnsi="Times New Roman;Times;serif"/>
          <w:sz w:val="24"/>
        </w:rPr>
      </w:pPr>
      <w:bookmarkStart w:id="1891" w:name="_Hlk221111550"/>
      <w:bookmarkEnd w:id="1891"/>
      <w:r>
        <w:rPr>
          <w:rFonts w:ascii="Times New Roman;Times;serif" w:hAnsi="Times New Roman;Times;serif"/>
          <w:sz w:val="24"/>
        </w:rPr>
        <w:t xml:space="preserve">By: </w:t>
      </w:r>
      <w:r>
        <w:rPr>
          <w:rFonts w:ascii="Times New Roman;Times;serif" w:hAnsi="Times New Roman;Times;serif"/>
          <w:sz w:val="24"/>
          <w:u w:val="single"/>
        </w:rPr>
        <w:t>/s/ Ryan C. Almond​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Ryan C. Almond</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Director</w:t>
      </w:r>
    </w:p>
    <w:p>
      <w:pPr>
        <w:pStyle w:val="TextBody"/>
        <w:bidi w:val="0"/>
        <w:spacing w:before="400" w:after="0"/>
        <w:ind w:left="4320" w:right="0" w:hanging="0"/>
        <w:jc w:val="left"/>
        <w:rPr/>
      </w:pPr>
      <w:r>
        <w:rPr>
          <w:smallCaps/>
        </w:rPr>
        <w:t>“</w:t>
      </w:r>
      <w:r>
        <w:rPr>
          <w:rFonts w:ascii="Times New Roman;Times;serif" w:hAnsi="Times New Roman;Times;serif"/>
          <w:b/>
          <w:i/>
          <w:smallCaps/>
          <w:sz w:val="24"/>
        </w:rPr>
        <w:t>Lenders</w:t>
      </w:r>
      <w:r>
        <w:rPr>
          <w:rFonts w:ascii="Times New Roman;Times;serif" w:hAnsi="Times New Roman;Times;serif"/>
          <w:smallCaps/>
          <w:sz w:val="24"/>
        </w:rPr>
        <w:t>”</w:t>
      </w:r>
    </w:p>
    <w:p>
      <w:pPr>
        <w:pStyle w:val="TextBody"/>
        <w:bidi w:val="0"/>
        <w:spacing w:before="280" w:after="0"/>
        <w:ind w:left="4320" w:right="0" w:hanging="0"/>
        <w:jc w:val="left"/>
        <w:rPr>
          <w:rFonts w:ascii="Times New Roman;Times;serif" w:hAnsi="Times New Roman;Times;serif"/>
          <w:smallCaps/>
          <w:sz w:val="24"/>
        </w:rPr>
      </w:pPr>
      <w:r>
        <w:rPr>
          <w:rFonts w:ascii="Times New Roman;Times;serif" w:hAnsi="Times New Roman;Times;serif"/>
          <w:smallCaps/>
          <w:sz w:val="24"/>
        </w:rPr>
        <w:t>Truist Bank,</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Ryan C. Almond​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Ryan C. Almond</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Title: Director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80" w:after="0"/>
        <w:ind w:left="4320" w:right="0" w:hanging="0"/>
        <w:jc w:val="left"/>
        <w:rPr>
          <w:rFonts w:ascii="Times New Roman;Times;serif" w:hAnsi="Times New Roman;Times;serif"/>
          <w:smallCaps/>
          <w:sz w:val="24"/>
        </w:rPr>
      </w:pPr>
      <w:r>
        <w:rPr>
          <w:rFonts w:ascii="Times New Roman;Times;serif" w:hAnsi="Times New Roman;Times;serif"/>
          <w:smallCaps/>
          <w:sz w:val="24"/>
        </w:rPr>
        <w:t>KeyBank National Association,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Thomas Z. Schmitt</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Thomas Z. Schmitt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Senior Vice President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pPr>
      <w:r>
        <w:rPr/>
        <w:t>​</w:t>
      </w:r>
    </w:p>
    <w:p>
      <w:pPr>
        <w:pStyle w:val="TextBody"/>
        <w:bidi w:val="0"/>
        <w:spacing w:before="0" w:after="0"/>
        <w:ind w:left="468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RAYMOND JAMES BANK,</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Gregory A. Hargrove</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Gregory A. Hargrove</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Senior Vice President</w:t>
      </w:r>
    </w:p>
    <w:p>
      <w:pPr>
        <w:pStyle w:val="TextBody"/>
        <w:pBdr/>
        <w:bidi w:val="0"/>
        <w:spacing w:before="280" w:after="0"/>
        <w:ind w:left="4680" w:right="0" w:hanging="23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THE HUNTINGTON NATIONAL BANK</w:t>
      </w:r>
      <w:r>
        <w:rPr>
          <w:rFonts w:ascii="Times New Roman;Times;serif" w:hAnsi="Times New Roman;Times;serif"/>
          <w:sz w:val="24"/>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Melissa Costello</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Melissa Costello</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AVP</w:t>
      </w:r>
    </w:p>
    <w:p>
      <w:pPr>
        <w:pStyle w:val="TextBody"/>
        <w:pBdr/>
        <w:bidi w:val="0"/>
        <w:spacing w:before="280" w:after="0"/>
        <w:ind w:left="4680" w:right="0" w:hanging="23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REGIONS BANK</w:t>
      </w:r>
      <w:r>
        <w:rPr>
          <w:rFonts w:ascii="Times New Roman;Times;serif" w:hAnsi="Times New Roman;Times;serif"/>
          <w:sz w:val="24"/>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Ghi S. Gavin</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Ghi S. Gavin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Senior Vice President</w:t>
      </w:r>
    </w:p>
    <w:p>
      <w:pPr>
        <w:pStyle w:val="TextBody"/>
        <w:pBdr/>
        <w:bidi w:val="0"/>
        <w:spacing w:before="280" w:after="0"/>
        <w:ind w:left="4680" w:right="0" w:hanging="23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PNC BANK, NATIONAL ASSOCIATION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Andrew T. White</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Andrew T. White</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Senior Vice President</w:t>
      </w:r>
    </w:p>
    <w:p>
      <w:pPr>
        <w:pStyle w:val="TextBody"/>
        <w:pBdr/>
        <w:bidi w:val="0"/>
        <w:spacing w:before="280" w:after="0"/>
        <w:ind w:left="4680" w:right="0" w:hanging="23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28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2"/>
        </w:rPr>
      </w:pPr>
      <w:r>
        <w:rPr>
          <w:rFonts w:ascii="Times New Roman;Times;serif" w:hAnsi="Times New Roman;Times;serif"/>
          <w:smallCaps/>
          <w:sz w:val="22"/>
        </w:rPr>
        <w:t>P</w:t>
      </w:r>
      <w:r>
        <w:rPr>
          <w:rFonts w:ascii="Times New Roman;Times;serif" w:hAnsi="Times New Roman;Times;serif"/>
          <w:sz w:val="22"/>
        </w:rPr>
        <w:t>innacle Bank, a Tennessee bank, d/b/a Synovus Bank,</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Zachary Braun</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Zachary Braun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Managing Director</w:t>
      </w:r>
    </w:p>
    <w:p>
      <w:pPr>
        <w:pStyle w:val="TextBody"/>
        <w:bidi w:val="0"/>
        <w:spacing w:before="28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80" w:after="0"/>
        <w:ind w:left="4320" w:right="0" w:hanging="0"/>
        <w:jc w:val="left"/>
        <w:rPr>
          <w:rFonts w:ascii="Times New Roman;Times;serif" w:hAnsi="Times New Roman;Times;serif"/>
          <w:sz w:val="24"/>
        </w:rPr>
      </w:pPr>
      <w:r>
        <w:rPr>
          <w:rFonts w:ascii="Times New Roman;Times;serif" w:hAnsi="Times New Roman;Times;serif"/>
          <w:smallCaps/>
          <w:sz w:val="24"/>
        </w:rPr>
        <w:t>STIFEL BANK &amp; TRUST</w:t>
      </w:r>
      <w:r>
        <w:rPr>
          <w:rFonts w:ascii="Times New Roman;Times;serif" w:hAnsi="Times New Roman;Times;serif"/>
          <w:sz w:val="24"/>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640" w:after="0"/>
        <w:ind w:left="4320" w:right="0" w:hanging="0"/>
        <w:jc w:val="left"/>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Jordan Morrison</w:t>
      </w:r>
      <w:r>
        <w:rPr>
          <w:rFonts w:ascii="Times New Roman;Times;serif" w:hAnsi="Times New Roman;Times;serif"/>
          <w:sz w:val="24"/>
          <w:u w:val="single"/>
          <w:bdr w:val="single" w:sz="2" w:space="1" w:color="000000"/>
        </w:rPr>
        <w:t>​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 Jordan Morrison</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Title: Vice President</w:t>
      </w:r>
    </w:p>
    <w:p>
      <w:pPr>
        <w:pStyle w:val="TextBody"/>
        <w:pBdr/>
        <w:bidi w:val="0"/>
        <w:spacing w:before="0" w:after="0"/>
        <w:ind w:left="4680" w:right="0" w:hanging="230"/>
        <w:jc w:val="left"/>
        <w:rPr/>
      </w:pPr>
      <w:r>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Agreement-Alpine Income Property OP, LP]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w:t>
      </w:r>
    </w:p>
    <w:p>
      <w:pPr>
        <w:pStyle w:val="TextBody"/>
        <w:bidi w:val="0"/>
        <w:spacing w:before="0" w:after="240"/>
        <w:ind w:left="0" w:right="0" w:firstLine="720"/>
        <w:jc w:val="both"/>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Payment Request</w:t>
      </w:r>
    </w:p>
    <w:p>
      <w:pPr>
        <w:pStyle w:val="TextBody"/>
        <w:bidi w:val="0"/>
        <w:spacing w:before="640" w:after="640"/>
        <w:ind w:left="0" w:right="0" w:hanging="0"/>
        <w:jc w:val="center"/>
        <w:rPr>
          <w:rFonts w:ascii="Times New Roman;Times;serif" w:hAnsi="Times New Roman;Times;serif"/>
          <w:sz w:val="24"/>
        </w:rPr>
      </w:pPr>
      <w:r>
        <w:rPr>
          <w:rFonts w:ascii="Times New Roman;Times;serif" w:hAnsi="Times New Roman;Times;serif"/>
          <w:sz w:val="24"/>
        </w:rPr>
        <w:t>[Date]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of Lender]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before="0" w:after="240"/>
        <w:ind w:left="0" w:right="0" w:hanging="0"/>
        <w:jc w:val="both"/>
        <w:rPr>
          <w:rFonts w:ascii="Times" w:hAnsi="Times"/>
          <w:sz w:val="24"/>
        </w:rPr>
      </w:pPr>
      <w:r>
        <w:rPr>
          <w:rFonts w:ascii="Times" w:hAnsi="Times"/>
          <w:sz w:val="24"/>
        </w:rPr>
        <w:t>Attention:</w:t>
      </w:r>
    </w:p>
    <w:p>
      <w:pPr>
        <w:pStyle w:val="TextBody"/>
        <w:bidi w:val="0"/>
        <w:spacing w:before="0" w:after="240"/>
        <w:ind w:left="0" w:right="0" w:firstLine="720"/>
        <w:jc w:val="both"/>
        <w:rPr>
          <w:rFonts w:ascii="Times" w:hAnsi="Times"/>
          <w:sz w:val="24"/>
        </w:rPr>
      </w:pPr>
      <w:r>
        <w:rPr>
          <w:rFonts w:ascii="Times" w:hAnsi="Times"/>
          <w:sz w:val="24"/>
        </w:rPr>
        <w:t>Reference is made to the Amended and Restated Credit Agreement dated as of February 4, 2026, among Alpine Income Property OP, LP, the Guarantors from time to time party thereto, the Lenders from time to time party thereto, and Truist Bank, as Administrative Agent (as extended, renewed, amended or restated from time to time, the “</w:t>
      </w:r>
      <w:r>
        <w:rPr>
          <w:rFonts w:ascii="Times" w:hAnsi="Times"/>
          <w:i/>
          <w:sz w:val="24"/>
        </w:rPr>
        <w:t>Credit Agreement”</w:t>
      </w:r>
      <w:r>
        <w:rPr>
          <w:rFonts w:ascii="Times" w:hAnsi="Times"/>
          <w:sz w:val="24"/>
        </w:rPr>
        <w:t>).  Capitalized terms used herein and not defined herein have the meanings assigned to them in the Credit Agreement.  [The Borrower has failed to pay its Reimbursement Obligation in the amount of $____________.  Your Applicable Percentage of the unpaid Reimbursement Obligation is $_____________] or [__________________________ has been required to return a payment by the Borrower of a Reimbursement Obligation in the amount of $_______________.  Your Applicable Percentage of the returned Reimbursement Obligation is $_______________.]</w:t>
      </w:r>
    </w:p>
    <w:p>
      <w:pPr>
        <w:pStyle w:val="TextBody"/>
        <w:bidi w:val="0"/>
        <w:spacing w:before="320" w:after="0"/>
        <w:ind w:left="4680" w:right="0" w:hanging="0"/>
        <w:jc w:val="left"/>
        <w:rPr>
          <w:rFonts w:ascii="Times New Roman;Times;serif" w:hAnsi="Times New Roman;Times;serif"/>
          <w:sz w:val="24"/>
        </w:rPr>
      </w:pPr>
      <w:r>
        <w:rPr>
          <w:rFonts w:ascii="Times New Roman;Times;serif" w:hAnsi="Times New Roman;Times;serif"/>
          <w:sz w:val="24"/>
        </w:rPr>
        <w:t>Very truly yours,</w:t>
      </w:r>
    </w:p>
    <w:p>
      <w:pPr>
        <w:pStyle w:val="TextBody"/>
        <w:bidi w:val="0"/>
        <w:spacing w:before="280" w:after="0"/>
        <w:ind w:left="4680" w:right="0" w:hanging="0"/>
        <w:jc w:val="left"/>
        <w:rPr>
          <w:rFonts w:ascii="Times New Roman;Times;serif" w:hAnsi="Times New Roman;Times;serif"/>
          <w:sz w:val="24"/>
        </w:rPr>
      </w:pPr>
      <w:r>
        <w:rPr>
          <w:rFonts w:ascii="Times New Roman;Times;serif" w:hAnsi="Times New Roman;Times;serif"/>
          <w:smallCaps/>
          <w:sz w:val="24"/>
        </w:rPr>
        <w:t>truist Bank</w:t>
      </w:r>
      <w:r>
        <w:rPr>
          <w:rFonts w:ascii="Times New Roman;Times;serif" w:hAnsi="Times New Roman;Times;serif"/>
          <w:sz w:val="24"/>
        </w:rPr>
        <w:t xml:space="preserve">, as L/C Issuer </w:t>
      </w:r>
    </w:p>
    <w:p>
      <w:pPr>
        <w:pStyle w:val="TextBody"/>
        <w:pBdr/>
        <w:bidi w:val="0"/>
        <w:spacing w:before="64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Borrowing</w:t>
      </w:r>
    </w:p>
    <w:p>
      <w:pPr>
        <w:pStyle w:val="TextBody"/>
        <w:bidi w:val="0"/>
        <w:spacing w:before="0" w:after="240"/>
        <w:ind w:left="620" w:right="0" w:hanging="0"/>
        <w:jc w:val="both"/>
        <w:rPr>
          <w:rFonts w:ascii="Times" w:hAnsi="Times"/>
          <w:sz w:val="24"/>
        </w:rPr>
      </w:pPr>
      <w:r>
        <w:rPr>
          <w:rFonts w:ascii="Times" w:hAnsi="Times"/>
          <w:sz w:val="24"/>
          <w:shd w:fill="FFFFFF" w:val="clear"/>
        </w:rPr>
        <w:tab/>
      </w:r>
      <w:r>
        <w:rPr>
          <w:rFonts w:ascii="Times" w:hAnsi="Times"/>
          <w:b w:val="false"/>
          <w:i w:val="false"/>
          <w:caps w:val="false"/>
          <w:smallCaps w:val="false"/>
          <w:sz w:val="24"/>
          <w:shd w:fill="FFFFFF" w:val="clear"/>
        </w:rPr>
        <w:t>Date:</w:t>
      </w:r>
      <w:r>
        <w:rPr>
          <w:rFonts w:ascii="Times" w:hAnsi="Times"/>
          <w:b w:val="false"/>
          <w:i w:val="false"/>
          <w:caps w:val="false"/>
          <w:smallCaps w:val="false"/>
          <w:sz w:val="24"/>
          <w:shd w:fill="FFFFFF" w:val="clear"/>
        </w:rPr>
        <w:t>, ____</w:t>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75895"/>
                <wp:effectExtent l="0" t="0" r="0" b="0"/>
                <wp:wrapNone/>
                <wp:docPr id="549" name="Frame5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240" w:after="240"/>
              <w:jc w:val="both"/>
              <w:rPr>
                <w:rFonts w:ascii="Times" w:hAnsi="Times"/>
                <w:sz w:val="24"/>
              </w:rPr>
            </w:pPr>
            <w:r>
              <w:rPr>
                <w:rFonts w:ascii="Times" w:hAnsi="Times"/>
                <w:sz w:val="24"/>
              </w:rPr>
              <w:t>To:</w:t>
            </w:r>
          </w:p>
        </w:tc>
        <w:tc>
          <w:tcPr>
            <w:tcW w:w="9902" w:type="dxa"/>
            <w:tcBorders/>
            <w:vAlign w:val="center"/>
          </w:tcPr>
          <w:p>
            <w:pPr>
              <w:pStyle w:val="TableContents"/>
              <w:bidi w:val="0"/>
              <w:spacing w:before="240" w:after="240"/>
              <w:jc w:val="both"/>
              <w:rPr>
                <w:rFonts w:ascii="Times" w:hAnsi="Times"/>
                <w:sz w:val="24"/>
              </w:rPr>
            </w:pPr>
            <w:r>
              <w:rPr>
                <w:rFonts w:ascii="Times" w:hAnsi="Times"/>
                <w:sz w:val="24"/>
              </w:rPr>
              <w:t>Truist Bank, as Administrative Agent for the Lenders from time to time parties to the Amended and Restated Credit Agreement dated as of February 4, 2026 (as extended, renewed, amended or restated from time to time, the “</w:t>
            </w:r>
            <w:r>
              <w:rPr>
                <w:rFonts w:ascii="Times" w:hAnsi="Times"/>
                <w:i/>
                <w:sz w:val="24"/>
              </w:rPr>
              <w:t>Credit Agreement”</w:t>
            </w:r>
            <w:r>
              <w:rPr>
                <w:rFonts w:ascii="Times" w:hAnsi="Times"/>
                <w:sz w:val="24"/>
              </w:rPr>
              <w:t xml:space="preserve">), among </w:t>
            </w:r>
            <w:r>
              <w:rPr>
                <w:rFonts w:ascii="Times" w:hAnsi="Times"/>
                <w:smallCaps/>
                <w:sz w:val="24"/>
              </w:rPr>
              <w:t>Alpine Income Property OP, LP</w:t>
            </w:r>
            <w:r>
              <w:rPr>
                <w:rFonts w:ascii="Times" w:hAnsi="Times"/>
                <w:sz w:val="24"/>
              </w:rPr>
              <w:t>, certain Guarantors which are signatories thereto, certain Lenders which are from time to time parties thereto, and the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240" w:after="240"/>
        <w:ind w:left="0" w:right="0" w:firstLine="720"/>
        <w:jc w:val="both"/>
        <w:rPr>
          <w:rFonts w:ascii="Times" w:hAnsi="Times"/>
          <w:sz w:val="24"/>
        </w:rPr>
      </w:pPr>
      <w:r>
        <w:rPr>
          <w:rFonts w:ascii="Times" w:hAnsi="Times"/>
          <w:sz w:val="24"/>
        </w:rPr>
        <w:t>The undersigned, Alpine Income Property OP, LP (the “</w:t>
      </w:r>
      <w:r>
        <w:rPr>
          <w:rFonts w:ascii="Times" w:hAnsi="Times"/>
          <w:i/>
          <w:sz w:val="24"/>
        </w:rPr>
        <w:t>Borrower”</w:t>
      </w:r>
      <w:r>
        <w:rPr>
          <w:rFonts w:ascii="Times" w:hAnsi="Times"/>
          <w:sz w:val="24"/>
        </w:rPr>
        <w:t>), refers to the Credit Agreement, the terms defined therein being used herein as therein defined, and hereby gives you notice irrevocably, pursuant to Section 1.6 of the Credit Agreement, of the Borrowing specified below:</w:t>
      </w:r>
    </w:p>
    <w:p>
      <w:pPr>
        <w:pStyle w:val="TextBody"/>
        <w:bidi w:val="0"/>
        <w:spacing w:before="240" w:after="240"/>
        <w:ind w:left="720" w:right="0" w:hanging="0"/>
        <w:jc w:val="both"/>
        <w:rPr>
          <w:rFonts w:ascii="Times" w:hAnsi="Times"/>
          <w:sz w:val="24"/>
        </w:rPr>
      </w:pPr>
      <w:r>
        <w:rPr>
          <w:rFonts w:ascii="Times" w:hAnsi="Times"/>
          <w:sz w:val="24"/>
        </w:rPr>
        <w:t>1.The Business Day of the proposed Borrowing is ___________, ____.</w:t>
      </w:r>
    </w:p>
    <w:p>
      <w:pPr>
        <w:pStyle w:val="TextBody"/>
        <w:bidi w:val="0"/>
        <w:spacing w:before="240" w:after="240"/>
        <w:ind w:left="720" w:right="0" w:hanging="0"/>
        <w:jc w:val="both"/>
        <w:rPr>
          <w:rFonts w:ascii="Times" w:hAnsi="Times"/>
          <w:sz w:val="24"/>
        </w:rPr>
      </w:pPr>
      <w:r>
        <w:rPr>
          <w:rFonts w:ascii="Times" w:hAnsi="Times"/>
          <w:sz w:val="24"/>
        </w:rPr>
        <w:t>2.The aggregate amount of the proposed Borrowing is $______________.</w:t>
      </w:r>
    </w:p>
    <w:p>
      <w:pPr>
        <w:pStyle w:val="TextBody"/>
        <w:bidi w:val="0"/>
        <w:spacing w:before="240" w:after="240"/>
        <w:ind w:left="720" w:right="0" w:hanging="0"/>
        <w:jc w:val="both"/>
        <w:rPr>
          <w:rFonts w:ascii="Times" w:hAnsi="Times"/>
          <w:sz w:val="24"/>
        </w:rPr>
      </w:pPr>
      <w:r>
        <w:rPr>
          <w:rFonts w:ascii="Times" w:hAnsi="Times"/>
          <w:sz w:val="24"/>
        </w:rPr>
        <w:t>3.The Borrowing is being advanced under the Revolving Facility.</w:t>
      </w:r>
    </w:p>
    <w:p>
      <w:pPr>
        <w:pStyle w:val="TextBody"/>
        <w:bidi w:val="0"/>
        <w:spacing w:before="240" w:after="240"/>
        <w:ind w:left="720" w:right="0" w:hanging="0"/>
        <w:jc w:val="both"/>
        <w:rPr>
          <w:rFonts w:ascii="Times" w:hAnsi="Times"/>
          <w:sz w:val="24"/>
        </w:rPr>
      </w:pPr>
      <w:r>
        <w:rPr>
          <w:rFonts w:ascii="Times" w:hAnsi="Times"/>
          <w:sz w:val="24"/>
        </w:rPr>
        <w:t xml:space="preserve">4.The Borrowing is to be comprised of $___________ of </w:t>
      </w:r>
      <w:r>
        <w:rPr>
          <w:rFonts w:ascii="Times" w:hAnsi="Times"/>
          <w:b/>
          <w:sz w:val="24"/>
        </w:rPr>
        <w:t>[Base Rate] [Daily Simple SOFR] [Term SOFR]</w:t>
      </w:r>
      <w:r>
        <w:rPr>
          <w:rFonts w:ascii="Times" w:hAnsi="Times"/>
          <w:sz w:val="24"/>
        </w:rPr>
        <w:t xml:space="preserve"> Loans.</w:t>
      </w:r>
    </w:p>
    <w:p>
      <w:pPr>
        <w:pStyle w:val="TextBody"/>
        <w:bidi w:val="0"/>
        <w:spacing w:before="240" w:after="240"/>
        <w:ind w:left="720" w:right="0" w:hanging="0"/>
        <w:jc w:val="both"/>
        <w:rPr>
          <w:rFonts w:ascii="Times" w:hAnsi="Times"/>
          <w:b/>
          <w:sz w:val="24"/>
        </w:rPr>
      </w:pPr>
      <w:r>
        <w:rPr>
          <w:rFonts w:ascii="Times" w:hAnsi="Times"/>
          <w:b/>
          <w:sz w:val="24"/>
        </w:rPr>
        <w:t>[5.The duration of the Interest Period for the Term SOFR Loans included in the Borrowing shall be ____________ months.]</w:t>
      </w:r>
    </w:p>
    <w:p>
      <w:pPr>
        <w:pStyle w:val="TextBody"/>
        <w:bidi w:val="0"/>
        <w:spacing w:before="24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date of the proposed Borrowing, before and after giving effect thereto and to the application of the proceeds therefrom:</w:t>
      </w:r>
    </w:p>
    <w:p>
      <w:pPr>
        <w:pStyle w:val="TextBody"/>
        <w:bidi w:val="0"/>
        <w:spacing w:before="240" w:after="240"/>
        <w:ind w:left="720" w:right="0" w:hanging="0"/>
        <w:jc w:val="both"/>
        <w:rPr>
          <w:rFonts w:ascii="Times" w:hAnsi="Times"/>
          <w:sz w:val="24"/>
        </w:rPr>
      </w:pPr>
      <w:r>
        <w:rPr>
          <w:rFonts w:ascii="Times" w:hAnsi="Times"/>
          <w:sz w:val="24"/>
        </w:rPr>
        <w:t>(a)the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(b)no Default or Event of Default has occurred and is continuing or would result from such proposed Borrowing.</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pBdr/>
        <w:bidi w:val="0"/>
        <w:spacing w:before="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B-2]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w:t>
      </w:r>
    </w:p>
    <w:p>
      <w:pPr>
        <w:pStyle w:val="TextBody"/>
        <w:bidi w:val="0"/>
        <w:spacing w:before="24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Continuation/Conversion</w:t>
      </w:r>
    </w:p>
    <w:p>
      <w:pPr>
        <w:pStyle w:val="TextBody"/>
        <w:bidi w:val="0"/>
        <w:spacing w:before="240" w:after="0"/>
        <w:ind w:left="0" w:right="0" w:hanging="0"/>
        <w:jc w:val="right"/>
        <w:rPr>
          <w:rFonts w:ascii="Times New Roman;Times;serif" w:hAnsi="Times New Roman;Times;serif"/>
          <w:sz w:val="24"/>
        </w:rPr>
      </w:pPr>
      <w:r>
        <w:rPr>
          <w:rFonts w:ascii="Times New Roman;Times;serif" w:hAnsi="Times New Roman;Times;serif"/>
          <w:sz w:val="24"/>
        </w:rPr>
        <w:t>Date: ____________, ____</w:t>
      </w:r>
    </w:p>
    <w:p>
      <w:pPr>
        <w:pStyle w:val="TextBody"/>
        <w:pBdr/>
        <w:bidi w:val="0"/>
        <w:spacing w:before="2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To:</w:t>
      </w:r>
      <w:r>
        <w:rPr>
          <w:rFonts w:ascii="Times New Roman;Times;serif" w:hAnsi="Times New Roman;Times;serif"/>
          <w:sz w:val="24"/>
        </w:rPr>
        <w:t>Truist Bank, as Administrative Agent for the Lenders from time to time parties to the Amended and Restated Credit Agreement dated as of February 4, 2026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among Alpine Income Property OP, LP, certain Guarantors which are from time to time signatories thereto, certain Lenders which are from time to time parties thereto, and the Administrative Agent</w:t>
      </w:r>
    </w:p>
    <w:p>
      <w:pPr>
        <w:pStyle w:val="TextBody"/>
        <w:bidi w:val="0"/>
        <w:spacing w:before="200" w:after="240"/>
        <w:ind w:left="0" w:right="0" w:hanging="0"/>
        <w:jc w:val="both"/>
        <w:rPr>
          <w:rFonts w:ascii="Times" w:hAnsi="Times"/>
          <w:sz w:val="24"/>
        </w:rPr>
      </w:pPr>
      <w:r>
        <w:rPr>
          <w:rFonts w:ascii="Times" w:hAnsi="Times"/>
          <w:sz w:val="24"/>
        </w:rPr>
        <w:t>Ladies and Gentlemen:</w:t>
      </w:r>
    </w:p>
    <w:p>
      <w:pPr>
        <w:pStyle w:val="TextBody"/>
        <w:bidi w:val="0"/>
        <w:spacing w:before="200" w:after="240"/>
        <w:ind w:left="0" w:right="0" w:firstLine="720"/>
        <w:jc w:val="both"/>
        <w:rPr>
          <w:rFonts w:ascii="Times" w:hAnsi="Times"/>
          <w:sz w:val="24"/>
        </w:rPr>
      </w:pPr>
      <w:r>
        <w:rPr>
          <w:rFonts w:ascii="Times" w:hAnsi="Times"/>
          <w:sz w:val="24"/>
        </w:rPr>
        <w:t>The undersigned, Alpine Income Property OP, LP (the “</w:t>
      </w:r>
      <w:r>
        <w:rPr>
          <w:rFonts w:ascii="Times" w:hAnsi="Times"/>
          <w:i/>
          <w:sz w:val="24"/>
        </w:rPr>
        <w:t>Borrower”</w:t>
      </w:r>
      <w:r>
        <w:rPr>
          <w:rFonts w:ascii="Times" w:hAnsi="Times"/>
          <w:sz w:val="24"/>
        </w:rPr>
        <w:t xml:space="preserve">), refers to the Credit Agreement, the terms defined therein being used herein as therein defined, and hereby gives you notice irrevocably, pursuant to Section 1.6 of the Credit Agreement, of the </w:t>
      </w:r>
      <w:r>
        <w:rPr>
          <w:rFonts w:ascii="Times" w:hAnsi="Times"/>
          <w:b/>
          <w:sz w:val="24"/>
        </w:rPr>
        <w:t>[conversion] [continuation]</w:t>
      </w:r>
      <w:r>
        <w:rPr>
          <w:rFonts w:ascii="Times" w:hAnsi="Times"/>
          <w:sz w:val="24"/>
        </w:rPr>
        <w:t xml:space="preserve"> of the Loans specified herein, that:</w:t>
      </w:r>
    </w:p>
    <w:p>
      <w:pPr>
        <w:pStyle w:val="TextBody"/>
        <w:bidi w:val="0"/>
        <w:spacing w:before="220" w:after="240"/>
        <w:ind w:left="720" w:right="0" w:hanging="0"/>
        <w:jc w:val="both"/>
        <w:rPr>
          <w:rFonts w:ascii="Times" w:hAnsi="Times"/>
          <w:sz w:val="24"/>
        </w:rPr>
      </w:pPr>
      <w:r>
        <w:rPr>
          <w:rFonts w:ascii="Times" w:hAnsi="Times"/>
          <w:sz w:val="24"/>
        </w:rPr>
        <w:t>1.The conversion/continuation Date is __________, ____.</w:t>
      </w:r>
    </w:p>
    <w:p>
      <w:pPr>
        <w:pStyle w:val="TextBody"/>
        <w:bidi w:val="0"/>
        <w:spacing w:before="220" w:after="240"/>
        <w:ind w:left="720" w:right="0" w:hanging="0"/>
        <w:jc w:val="both"/>
        <w:rPr>
          <w:rFonts w:ascii="Times" w:hAnsi="Times"/>
          <w:sz w:val="24"/>
        </w:rPr>
      </w:pPr>
      <w:r>
        <w:rPr>
          <w:rFonts w:ascii="Times" w:hAnsi="Times"/>
          <w:sz w:val="24"/>
        </w:rPr>
        <w:t xml:space="preserve">2.The aggregate amount of the </w:t>
      </w:r>
      <w:r>
        <w:rPr>
          <w:rFonts w:ascii="Times" w:hAnsi="Times"/>
          <w:b/>
          <w:sz w:val="24"/>
        </w:rPr>
        <w:t>[Revolving Loans] [2029 Term Loans] [2031 Term Loans] [Incremental Term Loans]</w:t>
      </w:r>
      <w:r>
        <w:rPr>
          <w:rFonts w:ascii="Times" w:hAnsi="Times"/>
          <w:sz w:val="24"/>
        </w:rPr>
        <w:t xml:space="preserve"> to be </w:t>
      </w:r>
      <w:r>
        <w:rPr>
          <w:rFonts w:ascii="Times" w:hAnsi="Times"/>
          <w:b/>
          <w:sz w:val="24"/>
        </w:rPr>
        <w:t>[converted] [continued]</w:t>
      </w:r>
      <w:r>
        <w:rPr>
          <w:rFonts w:ascii="Times" w:hAnsi="Times"/>
          <w:sz w:val="24"/>
        </w:rPr>
        <w:t xml:space="preserve"> is $______________.</w:t>
      </w:r>
    </w:p>
    <w:p>
      <w:pPr>
        <w:pStyle w:val="TextBody"/>
        <w:bidi w:val="0"/>
        <w:spacing w:before="220" w:after="240"/>
        <w:ind w:left="720" w:right="0" w:hanging="0"/>
        <w:jc w:val="both"/>
        <w:rPr>
          <w:rFonts w:ascii="Times" w:hAnsi="Times"/>
          <w:sz w:val="24"/>
        </w:rPr>
      </w:pPr>
      <w:r>
        <w:rPr>
          <w:rFonts w:ascii="Times" w:hAnsi="Times"/>
          <w:sz w:val="24"/>
        </w:rPr>
        <w:t xml:space="preserve">3.The </w:t>
      </w:r>
      <w:r>
        <w:rPr>
          <w:rFonts w:ascii="Times" w:hAnsi="Times"/>
          <w:b/>
          <w:sz w:val="24"/>
        </w:rPr>
        <w:t>[Revolving Loans] [2029 Term Loans] [2031 Term Loans] [Incremental Term Loans]</w:t>
      </w:r>
      <w:r>
        <w:rPr>
          <w:rFonts w:ascii="Times" w:hAnsi="Times"/>
          <w:sz w:val="24"/>
        </w:rPr>
        <w:t xml:space="preserve">  are to be </w:t>
      </w:r>
      <w:r>
        <w:rPr>
          <w:rFonts w:ascii="Times" w:hAnsi="Times"/>
          <w:b/>
          <w:sz w:val="24"/>
        </w:rPr>
        <w:t>[converted into]</w:t>
      </w:r>
      <w:r>
        <w:rPr>
          <w:rFonts w:ascii="Times" w:hAnsi="Times"/>
          <w:sz w:val="24"/>
        </w:rPr>
        <w:t xml:space="preserve"> </w:t>
      </w:r>
      <w:r>
        <w:rPr>
          <w:rFonts w:ascii="Times" w:hAnsi="Times"/>
          <w:b/>
          <w:sz w:val="24"/>
        </w:rPr>
        <w:t>[continued as]</w:t>
      </w:r>
      <w:r>
        <w:rPr>
          <w:rFonts w:ascii="Times" w:hAnsi="Times"/>
          <w:sz w:val="24"/>
        </w:rPr>
        <w:t xml:space="preserve"> </w:t>
      </w:r>
      <w:r>
        <w:rPr>
          <w:rFonts w:ascii="Times" w:hAnsi="Times"/>
          <w:b/>
          <w:sz w:val="24"/>
        </w:rPr>
        <w:t>[Term SOFR] [Daily Simple SOFR]</w:t>
      </w:r>
      <w:r>
        <w:rPr>
          <w:rFonts w:ascii="Times" w:hAnsi="Times"/>
          <w:sz w:val="24"/>
        </w:rPr>
        <w:t xml:space="preserve"> </w:t>
      </w:r>
      <w:r>
        <w:rPr>
          <w:rFonts w:ascii="Times" w:hAnsi="Times"/>
          <w:b/>
          <w:sz w:val="24"/>
        </w:rPr>
        <w:t>[Base Rate]</w:t>
      </w:r>
      <w:r>
        <w:rPr>
          <w:rFonts w:ascii="Times" w:hAnsi="Times"/>
          <w:sz w:val="24"/>
        </w:rPr>
        <w:t xml:space="preserve"> Loans.</w:t>
      </w:r>
    </w:p>
    <w:p>
      <w:pPr>
        <w:pStyle w:val="TextBody"/>
        <w:bidi w:val="0"/>
        <w:spacing w:before="220" w:after="240"/>
        <w:ind w:left="720" w:right="0" w:hanging="0"/>
        <w:jc w:val="both"/>
        <w:rPr>
          <w:rFonts w:ascii="Times" w:hAnsi="Times"/>
          <w:sz w:val="24"/>
        </w:rPr>
      </w:pPr>
      <w:r>
        <w:rPr>
          <w:rFonts w:ascii="Times" w:hAnsi="Times"/>
          <w:sz w:val="24"/>
        </w:rPr>
        <w:t>4.</w:t>
      </w:r>
      <w:r>
        <w:rPr>
          <w:rFonts w:ascii="Times" w:hAnsi="Times"/>
          <w:b/>
          <w:sz w:val="24"/>
        </w:rPr>
        <w:t>[If applicable:]</w:t>
      </w:r>
      <w:r>
        <w:rPr>
          <w:rFonts w:ascii="Times" w:hAnsi="Times"/>
          <w:sz w:val="24"/>
        </w:rPr>
        <w:t xml:space="preserve">  The duration of the Interest Period for the </w:t>
      </w:r>
      <w:r>
        <w:rPr>
          <w:rFonts w:ascii="Times" w:hAnsi="Times"/>
          <w:b/>
          <w:sz w:val="24"/>
        </w:rPr>
        <w:t>[Revolving Loans] [2029 Term Loans] [2031 Term Loans] [Incremental Term Loans]</w:t>
      </w:r>
      <w:r>
        <w:rPr>
          <w:rFonts w:ascii="Times" w:hAnsi="Times"/>
          <w:sz w:val="24"/>
        </w:rPr>
        <w:t xml:space="preserve">  included in the </w:t>
      </w:r>
      <w:r>
        <w:rPr>
          <w:rFonts w:ascii="Times" w:hAnsi="Times"/>
          <w:b/>
          <w:sz w:val="24"/>
        </w:rPr>
        <w:t>[conversion] [continuation]</w:t>
      </w:r>
      <w:r>
        <w:rPr>
          <w:rFonts w:ascii="Times" w:hAnsi="Times"/>
          <w:sz w:val="24"/>
        </w:rPr>
        <w:t xml:space="preserve"> shall be _________ months.</w:t>
      </w:r>
    </w:p>
    <w:p>
      <w:pPr>
        <w:pStyle w:val="TextBody"/>
        <w:bidi w:val="0"/>
        <w:spacing w:before="20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proposed conversion/continuation date, before and after giving effect thereto and to the application of the proceeds therefrom:</w:t>
      </w:r>
    </w:p>
    <w:p>
      <w:pPr>
        <w:pStyle w:val="TextBody"/>
        <w:bidi w:val="0"/>
        <w:spacing w:before="220" w:after="240"/>
        <w:ind w:left="720" w:right="0" w:hanging="0"/>
        <w:jc w:val="both"/>
        <w:rPr>
          <w:rFonts w:ascii="Times" w:hAnsi="Times"/>
          <w:sz w:val="24"/>
        </w:rPr>
      </w:pPr>
      <w:r>
        <w:rPr>
          <w:rFonts w:ascii="Times" w:hAnsi="Times"/>
          <w:sz w:val="24"/>
        </w:rPr>
        <w:t xml:space="preserve">(a)the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w:t>
      </w:r>
      <w:r>
        <w:rPr>
          <w:rFonts w:ascii="Times" w:hAnsi="Times"/>
          <w:i/>
          <w:sz w:val="24"/>
        </w:rPr>
        <w:t>provided, however,</w:t>
      </w:r>
      <w:r>
        <w:rPr>
          <w:rFonts w:ascii="Times" w:hAnsi="Times"/>
          <w:sz w:val="24"/>
        </w:rPr>
        <w:t xml:space="preserve"> that this condition shall not apply to the conversion of an outstanding Term SOFR Loan to a Base Rate Loan; 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 xml:space="preserve">(b)no Default or Event of Default has occurred and is continuing, or would result from such proposed </w:t>
      </w:r>
      <w:r>
        <w:rPr>
          <w:rFonts w:ascii="Times" w:hAnsi="Times"/>
          <w:b/>
          <w:sz w:val="24"/>
        </w:rPr>
        <w:t>[conversion] [continuation]</w:t>
      </w:r>
      <w:r>
        <w:rPr>
          <w:rFonts w:ascii="Times" w:hAnsi="Times"/>
          <w:sz w:val="24"/>
        </w:rPr>
        <w:t>.</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240"/>
        <w:ind w:left="72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bookmarkStart w:id="1892" w:name="_Hlk220969720"/>
      <w:bookmarkEnd w:id="1892"/>
      <w:r>
        <w:rPr>
          <w:rFonts w:ascii="Times New Roman;Times;serif" w:hAnsi="Times New Roman;Times;serif"/>
          <w:b/>
          <w:smallCaps/>
          <w:sz w:val="24"/>
        </w:rPr>
        <w:t>Exhibit D-1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Revolving Note</w:t>
      </w:r>
    </w:p>
    <w:p>
      <w:pPr>
        <w:pStyle w:val="TextBody"/>
        <w:bidi w:val="0"/>
        <w:spacing w:before="0" w:after="240"/>
        <w:ind w:left="0" w:right="0" w:hanging="0"/>
        <w:jc w:val="both"/>
        <w:rPr>
          <w:rFonts w:ascii="Times" w:hAnsi="Times"/>
          <w:sz w:val="24"/>
        </w:rPr>
      </w:pPr>
      <w:r>
        <w:rPr>
          <w:rFonts w:ascii="Times" w:hAnsi="Times"/>
          <w:b w:val="false"/>
          <w:i w:val="false"/>
          <w:smallCaps/>
          <w:sz w:val="24"/>
          <w:shd w:fill="FFFFFF" w:val="clear"/>
        </w:rPr>
        <w:t>U.S. $_______________</w:t>
      </w:r>
      <w:r>
        <w:rPr>
          <w:rFonts w:ascii="Times" w:hAnsi="Times"/>
          <w:b w:val="false"/>
          <w:i w:val="false"/>
          <w:caps w:val="false"/>
          <w:smallCaps w:val="false"/>
          <w:sz w:val="24"/>
          <w:shd w:fill="FFFFFF" w:val="clear"/>
        </w:rPr>
        <w:t>_____________, 20___</w:t>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75260"/>
                <wp:effectExtent l="0" t="0" r="0" b="0"/>
                <wp:wrapNone/>
                <wp:docPr id="550" name="Frame5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2.0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w:hAnsi="Times"/>
          <w:sz w:val="24"/>
        </w:rPr>
      </w:pPr>
      <w:r>
        <w:rPr>
          <w:rFonts w:ascii="Times" w:hAnsi="Times"/>
          <w:smallCaps/>
          <w:sz w:val="24"/>
        </w:rPr>
        <w:t>For</w:t>
      </w:r>
      <w:r>
        <w:rPr>
          <w:rFonts w:ascii="Times" w:hAnsi="Times"/>
          <w:sz w:val="24"/>
        </w:rPr>
        <w:t xml:space="preserve"> </w:t>
      </w:r>
      <w:r>
        <w:rPr>
          <w:rFonts w:ascii="Times" w:hAnsi="Times"/>
          <w:smallCaps/>
          <w:sz w:val="24"/>
        </w:rPr>
        <w:t>Value</w:t>
      </w:r>
      <w:r>
        <w:rPr>
          <w:rFonts w:ascii="Times" w:hAnsi="Times"/>
          <w:sz w:val="24"/>
        </w:rPr>
        <w:t xml:space="preserve"> </w:t>
      </w:r>
      <w:r>
        <w:rPr>
          <w:rFonts w:ascii="Times" w:hAnsi="Times"/>
          <w:smallCaps/>
          <w:sz w:val="24"/>
        </w:rPr>
        <w:t>Received</w:t>
      </w:r>
      <w:r>
        <w:rPr>
          <w:rFonts w:ascii="Times" w:hAnsi="Times"/>
          <w:sz w:val="24"/>
        </w:rPr>
        <w:t>, the undersigned, Alpine Income Property OP, LP, a Delaware limited partnership (the “</w:t>
      </w:r>
      <w:r>
        <w:rPr>
          <w:rFonts w:ascii="Times" w:hAnsi="Times"/>
          <w:i/>
          <w:sz w:val="24"/>
        </w:rPr>
        <w:t>Borrower”</w:t>
      </w:r>
      <w:r>
        <w:rPr>
          <w:rFonts w:ascii="Times" w:hAnsi="Times"/>
          <w:sz w:val="24"/>
        </w:rPr>
        <w:t>), hereby promises to pay to ____________________ (the “</w:t>
      </w:r>
      <w:r>
        <w:rPr>
          <w:rFonts w:ascii="Times" w:hAnsi="Times"/>
          <w:i/>
          <w:sz w:val="24"/>
        </w:rPr>
        <w:t>Lender”</w:t>
      </w:r>
      <w:r>
        <w:rPr>
          <w:rFonts w:ascii="Times" w:hAnsi="Times"/>
          <w:sz w:val="24"/>
        </w:rPr>
        <w:t>) or its permitted assigns on the Revolving Credit Termination Date of the hereinafter defined Credit Agreement, at the principal office of the Administrative Agent in New York, New York (or such other location as the Administrative Agent may designate to the Borrower), in immediately available funds, the principal sum of ___________________ Dollars ($__________) or, if less, the aggregate unpaid principal amount of all Revolving Loans made by the Lender to the Borrower pursuant to the Credit Agreement, together with interest on the principal amount of each Revolving Loan from time to time outstanding hereunder at the rates, and payable in the manner and on the dates, specified in the Credit Agreement.</w:t>
      </w:r>
    </w:p>
    <w:p>
      <w:pPr>
        <w:pStyle w:val="TextBody"/>
        <w:bidi w:val="0"/>
        <w:spacing w:before="0" w:after="240"/>
        <w:ind w:left="0" w:right="0" w:firstLine="720"/>
        <w:jc w:val="both"/>
        <w:rPr>
          <w:rFonts w:ascii="Times" w:hAnsi="Times"/>
          <w:sz w:val="24"/>
        </w:rPr>
      </w:pPr>
      <w:r>
        <w:rPr>
          <w:rFonts w:ascii="Times" w:hAnsi="Times"/>
          <w:sz w:val="24"/>
        </w:rPr>
        <w:t>This Note is one of the Revolving Notes referred to in the Amended and Restated Credit Agreement dated as of February 4, 2026, among the Borrower, the Guarantors party thereto, the Lenders parties thereto, and Truist Bank, as Administrative Agent (as extended, renewed, amended or restated from time to time, the “</w:t>
      </w:r>
      <w:r>
        <w:rPr>
          <w:rFonts w:ascii="Times" w:hAnsi="Times"/>
          <w:i/>
          <w:sz w:val="24"/>
        </w:rPr>
        <w:t>Credit Agreement”</w:t>
      </w:r>
      <w:r>
        <w:rPr>
          <w:rFonts w:ascii="Times" w:hAnsi="Times"/>
          <w:sz w:val="24"/>
        </w:rPr>
        <w:t xml:space="preserve">), and this Note and the holder hereof are entitled to all the benefits provided for thereby or referred to therein, to which Credit Agreement reference is hereby made for a statement thereof. </w:t>
      </w:r>
      <w:r>
        <w:rPr>
          <w:rFonts w:ascii="Times" w:hAnsi="Times"/>
          <w:b/>
          <w:sz w:val="24"/>
        </w:rPr>
        <w:t>[This Note is issued in replacement and substitution for, and supersedes, the Original Revolving Note.]</w:t>
      </w:r>
      <w:r>
        <w:rPr>
          <w:rFonts w:ascii="Times" w:hAnsi="Times"/>
          <w:sz w:val="24"/>
        </w:rPr>
        <w:t xml:space="preserve">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240"/>
        <w:ind w:left="0" w:right="0" w:firstLine="720"/>
        <w:jc w:val="both"/>
        <w:rPr>
          <w:rFonts w:ascii="Times" w:hAnsi="Times"/>
          <w:sz w:val="24"/>
        </w:rPr>
      </w:pPr>
      <w:r>
        <w:rPr>
          <w:rFonts w:ascii="Times" w:hAnsi="Times"/>
          <w:sz w:val="24"/>
        </w:rPr>
        <w:t>The Borrower hereby waives demand, presentment, protest or notice of any kind hereunder.</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D-2</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RESERVED</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b/>
          <w:smallCaps/>
          <w:sz w:val="24"/>
        </w:rPr>
      </w:pPr>
      <w:bookmarkStart w:id="1893" w:name="_Hlk220969660"/>
      <w:bookmarkEnd w:id="1893"/>
      <w:r>
        <w:rPr>
          <w:rFonts w:ascii="Times New Roman;Times;serif" w:hAnsi="Times New Roman;Times;serif"/>
          <w:b/>
          <w:smallCaps/>
          <w:sz w:val="24"/>
        </w:rPr>
        <w:t>Exhibit D-3</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Term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$_______________</w:t>
      </w:r>
      <w:r>
        <w:rPr>
          <w:rFonts w:ascii="Times New Roman;Times;serif" w:hAnsi="Times New Roman;Times;serif"/>
          <w:b w:val="false"/>
          <w:i w:val="false"/>
          <w:caps w:val="false"/>
          <w:smallCaps w:val="false"/>
          <w:sz w:val="24"/>
          <w:shd w:fill="FFFFFF" w:val="clear"/>
        </w:rPr>
        <w:t>______________, 20__</w:t>
      </w:r>
      <w:r>
        <mc:AlternateContent>
          <mc:Choice Requires="wps">
            <w:drawing>
              <wp:anchor behindDoc="0" distT="0" distB="0" distL="0" distR="0" simplePos="0" locked="0" layoutInCell="1" allowOverlap="1" relativeHeight="552">
                <wp:simplePos x="0" y="0"/>
                <wp:positionH relativeFrom="page">
                  <wp:posOffset>0</wp:posOffset>
                </wp:positionH>
                <wp:positionV relativeFrom="line">
                  <wp:posOffset>635</wp:posOffset>
                </wp:positionV>
                <wp:extent cx="6480175" cy="175260"/>
                <wp:effectExtent l="0" t="0" r="0" b="0"/>
                <wp:wrapNone/>
                <wp:docPr id="551" name="Frame5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xml:space="preserve"> the undersigned, Alpine Income Property OP, LP, a Delaware limited partnership (the “</w:t>
      </w:r>
      <w:r>
        <w:rPr>
          <w:rFonts w:ascii="Times New Roman;Times;serif" w:hAnsi="Times New Roman;Times;serif"/>
          <w:i/>
          <w:sz w:val="24"/>
        </w:rPr>
        <w:t>Borrower”</w:t>
      </w:r>
      <w:r>
        <w:rPr>
          <w:rFonts w:ascii="Times New Roman;Times;serif" w:hAnsi="Times New Roman;Times;serif"/>
          <w:sz w:val="24"/>
        </w:rPr>
        <w:t>), hereby promises to pay to ____________________ (the “</w:t>
      </w:r>
      <w:r>
        <w:rPr>
          <w:rFonts w:ascii="Times New Roman;Times;serif" w:hAnsi="Times New Roman;Times;serif"/>
          <w:i/>
          <w:sz w:val="24"/>
        </w:rPr>
        <w:t>Lender”</w:t>
      </w:r>
      <w:r>
        <w:rPr>
          <w:rFonts w:ascii="Times New Roman;Times;serif" w:hAnsi="Times New Roman;Times;serif"/>
          <w:sz w:val="24"/>
        </w:rPr>
        <w:t>) or its permitted assigns on the Term Loan Maturity Date, at the principal office of the Administrative Agent in in New York, New York (or such other location as the Administrative Agent may designate to the Borrower), in immediately available funds, the principal sum of ___________________ Dollars ($__________) or, if less, the aggregate unpaid principal amount of all [2029 Term Loans] [2031 Term Loans] made by the Lender to the Borrower pursuant to the Credit Agreement, together with interest on the principal amount of each Term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Note is one of the Term Notes referred to in the Amended and Restated Credit Agreement dated as of February 4, 2026, among the Borrower, the Guarantors party thereto, the Lenders parties thereto, the L/C Issuer and Truist Bank, as Administrative Agent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D-4</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 Incremental Term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$_______________</w:t>
      </w:r>
      <w:r>
        <w:rPr>
          <w:rFonts w:ascii="Times New Roman;Times;serif" w:hAnsi="Times New Roman;Times;serif"/>
          <w:b w:val="false"/>
          <w:i w:val="false"/>
          <w:caps w:val="false"/>
          <w:smallCaps w:val="false"/>
          <w:sz w:val="24"/>
          <w:shd w:fill="FFFFFF" w:val="clear"/>
        </w:rPr>
        <w:t>______________, 20__</w:t>
      </w:r>
      <w:r>
        <mc:AlternateContent>
          <mc:Choice Requires="wps">
            <w:drawing>
              <wp:anchor behindDoc="0" distT="0" distB="0" distL="0" distR="0" simplePos="0" locked="0" layoutInCell="1" allowOverlap="1" relativeHeight="553">
                <wp:simplePos x="0" y="0"/>
                <wp:positionH relativeFrom="page">
                  <wp:posOffset>0</wp:posOffset>
                </wp:positionH>
                <wp:positionV relativeFrom="line">
                  <wp:posOffset>635</wp:posOffset>
                </wp:positionV>
                <wp:extent cx="6480175" cy="175260"/>
                <wp:effectExtent l="0" t="0" r="0" b="0"/>
                <wp:wrapNone/>
                <wp:docPr id="552" name="Frame5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the undersigned, Alpine Income Property OP, LP, a Delaware limited partnership (the “</w:t>
      </w:r>
      <w:r>
        <w:rPr>
          <w:rFonts w:ascii="Times New Roman;Times;serif" w:hAnsi="Times New Roman;Times;serif"/>
          <w:i/>
          <w:sz w:val="24"/>
        </w:rPr>
        <w:t>Borrower”</w:t>
      </w:r>
      <w:r>
        <w:rPr>
          <w:rFonts w:ascii="Times New Roman;Times;serif" w:hAnsi="Times New Roman;Times;serif"/>
          <w:sz w:val="24"/>
        </w:rPr>
        <w:t>), hereby promises to pay to ____________________ (the “</w:t>
      </w:r>
      <w:r>
        <w:rPr>
          <w:rFonts w:ascii="Times New Roman;Times;serif" w:hAnsi="Times New Roman;Times;serif"/>
          <w:i/>
          <w:sz w:val="24"/>
        </w:rPr>
        <w:t>Lender”</w:t>
      </w:r>
      <w:r>
        <w:rPr>
          <w:rFonts w:ascii="Times New Roman;Times;serif" w:hAnsi="Times New Roman;Times;serif"/>
          <w:sz w:val="24"/>
        </w:rPr>
        <w:t>) or its permitted assigns on the [Term Loan Maturity Date], at the principal office of the Administrative Agent in New York, New York (or such other location as the Administrative Agent may designate to the Borrower), in immediately available funds, the principal sum of ___________________ Dollars ($__________) or, if less, the aggregate unpaid principal amount of all [__] Incremental Term Loans made by the Lender to the Borrower pursuant to the Credit Agreement, together with interest on the principal amount of each [__] Incremental Term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Note is one of the Incremental Term Notes referred to in the Amended and Restated Credit Agreement dated as of February 4, 2026, among the Borrower, the Guarantors party thereto, the Lenders parties thereto, the L/C Issuer and Truist Bank, as Administrative Agent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Certificate</w:t>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59"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Truist Bank, as Administrative Agent under, and the Lenders party to, the Credit Agreement described below</w:t>
            </w:r>
          </w:p>
        </w:tc>
      </w:tr>
    </w:tbl>
    <w:p>
      <w:pPr>
        <w:pStyle w:val="TextBody"/>
        <w:pBdr/>
        <w:bidi w:val="0"/>
        <w:spacing w:before="560" w:after="0"/>
        <w:ind w:left="0" w:right="4680" w:hanging="720"/>
        <w:jc w:val="both"/>
        <w:rPr/>
      </w:pPr>
      <w:r>
        <w:rPr/>
        <w:t>​</w:t>
      </w:r>
    </w:p>
    <w:p>
      <w:pPr>
        <w:pStyle w:val="TextBody"/>
        <w:bidi w:val="0"/>
        <w:spacing w:before="0" w:after="240"/>
        <w:ind w:left="0" w:right="0" w:firstLine="720"/>
        <w:jc w:val="both"/>
        <w:rPr>
          <w:rFonts w:ascii="Times" w:hAnsi="Times"/>
          <w:sz w:val="24"/>
        </w:rPr>
      </w:pPr>
      <w:r>
        <w:rPr>
          <w:rFonts w:ascii="Times" w:hAnsi="Times"/>
          <w:sz w:val="24"/>
        </w:rPr>
        <w:t>This Compliance Certificate is furnished to the Administrative Agent and the Lenders pursuant to that certain Amended and Restated Credit Agreement dated as of February 4, 2026, as amended, among Alpine Income Property OP, LP, as Borrower, the Guarantors signatory thereto, the Administrative Agent and the Lenders party thereto (the “</w:t>
      </w:r>
      <w:r>
        <w:rPr>
          <w:rFonts w:ascii="Times" w:hAnsi="Times"/>
          <w:i/>
          <w:sz w:val="24"/>
        </w:rPr>
        <w:t>Credit Agreement”</w:t>
      </w:r>
      <w:r>
        <w:rPr>
          <w:rFonts w:ascii="Times" w:hAnsi="Times"/>
          <w:sz w:val="24"/>
        </w:rPr>
        <w:t>).  Unless otherwise defined herein, the terms used in this Compliance Certificate have the meanings ascribed thereto in the Credit Agreement</w:t>
      </w:r>
    </w:p>
    <w:p>
      <w:pPr>
        <w:pStyle w:val="TextBody"/>
        <w:bidi w:val="0"/>
        <w:spacing w:before="0" w:after="240"/>
        <w:ind w:left="0" w:right="0" w:firstLine="720"/>
        <w:jc w:val="both"/>
        <w:rPr>
          <w:rFonts w:ascii="Times" w:hAnsi="Times"/>
          <w:smallCaps/>
          <w:sz w:val="24"/>
        </w:rPr>
      </w:pPr>
      <w:r>
        <w:rPr>
          <w:rFonts w:ascii="Times" w:hAnsi="Times"/>
          <w:smallCaps/>
          <w:sz w:val="24"/>
        </w:rPr>
        <w:t>The Undersigned hereby certifies that:</w:t>
      </w:r>
    </w:p>
    <w:p>
      <w:pPr>
        <w:pStyle w:val="TextBody"/>
        <w:bidi w:val="0"/>
        <w:spacing w:before="0" w:after="240"/>
        <w:ind w:left="0" w:right="0" w:hanging="0"/>
        <w:jc w:val="both"/>
        <w:rPr>
          <w:rFonts w:ascii="Times" w:hAnsi="Times"/>
          <w:sz w:val="24"/>
        </w:rPr>
      </w:pPr>
      <w:r>
        <w:rPr>
          <w:rFonts w:ascii="Times" w:hAnsi="Times"/>
          <w:sz w:val="24"/>
        </w:rPr>
        <w:t>1.I am the duly elected ____________ of Alpine Income Property OP, LP;</w:t>
      </w:r>
    </w:p>
    <w:p>
      <w:pPr>
        <w:pStyle w:val="TextBody"/>
        <w:bidi w:val="0"/>
        <w:spacing w:before="0" w:after="240"/>
        <w:ind w:left="0" w:right="0" w:hanging="0"/>
        <w:jc w:val="both"/>
        <w:rPr>
          <w:rFonts w:ascii="Times" w:hAnsi="Times"/>
          <w:sz w:val="24"/>
        </w:rPr>
      </w:pPr>
      <w:r>
        <w:rPr>
          <w:rFonts w:ascii="Times" w:hAnsi="Times"/>
          <w:sz w:val="24"/>
        </w:rPr>
        <w:t>2.I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pStyle w:val="TextBody"/>
        <w:bidi w:val="0"/>
        <w:spacing w:before="0" w:after="240"/>
        <w:ind w:left="0" w:right="0" w:hanging="0"/>
        <w:jc w:val="both"/>
        <w:rPr>
          <w:rFonts w:ascii="Times" w:hAnsi="Times"/>
          <w:sz w:val="24"/>
        </w:rPr>
      </w:pPr>
      <w:r>
        <w:rPr>
          <w:rFonts w:ascii="Times" w:hAnsi="Times"/>
          <w:sz w:val="24"/>
        </w:rPr>
        <w:t>3.The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spacing w:before="0" w:after="240"/>
        <w:ind w:left="0" w:right="0" w:hanging="0"/>
        <w:jc w:val="both"/>
        <w:rPr>
          <w:rFonts w:ascii="Times" w:hAnsi="Times"/>
          <w:sz w:val="24"/>
        </w:rPr>
      </w:pPr>
      <w:r>
        <w:rPr>
          <w:rFonts w:ascii="Times" w:hAnsi="Times"/>
          <w:sz w:val="24"/>
        </w:rPr>
        <w:t>4.The financial statements required by Section 8.5 of the Credit Agreement and being furnished to you concurrently with this Compliance Certificate are true, correct and complete as of the date and for the periods covered thereby; and</w:t>
      </w:r>
    </w:p>
    <w:p>
      <w:pPr>
        <w:pStyle w:val="TextBody"/>
        <w:bidi w:val="0"/>
        <w:spacing w:before="0" w:after="240"/>
        <w:ind w:left="0" w:right="0" w:hanging="0"/>
        <w:jc w:val="both"/>
        <w:rPr>
          <w:rFonts w:ascii="Times" w:hAnsi="Times"/>
          <w:sz w:val="24"/>
        </w:rPr>
      </w:pPr>
      <w:r>
        <w:rPr>
          <w:rFonts w:ascii="Times" w:hAnsi="Times"/>
          <w:sz w:val="24"/>
        </w:rPr>
        <w:t>5.The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0" w:after="240"/>
        <w:ind w:left="0" w:right="0" w:firstLine="720"/>
        <w:jc w:val="both"/>
        <w:rPr>
          <w:rFonts w:ascii="Times" w:hAnsi="Times"/>
          <w:sz w:val="24"/>
        </w:rPr>
      </w:pPr>
      <w:r>
        <w:rPr>
          <w:rFonts w:ascii="Times" w:hAnsi="Times"/>
          <w:sz w:val="24"/>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907"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foregoing certifications, together with the computations set forth in Schedule I hereto and the financial statements delivered with this Certificate in support hereof, are made and delivered this ______ day of __________________, 20___.</w:t>
      </w:r>
    </w:p>
    <w:p>
      <w:pPr>
        <w:pStyle w:val="TextBody"/>
        <w:bidi w:val="0"/>
        <w:spacing w:before="0" w:after="0"/>
        <w:ind w:left="0" w:right="0" w:hanging="0"/>
        <w:jc w:val="center"/>
        <w:rPr>
          <w:smallCaps/>
        </w:rPr>
      </w:pPr>
      <w:r>
        <w:rPr>
          <w:smallCaps/>
        </w:rPr>
        <w:t>​</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GP, LLC, a Delaware limited liability company, its General Partner</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Trust, Inc., a Maryland corporation, its sole member</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pBdr/>
        <w:bidi w:val="0"/>
        <w:spacing w:before="0" w:after="0"/>
        <w:ind w:left="4680" w:right="0" w:hanging="230"/>
        <w:jc w:val="left"/>
        <w:rPr/>
      </w:pPr>
      <w:r>
        <w:rPr/>
        <w:t>​</w:t>
      </w:r>
    </w:p>
    <w:p>
      <w:pPr>
        <w:pStyle w:val="TextBody"/>
        <w:bidi w:val="0"/>
        <w:spacing w:before="0" w:after="24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w:hAnsi="Times"/>
          <w:b/>
          <w:smallCaps/>
          <w:sz w:val="24"/>
        </w:rPr>
      </w:pPr>
      <w:r>
        <w:rPr>
          <w:rFonts w:ascii="Times" w:hAnsi="Times"/>
          <w:b/>
          <w:smallCaps/>
          <w:sz w:val="24"/>
        </w:rPr>
        <w:t>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_________________________________________________</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Calculations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for Amended and Restated Credit Agreement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dated as of [__________], 2026, as amended</w:t>
      </w:r>
    </w:p>
    <w:p>
      <w:pPr>
        <w:pStyle w:val="TextBody"/>
        <w:bidi w:val="0"/>
        <w:spacing w:before="0" w:after="240"/>
        <w:ind w:left="0" w:right="0" w:firstLine="720"/>
        <w:jc w:val="center"/>
        <w:rPr>
          <w:rFonts w:ascii="Times" w:hAnsi="Times"/>
          <w:b/>
          <w:smallCaps/>
          <w:sz w:val="24"/>
        </w:rPr>
      </w:pPr>
      <w:r>
        <w:rPr>
          <w:rFonts w:ascii="Times" w:hAnsi="Times"/>
          <w:b/>
          <w:smallCaps/>
          <w:sz w:val="24"/>
        </w:rPr>
        <w:t>Calculations as of _____________, _______</w:t>
      </w:r>
    </w:p>
    <w:p>
      <w:pPr>
        <w:pStyle w:val="TextBody"/>
        <w:pBdr>
          <w:bottom w:val="double" w:sz="6" w:space="1" w:color="000000"/>
        </w:pBdr>
        <w:bidi w:val="0"/>
        <w:spacing w:before="0" w:after="28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9"/>
        <w:gridCol w:w="6296"/>
      </w:tblGrid>
      <w:tr>
        <w:trPr/>
        <w:tc>
          <w:tcPr>
            <w:tcW w:w="3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Total Indebtedness to Total Asset Value Ratio (Section 8.20(a))</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A1 to A2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3909" w:type="dxa"/>
            <w:tcBorders/>
            <w:vAlign w:val="center"/>
          </w:tcPr>
          <w:p>
            <w:pPr>
              <w:pStyle w:val="TableContents"/>
              <w:pBdr/>
              <w:bidi w:val="0"/>
              <w:spacing w:before="0" w:after="0"/>
              <w:ind w:left="0" w:right="0" w:hanging="720"/>
              <w:jc w:val="left"/>
              <w:rPr/>
            </w:pPr>
            <w:r>
              <w:rPr/>
              <w:t>​</w:t>
            </w:r>
          </w:p>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Indebtedness to Total Asset Value Ratio (Section 8.20(b))</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Secured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B1 to B2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0.40:1.0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502" w:type="dxa"/>
        <w:jc w:val="left"/>
        <w:tblInd w:w="0" w:type="dxa"/>
        <w:tblLayout w:type="fixed"/>
        <w:tblCellMar>
          <w:top w:w="0" w:type="dxa"/>
          <w:left w:w="0" w:type="dxa"/>
          <w:bottom w:w="0" w:type="dxa"/>
          <w:right w:w="0" w:type="dxa"/>
        </w:tblCellMar>
      </w:tblPr>
      <w:tblGrid>
        <w:gridCol w:w="5911"/>
        <w:gridCol w:w="1591"/>
      </w:tblGrid>
      <w:tr>
        <w:trPr/>
        <w:tc>
          <w:tcPr>
            <w:tcW w:w="5911"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911"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EBITDA to Fixed Charges Ratio (Section 8.20(c))</w:t>
            </w:r>
          </w:p>
        </w:tc>
        <w:tc>
          <w:tcPr>
            <w:tcW w:w="1591" w:type="dxa"/>
            <w:tcBorders/>
            <w:vAlign w:val="center"/>
          </w:tcPr>
          <w:p>
            <w:pPr>
              <w:pStyle w:val="TableContents"/>
              <w:bidi w:val="0"/>
              <w:spacing w:before="0" w:after="240"/>
              <w:ind w:left="0" w:right="0" w:hanging="0"/>
              <w:jc w:val="center"/>
              <w:rPr/>
            </w:pPr>
            <w:r>
              <w:rPr/>
              <w:t>​</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Depreciation and amortization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losses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Non-Cash Compensation Paid in Equity Securities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gains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benefits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C2, C3, C4, C5 and C6</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C7 and C8</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Line C1 plus Line C9 minus Line C10 </w:t>
            </w:r>
            <w:r>
              <w:rPr>
                <w:rFonts w:ascii="Times New Roman;Times;serif" w:hAnsi="Times New Roman;Times;serif"/>
                <w:i/>
                <w:sz w:val="24"/>
              </w:rPr>
              <w:t>(“EBITDA”</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Principal Amortization Payments</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Dividends on Preferred Stock</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Taxes Paid</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91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C12, C13, C14 and C15 (“</w:t>
            </w:r>
            <w:r>
              <w:rPr>
                <w:rFonts w:ascii="Times New Roman;Times;serif" w:hAnsi="Times New Roman;Times;serif"/>
                <w:i/>
                <w:sz w:val="24"/>
              </w:rPr>
              <w:t>Fixed Charges”</w:t>
            </w:r>
            <w:r>
              <w:rPr>
                <w:rFonts w:ascii="Times New Roman;Times;serif" w:hAnsi="Times New Roman;Times;serif"/>
                <w:sz w:val="24"/>
              </w:rPr>
              <w:t>)</w:t>
            </w:r>
          </w:p>
        </w:tc>
        <w:tc>
          <w:tcPr>
            <w:tcW w:w="159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58"/>
        <w:gridCol w:w="5847"/>
      </w:tblGrid>
      <w:tr>
        <w:trPr/>
        <w:tc>
          <w:tcPr>
            <w:tcW w:w="4358"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C11 to Line C16</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 shall not be less than</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1.50:1.0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Recourse Indebtedness to Total Asset Value Ratio (Section 8.20(d))</w:t>
            </w:r>
          </w:p>
        </w:tc>
        <w:tc>
          <w:tcPr>
            <w:tcW w:w="5847" w:type="dxa"/>
            <w:tcBorders/>
            <w:vAlign w:val="center"/>
          </w:tcPr>
          <w:p>
            <w:pPr>
              <w:pStyle w:val="TableContents"/>
              <w:bidi w:val="0"/>
              <w:spacing w:before="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Secured Recourse Indebtedness </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D1 to Line D2</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D3 shall not exceed</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0.10:1.0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E.</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Unsecured Indebtedness to Unencumbered Asset Value Ratio (Section 8.20(e))</w:t>
            </w:r>
          </w:p>
        </w:tc>
        <w:tc>
          <w:tcPr>
            <w:tcW w:w="5847" w:type="dxa"/>
            <w:tcBorders/>
            <w:vAlign w:val="center"/>
          </w:tcPr>
          <w:p>
            <w:pPr>
              <w:pStyle w:val="TableContents"/>
              <w:bidi w:val="0"/>
              <w:spacing w:before="140" w:after="240"/>
              <w:ind w:left="0" w:right="0" w:hanging="0"/>
              <w:jc w:val="center"/>
              <w:rPr/>
            </w:pPr>
            <w:r>
              <w:rPr/>
              <w:t>​</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Unsecured Indebtedness</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E1 to E2</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E3 must not exceed</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435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584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4358" w:type="dxa"/>
            <w:tcBorders/>
            <w:vAlign w:val="center"/>
          </w:tcPr>
          <w:p>
            <w:pPr>
              <w:pStyle w:val="TableContents"/>
              <w:bidi w:val="0"/>
              <w:spacing w:before="280" w:after="0"/>
              <w:jc w:val="left"/>
              <w:rPr>
                <w:rFonts w:ascii="Times New Roman;Times;serif" w:hAnsi="Times New Roman;Times;serif"/>
                <w:sz w:val="24"/>
              </w:rPr>
            </w:pPr>
            <w:bookmarkStart w:id="1894" w:name="_Hlk115350997"/>
            <w:bookmarkEnd w:id="1894"/>
            <w:r>
              <w:rPr>
                <w:rFonts w:ascii="Times New Roman;Times;serif" w:hAnsi="Times New Roman;Times;serif"/>
                <w:sz w:val="24"/>
              </w:rPr>
              <w:t>F.</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Income from Unencumbered Assets to Unsecured Interest Expense (Section 8.20(f))</w:t>
            </w:r>
          </w:p>
        </w:tc>
        <w:tc>
          <w:tcPr>
            <w:tcW w:w="5847"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020"/>
        <w:gridCol w:w="205"/>
        <w:gridCol w:w="980"/>
      </w:tblGrid>
      <w:tr>
        <w:trPr/>
        <w:tc>
          <w:tcPr>
            <w:tcW w:w="9020"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Pool Total Income as calculated on Exhibit B hereto</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20" w:type="dxa"/>
            <w:tcBorders/>
            <w:vAlign w:val="center"/>
          </w:tcPr>
          <w:p>
            <w:pPr>
              <w:pStyle w:val="TableContents"/>
              <w:pBdr/>
              <w:bidi w:val="0"/>
              <w:spacing w:before="140" w:after="0"/>
              <w:ind w:left="0" w:right="0" w:hanging="0"/>
              <w:jc w:val="left"/>
              <w:rPr/>
            </w:pPr>
            <w:r>
              <w:rPr/>
              <w:t>​</w:t>
            </w:r>
          </w:p>
        </w:tc>
        <w:tc>
          <w:tcPr>
            <w:tcW w:w="1185" w:type="dxa"/>
            <w:gridSpan w:val="2"/>
            <w:tcBorders/>
            <w:vAlign w:val="center"/>
          </w:tcPr>
          <w:p>
            <w:pPr>
              <w:pStyle w:val="TableContents"/>
              <w:bidi w:val="0"/>
              <w:spacing w:before="140" w:after="240"/>
              <w:ind w:left="0" w:right="0" w:hanging="0"/>
              <w:jc w:val="center"/>
              <w:rPr/>
            </w:pPr>
            <w:r>
              <w:rPr/>
              <w:t>​</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 on Unsecured Indebtedness assuming an interest rate equal to the higher of (i) the weighted average interest rate for such period on Unsecured Indebtedness, (ii)  5.75% and (iii) the 10-year treasury rate on the last day of such period plus 1.75%</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(i) Line F1 to (ii) Line F2</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F4 shall not be less than</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1.75:1.0</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020"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Tangible Net Worth (Section 8.20(f))</w:t>
            </w:r>
          </w:p>
        </w:tc>
        <w:tc>
          <w:tcPr>
            <w:tcW w:w="1185" w:type="dxa"/>
            <w:gridSpan w:val="2"/>
            <w:tcBorders/>
            <w:vAlign w:val="center"/>
          </w:tcPr>
          <w:p>
            <w:pPr>
              <w:pStyle w:val="TableContents"/>
              <w:bidi w:val="0"/>
              <w:spacing w:before="140" w:after="240"/>
              <w:ind w:left="0" w:right="0" w:hanging="0"/>
              <w:jc w:val="center"/>
              <w:rPr/>
            </w:pPr>
            <w:r>
              <w:rPr/>
              <w:t>​</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Tangible Net Worth</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net proceeds of Stock and Stock Equivalent offerings after December 31, 2025</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75% of Line G2</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pPr>
            <w:r>
              <w:rPr>
                <w:rFonts w:ascii="Times New Roman;Times;serif" w:hAnsi="Times New Roman;Times;serif"/>
                <w:sz w:val="24"/>
              </w:rPr>
              <w:t>$286,323,349</w:t>
            </w:r>
            <w:hyperlink w:anchor="footnote-2">
              <w:r>
                <w:rPr>
                  <w:rStyle w:val="InternetLink"/>
                  <w:rFonts w:ascii="Times" w:hAnsi="Times"/>
                  <w:sz w:val="20"/>
                </w:rPr>
                <w:t>1</w:t>
              </w:r>
            </w:hyperlink>
            <w:r>
              <w:rPr>
                <w:rFonts w:ascii="Times New Roman;Times;serif" w:hAnsi="Times New Roman;Times;serif"/>
                <w:sz w:val="24"/>
              </w:rPr>
              <w:t xml:space="preserve"> plus Line G3 </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G1 shall not be less than Line G4</w:t>
            </w:r>
          </w:p>
        </w:tc>
        <w:tc>
          <w:tcPr>
            <w:tcW w:w="1185" w:type="dxa"/>
            <w:gridSpan w:val="2"/>
            <w:tcBorders/>
            <w:vAlign w:val="center"/>
          </w:tcPr>
          <w:p>
            <w:pPr>
              <w:pStyle w:val="TableContents"/>
              <w:bidi w:val="0"/>
              <w:spacing w:before="140" w:after="240"/>
              <w:ind w:left="0" w:right="0" w:hanging="0"/>
              <w:jc w:val="center"/>
              <w:rPr/>
            </w:pPr>
            <w:r>
              <w:rPr/>
              <w:t>​</w:t>
            </w:r>
          </w:p>
        </w:tc>
      </w:tr>
      <w:tr>
        <w:trPr/>
        <w:tc>
          <w:tcPr>
            <w:tcW w:w="9020"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185" w:type="dxa"/>
            <w:gridSpan w:val="2"/>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225" w:type="dxa"/>
            <w:gridSpan w:val="2"/>
            <w:tcBorders/>
            <w:vAlign w:val="center"/>
          </w:tcPr>
          <w:p>
            <w:pPr>
              <w:pStyle w:val="TableContents"/>
              <w:pBdr/>
              <w:bidi w:val="0"/>
              <w:spacing w:before="280" w:after="0"/>
              <w:ind w:left="0" w:right="0" w:hanging="0"/>
              <w:jc w:val="left"/>
              <w:rPr/>
            </w:pPr>
            <w:r>
              <w:rPr/>
              <w:t>​</w:t>
            </w:r>
          </w:p>
        </w:tc>
        <w:tc>
          <w:tcPr>
            <w:tcW w:w="980" w:type="dxa"/>
            <w:tcBorders/>
            <w:vAlign w:val="center"/>
          </w:tcPr>
          <w:p>
            <w:pPr>
              <w:pStyle w:val="TableContents"/>
              <w:bidi w:val="0"/>
              <w:spacing w:before="0" w:after="240"/>
              <w:ind w:left="0" w:right="0" w:hanging="0"/>
              <w:jc w:val="center"/>
              <w:rPr/>
            </w:pPr>
            <w:r>
              <w:rPr/>
              <w:t>​</w:t>
            </w:r>
          </w:p>
        </w:tc>
      </w:tr>
      <w:tr>
        <w:trPr/>
        <w:tc>
          <w:tcPr>
            <w:tcW w:w="9225" w:type="dxa"/>
            <w:gridSpan w:val="2"/>
            <w:tcBorders/>
            <w:vAlign w:val="center"/>
          </w:tcPr>
          <w:p>
            <w:pPr>
              <w:pStyle w:val="TableContents"/>
              <w:pBdr/>
              <w:bidi w:val="0"/>
              <w:spacing w:before="140" w:after="0"/>
              <w:ind w:left="0" w:right="0" w:hanging="0"/>
              <w:jc w:val="left"/>
              <w:rPr/>
            </w:pPr>
            <w:r>
              <w:rPr/>
              <w:t>​</w:t>
            </w:r>
          </w:p>
        </w:tc>
        <w:tc>
          <w:tcPr>
            <w:tcW w:w="980" w:type="dxa"/>
            <w:tcBorders/>
            <w:vAlign w:val="center"/>
          </w:tcPr>
          <w:p>
            <w:pPr>
              <w:pStyle w:val="TableContents"/>
              <w:bidi w:val="0"/>
              <w:spacing w:before="140" w:after="240"/>
              <w:ind w:left="0" w:right="0" w:hanging="0"/>
              <w:jc w:val="center"/>
              <w:rPr/>
            </w:pPr>
            <w:r>
              <w:rPr/>
              <w:t>​</w:t>
            </w:r>
          </w:p>
        </w:tc>
      </w:tr>
    </w:tbl>
    <w:p>
      <w:pPr>
        <w:pStyle w:val="TextBody"/>
        <w:pBdr/>
        <w:bidi w:val="0"/>
        <w:spacing w:lineRule="atLeast" w:line="240" w:before="0" w:after="240"/>
        <w:ind w:left="0" w:right="0" w:hanging="720"/>
        <w:jc w:val="both"/>
        <w:rPr>
          <w:rFonts w:ascii="Times New Roman;Times;serif" w:hAnsi="Times New Roman;Times;serif"/>
          <w:sz w:val="20"/>
        </w:rPr>
      </w:pPr>
      <w:bookmarkStart w:id="1895" w:name="footnote-2"/>
      <w:bookmarkEnd w:id="1895"/>
      <w:r>
        <w:rPr>
          <w:rFonts w:ascii="Times" w:hAnsi="Times"/>
          <w:sz w:val="20"/>
        </w:rPr>
        <w:t>1</w:t>
      </w:r>
      <w:r>
        <w:rPr>
          <w:rFonts w:ascii="Times New Roman;Times;serif" w:hAnsi="Times New Roman;Times;serif"/>
          <w:sz w:val="20"/>
        </w:rPr>
        <w:t xml:space="preserve"> 75% of Total Net Worth as of the Closing Date.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140" w:after="240"/>
              <w:ind w:left="0" w:right="0" w:hanging="0"/>
              <w:jc w:val="center"/>
              <w:rPr/>
            </w:pPr>
            <w:r>
              <w:rPr/>
              <w:t>​</w:t>
            </w:r>
          </w:p>
        </w:tc>
      </w:tr>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140" w:after="240"/>
              <w:ind w:left="0" w:right="0" w:hanging="0"/>
              <w:jc w:val="center"/>
              <w:rPr/>
            </w:pPr>
            <w:r>
              <w:rPr/>
              <w:t>​</w:t>
            </w:r>
          </w:p>
        </w:tc>
      </w:tr>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140" w:after="240"/>
              <w:ind w:left="0" w:right="0" w:hanging="0"/>
              <w:jc w:val="center"/>
              <w:rPr/>
            </w:pPr>
            <w:r>
              <w:rPr/>
              <w:t>​</w:t>
            </w:r>
          </w:p>
        </w:tc>
      </w:tr>
    </w:tbl>
    <w:p>
      <w:pPr>
        <w:pStyle w:val="TextBody"/>
        <w:bidi w:val="0"/>
        <w:spacing w:before="0" w:after="0"/>
        <w:ind w:left="0" w:right="0" w:hanging="0"/>
        <w:jc w:val="center"/>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9207"/>
        <w:gridCol w:w="998"/>
      </w:tblGrid>
      <w:tr>
        <w:trPr/>
        <w:tc>
          <w:tcPr>
            <w:tcW w:w="9207"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Restricted Payments (Section 8.25(a))</w:t>
            </w:r>
          </w:p>
        </w:tc>
        <w:tc>
          <w:tcPr>
            <w:tcW w:w="998" w:type="dxa"/>
            <w:tcBorders/>
            <w:vAlign w:val="center"/>
          </w:tcPr>
          <w:p>
            <w:pPr>
              <w:pStyle w:val="TableContents"/>
              <w:bidi w:val="0"/>
              <w:spacing w:before="0" w:after="240"/>
              <w:ind w:left="0" w:right="0" w:hanging="0"/>
              <w:jc w:val="center"/>
              <w:rPr/>
            </w:pPr>
            <w:r>
              <w:rPr/>
              <w:t>​</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amount of Restricted Payments made in cash during such period</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Parent’s Adjusted FFO for such period (excluding any regular distributions to holders of preferred partnership units in Borrower and distributions necessary to pay holders of preferred stock of Parent) </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95% of Line H2</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Amount necessary for the Parent to be able to make Restricted Payments required to maintain its status as a REIT (i.e., to satisfy the distribution requirements set forth in Section 4981 of the Code)</w:t>
            </w:r>
          </w:p>
        </w:tc>
        <w:tc>
          <w:tcPr>
            <w:tcW w:w="998" w:type="dxa"/>
            <w:tcBorders/>
            <w:vAlign w:val="center"/>
          </w:tcPr>
          <w:p>
            <w:pPr>
              <w:pStyle w:val="TableContents"/>
              <w:bidi w:val="0"/>
              <w:spacing w:before="140" w:after="240"/>
              <w:ind w:left="0" w:right="0" w:hanging="0"/>
              <w:jc w:val="center"/>
              <w:rPr/>
            </w:pPr>
            <w:r>
              <w:rPr/>
              <w:t>​</w:t>
            </w:r>
          </w:p>
          <w:p>
            <w:pPr>
              <w:pStyle w:val="TableContents"/>
              <w:bidi w:val="0"/>
              <w:spacing w:before="140" w:after="240"/>
              <w:ind w:left="0" w:right="0" w:hanging="0"/>
              <w:jc w:val="center"/>
              <w:rPr/>
            </w:pPr>
            <w:r>
              <w:rPr/>
              <w:t>​</w:t>
            </w:r>
          </w:p>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Greater of Line H3 and Line H4</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 xml:space="preserve">6. </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H1 shall not exceed Line H5</w:t>
            </w:r>
          </w:p>
        </w:tc>
        <w:tc>
          <w:tcPr>
            <w:tcW w:w="998" w:type="dxa"/>
            <w:tcBorders/>
            <w:vAlign w:val="center"/>
          </w:tcPr>
          <w:p>
            <w:pPr>
              <w:pStyle w:val="TableContents"/>
              <w:bidi w:val="0"/>
              <w:spacing w:before="140" w:after="240"/>
              <w:ind w:left="0" w:right="0" w:hanging="0"/>
              <w:jc w:val="center"/>
              <w:rPr/>
            </w:pPr>
            <w:r>
              <w:rPr/>
              <w:t>​</w:t>
            </w:r>
          </w:p>
        </w:tc>
      </w:tr>
      <w:tr>
        <w:trPr/>
        <w:tc>
          <w:tcPr>
            <w:tcW w:w="9207"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998"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center"/>
        <w:rPr>
          <w:smallCaps/>
        </w:rPr>
      </w:pPr>
      <w:r>
        <w:rPr>
          <w:smallCaps/>
        </w:rPr>
        <w:t>​</w:t>
      </w:r>
    </w:p>
    <w:tbl>
      <w:tblPr>
        <w:tblW w:w="4865" w:type="dxa"/>
        <w:jc w:val="left"/>
        <w:tblInd w:w="0" w:type="dxa"/>
        <w:tblLayout w:type="fixed"/>
        <w:tblCellMar>
          <w:top w:w="0" w:type="dxa"/>
          <w:left w:w="0" w:type="dxa"/>
          <w:bottom w:w="0" w:type="dxa"/>
          <w:right w:w="0" w:type="dxa"/>
        </w:tblCellMar>
      </w:tblPr>
      <w:tblGrid>
        <w:gridCol w:w="4711"/>
        <w:gridCol w:w="154"/>
      </w:tblGrid>
      <w:tr>
        <w:trPr/>
        <w:tc>
          <w:tcPr>
            <w:tcW w:w="471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Number of Unencumbered Real Property Assets</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5"/>
        <w:gridCol w:w="840"/>
      </w:tblGrid>
      <w:tr>
        <w:trPr/>
        <w:tc>
          <w:tcPr>
            <w:tcW w:w="9365"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number of Unencumbered Real Property Assets</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I1 shall not be less than 20</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J.</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 Value</w:t>
            </w:r>
          </w:p>
        </w:tc>
        <w:tc>
          <w:tcPr>
            <w:tcW w:w="840" w:type="dxa"/>
            <w:tcBorders/>
            <w:vAlign w:val="center"/>
          </w:tcPr>
          <w:p>
            <w:pPr>
              <w:pStyle w:val="TableContents"/>
              <w:bidi w:val="0"/>
              <w:spacing w:before="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J1 shall not be less than $200,000,000</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pBdr/>
              <w:bidi w:val="0"/>
              <w:spacing w:before="280" w:after="0"/>
              <w:ind w:left="0" w:right="0" w:hanging="0"/>
              <w:jc w:val="left"/>
              <w:rPr/>
            </w:pPr>
            <w:r>
              <w:rPr/>
              <w:t>​</w:t>
            </w:r>
          </w:p>
        </w:tc>
        <w:tc>
          <w:tcPr>
            <w:tcW w:w="840" w:type="dxa"/>
            <w:tcBorders/>
            <w:vAlign w:val="center"/>
          </w:tcPr>
          <w:p>
            <w:pPr>
              <w:pStyle w:val="TableContents"/>
              <w:bidi w:val="0"/>
              <w:spacing w:before="0" w:after="240"/>
              <w:ind w:left="0" w:right="0" w:hanging="0"/>
              <w:jc w:val="center"/>
              <w:rPr/>
            </w:pPr>
            <w:r>
              <w:rPr/>
              <w:t>​</w:t>
            </w:r>
          </w:p>
        </w:tc>
      </w:tr>
      <w:tr>
        <w:trPr/>
        <w:tc>
          <w:tcPr>
            <w:tcW w:w="93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K.</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Individual Unencumbered Asset Value</w:t>
            </w:r>
          </w:p>
        </w:tc>
        <w:tc>
          <w:tcPr>
            <w:tcW w:w="840" w:type="dxa"/>
            <w:tcBorders/>
            <w:vAlign w:val="center"/>
          </w:tcPr>
          <w:p>
            <w:pPr>
              <w:pStyle w:val="TableContents"/>
              <w:bidi w:val="0"/>
              <w:spacing w:before="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Percentage of Unencumbered Asset Value of each Unencumbered Asset is set forth [above or on the attached Schedule] and the largest Unencumbered Asset Value or any Unencumbered Asset is $___________ for the ___________ Unencumbered Asset.</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No Unencumbered Asset comprises more than 25% of Unencumbered Asset Value</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pPr>
            <w:r>
              <w:rPr>
                <w:rFonts w:ascii="Times" w:hAnsi="Times"/>
                <w:sz w:val="24"/>
              </w:rPr>
              <w:t>yes/no</w:t>
            </w:r>
            <w:hyperlink w:anchor="footnote-3">
              <w:r>
                <w:rPr>
                  <w:rStyle w:val="InternetLink"/>
                  <w:rFonts w:ascii="Times" w:hAnsi="Times"/>
                  <w:sz w:val="20"/>
                </w:rPr>
                <w:t>2</w:t>
              </w:r>
            </w:hyperlink>
          </w:p>
        </w:tc>
      </w:tr>
      <w:tr>
        <w:trPr/>
        <w:tc>
          <w:tcPr>
            <w:tcW w:w="93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L.</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Single Tenant Unencumbered Asset Value</w:t>
            </w:r>
          </w:p>
        </w:tc>
        <w:tc>
          <w:tcPr>
            <w:tcW w:w="840" w:type="dxa"/>
            <w:tcBorders/>
            <w:vAlign w:val="center"/>
          </w:tcPr>
          <w:p>
            <w:pPr>
              <w:pStyle w:val="TableContents"/>
              <w:bidi w:val="0"/>
              <w:spacing w:before="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The largest amount of Unencumbered Asset Value from a single Tenant that does not maintain a Rating of at least </w:t>
            </w:r>
          </w:p>
        </w:tc>
        <w:tc>
          <w:tcPr>
            <w:tcW w:w="840" w:type="dxa"/>
            <w:tcBorders/>
            <w:vAlign w:val="center"/>
          </w:tcPr>
          <w:p>
            <w:pPr>
              <w:pStyle w:val="TableContents"/>
              <w:bidi w:val="0"/>
              <w:spacing w:before="140" w:after="240"/>
              <w:ind w:left="0" w:right="0" w:hanging="0"/>
              <w:jc w:val="center"/>
              <w:rPr/>
            </w:pPr>
            <w:r>
              <w:rPr/>
              <w:t>​</w:t>
            </w:r>
          </w:p>
        </w:tc>
      </w:tr>
    </w:tbl>
    <w:p>
      <w:pPr>
        <w:pStyle w:val="TextBody"/>
        <w:bidi w:val="0"/>
        <w:spacing w:lineRule="atLeast" w:line="240" w:before="0" w:after="240"/>
        <w:ind w:left="0" w:right="0" w:hanging="0"/>
        <w:jc w:val="both"/>
        <w:rPr>
          <w:rFonts w:ascii="Times New Roman;Times;serif" w:hAnsi="Times New Roman;Times;serif"/>
          <w:sz w:val="20"/>
        </w:rPr>
      </w:pPr>
      <w:bookmarkStart w:id="1896" w:name="footnote-3"/>
      <w:bookmarkEnd w:id="1896"/>
      <w:r>
        <w:rPr>
          <w:rFonts w:ascii="Times" w:hAnsi="Times"/>
          <w:sz w:val="20"/>
        </w:rPr>
        <w:t>2</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s attributable to any Unencumbered Assets to the extent it exceeds the 25%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96"/>
        <w:gridCol w:w="709"/>
      </w:tblGrid>
      <w:tr>
        <w:trPr/>
        <w:tc>
          <w:tcPr>
            <w:tcW w:w="94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BBB-/Baa3 from S&amp;P or Moody’s, respectively, is $_____________ from _____________.</w:t>
            </w:r>
          </w:p>
        </w:tc>
        <w:tc>
          <w:tcPr>
            <w:tcW w:w="709" w:type="dxa"/>
            <w:tcBorders/>
            <w:vAlign w:val="center"/>
          </w:tcPr>
          <w:p>
            <w:pPr>
              <w:pStyle w:val="TableContents"/>
              <w:bidi w:val="0"/>
              <w:spacing w:before="0" w:after="283"/>
              <w:ind w:left="0" w:right="0" w:hanging="0"/>
              <w:jc w:val="left"/>
              <w:rPr>
                <w:sz w:val="4"/>
                <w:szCs w:val="4"/>
              </w:rPr>
            </w:pPr>
            <w:r>
              <w:rPr>
                <w:sz w:val="4"/>
                <w:szCs w:val="4"/>
              </w:rPr>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 single Tenant that does not maintain a Rating of at least BBB-/Baa3 from S&amp;P or Moody’s, respectively, comprises more than 20% of Unencumbered Asset Value</w:t>
            </w:r>
          </w:p>
        </w:tc>
        <w:tc>
          <w:tcPr>
            <w:tcW w:w="709" w:type="dxa"/>
            <w:tcBorders/>
            <w:vAlign w:val="center"/>
          </w:tcPr>
          <w:p>
            <w:pPr>
              <w:pStyle w:val="TableContents"/>
              <w:bidi w:val="0"/>
              <w:spacing w:before="140" w:after="240"/>
              <w:ind w:left="0" w:right="0" w:hanging="0"/>
              <w:jc w:val="center"/>
              <w:rPr/>
            </w:pPr>
            <w:r>
              <w:rPr/>
              <w:t>​</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09" w:type="dxa"/>
            <w:tcBorders/>
            <w:vAlign w:val="center"/>
          </w:tcPr>
          <w:p>
            <w:pPr>
              <w:pStyle w:val="TableContents"/>
              <w:bidi w:val="0"/>
              <w:spacing w:before="140" w:after="240"/>
              <w:ind w:left="0" w:right="0" w:hanging="0"/>
              <w:jc w:val="center"/>
              <w:rPr/>
            </w:pPr>
            <w:r>
              <w:rPr>
                <w:rFonts w:ascii="Times" w:hAnsi="Times"/>
                <w:sz w:val="24"/>
              </w:rPr>
              <w:t>yes/no</w:t>
            </w:r>
            <w:hyperlink w:anchor="footnote-4">
              <w:r>
                <w:rPr>
                  <w:rStyle w:val="InternetLink"/>
                  <w:rFonts w:ascii="Times" w:hAnsi="Times"/>
                  <w:sz w:val="20"/>
                </w:rPr>
                <w:t>3</w:t>
              </w:r>
            </w:hyperlink>
          </w:p>
        </w:tc>
      </w:tr>
      <w:tr>
        <w:trPr/>
        <w:tc>
          <w:tcPr>
            <w:tcW w:w="9496"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M.</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Assets Subject to Acceptable Leasehold Interests</w:t>
            </w:r>
          </w:p>
        </w:tc>
        <w:tc>
          <w:tcPr>
            <w:tcW w:w="709" w:type="dxa"/>
            <w:tcBorders/>
            <w:vAlign w:val="center"/>
          </w:tcPr>
          <w:p>
            <w:pPr>
              <w:pStyle w:val="TableContents"/>
              <w:bidi w:val="0"/>
              <w:spacing w:before="0" w:after="240"/>
              <w:ind w:left="0" w:right="0" w:hanging="0"/>
              <w:jc w:val="center"/>
              <w:rPr/>
            </w:pPr>
            <w:r>
              <w:rPr/>
              <w:t>​</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that are leased by Borrower or a Subsidiary pursuant to an Acceptable Leasehold Interest</w:t>
            </w:r>
          </w:p>
        </w:tc>
        <w:tc>
          <w:tcPr>
            <w:tcW w:w="7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M1 shall not be greater than 15%</w:t>
            </w:r>
          </w:p>
        </w:tc>
        <w:tc>
          <w:tcPr>
            <w:tcW w:w="709" w:type="dxa"/>
            <w:tcBorders/>
            <w:vAlign w:val="center"/>
          </w:tcPr>
          <w:p>
            <w:pPr>
              <w:pStyle w:val="TableContents"/>
              <w:bidi w:val="0"/>
              <w:spacing w:before="140" w:after="240"/>
              <w:ind w:left="0" w:right="0" w:hanging="0"/>
              <w:jc w:val="center"/>
              <w:rPr/>
            </w:pPr>
            <w:r>
              <w:rPr/>
              <w:t>​</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09" w:type="dxa"/>
            <w:tcBorders/>
            <w:vAlign w:val="center"/>
          </w:tcPr>
          <w:p>
            <w:pPr>
              <w:pStyle w:val="TableContents"/>
              <w:bidi w:val="0"/>
              <w:spacing w:before="140" w:after="240"/>
              <w:ind w:left="0" w:right="0" w:hanging="0"/>
              <w:jc w:val="center"/>
              <w:rPr/>
            </w:pPr>
            <w:r>
              <w:rPr>
                <w:rFonts w:ascii="Times" w:hAnsi="Times"/>
                <w:sz w:val="24"/>
              </w:rPr>
              <w:t>yes/no</w:t>
            </w:r>
            <w:hyperlink w:anchor="footnote-5">
              <w:r>
                <w:rPr>
                  <w:rStyle w:val="InternetLink"/>
                  <w:rFonts w:ascii="Times" w:hAnsi="Times"/>
                  <w:sz w:val="20"/>
                </w:rPr>
                <w:t>4</w:t>
              </w:r>
            </w:hyperlink>
          </w:p>
        </w:tc>
      </w:tr>
      <w:tr>
        <w:trPr/>
        <w:tc>
          <w:tcPr>
            <w:tcW w:w="9496"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N.</w:t>
            </w:r>
          </w:p>
          <w:p>
            <w:pPr>
              <w:pStyle w:val="TableContents"/>
              <w:bidi w:val="0"/>
              <w:spacing w:before="280" w:after="0"/>
              <w:ind w:left="0" w:right="0" w:hanging="0"/>
              <w:jc w:val="left"/>
              <w:rPr/>
            </w:pPr>
            <w:r>
              <w:rPr>
                <w:rFonts w:ascii="Times New Roman;Times;serif" w:hAnsi="Times New Roman;Times;serif"/>
                <w:sz w:val="24"/>
                <w:u w:val="single"/>
              </w:rPr>
              <w:t>MSA</w:t>
            </w:r>
            <w:hyperlink w:anchor="footnote-6">
              <w:r>
                <w:rPr>
                  <w:rStyle w:val="InternetLink"/>
                  <w:rFonts w:ascii="Times" w:hAnsi="Times"/>
                  <w:sz w:val="20"/>
                  <w:u w:val="single"/>
                </w:rPr>
                <w:t>5</w:t>
              </w:r>
            </w:hyperlink>
          </w:p>
        </w:tc>
        <w:tc>
          <w:tcPr>
            <w:tcW w:w="709" w:type="dxa"/>
            <w:tcBorders/>
            <w:vAlign w:val="center"/>
          </w:tcPr>
          <w:p>
            <w:pPr>
              <w:pStyle w:val="TableContents"/>
              <w:pBdr/>
              <w:bidi w:val="0"/>
              <w:spacing w:before="280" w:after="0"/>
              <w:ind w:left="0" w:right="0" w:hanging="0"/>
              <w:jc w:val="left"/>
              <w:rPr/>
            </w:pPr>
            <w:r>
              <w:rPr/>
              <w:t>​</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in [________] MSA</w:t>
            </w:r>
          </w:p>
        </w:tc>
        <w:tc>
          <w:tcPr>
            <w:tcW w:w="7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N1 shall not be greater than 25%</w:t>
            </w:r>
          </w:p>
        </w:tc>
        <w:tc>
          <w:tcPr>
            <w:tcW w:w="709" w:type="dxa"/>
            <w:tcBorders/>
            <w:vAlign w:val="center"/>
          </w:tcPr>
          <w:p>
            <w:pPr>
              <w:pStyle w:val="TableContents"/>
              <w:bidi w:val="0"/>
              <w:spacing w:before="140" w:after="240"/>
              <w:ind w:left="0" w:right="0" w:hanging="0"/>
              <w:jc w:val="center"/>
              <w:rPr/>
            </w:pPr>
            <w:r>
              <w:rPr/>
              <w:t>​</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496"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O.</w:t>
            </w:r>
            <w:r>
              <w:rPr>
                <w:rFonts w:ascii="Times New Roman;Times;serif" w:hAnsi="Times New Roman;Times;serif"/>
                <w:sz w:val="24"/>
                <w:u w:val="single"/>
              </w:rPr>
              <w:t>Mortgage Receivables Value</w:t>
            </w:r>
            <w:hyperlink w:anchor="footnote-7">
              <w:r>
                <w:rPr>
                  <w:rStyle w:val="InternetLink"/>
                  <w:rFonts w:ascii="Times" w:hAnsi="Times"/>
                  <w:sz w:val="20"/>
                </w:rPr>
                <w:t>6</w:t>
              </w:r>
            </w:hyperlink>
            <w:r>
              <w:rPr>
                <w:rFonts w:ascii="Times New Roman;Times;serif" w:hAnsi="Times New Roman;Times;serif"/>
                <w:sz w:val="24"/>
              </w:rPr>
              <w:t xml:space="preserve"> </w:t>
            </w:r>
          </w:p>
        </w:tc>
        <w:tc>
          <w:tcPr>
            <w:tcW w:w="709" w:type="dxa"/>
            <w:tcBorders/>
            <w:vAlign w:val="center"/>
          </w:tcPr>
          <w:p>
            <w:pPr>
              <w:pStyle w:val="TableContents"/>
              <w:bidi w:val="0"/>
              <w:spacing w:before="140" w:after="240"/>
              <w:ind w:left="0" w:right="0" w:hanging="0"/>
              <w:jc w:val="center"/>
              <w:rPr/>
            </w:pPr>
            <w:r>
              <w:rPr/>
              <w:t>​</w:t>
            </w:r>
          </w:p>
        </w:tc>
      </w:tr>
      <w:tr>
        <w:trPr/>
        <w:tc>
          <w:tcPr>
            <w:tcW w:w="94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 in the aggregate</w:t>
            </w:r>
          </w:p>
        </w:tc>
        <w:tc>
          <w:tcPr>
            <w:tcW w:w="7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bl>
    <w:p>
      <w:pPr>
        <w:pStyle w:val="TextBody"/>
        <w:bidi w:val="0"/>
        <w:spacing w:lineRule="atLeast" w:line="240" w:before="0" w:after="240"/>
        <w:ind w:left="0" w:right="0" w:hanging="0"/>
        <w:jc w:val="both"/>
        <w:rPr>
          <w:rFonts w:ascii="Times New Roman;Times;serif" w:hAnsi="Times New Roman;Times;serif"/>
          <w:sz w:val="20"/>
        </w:rPr>
      </w:pPr>
      <w:bookmarkStart w:id="1897" w:name="footnote-4"/>
      <w:bookmarkEnd w:id="1897"/>
      <w:r>
        <w:rPr>
          <w:rFonts w:ascii="Times" w:hAnsi="Times"/>
          <w:sz w:val="20"/>
        </w:rPr>
        <w:t>3</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 is attributable to any Unencumbered Assets to the extent it exceeds the 20% concentration limit.</w:t>
      </w:r>
    </w:p>
    <w:p>
      <w:pPr>
        <w:pStyle w:val="TextBody"/>
        <w:bidi w:val="0"/>
        <w:spacing w:lineRule="atLeast" w:line="240" w:before="0" w:after="240"/>
        <w:ind w:left="0" w:right="0" w:hanging="0"/>
        <w:jc w:val="both"/>
        <w:rPr>
          <w:rFonts w:ascii="Times New Roman;Times;serif" w:hAnsi="Times New Roman;Times;serif"/>
          <w:sz w:val="20"/>
        </w:rPr>
      </w:pPr>
      <w:bookmarkStart w:id="1898" w:name="footnote-5"/>
      <w:bookmarkEnd w:id="1898"/>
      <w:r>
        <w:rPr>
          <w:rFonts w:ascii="Times" w:hAnsi="Times"/>
          <w:sz w:val="20"/>
        </w:rPr>
        <w:t>4</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Assets leased by the Borrower or a Subsidiary pursuant to an Acceptable Leasehold Interest to the extent it exceeds the 15% concentration limit.</w:t>
      </w:r>
    </w:p>
    <w:p>
      <w:pPr>
        <w:pStyle w:val="TextBody"/>
        <w:pBdr/>
        <w:bidi w:val="0"/>
        <w:spacing w:lineRule="atLeast" w:line="240" w:before="0" w:after="240"/>
        <w:ind w:left="0" w:right="0" w:hanging="720"/>
        <w:jc w:val="both"/>
        <w:rPr>
          <w:rFonts w:ascii="Times New Roman;Times;serif" w:hAnsi="Times New Roman;Times;serif"/>
          <w:sz w:val="20"/>
        </w:rPr>
      </w:pPr>
      <w:bookmarkStart w:id="1899" w:name="footnote-6"/>
      <w:bookmarkEnd w:id="1899"/>
      <w:r>
        <w:rPr>
          <w:rFonts w:ascii="Times" w:hAnsi="Times"/>
          <w:sz w:val="20"/>
        </w:rPr>
        <w:t>5</w:t>
      </w:r>
      <w:r>
        <w:rPr>
          <w:rFonts w:ascii="Times New Roman;Times;serif" w:hAnsi="Times New Roman;Times;serif"/>
          <w:sz w:val="20"/>
        </w:rPr>
        <w:t xml:space="preserve"> To be duplicated for each MSA with Unencumbered Assets.</w:t>
      </w:r>
    </w:p>
    <w:p>
      <w:pPr>
        <w:pStyle w:val="TextBody"/>
        <w:bidi w:val="0"/>
        <w:spacing w:lineRule="atLeast" w:line="240" w:before="0" w:after="240"/>
        <w:ind w:left="0" w:right="0" w:hanging="0"/>
        <w:jc w:val="both"/>
        <w:rPr>
          <w:rFonts w:ascii="Times New Roman;Times;serif" w:hAnsi="Times New Roman;Times;serif"/>
          <w:sz w:val="20"/>
        </w:rPr>
      </w:pPr>
      <w:bookmarkStart w:id="1900" w:name="footnote-7"/>
      <w:bookmarkEnd w:id="1900"/>
      <w:r>
        <w:rPr>
          <w:rFonts w:ascii="Times" w:hAnsi="Times"/>
          <w:sz w:val="20"/>
        </w:rPr>
        <w:t>6</w:t>
      </w:r>
      <w:r>
        <w:rPr>
          <w:rFonts w:ascii="Times New Roman;Times;serif" w:hAnsi="Times New Roman;Times;serif"/>
          <w:sz w:val="20"/>
        </w:rPr>
        <w:t xml:space="preserve"> If applicable, the calculation of Unencumbered Asset Value includes an adjustment to exclude that portion of the book value of any Unencumbered Mortgage Receivables to the extent it exceeds the 15%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21"/>
        <w:gridCol w:w="684"/>
      </w:tblGrid>
      <w:tr>
        <w:trPr/>
        <w:tc>
          <w:tcPr>
            <w:tcW w:w="9521"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O1 shall not be greater than 15%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 secured by Properties of an Other Approved Type</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O3 shall not be greater than 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521"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P.</w:t>
            </w:r>
            <w:r>
              <w:rPr>
                <w:rFonts w:ascii="Times New Roman;Times;serif" w:hAnsi="Times New Roman;Times;serif"/>
                <w:sz w:val="24"/>
                <w:u w:val="single"/>
              </w:rPr>
              <w:t>Mortgage Receivables Income</w:t>
            </w:r>
            <w:hyperlink w:anchor="footnote-8">
              <w:r>
                <w:rPr>
                  <w:rStyle w:val="InternetLink"/>
                  <w:rFonts w:ascii="Times" w:hAnsi="Times"/>
                  <w:sz w:val="20"/>
                </w:rPr>
                <w:t>7</w:t>
              </w:r>
            </w:hyperlink>
            <w:r>
              <w:rPr>
                <w:rFonts w:ascii="Times New Roman;Times;serif" w:hAnsi="Times New Roman;Times;serif"/>
                <w:sz w:val="24"/>
              </w:rPr>
              <w:t xml:space="preserve"> </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Pool Total Income attributable to Unencumbered Mortgage Receivables</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P1 shall not be greater than 15%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 secured by Properties of an Other Approved Type</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P3 shall not be greater than 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521"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Q.</w:t>
            </w:r>
            <w:r>
              <w:rPr>
                <w:rFonts w:ascii="Times New Roman;Times;serif" w:hAnsi="Times New Roman;Times;serif"/>
                <w:sz w:val="24"/>
                <w:u w:val="single"/>
              </w:rPr>
              <w:t>Occupancy Rate</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Occupancy Rate of Unencumbered Assets</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Q1 shall not be less than 85%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lineRule="atLeast" w:line="240" w:before="0" w:after="240"/>
        <w:ind w:left="0" w:right="0" w:hanging="0"/>
        <w:jc w:val="both"/>
        <w:rPr>
          <w:rFonts w:ascii="Times New Roman;Times;serif" w:hAnsi="Times New Roman;Times;serif"/>
          <w:sz w:val="20"/>
        </w:rPr>
      </w:pPr>
      <w:bookmarkStart w:id="1901" w:name="footnote-8"/>
      <w:bookmarkEnd w:id="1901"/>
      <w:r>
        <w:rPr>
          <w:rFonts w:ascii="Times" w:hAnsi="Times"/>
          <w:sz w:val="20"/>
        </w:rPr>
        <w:t>7</w:t>
      </w:r>
      <w:r>
        <w:rPr>
          <w:rFonts w:ascii="Times New Roman;Times;serif" w:hAnsi="Times New Roman;Times;serif"/>
          <w:sz w:val="20"/>
        </w:rPr>
        <w:t xml:space="preserve"> If applicable, the calculation of Unencumbered Pool Total Income includes an adjustment to exclude that portion of the cash interest form any Unencumbered Mortgage Receivables to the extent it exceeds the 15% concentration limit.</w:t>
      </w:r>
    </w:p>
    <w:p>
      <w:pPr>
        <w:pStyle w:val="TextBody"/>
        <w:bidi w:val="0"/>
        <w:spacing w:lineRule="atLeast" w:line="240"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A, with a calculation date of __________,______, is attached to Schedule I to the Compliance Certificate of Alpine Income Property OP, LP dated ___________, 20__, as amended, and delivered to Truist Bank, as Administrative Agent, and the Lenders party to the Amended and Restated Credit Agreement, as amended, referred to therein.  The undersigned hereby certifies that the following is a true, correct and complete calculation of Total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pBdr/>
        <w:bidi w:val="0"/>
        <w:spacing w:before="0" w:after="0"/>
        <w:ind w:left="4680" w:right="0" w:hanging="288"/>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GP, LLC, a Delaware limited liability company, its General Partner</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Trust, Inc., a Maryland corporation, its sole member</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pPr>
      <w:r>
        <w:rPr/>
        <w:t>  </w:t>
      </w:r>
      <w:r>
        <w:rPr>
          <w:rFonts w:ascii="Times New Roman;Times;serif" w:hAnsi="Times New Roman;Times;serif"/>
          <w:sz w:val="24"/>
        </w:rPr>
        <w:t>Name:</w:t>
      </w:r>
    </w:p>
    <w:p>
      <w:pPr>
        <w:pStyle w:val="TextBody"/>
        <w:pBdr/>
        <w:bidi w:val="0"/>
        <w:spacing w:before="0" w:after="0"/>
        <w:ind w:left="4680" w:right="0" w:hanging="288"/>
        <w:jc w:val="left"/>
        <w:rPr/>
      </w:pPr>
      <w:r>
        <w:rPr/>
        <w:t>  </w:t>
      </w:r>
      <w:r>
        <w:rPr>
          <w:rFonts w:ascii="Times New Roman;Times;serif" w:hAnsi="Times New Roman;Times;serif"/>
          <w:sz w:val="24"/>
        </w:rPr>
        <w:t>Title: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B, with a calculation date of __________,______, is attached to Schedule I to the Compliance Certificate of Alpine Income Property OP, LP dated _________, 202_, as amended, and delivered to Truist Bank, as Administrative Agent, and the Lenders party to the Amended and Restated Credit Agreement, as amended, referred to therein.  The undersigned hereby certifies that the following is a true, correct and complete calculation of the Unencumbered Pool Total Income for all Properties and Mortgage Receivables for the Rolling Period most recently ended:</w:t>
      </w:r>
    </w:p>
    <w:p>
      <w:pPr>
        <w:pStyle w:val="TextBody"/>
        <w:bidi w:val="0"/>
        <w:spacing w:before="0" w:after="0"/>
        <w:ind w:left="0" w:right="0" w:hanging="0"/>
        <w:jc w:val="left"/>
        <w:rPr>
          <w:smallCaps/>
        </w:rPr>
      </w:pPr>
      <w:r>
        <w:rPr>
          <w:smallCaps/>
        </w:rPr>
        <w:t>​</w:t>
      </w:r>
    </w:p>
    <w:tbl>
      <w:tblPr>
        <w:tblW w:w="10205" w:type="dxa"/>
        <w:jc w:val="center"/>
        <w:tblInd w:w="0" w:type="dxa"/>
        <w:tblLayout w:type="fixed"/>
        <w:tblCellMar>
          <w:top w:w="28" w:type="dxa"/>
          <w:left w:w="103" w:type="dxa"/>
          <w:bottom w:w="28" w:type="dxa"/>
          <w:right w:w="103" w:type="dxa"/>
        </w:tblCellMar>
      </w:tblPr>
      <w:tblGrid>
        <w:gridCol w:w="796"/>
        <w:gridCol w:w="879"/>
        <w:gridCol w:w="556"/>
        <w:gridCol w:w="1747"/>
        <w:gridCol w:w="556"/>
        <w:gridCol w:w="1321"/>
        <w:gridCol w:w="556"/>
        <w:gridCol w:w="2305"/>
        <w:gridCol w:w="601"/>
        <w:gridCol w:w="888"/>
      </w:tblGrid>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Income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Expenses (without Cap. Ex. Reserve or Management Fees)</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Capital Expenditure Reserve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Greater of 1% (for retail net lease properties) or 3% of rents for other properties or actual management fees</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NOI</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87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3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8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smallCaps/>
          <w:sz w:val="24"/>
        </w:rPr>
        <w:t>Total Unencumbered Pool Total Income for all Properties</w:t>
      </w:r>
      <w:r>
        <w:rPr>
          <w:rFonts w:ascii="Times New Roman;Times;serif" w:hAnsi="Times New Roman;Times;serif"/>
          <w:sz w:val="24"/>
        </w:rPr>
        <w:t xml:space="preserve"> </w:t>
      </w:r>
      <w:r>
        <w:rPr>
          <w:rFonts w:ascii="Times New Roman;Times;serif" w:hAnsi="Times New Roman;Times;serif"/>
          <w:b/>
          <w:smallCaps/>
          <w:sz w:val="24"/>
        </w:rPr>
        <w:t>and Mortgage Receivables:$_____________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Unencumbered Real Property Assets:$_____________</w:t>
      </w:r>
    </w:p>
    <w:p>
      <w:pPr>
        <w:pStyle w:val="TextBody"/>
        <w:bidi w:val="0"/>
        <w:spacing w:before="0" w:after="0"/>
        <w:ind w:left="0" w:right="0" w:hanging="0"/>
        <w:jc w:val="left"/>
        <w:rPr>
          <w:smallCaps/>
        </w:rPr>
      </w:pPr>
      <w:r>
        <w:rPr>
          <w:smallCaps/>
        </w:rPr>
        <w:t>​</w:t>
      </w:r>
    </w:p>
    <w:tbl>
      <w:tblPr>
        <w:tblW w:w="9141" w:type="dxa"/>
        <w:jc w:val="center"/>
        <w:tblInd w:w="0" w:type="dxa"/>
        <w:tblLayout w:type="fixed"/>
        <w:tblCellMar>
          <w:top w:w="28" w:type="dxa"/>
          <w:left w:w="103" w:type="dxa"/>
          <w:bottom w:w="28" w:type="dxa"/>
          <w:right w:w="103" w:type="dxa"/>
        </w:tblCellMar>
      </w:tblPr>
      <w:tblGrid>
        <w:gridCol w:w="2941"/>
        <w:gridCol w:w="1771"/>
        <w:gridCol w:w="526"/>
        <w:gridCol w:w="2101"/>
        <w:gridCol w:w="631"/>
        <w:gridCol w:w="1171"/>
      </w:tblGrid>
      <w:tr>
        <w:trPr/>
        <w:tc>
          <w:tcPr>
            <w:tcW w:w="2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rFonts w:ascii="Times New Roman;Times;serif" w:hAnsi="Times New Roman;Times;serif"/>
                <w:smallCaps/>
                <w:sz w:val="16"/>
                <w:u w:val="single"/>
              </w:rPr>
              <w:t>Unencumbered Mortgage Receivable</w:t>
            </w:r>
            <w:hyperlink w:anchor="footnote-9">
              <w:r>
                <w:rPr>
                  <w:rStyle w:val="InternetLink"/>
                  <w:rFonts w:ascii="Times" w:hAnsi="Times"/>
                  <w:smallCaps/>
                  <w:sz w:val="15"/>
                </w:rPr>
                <w:t>8</w:t>
              </w:r>
            </w:hyperlink>
          </w:p>
        </w:tc>
        <w:tc>
          <w:tcPr>
            <w:tcW w:w="17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Outstanding Principal</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Times</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cash Interest Rate</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11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Cash Interest</w:t>
            </w:r>
          </w:p>
        </w:tc>
      </w:tr>
      <w:tr>
        <w:trPr/>
        <w:tc>
          <w:tcPr>
            <w:tcW w:w="2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r>
        <w:trPr/>
        <w:tc>
          <w:tcPr>
            <w:tcW w:w="2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r>
        <w:trPr/>
        <w:tc>
          <w:tcPr>
            <w:tcW w:w="2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r>
        <w:trPr/>
        <w:tc>
          <w:tcPr>
            <w:tcW w:w="29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21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Cash Interest for all Mortgage Receivables:$_____________</w:t>
      </w:r>
    </w:p>
    <w:p>
      <w:pPr>
        <w:pStyle w:val="TextBody"/>
        <w:bidi w:val="0"/>
        <w:spacing w:before="0" w:after="0"/>
        <w:ind w:left="0" w:right="0" w:hanging="0"/>
        <w:jc w:val="left"/>
        <w:rPr>
          <w:smallCaps/>
        </w:rPr>
      </w:pPr>
      <w:r>
        <w:rPr>
          <w:smallCaps/>
        </w:rPr>
        <w:t>​</w:t>
      </w:r>
    </w:p>
    <w:p>
      <w:pPr>
        <w:pStyle w:val="TextBody"/>
        <w:pBdr/>
        <w:bidi w:val="0"/>
        <w:spacing w:lineRule="atLeast" w:line="240" w:before="0" w:after="240"/>
        <w:ind w:left="0" w:right="0" w:hanging="720"/>
        <w:jc w:val="both"/>
        <w:rPr>
          <w:rFonts w:ascii="Times New Roman;Times;serif" w:hAnsi="Times New Roman;Times;serif"/>
          <w:sz w:val="20"/>
        </w:rPr>
      </w:pPr>
      <w:bookmarkStart w:id="1902" w:name="footnote-9"/>
      <w:bookmarkEnd w:id="1902"/>
      <w:r>
        <w:rPr>
          <w:rFonts w:ascii="Times" w:hAnsi="Times"/>
          <w:sz w:val="20"/>
        </w:rPr>
        <w:t>8</w:t>
      </w:r>
      <w:r>
        <w:rPr>
          <w:rFonts w:ascii="Times New Roman;Times;serif" w:hAnsi="Times New Roman;Times;serif"/>
          <w:sz w:val="20"/>
        </w:rPr>
        <w:t xml:space="preserve"> Alpine to confirm.</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Cash Interst for all Unencumbered Mortgage Receivables:$_____________</w:t>
      </w:r>
    </w:p>
    <w:p>
      <w:pPr>
        <w:pStyle w:val="TextBody"/>
        <w:bidi w:val="0"/>
        <w:spacing w:before="0" w:after="0"/>
        <w:ind w:left="0" w:right="0" w:hanging="0"/>
        <w:jc w:val="left"/>
        <w:rPr>
          <w:smallCaps/>
        </w:rPr>
      </w:pPr>
      <w:r>
        <w:rPr>
          <w:smallCaps/>
        </w:rPr>
        <w:t>​</w:t>
      </w:r>
    </w:p>
    <w:p>
      <w:pPr>
        <w:pStyle w:val="TextBody"/>
        <w:pBdr/>
        <w:bidi w:val="0"/>
        <w:spacing w:before="0" w:after="0"/>
        <w:ind w:left="4680" w:right="0" w:hanging="288"/>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GP, LLC, a Delaware limited liability company, its General Partner</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Trust, Inc., a Maryland corporation, its sole member</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pPr>
      <w:r>
        <w:rPr/>
        <w:t>  </w:t>
      </w:r>
      <w:r>
        <w:rPr>
          <w:rFonts w:ascii="Times New Roman;Times;serif" w:hAnsi="Times New Roman;Times;serif"/>
          <w:sz w:val="24"/>
        </w:rPr>
        <w:t>Name:</w:t>
      </w:r>
    </w:p>
    <w:p>
      <w:pPr>
        <w:pStyle w:val="TextBody"/>
        <w:pBdr/>
        <w:bidi w:val="0"/>
        <w:spacing w:before="0" w:after="0"/>
        <w:ind w:left="4680" w:right="0" w:hanging="288"/>
        <w:jc w:val="left"/>
        <w:rPr/>
      </w:pPr>
      <w:r>
        <w:rPr/>
        <w:t>  </w:t>
      </w:r>
      <w:r>
        <w:rPr>
          <w:rFonts w:ascii="Times New Roman;Times;serif" w:hAnsi="Times New Roman;Times;serif"/>
          <w:sz w:val="24"/>
        </w:rPr>
        <w:t>Title:</w:t>
      </w:r>
    </w:p>
    <w:p>
      <w:pPr>
        <w:pStyle w:val="TextBody"/>
        <w:pBdr/>
        <w:bidi w:val="0"/>
        <w:spacing w:before="0" w:after="0"/>
        <w:ind w:left="4680" w:right="0" w:hanging="288"/>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Alpine Income Property OP, LP</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C, with a calculation date of __________,______, is attached to Schedule I to the Compliance Certificate of Alpine Income Property OP, LP dated ___________, 20__, as amended, and delivered to Truist Bank, as Administrative Agent, and the Lenders party to the Amended and Restated Credit Agreement, as amended, referred to therein.  The undersigned hereby certifies that the following is a true, correct and complete calculation of Unencumbered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pBdr/>
        <w:bidi w:val="0"/>
        <w:spacing w:before="0" w:after="0"/>
        <w:ind w:left="4680" w:right="0" w:hanging="288"/>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GP, LLC, a Delaware limited liability company, its General Partner</w:t>
      </w:r>
    </w:p>
    <w:p>
      <w:pPr>
        <w:pStyle w:val="TextBody"/>
        <w:pBdr/>
        <w:bidi w:val="0"/>
        <w:spacing w:before="280" w:after="0"/>
        <w:ind w:left="4680" w:right="0" w:hanging="230"/>
        <w:jc w:val="left"/>
        <w:rPr>
          <w:rFonts w:ascii="Times New Roman;Times;serif" w:hAnsi="Times New Roman;Times;serif"/>
          <w:sz w:val="24"/>
        </w:rPr>
      </w:pPr>
      <w:r>
        <w:rPr>
          <w:rFonts w:ascii="Times New Roman;Times;serif" w:hAnsi="Times New Roman;Times;serif"/>
          <w:sz w:val="24"/>
        </w:rPr>
        <w:t>By: Alpine Income Property Trust, Inc., a Maryland corporation, its sole member</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pPr>
      <w:r>
        <w:rPr/>
        <w:t>  </w:t>
      </w:r>
      <w:r>
        <w:rPr>
          <w:rFonts w:ascii="Times New Roman;Times;serif" w:hAnsi="Times New Roman;Times;serif"/>
          <w:sz w:val="24"/>
        </w:rPr>
        <w:t>Name:</w:t>
      </w:r>
    </w:p>
    <w:p>
      <w:pPr>
        <w:pStyle w:val="TextBody"/>
        <w:pBdr/>
        <w:bidi w:val="0"/>
        <w:spacing w:before="0" w:after="0"/>
        <w:ind w:left="4680" w:right="0" w:hanging="288"/>
        <w:jc w:val="left"/>
        <w:rPr/>
      </w:pPr>
      <w:r>
        <w:rPr/>
        <w:t>  </w:t>
      </w:r>
      <w:r>
        <w:rPr>
          <w:rFonts w:ascii="Times New Roman;Times;serif" w:hAnsi="Times New Roman;Times;serif"/>
          <w:sz w:val="24"/>
        </w:rPr>
        <w:t>Title:</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F</w:t>
        <w:br/>
        <w:br/>
        <w:t>Assignment and Acceptance</w:t>
      </w:r>
    </w:p>
    <w:p>
      <w:pPr>
        <w:pStyle w:val="TextBody"/>
        <w:bidi w:val="0"/>
        <w:spacing w:before="360" w:after="0"/>
        <w:ind w:left="0" w:right="0" w:hanging="0"/>
        <w:jc w:val="center"/>
        <w:rPr>
          <w:rFonts w:ascii="Times New Roman;Times;serif" w:hAnsi="Times New Roman;Times;serif"/>
          <w:b w:val="false"/>
          <w:caps w:val="false"/>
          <w:smallCaps w:val="false"/>
          <w:sz w:val="24"/>
        </w:rPr>
      </w:pPr>
      <w:r>
        <w:rPr>
          <w:rFonts w:ascii="Times New Roman;Times;serif" w:hAnsi="Times New Roman;Times;serif"/>
          <w:b w:val="false"/>
          <w:caps w:val="false"/>
          <w:smallCaps w:val="false"/>
          <w:sz w:val="24"/>
        </w:rPr>
        <w:t>Dated _____________, _______</w:t>
      </w:r>
    </w:p>
    <w:p>
      <w:pPr>
        <w:pStyle w:val="TextBody"/>
        <w:bidi w:val="0"/>
        <w:spacing w:before="200" w:after="240"/>
        <w:ind w:left="0" w:right="0" w:firstLine="720"/>
        <w:jc w:val="both"/>
        <w:rPr>
          <w:rFonts w:ascii="Times" w:hAnsi="Times"/>
          <w:sz w:val="24"/>
        </w:rPr>
      </w:pPr>
      <w:r>
        <w:rPr>
          <w:rFonts w:ascii="Times" w:hAnsi="Times"/>
          <w:sz w:val="24"/>
        </w:rPr>
        <w:t>Reference is made to the Amended and Restated Credit Agreement dated as of February 4, 2026, as extended, renewed, amended or restated from time to time, the “</w:t>
      </w:r>
      <w:r>
        <w:rPr>
          <w:rFonts w:ascii="Times" w:hAnsi="Times"/>
          <w:i/>
          <w:sz w:val="24"/>
        </w:rPr>
        <w:t>Credit Agreement”</w:t>
      </w:r>
      <w:r>
        <w:rPr>
          <w:rFonts w:ascii="Times" w:hAnsi="Times"/>
          <w:sz w:val="24"/>
        </w:rPr>
        <w:t>) among Alpine Income Property OP, LP, the Guarantors from time to time party thereto, the Lenders and Truist Bank, as Administrative Agent (the “</w:t>
      </w:r>
      <w:r>
        <w:rPr>
          <w:rFonts w:ascii="Times" w:hAnsi="Times"/>
          <w:i/>
          <w:sz w:val="24"/>
        </w:rPr>
        <w:t>Administrative Agent”</w:t>
      </w:r>
      <w:r>
        <w:rPr>
          <w:rFonts w:ascii="Times" w:hAnsi="Times"/>
          <w:sz w:val="24"/>
        </w:rPr>
        <w:t>).  Terms defined in the Credit Agreement are used herein with the same meaning.</w:t>
      </w:r>
    </w:p>
    <w:p>
      <w:pPr>
        <w:pStyle w:val="TextBody"/>
        <w:bidi w:val="0"/>
        <w:spacing w:before="200" w:after="240"/>
        <w:ind w:left="0" w:right="0" w:firstLine="720"/>
        <w:jc w:val="both"/>
        <w:rPr>
          <w:rFonts w:ascii="Times" w:hAnsi="Times"/>
          <w:sz w:val="24"/>
        </w:rPr>
      </w:pPr>
      <w:r>
        <w:rPr>
          <w:rFonts w:ascii="Times" w:hAnsi="Times"/>
          <w:sz w:val="24"/>
        </w:rPr>
        <w:t>______________________________________________________ (the “</w:t>
      </w:r>
      <w:r>
        <w:rPr>
          <w:rFonts w:ascii="Times" w:hAnsi="Times"/>
          <w:i/>
          <w:sz w:val="24"/>
        </w:rPr>
        <w:t>Assignor”</w:t>
      </w:r>
      <w:r>
        <w:rPr>
          <w:rFonts w:ascii="Times" w:hAnsi="Times"/>
          <w:sz w:val="24"/>
        </w:rPr>
        <w:t>) and _________________________ (the “</w:t>
      </w:r>
      <w:r>
        <w:rPr>
          <w:rFonts w:ascii="Times" w:hAnsi="Times"/>
          <w:i/>
          <w:sz w:val="24"/>
        </w:rPr>
        <w:t>Assignee”</w:t>
      </w:r>
      <w:r>
        <w:rPr>
          <w:rFonts w:ascii="Times" w:hAnsi="Times"/>
          <w:sz w:val="24"/>
        </w:rPr>
        <w:t>) agree as follows:</w:t>
      </w:r>
    </w:p>
    <w:p>
      <w:pPr>
        <w:pStyle w:val="TextBody"/>
        <w:bidi w:val="0"/>
        <w:spacing w:before="200" w:after="240"/>
        <w:ind w:left="720" w:right="0" w:hanging="0"/>
        <w:jc w:val="both"/>
        <w:rPr>
          <w:rFonts w:ascii="Times" w:hAnsi="Times"/>
          <w:sz w:val="24"/>
        </w:rPr>
      </w:pPr>
      <w:r>
        <w:rPr>
          <w:rFonts w:ascii="Times" w:hAnsi="Times"/>
          <w:sz w:val="24"/>
        </w:rPr>
        <w:t>1.The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Revolving Credit Commitments as in effect on the Effective Date and the Loans, if any, owing to the Assignor on the Effective Date and the Assignor’s Applicable Percentage of any outstanding L/C Obligations.</w:t>
      </w:r>
    </w:p>
    <w:p>
      <w:pPr>
        <w:pStyle w:val="TextBody"/>
        <w:bidi w:val="0"/>
        <w:spacing w:before="200" w:after="240"/>
        <w:ind w:left="720" w:right="0" w:hanging="0"/>
        <w:jc w:val="both"/>
        <w:rPr>
          <w:rFonts w:ascii="Times" w:hAnsi="Times"/>
          <w:sz w:val="24"/>
        </w:rPr>
      </w:pPr>
      <w:r>
        <w:rPr>
          <w:rFonts w:ascii="Times" w:hAnsi="Times"/>
          <w:sz w:val="24"/>
        </w:rPr>
        <w:t>2.The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pStyle w:val="TextBody"/>
        <w:bidi w:val="0"/>
        <w:spacing w:before="200" w:after="0"/>
        <w:ind w:left="720" w:right="0" w:hanging="0"/>
        <w:jc w:val="both"/>
        <w:rPr>
          <w:rFonts w:ascii="Times" w:hAnsi="Times"/>
          <w:sz w:val="24"/>
        </w:rPr>
      </w:pPr>
      <w:r>
        <w:rPr>
          <w:rFonts w:ascii="Times" w:hAnsi="Times"/>
          <w:sz w:val="24"/>
        </w:rPr>
        <w:t xml:space="preserve">3.The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Agent on its behalf and to exercise such powers under the Credit Agreement and the other Loan Documents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and (v) specifies as its lending office (and address for notices) the offices set forth on its Administrative Questionnaire.</w:t>
      </w:r>
    </w:p>
    <w:p>
      <w:pPr>
        <w:pStyle w:val="TextBody"/>
        <w:bidi w:val="0"/>
        <w:spacing w:before="200" w:after="240"/>
        <w:ind w:left="720" w:right="0" w:hanging="0"/>
        <w:jc w:val="both"/>
        <w:rPr>
          <w:rFonts w:ascii="Times" w:hAnsi="Times"/>
          <w:sz w:val="24"/>
        </w:rPr>
      </w:pPr>
      <w:r>
        <w:rPr>
          <w:rFonts w:ascii="Times" w:hAnsi="Times"/>
          <w:sz w:val="24"/>
        </w:rPr>
        <w:t>4.As consideration for the assignment and sale contemplated in Annex I hereof, the Assignee shall pay to the Assignor on the Effective Date in Federal funds the amount agreed upon between them.  It is understood that commitment and/or letter of credit fees accrued to the Effective Date with respect to the interest assigned hereby are for the account of the Assignor and such fees accruing from and including the Effective Date are for the account of the Assignee.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pStyle w:val="TextBody"/>
        <w:bidi w:val="0"/>
        <w:spacing w:before="200" w:after="240"/>
        <w:ind w:left="720" w:right="0" w:hanging="0"/>
        <w:jc w:val="both"/>
        <w:rPr>
          <w:rFonts w:ascii="Times" w:hAnsi="Times"/>
          <w:sz w:val="24"/>
        </w:rPr>
      </w:pPr>
      <w:r>
        <w:rPr>
          <w:rFonts w:ascii="Times" w:hAnsi="Times"/>
          <w:sz w:val="24"/>
        </w:rPr>
        <w:t xml:space="preserve">5.The effective date for this Assignment and Acceptance shall be </w:t>
      </w:r>
      <w:r>
        <w:rPr>
          <w:rFonts w:ascii="Times" w:hAnsi="Times"/>
          <w:sz w:val="24"/>
          <w:u w:val="single"/>
        </w:rPr>
        <w:t>___________</w:t>
      </w:r>
      <w:r>
        <w:rPr>
          <w:rFonts w:ascii="Times" w:hAnsi="Times"/>
          <w:sz w:val="24"/>
        </w:rPr>
        <w:t xml:space="preserve"> (the “</w:t>
      </w:r>
      <w:r>
        <w:rPr>
          <w:rFonts w:ascii="Times" w:hAnsi="Times"/>
          <w:i/>
          <w:sz w:val="24"/>
        </w:rPr>
        <w:t>Effective Date”</w:t>
      </w:r>
      <w:r>
        <w:rPr>
          <w:rFonts w:ascii="Times" w:hAnsi="Times"/>
          <w:sz w:val="24"/>
        </w:rPr>
        <w:t>).  Following the execution of this Assignment and Acceptance, it will be delivered to the Administrative Agent for acceptance and recording by the Administrative Agent and, if required, the Borrower.</w:t>
      </w:r>
    </w:p>
    <w:p>
      <w:pPr>
        <w:pStyle w:val="TextBody"/>
        <w:bidi w:val="0"/>
        <w:spacing w:before="200" w:after="240"/>
        <w:ind w:left="720" w:right="0" w:hanging="0"/>
        <w:jc w:val="both"/>
        <w:rPr>
          <w:rFonts w:ascii="Times" w:hAnsi="Times"/>
          <w:sz w:val="24"/>
        </w:rPr>
      </w:pPr>
      <w:r>
        <w:rPr>
          <w:rFonts w:ascii="Times" w:hAnsi="Times"/>
          <w:sz w:val="24"/>
        </w:rPr>
        <w:t>6.Upon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pStyle w:val="TextBody"/>
        <w:bidi w:val="0"/>
        <w:spacing w:before="200" w:after="240"/>
        <w:ind w:left="720" w:right="0" w:hanging="0"/>
        <w:jc w:val="both"/>
        <w:rPr>
          <w:rFonts w:ascii="Times" w:hAnsi="Times"/>
          <w:sz w:val="24"/>
        </w:rPr>
      </w:pPr>
      <w:r>
        <w:rPr>
          <w:rFonts w:ascii="Times" w:hAnsi="Times"/>
          <w:sz w:val="24"/>
        </w:rPr>
        <w:t>7.Upon such acceptance and recording, from and after the Effective Date, the Administrative Agent shall make all payments under the Credit Agreement in respect of the interest assigned hereby (including, without limitation, all payments of principal, interest and commitment fees with respect thereto) to the Assignee.  The Assignor and Assignee shall make all appropriate adjustments in payments under the Credit Agreement for periods prior to the Effective Date directly between themselves.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8.This Assignment and Acceptance shall be governed by, and construed in accordance with, the internal laws of the State of New York.</w:t>
      </w:r>
    </w:p>
    <w:p>
      <w:pPr>
        <w:pStyle w:val="TextBody"/>
        <w:bidi w:val="0"/>
        <w:spacing w:before="280" w:after="0"/>
        <w:ind w:left="4680" w:right="0" w:hanging="0"/>
        <w:jc w:val="left"/>
        <w:rPr>
          <w:rFonts w:ascii="Times New Roman;Times;serif" w:hAnsi="Times New Roman;Times;serif"/>
          <w:smallCaps/>
          <w:sz w:val="24"/>
        </w:rPr>
      </w:pPr>
      <w:r>
        <w:rPr>
          <w:rFonts w:ascii="Times New Roman;Times;serif" w:hAnsi="Times New Roman;Times;serif"/>
          <w:smallCaps/>
          <w:sz w:val="24"/>
        </w:rPr>
        <w:t>[Assignor Lender]</w:t>
      </w:r>
    </w:p>
    <w:p>
      <w:pPr>
        <w:pStyle w:val="TextBody"/>
        <w:pBdr/>
        <w:bidi w:val="0"/>
        <w:spacing w:before="64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280" w:after="0"/>
        <w:ind w:left="4680" w:right="0" w:hanging="0"/>
        <w:jc w:val="left"/>
        <w:rPr>
          <w:rFonts w:ascii="Times New Roman;Times;serif" w:hAnsi="Times New Roman;Times;serif"/>
          <w:smallCaps/>
          <w:sz w:val="24"/>
        </w:rPr>
      </w:pPr>
      <w:r>
        <w:rPr>
          <w:rFonts w:ascii="Times New Roman;Times;serif" w:hAnsi="Times New Roman;Times;serif"/>
          <w:smallCaps/>
          <w:sz w:val="24"/>
        </w:rPr>
        <w:t>[Assignee Lender]</w:t>
      </w:r>
    </w:p>
    <w:p>
      <w:pPr>
        <w:pStyle w:val="TextBody"/>
        <w:pBdr/>
        <w:bidi w:val="0"/>
        <w:spacing w:before="64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280" w:after="0"/>
        <w:ind w:left="0" w:right="0" w:hanging="4954"/>
        <w:jc w:val="left"/>
        <w:rPr>
          <w:rFonts w:ascii="Times New Roman;Times;serif" w:hAnsi="Times New Roman;Times;serif"/>
          <w:sz w:val="24"/>
        </w:rPr>
      </w:pPr>
      <w:r>
        <w:rPr>
          <w:rFonts w:ascii="Times New Roman;Times;serif" w:hAnsi="Times New Roman;Times;serif"/>
          <w:sz w:val="24"/>
        </w:rPr>
        <w:t>Accepted and consented this</w:t>
      </w:r>
    </w:p>
    <w:p>
      <w:pPr>
        <w:pStyle w:val="TextBody"/>
        <w:pBdr/>
        <w:bidi w:val="0"/>
        <w:spacing w:before="0" w:after="0"/>
        <w:ind w:left="0" w:right="0" w:hanging="4950"/>
        <w:jc w:val="left"/>
        <w:rPr>
          <w:rFonts w:ascii="Times New Roman;Times;serif" w:hAnsi="Times New Roman;Times;serif"/>
          <w:sz w:val="24"/>
        </w:rPr>
      </w:pPr>
      <w:r>
        <w:rPr>
          <w:rFonts w:ascii="Times New Roman;Times;serif" w:hAnsi="Times New Roman;Times;serif"/>
          <w:sz w:val="24"/>
        </w:rPr>
        <w:t>____ day of _____________</w:t>
      </w:r>
    </w:p>
    <w:p>
      <w:pPr>
        <w:pStyle w:val="TextBody"/>
        <w:pBdr/>
        <w:bidi w:val="0"/>
        <w:spacing w:before="320" w:after="0"/>
        <w:ind w:left="0" w:right="0" w:hanging="4954"/>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360" w:after="0"/>
        <w:ind w:left="0" w:right="0" w:hanging="4954"/>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280" w:after="0"/>
        <w:ind w:left="0" w:right="4500" w:hanging="180"/>
        <w:jc w:val="left"/>
        <w:rPr>
          <w:rFonts w:ascii="Times New Roman;Times;serif" w:hAnsi="Times New Roman;Times;serif"/>
          <w:sz w:val="24"/>
        </w:rPr>
      </w:pPr>
      <w:r>
        <w:rPr>
          <w:rFonts w:ascii="Times New Roman;Times;serif" w:hAnsi="Times New Roman;Times;serif"/>
          <w:sz w:val="24"/>
        </w:rPr>
        <w:t>Accepted and consented to by the Administrative Agent this ___ day of _________</w:t>
      </w:r>
    </w:p>
    <w:p>
      <w:pPr>
        <w:pStyle w:val="TextBody"/>
        <w:pBdr/>
        <w:bidi w:val="0"/>
        <w:spacing w:before="280" w:after="0"/>
        <w:ind w:left="0" w:right="4500" w:hanging="180"/>
        <w:jc w:val="left"/>
        <w:rPr>
          <w:rFonts w:ascii="Times New Roman;Times;serif" w:hAnsi="Times New Roman;Times;serif"/>
          <w:sz w:val="24"/>
        </w:rPr>
      </w:pPr>
      <w:r>
        <w:rPr>
          <w:rFonts w:ascii="Times New Roman;Times;serif" w:hAnsi="Times New Roman;Times;serif"/>
          <w:smallCaps/>
          <w:sz w:val="24"/>
        </w:rPr>
        <w:t xml:space="preserve">Truist Bank, </w:t>
      </w:r>
      <w:r>
        <w:rPr>
          <w:rFonts w:ascii="Times New Roman;Times;serif" w:hAnsi="Times New Roman;Times;serif"/>
          <w:sz w:val="24"/>
        </w:rPr>
        <w:t>as Administrative Agent</w:t>
      </w:r>
    </w:p>
    <w:p>
      <w:pPr>
        <w:pStyle w:val="TextBody"/>
        <w:pBdr/>
        <w:bidi w:val="0"/>
        <w:spacing w:before="360" w:after="0"/>
        <w:ind w:left="0" w:right="0" w:hanging="4954"/>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Annex I</w:t>
      </w:r>
    </w:p>
    <w:p>
      <w:pPr>
        <w:pStyle w:val="TextBody"/>
        <w:bidi w:val="0"/>
        <w:spacing w:before="0" w:after="400"/>
        <w:ind w:left="0" w:right="0" w:hanging="0"/>
        <w:jc w:val="center"/>
        <w:rPr>
          <w:rFonts w:ascii="Times New Roman;Times;serif" w:hAnsi="Times New Roman;Times;serif"/>
          <w:b/>
          <w:smallCaps/>
          <w:sz w:val="24"/>
        </w:rPr>
      </w:pPr>
      <w:r>
        <w:rPr>
          <w:rFonts w:ascii="Times New Roman;Times;serif" w:hAnsi="Times New Roman;Times;serif"/>
          <w:b/>
          <w:smallCaps/>
          <w:sz w:val="24"/>
        </w:rPr>
        <w:t>to Assignment and Acceptance</w:t>
      </w:r>
    </w:p>
    <w:p>
      <w:pPr>
        <w:pStyle w:val="TextBody"/>
        <w:bidi w:val="0"/>
        <w:spacing w:before="0" w:after="240"/>
        <w:ind w:left="0" w:right="0" w:firstLine="720"/>
        <w:jc w:val="both"/>
        <w:rPr>
          <w:rFonts w:ascii="Times" w:hAnsi="Times"/>
          <w:sz w:val="24"/>
        </w:rPr>
      </w:pPr>
      <w:r>
        <w:rPr>
          <w:rFonts w:ascii="Times" w:hAnsi="Times"/>
          <w:sz w:val="24"/>
        </w:rPr>
        <w:t>The assignee hereby purchases and assumes from the assignor the following interest in and to all of the Assignor’s rights and obligations under the Credit Agreement as of the effective date.</w:t>
      </w:r>
    </w:p>
    <w:tbl>
      <w:tblPr>
        <w:tblW w:w="9064" w:type="dxa"/>
        <w:jc w:val="left"/>
        <w:tblInd w:w="0" w:type="dxa"/>
        <w:tblLayout w:type="fixed"/>
        <w:tblCellMar>
          <w:top w:w="0" w:type="dxa"/>
          <w:left w:w="0" w:type="dxa"/>
          <w:bottom w:w="0" w:type="dxa"/>
          <w:right w:w="0" w:type="dxa"/>
        </w:tblCellMar>
      </w:tblPr>
      <w:tblGrid>
        <w:gridCol w:w="2056"/>
        <w:gridCol w:w="2221"/>
        <w:gridCol w:w="2221"/>
        <w:gridCol w:w="2566"/>
      </w:tblGrid>
      <w:tr>
        <w:trPr/>
        <w:tc>
          <w:tcPr>
            <w:tcW w:w="2056"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Facility Assigned</w:t>
            </w:r>
          </w:p>
        </w:tc>
        <w:tc>
          <w:tcPr>
            <w:tcW w:w="2221"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Aggregate</w:t>
              <w:br/>
              <w:t>Commitment/Loans</w:t>
              <w:br/>
              <w:t>for All Lenders</w:t>
            </w:r>
          </w:p>
        </w:tc>
        <w:tc>
          <w:tcPr>
            <w:tcW w:w="2221"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Amount of</w:t>
              <w:br/>
              <w:t>Commitment/Loans</w:t>
              <w:br/>
              <w:t>Assigned</w:t>
            </w:r>
          </w:p>
        </w:tc>
        <w:tc>
          <w:tcPr>
            <w:tcW w:w="2566"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Percentage Assigned</w:t>
              <w:br/>
              <w:t>of Commitment/Loans</w:t>
            </w:r>
          </w:p>
        </w:tc>
      </w:tr>
      <w:tr>
        <w:trPr/>
        <w:tc>
          <w:tcPr>
            <w:tcW w:w="205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Term Loan</w:t>
            </w:r>
          </w:p>
        </w:tc>
        <w:tc>
          <w:tcPr>
            <w:tcW w:w="2221" w:type="dxa"/>
            <w:tcBorders/>
            <w:vAlign w:val="center"/>
          </w:tcPr>
          <w:p>
            <w:pPr>
              <w:pStyle w:val="TableContents"/>
              <w:bidi w:val="0"/>
              <w:spacing w:before="28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$____________</w:t>
            </w:r>
          </w:p>
        </w:tc>
        <w:tc>
          <w:tcPr>
            <w:tcW w:w="2221"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$____________</w:t>
            </w:r>
          </w:p>
        </w:tc>
        <w:tc>
          <w:tcPr>
            <w:tcW w:w="2566"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G</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Additional Guarantor Supplement</w:t>
      </w:r>
    </w:p>
    <w:p>
      <w:pPr>
        <w:pStyle w:val="TextBody"/>
        <w:bidi w:val="0"/>
        <w:spacing w:before="0" w:after="240"/>
        <w:ind w:left="0" w:right="0" w:firstLine="720"/>
        <w:jc w:val="right"/>
        <w:rPr>
          <w:rFonts w:ascii="Times" w:hAnsi="Times"/>
          <w:sz w:val="24"/>
        </w:rPr>
      </w:pPr>
      <w:r>
        <w:rPr>
          <w:rFonts w:ascii="Times" w:hAnsi="Times"/>
          <w:sz w:val="24"/>
        </w:rPr>
        <w:t>______________, ___</w:t>
      </w:r>
    </w:p>
    <w:p>
      <w:pPr>
        <w:pStyle w:val="TextBody"/>
        <w:bidi w:val="0"/>
        <w:spacing w:before="140" w:after="240"/>
        <w:ind w:left="0" w:right="4320" w:hanging="0"/>
        <w:jc w:val="both"/>
        <w:rPr>
          <w:rFonts w:ascii="Times" w:hAnsi="Times"/>
          <w:sz w:val="24"/>
        </w:rPr>
      </w:pPr>
      <w:r>
        <w:rPr>
          <w:rFonts w:ascii="Times" w:hAnsi="Times"/>
          <w:sz w:val="24"/>
        </w:rPr>
        <w:t>Truist Bank,</w:t>
      </w:r>
      <w:r>
        <w:rPr>
          <w:rFonts w:ascii="Times" w:hAnsi="Times"/>
          <w:smallCaps/>
          <w:sz w:val="24"/>
        </w:rPr>
        <w:t xml:space="preserve"> </w:t>
      </w:r>
      <w:r>
        <w:rPr>
          <w:rFonts w:ascii="Times" w:hAnsi="Times"/>
          <w:sz w:val="24"/>
        </w:rPr>
        <w:t>as Administrative Agent for the Lenders named in the Amended and Restated Credit Agreement dated as of February 4, 2026, among Alpine Income Property OP, LP, as Borrower, the Guarantors signatories thereto, the Lenders from time to time party thereto, and the Administrative Agent (the “</w:t>
      </w:r>
      <w:r>
        <w:rPr>
          <w:rFonts w:ascii="Times" w:hAnsi="Times"/>
          <w:i/>
          <w:sz w:val="24"/>
        </w:rPr>
        <w:t>Credit Agreement”</w:t>
      </w:r>
      <w:r>
        <w:rPr>
          <w:rFonts w:ascii="Times" w:hAnsi="Times"/>
          <w:sz w:val="24"/>
        </w:rPr>
        <w:t>)</w:t>
      </w:r>
    </w:p>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w:hAnsi="Times"/>
          <w:sz w:val="24"/>
        </w:rPr>
      </w:pPr>
      <w:r>
        <w:rPr>
          <w:rFonts w:ascii="Times" w:hAnsi="Times"/>
          <w:sz w:val="24"/>
        </w:rPr>
        <w:t>Reference is made to the Credit Agreement described above.  Terms not defined herein which are defined in the Credit Agreement shall have for the purposes hereof the meaning provided therein.</w:t>
      </w:r>
    </w:p>
    <w:p>
      <w:pPr>
        <w:pStyle w:val="TextBody"/>
        <w:bidi w:val="0"/>
        <w:spacing w:before="0" w:after="240"/>
        <w:ind w:left="0" w:right="0" w:firstLine="720"/>
        <w:jc w:val="both"/>
        <w:rPr>
          <w:rFonts w:ascii="Times" w:hAnsi="Times"/>
          <w:sz w:val="24"/>
        </w:rPr>
      </w:pPr>
      <w:r>
        <w:rPr>
          <w:rFonts w:ascii="Times" w:hAnsi="Times"/>
          <w:sz w:val="24"/>
        </w:rPr>
        <w:t xml:space="preserve">The undersigned, </w:t>
      </w:r>
      <w:r>
        <w:rPr>
          <w:rFonts w:ascii="Times" w:hAnsi="Times"/>
          <w:b/>
          <w:sz w:val="24"/>
        </w:rPr>
        <w:t>[name of Subsidiary Guarantor]</w:t>
      </w:r>
      <w:r>
        <w:rPr>
          <w:rFonts w:ascii="Times" w:hAnsi="Times"/>
          <w:sz w:val="24"/>
        </w:rPr>
        <w:t xml:space="preserve">, a </w:t>
      </w:r>
      <w:r>
        <w:rPr>
          <w:rFonts w:ascii="Times" w:hAnsi="Times"/>
          <w:b/>
          <w:sz w:val="24"/>
        </w:rPr>
        <w:t>[jurisdiction of incorporation or organization]</w:t>
      </w:r>
      <w:r>
        <w:rPr>
          <w:rFonts w:ascii="Times" w:hAnsi="Times"/>
          <w:sz w:val="24"/>
        </w:rPr>
        <w:t xml:space="preserve"> hereby elects to be a “</w:t>
      </w:r>
      <w:r>
        <w:rPr>
          <w:rFonts w:ascii="Times" w:hAnsi="Times"/>
          <w:i/>
          <w:sz w:val="24"/>
        </w:rPr>
        <w:t>Guarantor”</w:t>
      </w:r>
      <w:r>
        <w:rPr>
          <w:rFonts w:ascii="Times" w:hAnsi="Times"/>
          <w:sz w:val="24"/>
        </w:rPr>
        <w:t xml:space="preserve"> for all purposes of the Credit Agreement, effective from 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pStyle w:val="TextBody"/>
        <w:bidi w:val="0"/>
        <w:spacing w:before="0" w:after="240"/>
        <w:ind w:left="0" w:right="0" w:firstLine="720"/>
        <w:jc w:val="both"/>
        <w:rPr>
          <w:rFonts w:ascii="Times" w:hAnsi="Times"/>
          <w:sz w:val="24"/>
        </w:rPr>
      </w:pPr>
      <w:r>
        <w:rPr>
          <w:rFonts w:ascii="Times" w:hAnsi="Times"/>
          <w:sz w:val="24"/>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  </w:t>
      </w:r>
    </w:p>
    <w:p>
      <w:pPr>
        <w:pStyle w:val="TextBody"/>
        <w:bidi w:val="0"/>
        <w:spacing w:before="0" w:after="240"/>
        <w:ind w:left="0" w:right="0" w:firstLine="720"/>
        <w:jc w:val="both"/>
        <w:rPr>
          <w:rFonts w:ascii="Times" w:hAnsi="Times"/>
          <w:sz w:val="24"/>
        </w:rPr>
      </w:pPr>
      <w:r>
        <w:rPr>
          <w:rFonts w:ascii="Times" w:hAnsi="Times"/>
          <w:sz w:val="24"/>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pStyle w:val="TextBody"/>
        <w:bidi w:val="0"/>
        <w:spacing w:before="240" w:after="0"/>
        <w:ind w:left="5040" w:right="0" w:hanging="0"/>
        <w:jc w:val="left"/>
        <w:rPr>
          <w:rFonts w:ascii="Times New Roman;Times;serif" w:hAnsi="Times New Roman;Times;serif"/>
          <w:sz w:val="24"/>
        </w:rPr>
      </w:pPr>
      <w:r>
        <w:rPr>
          <w:rFonts w:ascii="Times New Roman;Times;serif" w:hAnsi="Times New Roman;Times;serif"/>
          <w:sz w:val="24"/>
        </w:rPr>
        <w:t>Very truly yours,</w:t>
      </w:r>
    </w:p>
    <w:p>
      <w:pPr>
        <w:pStyle w:val="TextBody"/>
        <w:bidi w:val="0"/>
        <w:spacing w:before="160" w:after="0"/>
        <w:ind w:left="5040" w:right="0" w:hanging="0"/>
        <w:jc w:val="left"/>
        <w:rPr>
          <w:rFonts w:ascii="Times New Roman;Times;serif" w:hAnsi="Times New Roman;Times;serif"/>
          <w:smallCaps/>
          <w:sz w:val="24"/>
        </w:rPr>
      </w:pPr>
      <w:r>
        <w:rPr>
          <w:rFonts w:ascii="Times New Roman;Times;serif" w:hAnsi="Times New Roman;Times;serif"/>
          <w:smallCaps/>
          <w:sz w:val="24"/>
        </w:rPr>
        <w:t>[Name of Subsidiary Guarantor]</w:t>
      </w:r>
    </w:p>
    <w:p>
      <w:pPr>
        <w:pStyle w:val="TextBody"/>
        <w:bidi w:val="0"/>
        <w:spacing w:before="480" w:after="0"/>
        <w:ind w:left="5040" w:right="0" w:hanging="0"/>
        <w:jc w:val="left"/>
        <w:rPr>
          <w:rFonts w:ascii="Times New Roman;Times;serif" w:hAnsi="Times New Roman;Times;serif"/>
          <w:sz w:val="24"/>
        </w:rPr>
      </w:pPr>
      <w:r>
        <w:rPr>
          <w:rFonts w:ascii="Times New Roman;Times;serif" w:hAnsi="Times New Roman;Times;serif"/>
          <w:sz w:val="24"/>
        </w:rPr>
        <w:t>By</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4"/>
        </w:rPr>
        <w:t>Name</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4"/>
        </w:rPr>
        <w:t>Title________________________________</w:t>
      </w:r>
    </w:p>
    <w:p>
      <w:pPr>
        <w:pStyle w:val="TextBody"/>
        <w:bidi w:val="0"/>
        <w:spacing w:before="0" w:after="0"/>
        <w:ind w:left="504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G]</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H</w:t>
        <w:br/>
        <w:br/>
        <w:t>Commitment Amount Increase Request</w:t>
      </w:r>
    </w:p>
    <w:p>
      <w:pPr>
        <w:pStyle w:val="TextBody"/>
        <w:bidi w:val="0"/>
        <w:spacing w:before="360" w:after="640"/>
        <w:ind w:left="0" w:right="0" w:hanging="0"/>
        <w:jc w:val="center"/>
        <w:rPr>
          <w:rFonts w:ascii="Times New Roman;Times;serif" w:hAnsi="Times New Roman;Times;serif"/>
          <w:sz w:val="24"/>
        </w:rPr>
      </w:pPr>
      <w:r>
        <w:rPr>
          <w:rFonts w:ascii="Times New Roman;Times;serif" w:hAnsi="Times New Roman;Times;serif"/>
          <w:sz w:val="24"/>
        </w:rPr>
        <w:t>_______________, ____</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40"/>
              <w:jc w:val="both"/>
              <w:rPr>
                <w:rFonts w:ascii="Times" w:hAnsi="Times"/>
                <w:sz w:val="24"/>
              </w:rPr>
            </w:pPr>
            <w:r>
              <w:rPr>
                <w:rFonts w:ascii="Times" w:hAnsi="Times"/>
                <w:sz w:val="24"/>
              </w:rPr>
              <w:t>To:</w:t>
            </w:r>
          </w:p>
        </w:tc>
        <w:tc>
          <w:tcPr>
            <w:tcW w:w="9901" w:type="dxa"/>
            <w:tcBorders/>
            <w:vAlign w:val="center"/>
          </w:tcPr>
          <w:p>
            <w:pPr>
              <w:pStyle w:val="TableContents"/>
              <w:bidi w:val="0"/>
              <w:spacing w:before="0" w:after="240"/>
              <w:jc w:val="both"/>
              <w:rPr>
                <w:rFonts w:ascii="Times" w:hAnsi="Times"/>
                <w:sz w:val="24"/>
              </w:rPr>
            </w:pPr>
            <w:r>
              <w:rPr>
                <w:rFonts w:ascii="Times" w:hAnsi="Times"/>
                <w:sz w:val="24"/>
              </w:rPr>
              <w:t>Truist Bank, as Administrative Agent for the Lenders parties to the Amended and Restated Credit Agreement dated as of February 4, 2026 (as extended, renewed, amended or restated from time to time, the “</w:t>
            </w:r>
            <w:r>
              <w:rPr>
                <w:rFonts w:ascii="Times" w:hAnsi="Times"/>
                <w:i/>
                <w:sz w:val="24"/>
              </w:rPr>
              <w:t>Credit Agreement”</w:t>
            </w:r>
            <w:r>
              <w:rPr>
                <w:rFonts w:ascii="Times" w:hAnsi="Times"/>
                <w:sz w:val="24"/>
              </w:rPr>
              <w:t>), among Alpine Income Property OP, LP, the Guarantors which are signatories thereto, certain Lenders parties thereto, and the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w:hAnsi="Times"/>
          <w:sz w:val="24"/>
        </w:rPr>
      </w:pPr>
      <w:r>
        <w:rPr>
          <w:rFonts w:ascii="Times" w:hAnsi="Times"/>
          <w:sz w:val="24"/>
        </w:rPr>
        <w:t>The undersigned, Alpine Income Property OP, LP (the “</w:t>
      </w:r>
      <w:r>
        <w:rPr>
          <w:rFonts w:ascii="Times" w:hAnsi="Times"/>
          <w:i/>
          <w:sz w:val="24"/>
        </w:rPr>
        <w:t>Borrower”</w:t>
      </w:r>
      <w:r>
        <w:rPr>
          <w:rFonts w:ascii="Times" w:hAnsi="Times"/>
          <w:sz w:val="24"/>
        </w:rPr>
        <w:t xml:space="preserve">) hereby refers to the Credit Agreement and requests that the Administrative Agent consent to an </w:t>
      </w:r>
      <w:r>
        <w:rPr>
          <w:rFonts w:ascii="Times" w:hAnsi="Times"/>
          <w:b/>
          <w:sz w:val="24"/>
        </w:rPr>
        <w:t>[increase in the aggregate Revolving Credit Commitments] [[__] Incremental Term Loan Commitment]</w:t>
      </w:r>
      <w:r>
        <w:rPr>
          <w:rFonts w:ascii="Times" w:hAnsi="Times"/>
          <w:sz w:val="24"/>
        </w:rPr>
        <w:t xml:space="preserve"> (the “</w:t>
      </w:r>
      <w:r>
        <w:rPr>
          <w:rFonts w:ascii="Times" w:hAnsi="Times"/>
          <w:i/>
          <w:sz w:val="24"/>
        </w:rPr>
        <w:t>Commitment Increase”</w:t>
      </w:r>
      <w:r>
        <w:rPr>
          <w:rFonts w:ascii="Times" w:hAnsi="Times"/>
          <w:sz w:val="24"/>
        </w:rPr>
        <w:t xml:space="preserve">), in accordance with Section 1.15 of the Credit Agreement, to be effected by </w:t>
      </w:r>
      <w:r>
        <w:rPr>
          <w:rFonts w:ascii="Times" w:hAnsi="Times"/>
          <w:b/>
          <w:sz w:val="24"/>
        </w:rPr>
        <w:t xml:space="preserve">[an increase in the Revolving Credit Commitment of [name of existing Lender] [[__] Incremental Term Loan Commitment] [the addition of [name of new Lender] (the </w:t>
      </w:r>
      <w:r>
        <w:rPr>
          <w:rFonts w:ascii="Times" w:hAnsi="Times"/>
          <w:sz w:val="24"/>
        </w:rPr>
        <w:t>“</w:t>
      </w:r>
      <w:r>
        <w:rPr>
          <w:rFonts w:ascii="Times" w:hAnsi="Times"/>
          <w:b/>
          <w:i/>
          <w:sz w:val="24"/>
        </w:rPr>
        <w:t>New Lender”</w:t>
      </w:r>
      <w:r>
        <w:rPr>
          <w:rFonts w:ascii="Times" w:hAnsi="Times"/>
          <w:b/>
          <w:sz w:val="24"/>
        </w:rPr>
        <w:t>) as a Lender under the terms of the Credit Agreement]</w:t>
      </w:r>
      <w:r>
        <w:rPr>
          <w:rFonts w:ascii="Times" w:hAnsi="Times"/>
          <w:sz w:val="24"/>
        </w:rPr>
        <w:t>.  Capitalized terms used herein without definition shall have the same meanings herein as such terms have in the Credit Agreement.</w:t>
      </w:r>
    </w:p>
    <w:p>
      <w:pPr>
        <w:pStyle w:val="TextBody"/>
        <w:bidi w:val="0"/>
        <w:spacing w:before="0" w:after="240"/>
        <w:ind w:left="0" w:right="0" w:firstLine="720"/>
        <w:jc w:val="both"/>
        <w:rPr>
          <w:rFonts w:ascii="Times" w:hAnsi="Times"/>
          <w:sz w:val="24"/>
        </w:rPr>
      </w:pPr>
      <w:r>
        <w:rPr>
          <w:rFonts w:ascii="Times" w:hAnsi="Times"/>
          <w:sz w:val="24"/>
        </w:rPr>
        <w:t xml:space="preserve">After giving effect to such Commitment Amount Increase, </w:t>
      </w:r>
      <w:r>
        <w:rPr>
          <w:rFonts w:ascii="Times" w:hAnsi="Times"/>
          <w:b/>
          <w:sz w:val="24"/>
        </w:rPr>
        <w:t>[the Revolving Credit Commitment] [[__] Incremental Term Loan Commitment]</w:t>
      </w:r>
      <w:r>
        <w:rPr>
          <w:rFonts w:ascii="Times" w:hAnsi="Times"/>
          <w:sz w:val="24"/>
        </w:rPr>
        <w:t xml:space="preserve"> of the </w:t>
      </w:r>
      <w:r>
        <w:rPr>
          <w:rFonts w:ascii="Times" w:hAnsi="Times"/>
          <w:b/>
          <w:sz w:val="24"/>
        </w:rPr>
        <w:t xml:space="preserve">[Lender] [New Lender] </w:t>
      </w:r>
      <w:r>
        <w:rPr>
          <w:rFonts w:ascii="Times" w:hAnsi="Times"/>
          <w:sz w:val="24"/>
        </w:rPr>
        <w:t>shall be $_____________.</w:t>
      </w:r>
    </w:p>
    <w:p>
      <w:pPr>
        <w:pStyle w:val="TextBody"/>
        <w:bidi w:val="0"/>
        <w:spacing w:before="0" w:after="240"/>
        <w:ind w:left="0" w:right="0" w:firstLine="720"/>
        <w:jc w:val="center"/>
        <w:rPr>
          <w:rFonts w:ascii="Times" w:hAnsi="Times"/>
          <w:b/>
          <w:sz w:val="24"/>
        </w:rPr>
      </w:pPr>
      <w:r>
        <w:rPr>
          <w:rFonts w:ascii="Times" w:hAnsi="Times"/>
          <w:b/>
          <w:sz w:val="24"/>
        </w:rPr>
        <w:t>[Include paragraphs 1-4 for a New Lender]</w:t>
      </w:r>
    </w:p>
    <w:p>
      <w:pPr>
        <w:pStyle w:val="TextBody"/>
        <w:bidi w:val="0"/>
        <w:spacing w:before="0" w:after="240"/>
        <w:ind w:left="0" w:right="0" w:hanging="0"/>
        <w:jc w:val="both"/>
        <w:rPr>
          <w:rFonts w:ascii="Times" w:hAnsi="Times"/>
          <w:sz w:val="24"/>
        </w:rPr>
      </w:pPr>
      <w:r>
        <w:rPr>
          <w:rFonts w:ascii="Times" w:hAnsi="Times"/>
          <w:sz w:val="24"/>
        </w:rPr>
        <w:t>1.The New Lender hereby confirms that it has received a copy of the Loan Documents and the exhibits related thereto, together with copies of the documents which were required to be delivered under the Credit Agreement as a condition to the making of the Revolving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pStyle w:val="TextBody"/>
        <w:bidi w:val="0"/>
        <w:spacing w:before="0" w:after="0"/>
        <w:ind w:left="0" w:right="0" w:hanging="0"/>
        <w:jc w:val="both"/>
        <w:rPr>
          <w:rFonts w:ascii="Times" w:hAnsi="Times"/>
          <w:sz w:val="24"/>
        </w:rPr>
      </w:pPr>
      <w:r>
        <w:rPr>
          <w:rFonts w:ascii="Times" w:hAnsi="Times"/>
          <w:sz w:val="24"/>
        </w:rPr>
        <w:t>2.Except as otherwise provided in the Credit Agreement, effective as of the date of acceptance hereof by the Administrative Agent, the New Lender (i) shall be deemed automatically to have become a party to the Credit Agreement and have all the rights and obligations of a “</w:t>
      </w:r>
      <w:r>
        <w:rPr>
          <w:rFonts w:ascii="Times" w:hAnsi="Times"/>
          <w:i/>
          <w:sz w:val="24"/>
        </w:rPr>
        <w:t>Lender”</w:t>
      </w:r>
      <w:r>
        <w:rPr>
          <w:rFonts w:ascii="Times" w:hAnsi="Times"/>
          <w:sz w:val="24"/>
        </w:rPr>
        <w:t xml:space="preserve"> under the Credit Agreement as if it were an original signatory thereto and (ii) agrees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be bound by the terms and conditions set forth in the Credit Agreement as if it were an original signatory thereto.</w:t>
      </w:r>
    </w:p>
    <w:p>
      <w:pPr>
        <w:pStyle w:val="TextBody"/>
        <w:bidi w:val="0"/>
        <w:spacing w:before="0" w:after="240"/>
        <w:ind w:left="0" w:right="0" w:hanging="0"/>
        <w:jc w:val="both"/>
        <w:rPr>
          <w:rFonts w:ascii="Times" w:hAnsi="Times"/>
          <w:sz w:val="24"/>
        </w:rPr>
      </w:pPr>
      <w:r>
        <w:rPr>
          <w:rFonts w:ascii="Times" w:hAnsi="Times"/>
          <w:sz w:val="24"/>
        </w:rPr>
        <w:t>3.The New Lender shall deliver to the Administrative Agent an Administrative Questionnaire and shall have executed an Incremental Term Loan Amendment.</w:t>
      </w:r>
    </w:p>
    <w:p>
      <w:pPr>
        <w:pStyle w:val="TextBody"/>
        <w:bidi w:val="0"/>
        <w:spacing w:before="0" w:after="240"/>
        <w:ind w:left="0" w:right="0" w:hanging="0"/>
        <w:jc w:val="both"/>
        <w:rPr/>
      </w:pPr>
      <w:r>
        <w:rPr>
          <w:rFonts w:ascii="Times" w:hAnsi="Times"/>
          <w:b/>
          <w:sz w:val="24"/>
        </w:rPr>
        <w:t>[4.The New Lender has delivered, if appropriate, to the Borrower and the Administrative Agent (or is delivering to the Borrower and the Administrative Agent concurrently herewith) the tax forms referred to in [Section 12.1] of the Credit Agreement.]</w:t>
      </w:r>
      <w:hyperlink w:anchor="footnote-10">
        <w:r>
          <w:rPr>
            <w:rStyle w:val="InternetLink"/>
            <w:rFonts w:ascii="Symbol" w:hAnsi="Symbol"/>
            <w:b w:val="false"/>
            <w:sz w:val="20"/>
          </w:rPr>
          <w:t>*</w:t>
        </w:r>
      </w:hyperlink>
    </w:p>
    <w:p>
      <w:pPr>
        <w:pStyle w:val="TextBody"/>
        <w:bidi w:val="0"/>
        <w:spacing w:before="160" w:after="240"/>
        <w:ind w:left="0" w:right="0" w:firstLine="720"/>
        <w:jc w:val="both"/>
        <w:rPr>
          <w:rFonts w:ascii="Times" w:hAnsi="Times"/>
          <w:smallCaps/>
          <w:sz w:val="24"/>
        </w:rPr>
      </w:pPr>
      <w:r>
        <w:rPr>
          <w:rFonts w:ascii="Times" w:hAnsi="Times"/>
          <w:smallCaps/>
          <w:sz w:val="24"/>
        </w:rPr>
        <w:t>This Agreement shall be deemed to be a contractual obligation under, and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The Commitment Increase shall be effective when the executed consent of the Administrative Agent is received or otherwise in accordance with Section 1.15 of the Credit Agreement, but not in any case prior to ___________________, ____.  It shall be a condition to the effectiveness of the Commitment Amount Increase that all expenses referred to in Section 1.15 of the Credit Agreement shall have been paid.</w:t>
      </w:r>
    </w:p>
    <w:p>
      <w:pPr>
        <w:pStyle w:val="TextBody"/>
        <w:bidi w:val="0"/>
        <w:spacing w:before="0" w:after="240"/>
        <w:ind w:left="0" w:right="0" w:firstLine="720"/>
        <w:jc w:val="both"/>
        <w:rPr>
          <w:rFonts w:ascii="Times" w:hAnsi="Times"/>
          <w:sz w:val="24"/>
        </w:rPr>
      </w:pPr>
      <w:r>
        <w:rPr>
          <w:rFonts w:ascii="Times" w:hAnsi="Times"/>
          <w:sz w:val="24"/>
        </w:rPr>
        <w:t>The Borrower hereby certifies that no Default or Event of Default has occurred and is continuing.</w:t>
      </w:r>
    </w:p>
    <w:p>
      <w:pPr>
        <w:pStyle w:val="TextBody"/>
        <w:pBdr/>
        <w:bidi w:val="0"/>
        <w:spacing w:lineRule="atLeast" w:line="240" w:before="0" w:after="240"/>
        <w:ind w:left="0" w:right="0" w:hanging="180"/>
        <w:jc w:val="both"/>
        <w:rPr>
          <w:rFonts w:ascii="Times New Roman;Times;serif" w:hAnsi="Times New Roman;Times;serif"/>
          <w:sz w:val="20"/>
        </w:rPr>
      </w:pPr>
      <w:bookmarkStart w:id="1903" w:name="footnote-10"/>
      <w:bookmarkEnd w:id="1903"/>
      <w:r>
        <w:rPr>
          <w:rFonts w:ascii="Symbol" w:hAnsi="Symbol"/>
          <w:sz w:val="20"/>
        </w:rPr>
        <w:t>*</w:t>
      </w:r>
      <w:r>
        <w:rPr>
          <w:rFonts w:ascii="Times New Roman;Times;serif" w:hAnsi="Times New Roman;Times;serif"/>
          <w:sz w:val="20"/>
        </w:rPr>
        <w:t xml:space="preserve"> Insert bracketed paragraph if New Lender is organized under the law of a jurisdiction other than the United States of America or a state thereof.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Please indicate the Administrative Agent’s consent to such Commitment Increase by signing the enclosed copy of this letter in the space provided below.</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Very truly yours,</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rFonts w:ascii="Times New Roman;Times;serif" w:hAnsi="Times New Roman;Times;serif"/>
          <w:smallCaps/>
          <w:sz w:val="24"/>
        </w:rPr>
      </w:pPr>
      <w:r>
        <w:rPr>
          <w:rFonts w:ascii="Times New Roman;Times;serif" w:hAnsi="Times New Roman;Times;serif"/>
          <w:smallCaps/>
          <w:sz w:val="24"/>
        </w:rPr>
        <w:t>Alpine Income Property OP, LP</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b/>
          <w:sz w:val="24"/>
        </w:rPr>
        <w:t>[</w:t>
      </w:r>
      <w:r>
        <w:rPr>
          <w:rFonts w:ascii="Times New Roman;Times;serif" w:hAnsi="Times New Roman;Times;serif"/>
          <w:b/>
          <w:smallCaps/>
          <w:sz w:val="24"/>
        </w:rPr>
        <w:t>New or existing Lender Increasing Commitments]</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240"/>
        <w:ind w:left="0" w:right="5587" w:firstLine="720"/>
        <w:jc w:val="left"/>
        <w:rPr/>
      </w:pPr>
      <w:r>
        <w:rPr/>
        <w:t>​</w:t>
      </w:r>
    </w:p>
    <w:p>
      <w:pPr>
        <w:pStyle w:val="TextBody"/>
        <w:bidi w:val="0"/>
        <w:spacing w:before="0" w:after="240"/>
        <w:ind w:left="0" w:right="5587" w:firstLine="720"/>
        <w:jc w:val="left"/>
        <w:rPr>
          <w:rFonts w:ascii="Times New Roman;Times;serif" w:hAnsi="Times New Roman;Times;serif"/>
          <w:sz w:val="24"/>
        </w:rPr>
      </w:pPr>
      <w:r>
        <w:rPr>
          <w:rFonts w:ascii="Times New Roman;Times;serif" w:hAnsi="Times New Roman;Times;serif"/>
          <w:sz w:val="24"/>
        </w:rPr>
        <w:t>The undersigned hereby consents on this __ day of _____________, _____ to the above-requested Commitment Amount Increase.</w:t>
      </w:r>
    </w:p>
    <w:p>
      <w:pPr>
        <w:pStyle w:val="TextBody"/>
        <w:bidi w:val="0"/>
        <w:spacing w:before="400" w:after="500"/>
        <w:ind w:left="0" w:right="0" w:hanging="0"/>
        <w:jc w:val="left"/>
        <w:rPr>
          <w:rFonts w:ascii="Times New Roman;Times;serif" w:hAnsi="Times New Roman;Times;serif"/>
          <w:sz w:val="24"/>
        </w:rPr>
      </w:pPr>
      <w:r>
        <w:rPr>
          <w:rFonts w:ascii="Times New Roman;Times;serif" w:hAnsi="Times New Roman;Times;serif"/>
          <w:smallCaps/>
          <w:sz w:val="24"/>
        </w:rPr>
        <w:t>TRUIST BANK,</w:t>
        <w:br/>
      </w:r>
      <w:r>
        <w:rPr>
          <w:rFonts w:ascii="Times New Roman;Times;serif" w:hAnsi="Times New Roman;Times;serif"/>
          <w:sz w:val="24"/>
        </w:rPr>
        <w:t>as Administrative Agent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0" w:after="0"/>
        <w:ind w:left="0" w:right="0" w:hanging="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I</w:t>
        <w:br/>
        <w:br/>
        <w:t>RESERVED</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I-1]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312" w:type="dxa"/>
        <w:jc w:val="left"/>
        <w:tblInd w:w="0" w:type="dxa"/>
        <w:tblLayout w:type="fixed"/>
        <w:tblCellMar>
          <w:top w:w="28" w:type="dxa"/>
          <w:left w:w="75" w:type="dxa"/>
          <w:bottom w:w="28" w:type="dxa"/>
          <w:right w:w="75" w:type="dxa"/>
        </w:tblCellMar>
      </w:tblPr>
      <w:tblGrid>
        <w:gridCol w:w="1216"/>
        <w:gridCol w:w="1726"/>
        <w:gridCol w:w="1291"/>
        <w:gridCol w:w="1726"/>
        <w:gridCol w:w="1291"/>
        <w:gridCol w:w="1726"/>
        <w:gridCol w:w="1336"/>
      </w:tblGrid>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Name of Lender</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Revolving Credit Commitment</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w:hAnsi="Times"/>
                <w:smallCaps/>
                <w:sz w:val="22"/>
              </w:rPr>
            </w:pPr>
            <w:r>
              <w:rPr>
                <w:rFonts w:ascii="Times" w:hAnsi="Times"/>
                <w:smallCaps/>
                <w:sz w:val="22"/>
              </w:rPr>
              <w:t>Applicable Percentage for Revolving Facility</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2029 Term Loan Commitment</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Applicable Percentage for 2029 Term Loans</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2031 Term Loan Commitment</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Applicable Percentage for 2031 Term Loans</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Truist Bank</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$44,444,444.40</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17.78%</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$17,777,777.80</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17.78%</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$17,777,777.80</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17.78%</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 xml:space="preserve">KeyBank National Association </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$36,111,111.12</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The Huntington National Bank</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$36,111,111.12</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Regions Bank</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$36,111,111.12</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Raymond James Bank</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$36,111,111.12</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PNC Bank, National Association</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$36,111,111.12</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$14,444,444.44</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14.44%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Pinnacle Bank</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$13,888,888.88</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5.56%</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$5,555,555.56</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5.56%</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$5,555,555.56</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5.56%</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pBdr/>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Stifel Bank &amp; Trust</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$11,111,111.12</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$4,444,444.44</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4.44%</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$4,444,444.44</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4.44%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mallCaps/>
                <w:sz w:val="22"/>
              </w:rPr>
            </w:pPr>
            <w:r>
              <w:rPr>
                <w:rFonts w:ascii="Times New Roman;Times;serif" w:hAnsi="Times New Roman;Times;serif"/>
                <w:smallCaps/>
                <w:sz w:val="22"/>
              </w:rPr>
              <w:t>Total</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$250,000,000.00</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u w:val="single"/>
              </w:rPr>
            </w:pPr>
            <w:r>
              <w:rPr>
                <w:rFonts w:ascii="Times New Roman;Times;serif" w:hAnsi="Times New Roman;Times;serif"/>
                <w:sz w:val="22"/>
                <w:u w:val="single"/>
              </w:rPr>
              <w:t>100%</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$100,000,000.00</w:t>
            </w:r>
          </w:p>
        </w:tc>
        <w:tc>
          <w:tcPr>
            <w:tcW w:w="1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u w:val="single"/>
              </w:rPr>
            </w:pPr>
            <w:r>
              <w:rPr>
                <w:rFonts w:ascii="Times New Roman;Times;serif" w:hAnsi="Times New Roman;Times;serif"/>
                <w:sz w:val="22"/>
                <w:u w:val="single"/>
              </w:rPr>
              <w:t>100%</w:t>
            </w:r>
          </w:p>
        </w:tc>
        <w:tc>
          <w:tcPr>
            <w:tcW w:w="17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$100,000,000.00</w:t>
            </w:r>
          </w:p>
        </w:tc>
        <w:tc>
          <w:tcPr>
            <w:tcW w:w="13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280" w:after="0"/>
              <w:ind w:left="0" w:right="180" w:hanging="0"/>
              <w:jc w:val="center"/>
              <w:rPr>
                <w:rFonts w:ascii="Times New Roman;Times;serif" w:hAnsi="Times New Roman;Times;serif"/>
                <w:sz w:val="22"/>
                <w:u w:val="single"/>
              </w:rPr>
            </w:pPr>
            <w:r>
              <w:rPr>
                <w:rFonts w:ascii="Times New Roman;Times;serif" w:hAnsi="Times New Roman;Times;serif"/>
                <w:sz w:val="22"/>
                <w:u w:val="single"/>
              </w:rPr>
              <w:t>100%</w:t>
            </w:r>
          </w:p>
        </w:tc>
      </w:tr>
    </w:tbl>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I</w:t>
        <w:br/>
        <w:br/>
        <w:t>Commitments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1.1</w:t>
      </w:r>
    </w:p>
    <w:p>
      <w:pPr>
        <w:pStyle w:val="TextBody"/>
        <w:bidi w:val="0"/>
        <w:spacing w:before="0" w:after="0"/>
        <w:ind w:left="0" w:right="0" w:hanging="0"/>
        <w:jc w:val="center"/>
        <w:rPr>
          <w:smallCaps/>
        </w:rPr>
      </w:pPr>
      <w:r>
        <w:rPr>
          <w:smallCaps/>
        </w:rPr>
        <w:t>​</w:t>
      </w:r>
      <w:r>
        <w:rPr>
          <w:rFonts w:ascii="Times New Roman;Times;serif" w:hAnsi="Times New Roman;Times;serif"/>
          <w:b/>
          <w:smallCaps/>
          <w:sz w:val="24"/>
        </w:rPr>
        <w:br/>
        <w:t>Initial Unencumbered Assets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w:hAnsi="Times"/>
          <w:sz w:val="24"/>
        </w:rPr>
      </w:pPr>
      <w:r>
        <w:rPr>
          <w:rFonts w:ascii="Times" w:hAnsi="Times"/>
          <w:sz w:val="24"/>
        </w:rPr>
        <w:t>Part I – Unencumbered Real Property Assets</w:t>
      </w:r>
    </w:p>
    <w:tbl>
      <w:tblPr>
        <w:tblW w:w="6986" w:type="dxa"/>
        <w:jc w:val="left"/>
        <w:tblInd w:w="0" w:type="dxa"/>
        <w:tblLayout w:type="fixed"/>
        <w:tblCellMar>
          <w:top w:w="28" w:type="dxa"/>
          <w:left w:w="28" w:type="dxa"/>
          <w:bottom w:w="28" w:type="dxa"/>
          <w:right w:w="28" w:type="dxa"/>
        </w:tblCellMar>
      </w:tblPr>
      <w:tblGrid>
        <w:gridCol w:w="1949"/>
        <w:gridCol w:w="390"/>
        <w:gridCol w:w="1635"/>
        <w:gridCol w:w="1522"/>
        <w:gridCol w:w="668"/>
        <w:gridCol w:w="668"/>
        <w:gridCol w:w="154"/>
      </w:tblGrid>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280" w:after="0"/>
              <w:ind w:left="0" w:right="0" w:hanging="0"/>
              <w:jc w:val="center"/>
              <w:rPr>
                <w:rFonts w:ascii="Times New Roman;Times;serif" w:hAnsi="Times New Roman;Times;serif"/>
                <w:b/>
                <w:sz w:val="24"/>
              </w:rPr>
            </w:pPr>
            <w:r>
              <w:rPr>
                <w:rFonts w:ascii="Times New Roman;Times;serif" w:hAnsi="Times New Roman;Times;serif"/>
                <w:b/>
                <w:sz w:val="24"/>
              </w:rPr>
              <w:t>Tenant (DBA)</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283"/>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City, State</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283"/>
              <w:ind w:left="0" w:right="0" w:hanging="0"/>
              <w:jc w:val="left"/>
              <w:rPr/>
            </w:pPr>
            <w:r>
              <w:rPr/>
              <w:t>​</w:t>
            </w:r>
          </w:p>
          <w:p>
            <w:pPr>
              <w:pStyle w:val="TableContents"/>
              <w:bidi w:val="0"/>
              <w:spacing w:lineRule="atLeast" w:line="260" w:before="1" w:after="0"/>
              <w:ind w:left="0" w:right="0" w:hanging="0"/>
              <w:jc w:val="center"/>
              <w:rPr>
                <w:rFonts w:ascii="Times New Roman;Times;serif" w:hAnsi="Times New Roman;Times;serif"/>
                <w:b/>
                <w:sz w:val="24"/>
              </w:rPr>
            </w:pPr>
            <w:r>
              <w:rPr>
                <w:rFonts w:ascii="Times New Roman;Times;serif" w:hAnsi="Times New Roman;Times;serif"/>
                <w:b/>
                <w:sz w:val="24"/>
              </w:rPr>
              <w:t>Square Feet</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 xml:space="preserve">McDonough, Georgia </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46,315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McDonough, Georgia</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30,038</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 xml:space="preserve">Walgreens </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 xml:space="preserve">Albany, Georgia </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14,770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Live Nation</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 xml:space="preserve">East Troy, Wisconsin </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93,322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AMC</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 xml:space="preserve">Tyngsborough, Massachusetts </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39,474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 xml:space="preserve">Howell, Michigan </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214,172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N/A (Vacant)</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 xml:space="preserve">Jackson, Mississippi </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1,920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N/A (Vacant)</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4"/>
              </w:rPr>
            </w:pPr>
            <w:r>
              <w:rPr>
                <w:rFonts w:ascii="Times New Roman;Times;serif" w:hAnsi="Times New Roman;Times;serif"/>
                <w:sz w:val="24"/>
              </w:rPr>
              <w:t>Leland, Mississippi</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3,343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 xml:space="preserve">Dollar General </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Barker, New York</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9,275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Chazy, New York</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9,277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Hammond, New York</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9,219 </w:t>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Harrisville, New York</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9,309 </w:t>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Heuvelton, New York</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9,342 </w:t>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Newtonsville, Ohio</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9,290 </w:t>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Salem, New York</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9,199 </w:t>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Winthrop, New York</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xml:space="preserve">9,167 </w:t>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Severn, Maryland</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6,876</w:t>
            </w:r>
          </w:p>
        </w:tc>
      </w:tr>
      <w:tr>
        <w:trPr/>
        <w:tc>
          <w:tcPr>
            <w:tcW w:w="19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5"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190"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Willis, Texas</w:t>
            </w:r>
          </w:p>
        </w:tc>
        <w:tc>
          <w:tcPr>
            <w:tcW w:w="822"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9,138</w:t>
            </w:r>
          </w:p>
        </w:tc>
      </w:tr>
      <w:tr>
        <w:trPr/>
        <w:tc>
          <w:tcPr>
            <w:tcW w:w="2339"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3157"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Sommerville, Texas</w:t>
            </w:r>
          </w:p>
        </w:tc>
        <w:tc>
          <w:tcPr>
            <w:tcW w:w="1336" w:type="dxa"/>
            <w:gridSpan w:val="2"/>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547" w:type="dxa"/>
        <w:jc w:val="left"/>
        <w:tblInd w:w="0" w:type="dxa"/>
        <w:tblLayout w:type="fixed"/>
        <w:tblCellMar>
          <w:top w:w="28" w:type="dxa"/>
          <w:left w:w="28" w:type="dxa"/>
          <w:bottom w:w="28" w:type="dxa"/>
          <w:right w:w="28" w:type="dxa"/>
        </w:tblCellMar>
      </w:tblPr>
      <w:tblGrid>
        <w:gridCol w:w="2791"/>
        <w:gridCol w:w="2716"/>
        <w:gridCol w:w="886"/>
        <w:gridCol w:w="154"/>
      </w:tblGrid>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381" w:right="372" w:hanging="0"/>
              <w:jc w:val="center"/>
              <w:rPr/>
            </w:pPr>
            <w:r>
              <w:rPr/>
              <w:t>​</w:t>
            </w:r>
          </w:p>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Bingham, Maine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9,345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Limestone, Maine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9,167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Milford, Maine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9,128</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Odessa,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9,127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Kermit,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10,920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Del Rio,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9,219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Seguin,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9,155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Cut and Shoot,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9,089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Burlington</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North Richland Hills,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70,891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Florence, South Carolina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58,410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SAFE Federal Credit Union</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Florence, South Carolina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Burger King</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Plymouth, North Carolina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3,142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Demopolis, Alabama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10,159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Firestone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Pittsburgh, Pennsylvania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10,629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Houston, Texas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131,644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Burlington, North Carolina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112,626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Midland, Michigan</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14,624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Ludington, Michigan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6,604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New Baltimore, Michigan</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6,784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Bass Pro Shops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Hermantown, Minnesota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66,033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Hempstead,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52,190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St. Paul, Minnesota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7,201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Turnersville, New Jersey</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89,460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172" w:type="dxa"/>
        <w:jc w:val="left"/>
        <w:tblInd w:w="0" w:type="dxa"/>
        <w:tblLayout w:type="fixed"/>
        <w:tblCellMar>
          <w:top w:w="28" w:type="dxa"/>
          <w:left w:w="28" w:type="dxa"/>
          <w:bottom w:w="28" w:type="dxa"/>
          <w:right w:w="28" w:type="dxa"/>
        </w:tblCellMar>
      </w:tblPr>
      <w:tblGrid>
        <w:gridCol w:w="2536"/>
        <w:gridCol w:w="2716"/>
        <w:gridCol w:w="766"/>
        <w:gridCol w:w="154"/>
      </w:tblGrid>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 Depot</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Albuquerque, New Mexico</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30,346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Albuquerque, New Mexico</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10,023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7-Eleven</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Olathe, Kansas</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4,165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OfficeMax</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Gasden, Alabama </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23,638</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Dearing, Georgia</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9,288</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Dayton, Ohio</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45,535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Richmond, Indiana</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5,108</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Tractor Supply Company</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Owensville, Missouri</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38,452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McKenney, Virginia</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10,531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Van Buren, Missouri</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Tipton, Missouri</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10,557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Lake Village, Arkansas </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14,592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Sportsman’s Warehouse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Morgantown, West Virginia</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30,547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N/A (Vacant)</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Oceanside, New York</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15,500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Madill, Oklahoma</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9,682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Gladewater, Texas</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10,111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Blackwood, New Jersey</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Decatur, Illinois </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Edgewater, Maryland</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14,820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Walgreens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Glen Burnie, Maryland</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14,490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CVS</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Baton Rouge, Louisiana </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13,813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Phillipsburg, Kansas</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27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Superior, Nebraska</w:t>
            </w:r>
          </w:p>
        </w:tc>
        <w:tc>
          <w:tcPr>
            <w:tcW w:w="7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577" w:type="dxa"/>
        <w:jc w:val="left"/>
        <w:tblInd w:w="0" w:type="dxa"/>
        <w:tblLayout w:type="fixed"/>
        <w:tblCellMar>
          <w:top w:w="28" w:type="dxa"/>
          <w:left w:w="28" w:type="dxa"/>
          <w:bottom w:w="28" w:type="dxa"/>
          <w:right w:w="28" w:type="dxa"/>
        </w:tblCellMar>
      </w:tblPr>
      <w:tblGrid>
        <w:gridCol w:w="2311"/>
        <w:gridCol w:w="3226"/>
        <w:gridCol w:w="886"/>
        <w:gridCol w:w="154"/>
      </w:tblGrid>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Sabetha, 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Plainville, 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Murfreesboro, Arkansas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Burlington, 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Harbor Freight</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Washington, Missouri</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23,466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Caneyville, Kentucky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10,604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Ellicottville, New York</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9,144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Perry, New York</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9,181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Dansville, New York</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9,174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General</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Warsaw, New York</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14,495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Lafayette, Louisiana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45,611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Logan, West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114,731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Old Time Pottery</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West Chicago, Illinois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78,721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Amsterdam, Ohio</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Sulphur, Oklahoma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10,000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Gadsden, Alabama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7,237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Mattress Firm</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Lake City, Florida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4,577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Town Creek, Alabama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10,545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Dollar Tree</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Medicine Lodge, 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10,566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Chesterfield Township, Michigan</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49,979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Tecumesh, Nebraska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10,644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Home Dept</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Woodridge, Illinois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110,626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32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Victor, New York</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120,908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572" w:type="dxa"/>
        <w:jc w:val="left"/>
        <w:tblInd w:w="0" w:type="dxa"/>
        <w:tblLayout w:type="fixed"/>
        <w:tblCellMar>
          <w:top w:w="28" w:type="dxa"/>
          <w:left w:w="28" w:type="dxa"/>
          <w:bottom w:w="28" w:type="dxa"/>
          <w:right w:w="28" w:type="dxa"/>
        </w:tblCellMar>
      </w:tblPr>
      <w:tblGrid>
        <w:gridCol w:w="5026"/>
        <w:gridCol w:w="2506"/>
        <w:gridCol w:w="886"/>
        <w:gridCol w:w="154"/>
      </w:tblGrid>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Bounce Hopper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Victor, New York</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20,055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Caney, 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10,555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Auburn, Nebraska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10,577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Anderson, Alabama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10,607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Malden, Missouri</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48,081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Des Arc, Arkansas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10,555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Marshalls, Michaels, Home Goods, Starbucks, et al.</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Vineland, New Jersey</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84,918</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Verizon</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Vineland, New Jersey</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6,034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Vineland, New Jersey</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20,460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Dick’s Sporting Goods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Vineland, New Jersey</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50,000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Home Depot</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Vineland, New Jersey</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125,218</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Red Robin</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Vineland, New Jersey</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4,575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Adrian, Michigan</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101,287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Fremont, Ohio</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125,357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Anthony, 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10,500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Crunch Fitness</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Buford, Georgia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24,800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McGehee, Arkansas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10,993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Family Dollar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Lake City, Arkansas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10,424</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Best Buy</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Downers Grove, Illinois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62,860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Golf Galaxy</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Downers Grove, Illinois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38,297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Golf Galaxy</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Glen Allen,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23,635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Crabby’s/Beach House</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Bradenton Beach, Florida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22,131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Crabby’s/Sand Bar</w:t>
            </w:r>
          </w:p>
        </w:tc>
        <w:tc>
          <w:tcPr>
            <w:tcW w:w="25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Anna Maria, Florida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10,600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752" w:type="dxa"/>
        <w:jc w:val="left"/>
        <w:tblInd w:w="0" w:type="dxa"/>
        <w:tblLayout w:type="fixed"/>
        <w:tblCellMar>
          <w:top w:w="28" w:type="dxa"/>
          <w:left w:w="28" w:type="dxa"/>
          <w:bottom w:w="28" w:type="dxa"/>
          <w:right w:w="28" w:type="dxa"/>
        </w:tblCellMar>
      </w:tblPr>
      <w:tblGrid>
        <w:gridCol w:w="2221"/>
        <w:gridCol w:w="2491"/>
        <w:gridCol w:w="886"/>
        <w:gridCol w:w="154"/>
      </w:tblGrid>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Crabby’s/Mar Vista</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Longboat Key, Florida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6,520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BJ’s Wholesale Club</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Concord, North Carolina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108,532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At Home</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Concord, North Carolina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108,532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Nawabi Hyberdad</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Concord, North Carolina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7,480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Boot Barn</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Concord, North Carolina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10,037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Carabba’s Italian Grill</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 xml:space="preserve">Concord, North Carolina </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6,382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 xml:space="preserve">Lowe’s </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Knoxville, Tennessee</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142,092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Academy Sports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Tupelo, Mississippi</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62,943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Alamo Drafthouse</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Westminster, Colorado</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43,815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GermFree</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Ormond Beach, Florida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160,013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Burger King</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Dundee, Michigan</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3,255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Houston,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131,039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Walmart</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Richmond,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116,425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TJ Maxx</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Richmond,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21,089</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Petco</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Richmond,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13,386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Mya Nails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Richmond,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10,823</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Advance Auto Parts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Richmond,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9,736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J.F. Williams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Richmond, Virginia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5,982</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Ashley Home Store</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Dayton, Ohio</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33,310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Stockton, California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138,136</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Lowe’s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El Paso, Texas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136,545</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Hardee’s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Bellville, Illinois</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3,230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Hardee’s</w:t>
            </w:r>
          </w:p>
        </w:tc>
        <w:tc>
          <w:tcPr>
            <w:tcW w:w="24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Bluefield, Virgina</w:t>
            </w:r>
          </w:p>
        </w:tc>
        <w:tc>
          <w:tcPr>
            <w:tcW w:w="8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3,763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87" w:type="dxa"/>
        <w:jc w:val="left"/>
        <w:tblInd w:w="0" w:type="dxa"/>
        <w:tblLayout w:type="fixed"/>
        <w:tblCellMar>
          <w:top w:w="28" w:type="dxa"/>
          <w:left w:w="28" w:type="dxa"/>
          <w:bottom w:w="28" w:type="dxa"/>
          <w:right w:w="28" w:type="dxa"/>
        </w:tblCellMar>
      </w:tblPr>
      <w:tblGrid>
        <w:gridCol w:w="1516"/>
        <w:gridCol w:w="2371"/>
        <w:gridCol w:w="646"/>
        <w:gridCol w:w="154"/>
      </w:tblGrid>
      <w:tr>
        <w:trPr/>
        <w:tc>
          <w:tcPr>
            <w:tcW w:w="15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Jiffy Lube</w:t>
            </w:r>
          </w:p>
        </w:tc>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Lake Charles, Louisiana</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1,897</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5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60" w:before="1" w:after="0"/>
              <w:ind w:left="0" w:right="0" w:hanging="0"/>
              <w:jc w:val="center"/>
              <w:rPr>
                <w:rFonts w:ascii="Times New Roman;Times;serif" w:hAnsi="Times New Roman;Times;serif"/>
                <w:sz w:val="24"/>
              </w:rPr>
            </w:pPr>
            <w:r>
              <w:rPr>
                <w:rFonts w:ascii="Times New Roman;Times;serif" w:hAnsi="Times New Roman;Times;serif"/>
                <w:sz w:val="24"/>
              </w:rPr>
              <w:t>SMD Hopkins</w:t>
            </w:r>
          </w:p>
        </w:tc>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3" w:after="0"/>
              <w:ind w:left="0" w:right="0" w:hanging="0"/>
              <w:jc w:val="center"/>
              <w:rPr>
                <w:rFonts w:ascii="Times New Roman;Times;serif" w:hAnsi="Times New Roman;Times;serif"/>
                <w:sz w:val="22"/>
              </w:rPr>
            </w:pPr>
            <w:r>
              <w:rPr>
                <w:rFonts w:ascii="Times New Roman;Times;serif" w:hAnsi="Times New Roman;Times;serif"/>
                <w:sz w:val="22"/>
              </w:rPr>
              <w:t>Aspen, Colorado</w:t>
            </w:r>
          </w:p>
        </w:tc>
        <w:tc>
          <w:tcPr>
            <w:tcW w:w="6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6,529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w:hAnsi="Times"/>
          <w:sz w:val="24"/>
        </w:rPr>
      </w:pPr>
      <w:r>
        <w:rPr>
          <w:rFonts w:ascii="Times" w:hAnsi="Times"/>
          <w:sz w:val="24"/>
        </w:rPr>
        <w:t>Part II – Unencumbered Mortgage Receivables</w:t>
      </w:r>
    </w:p>
    <w:tbl>
      <w:tblPr>
        <w:tblW w:w="7037" w:type="dxa"/>
        <w:jc w:val="left"/>
        <w:tblInd w:w="0" w:type="dxa"/>
        <w:tblLayout w:type="fixed"/>
        <w:tblCellMar>
          <w:top w:w="28" w:type="dxa"/>
          <w:left w:w="103" w:type="dxa"/>
          <w:bottom w:w="28" w:type="dxa"/>
          <w:right w:w="103" w:type="dxa"/>
        </w:tblCellMar>
      </w:tblPr>
      <w:tblGrid>
        <w:gridCol w:w="3901"/>
        <w:gridCol w:w="3136"/>
      </w:tblGrid>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b/>
                <w:sz w:val="24"/>
              </w:rPr>
            </w:pPr>
            <w:r>
              <w:rPr>
                <w:rFonts w:ascii="Times" w:hAnsi="Times"/>
                <w:b/>
                <w:sz w:val="24"/>
              </w:rPr>
              <w:t>Tenant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b/>
                <w:sz w:val="24"/>
              </w:rPr>
            </w:pPr>
            <w:r>
              <w:rPr>
                <w:rFonts w:ascii="Times" w:hAnsi="Times"/>
                <w:b/>
                <w:sz w:val="24"/>
              </w:rPr>
              <w:t>City, State</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Wawa Land 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Greenwood, Indiana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Wawa Land 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 xml:space="preserve">Antioch, Tennessee </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At Home Plaza</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North Canton, Ohio</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N/A (Retail Land 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Stuart, Florida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Cornerstone Exchange</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Daytona Beach, Florida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Old Time Pottery</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Orange Park, Florida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N/A (Commercial Building)</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Reno, Nevada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Costco Mixed-Use 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Atlanta Georgia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Industrial</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Fremont, California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N/A (Mixed Use 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Lake Toxaway, North Carolina</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N/A (Luxury Residential 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Austin, Texas</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N/A (Mixed Use Redevelopment)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Denver, Colorado</w:t>
            </w:r>
          </w:p>
        </w:tc>
      </w:tr>
      <w:tr>
        <w:trPr/>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N/A (Mixed Use Development)</w:t>
            </w:r>
          </w:p>
        </w:tc>
        <w:tc>
          <w:tcPr>
            <w:tcW w:w="31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w:hAnsi="Times"/>
                <w:sz w:val="24"/>
              </w:rPr>
            </w:pPr>
            <w:r>
              <w:rPr>
                <w:rFonts w:ascii="Times" w:hAnsi="Times"/>
                <w:sz w:val="24"/>
              </w:rPr>
              <w:t>Herndon, Virginia</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w:hAnsi="Times"/>
          <w:sz w:val="24"/>
        </w:rPr>
      </w:pPr>
      <w:r>
        <w:rPr>
          <w:rFonts w:ascii="Times" w:hAnsi="Times"/>
          <w:sz w:val="24"/>
        </w:rPr>
        <w:t>Part III – Unencumbered Equity Investments</w:t>
      </w:r>
    </w:p>
    <w:p>
      <w:pPr>
        <w:pStyle w:val="TextBody"/>
        <w:bidi w:val="0"/>
        <w:spacing w:before="0" w:after="240"/>
        <w:ind w:left="0" w:right="0" w:hanging="0"/>
        <w:jc w:val="both"/>
        <w:rPr>
          <w:rFonts w:ascii="Times" w:hAnsi="Times"/>
          <w:sz w:val="24"/>
        </w:rPr>
      </w:pPr>
      <w:r>
        <w:rPr>
          <w:rFonts w:ascii="Times" w:hAnsi="Times"/>
          <w:sz w:val="24"/>
        </w:rPr>
        <w:t xml:space="preserve">None. </w:t>
      </w:r>
    </w:p>
    <w:p>
      <w:pPr>
        <w:pStyle w:val="TextBody"/>
        <w:bidi w:val="0"/>
        <w:spacing w:before="0" w:after="240"/>
        <w:ind w:left="0" w:right="0" w:firstLine="720"/>
        <w:jc w:val="both"/>
        <w:rPr/>
      </w:pPr>
      <w:r>
        <w:rPr/>
        <w:t>​</w:t>
      </w:r>
    </w:p>
    <w:p>
      <w:pPr>
        <w:pStyle w:val="TextBody"/>
        <w:bidi w:val="0"/>
        <w:spacing w:before="0" w:after="240"/>
        <w:ind w:left="0" w:right="90" w:firstLine="72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6.2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SUBSIDIARIES </w:t>
      </w:r>
    </w:p>
    <w:p>
      <w:pPr>
        <w:pStyle w:val="TextBody"/>
        <w:bidi w:val="0"/>
        <w:spacing w:before="0" w:after="0"/>
        <w:ind w:left="0" w:right="0" w:hanging="0"/>
        <w:jc w:val="center"/>
        <w:rPr/>
      </w:pPr>
      <w:r>
        <w:rPr/>
        <w:t>​</w:t>
      </w:r>
    </w:p>
    <w:p>
      <w:pPr>
        <w:pStyle w:val="TextBody"/>
        <w:bidi w:val="0"/>
        <w:spacing w:lineRule="auto" w:line="307" w:before="0" w:after="16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3493"/>
        <w:gridCol w:w="1736"/>
        <w:gridCol w:w="1736"/>
        <w:gridCol w:w="3240"/>
      </w:tblGrid>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Subsidiary</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Date of Formation</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State of Formation</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Member/General Partner (as applicable)</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Alpine Income Property gp,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16,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Alpine Income Property Trust, Inc. </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Alpine INcome Property OP, LP</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20,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Propoerty Trust GP, LLC</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CTLC18 Lynn Ma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CTO16 Reno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1, 2016</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CTO17 brandon fl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27, 2017</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cto17 hilssboro or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19, 2017</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CTO19 Albany GA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6,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CTO19 Troy WI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20,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Florida</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Indigo Henry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24, 2006</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 mx oh,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6, 2021</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 mex oh,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5, 2021</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Pine19 alpharetta ga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1,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pine19 georgetown tx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4,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pine19 slaughter austin tx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4, 2019</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Barker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Bingham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Blanding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6, 2020</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4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Chazy LLC</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784" w:type="dxa"/>
        <w:jc w:val="left"/>
        <w:tblInd w:w="0" w:type="dxa"/>
        <w:tblLayout w:type="fixed"/>
        <w:tblCellMar>
          <w:top w:w="28" w:type="dxa"/>
          <w:left w:w="103" w:type="dxa"/>
          <w:bottom w:w="28" w:type="dxa"/>
          <w:right w:w="103" w:type="dxa"/>
        </w:tblCellMar>
      </w:tblPr>
      <w:tblGrid>
        <w:gridCol w:w="3541"/>
        <w:gridCol w:w="2011"/>
        <w:gridCol w:w="1021"/>
        <w:gridCol w:w="3211"/>
      </w:tblGrid>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Cut &amp; Shoot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Del Rio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Hammond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Harrisville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Heuvelton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hurst tx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16,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Howell MI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Kermit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Limestone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Milford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3,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Newtonsville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19,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Odessa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Salem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Seguin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Severn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Somerville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pine20 tacoma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16,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PINE20 Tyn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January 16,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PINE20 Willis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30,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PINE20 Winthrop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II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15,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5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III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2,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144" w:type="dxa"/>
        <w:jc w:val="left"/>
        <w:tblInd w:w="0" w:type="dxa"/>
        <w:tblLayout w:type="fixed"/>
        <w:tblCellMar>
          <w:top w:w="28" w:type="dxa"/>
          <w:left w:w="103" w:type="dxa"/>
          <w:bottom w:w="28" w:type="dxa"/>
          <w:right w:w="103" w:type="dxa"/>
        </w:tblCellMar>
      </w:tblPr>
      <w:tblGrid>
        <w:gridCol w:w="3721"/>
        <w:gridCol w:w="2011"/>
        <w:gridCol w:w="1021"/>
        <w:gridCol w:w="3391"/>
      </w:tblGrid>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V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23,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VII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26,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VIII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IX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13,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PINE21 Acquisitions X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18,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PINE21 Houston East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GP, LLC</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PINE21 Houston west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PINE22 ACQ 3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19,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pine22 caesar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12,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PINE22 Malden Mo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15,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PINE22 Maple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9,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PINE22 Wash Mo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April 7,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Ohio</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PINE23 IN Lender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20,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Ohio</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PINE23 TN Lender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21, 2023</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 23 mm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26,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PINE24 Concord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October 18,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PINE24 Coolray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10,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PINE24 Downers Grove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5,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PINE24 Knoxville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December 4,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PINE24 Mt Carmel OH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7,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PINE24 Oceanside BH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11,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PINE24 Oceanside MV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22,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7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PINE24 Oceanside SB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22,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3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919" w:type="dxa"/>
        <w:jc w:val="left"/>
        <w:tblInd w:w="0" w:type="dxa"/>
        <w:tblLayout w:type="fixed"/>
        <w:tblCellMar>
          <w:top w:w="28" w:type="dxa"/>
          <w:left w:w="103" w:type="dxa"/>
          <w:bottom w:w="28" w:type="dxa"/>
          <w:right w:w="103" w:type="dxa"/>
        </w:tblCellMar>
      </w:tblPr>
      <w:tblGrid>
        <w:gridCol w:w="3676"/>
        <w:gridCol w:w="2011"/>
        <w:gridCol w:w="1021"/>
        <w:gridCol w:w="3211"/>
      </w:tblGrid>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PINE24 Short Pump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July 8,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Canton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February 14,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CR Austin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20,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Cornerstone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4,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Fremont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4,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PINE25 Longcliff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May 28,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PINE25 MM 2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November 29, 2021</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Orange Park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17,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Ormond Beach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10,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Palm Pike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4,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PINE25 Parham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13, 2019</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Reno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August 1,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Rivana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12,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PINE25 Riverpoint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September 12, 2024</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Stone MOUNTAIN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January 16, 2020</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Tupelo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3,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PINE25 Westminster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10,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 xml:space="preserve">PINE 25 Willowbrook LLC </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June 17, 2025</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r>
        <w:trPr/>
        <w:tc>
          <w:tcPr>
            <w:tcW w:w="3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caps/>
                <w:sz w:val="24"/>
              </w:rPr>
            </w:pPr>
            <w:r>
              <w:rPr>
                <w:rFonts w:ascii="Times New Roman;Times;serif" w:hAnsi="Times New Roman;Times;serif"/>
                <w:caps/>
                <w:sz w:val="24"/>
              </w:rPr>
              <w:t>9603 Westheimer Road, LLC</w:t>
            </w:r>
          </w:p>
        </w:tc>
        <w:tc>
          <w:tcPr>
            <w:tcW w:w="20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March 9, 2022</w:t>
            </w:r>
          </w:p>
        </w:tc>
        <w:tc>
          <w:tcPr>
            <w:tcW w:w="10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Delaware</w:t>
            </w:r>
          </w:p>
        </w:tc>
        <w:tc>
          <w:tcPr>
            <w:tcW w:w="32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Alpine Income Property OP, LP</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6.6</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Material Adverse Change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Litigation</w:t>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6.12</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Tax Returns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6.17</w:t>
        <w:br/>
        <w:br/>
        <w:t>Environmental Issues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left"/>
        <w:rPr/>
      </w:pPr>
      <w:r>
        <w:rPr/>
        <w:t>​</w:t>
      </w:r>
    </w:p>
    <w:p>
      <w:pPr>
        <w:pStyle w:val="TextBody"/>
        <w:bidi w:val="0"/>
        <w:spacing w:before="0" w:after="0"/>
        <w:ind w:left="576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6.17]</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6.23</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Maintenance and Condition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None.</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8.7</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Existing Liens</w:t>
      </w:r>
    </w:p>
    <w:p>
      <w:pPr>
        <w:pStyle w:val="TextBody"/>
        <w:bidi w:val="0"/>
        <w:spacing w:before="0" w:after="0"/>
        <w:ind w:left="0" w:right="0" w:hanging="0"/>
        <w:jc w:val="left"/>
        <w:rPr/>
      </w:pPr>
      <w:r>
        <w:rPr/>
        <w:t>​</w:t>
      </w:r>
    </w:p>
    <w:p>
      <w:pPr>
        <w:pStyle w:val="TextBody"/>
        <w:bidi w:val="0"/>
        <w:spacing w:before="360" w:after="0"/>
        <w:ind w:left="0" w:right="0" w:hanging="0"/>
        <w:jc w:val="left"/>
        <w:rPr>
          <w:rFonts w:ascii="Times New Roman;Times;serif" w:hAnsi="Times New Roman;Times;serif"/>
          <w:b w:val="false"/>
          <w:caps w:val="false"/>
          <w:smallCaps w:val="false"/>
          <w:sz w:val="24"/>
        </w:rPr>
      </w:pPr>
      <w:r>
        <w:rPr>
          <w:rFonts w:ascii="Times New Roman;Times;serif" w:hAnsi="Times New Roman;Times;serif"/>
          <w:b w:val="false"/>
          <w:caps w:val="false"/>
          <w:smallCaps w:val="false"/>
          <w:sz w:val="24"/>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8.7]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904" w:name="pine-20251231xex19d1.htm"/>
      <w:bookmarkStart w:id="1905" w:name="kspine20251231xex19d1"/>
      <w:bookmarkEnd w:id="1904"/>
      <w:bookmarkEnd w:id="1905"/>
      <w:r>
        <w:rPr>
          <w:rFonts w:ascii="Times New Roman;Times;serif" w:hAnsi="Times New Roman;Times;serif"/>
          <w:b/>
          <w:sz w:val="24"/>
        </w:rPr>
        <w:t>Exhibit 19.1</w:t>
      </w:r>
      <w:r>
        <w:br w:type="page"/>
      </w:r>
    </w:p>
    <w:p>
      <w:pPr>
        <w:pStyle w:val="TextBody"/>
        <w:pBdr>
          <w:top w:val="dotted" w:sz="12" w:space="6" w:color="000000"/>
        </w:pBdr>
        <w:bidi w:val="0"/>
        <w:spacing w:before="0" w:after="0"/>
        <w:ind w:left="720" w:right="720" w:hanging="0"/>
        <w:jc w:val="center"/>
        <w:rPr>
          <w:rFonts w:ascii="Times New Roman;Times;serif" w:hAnsi="Times New Roman;Times;serif"/>
          <w:b/>
          <w:sz w:val="24"/>
        </w:rPr>
      </w:pPr>
      <w:bookmarkStart w:id="1906" w:name="_dxtcompanion_actionscomplete"/>
      <w:bookmarkStart w:id="1907" w:name="_mps654446270000000000000008620000000000"/>
      <w:bookmarkEnd w:id="1906"/>
      <w:bookmarkEnd w:id="1907"/>
      <w:r>
        <w:rPr>
          <w:rFonts w:ascii="Times New Roman;Times;serif" w:hAnsi="Times New Roman;Times;serif"/>
          <w:b/>
          <w:sz w:val="24"/>
        </w:rPr>
        <w:t>ALPINE INCOME PROPERTY TRUST, INC.</w:t>
      </w:r>
    </w:p>
    <w:p>
      <w:pPr>
        <w:pStyle w:val="TextBody"/>
        <w:pBdr>
          <w:bottom w:val="dotted" w:sz="12" w:space="6" w:color="000000"/>
        </w:pBdr>
        <w:bidi w:val="0"/>
        <w:spacing w:before="0" w:after="240"/>
        <w:ind w:left="720" w:right="720" w:hanging="0"/>
        <w:jc w:val="center"/>
        <w:rPr>
          <w:rFonts w:ascii="Times New Roman;Times;serif" w:hAnsi="Times New Roman;Times;serif"/>
          <w:b/>
          <w:sz w:val="24"/>
        </w:rPr>
      </w:pPr>
      <w:r>
        <w:rPr>
          <w:rFonts w:ascii="Times New Roman;Times;serif" w:hAnsi="Times New Roman;Times;serif"/>
          <w:b/>
          <w:sz w:val="24"/>
        </w:rPr>
        <w:t>INSIDER TRADING COMPLIANCE PROGRAM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order to take an active role in the prevention of insider trading violations by the directors, officers and employees, if any, of Alpine Income Property Trust, Inc. (the “Company”), Alpine Income Property Manager, LLC, the Company’s external manager (the “Manager”), CTO Realty Growth, Inc. (“CTO”), the sole member of the Manager, and the directors, officers and employees of CTO and other related individuals, the Company has adopted the policies and procedures described in this memorandum.</w:t>
      </w:r>
    </w:p>
    <w:tbl>
      <w:tblPr>
        <w:tblW w:w="3745" w:type="dxa"/>
        <w:jc w:val="left"/>
        <w:tblInd w:w="0" w:type="dxa"/>
        <w:tblLayout w:type="fixed"/>
        <w:tblCellMar>
          <w:top w:w="0" w:type="dxa"/>
          <w:left w:w="0" w:type="dxa"/>
          <w:bottom w:w="0" w:type="dxa"/>
          <w:right w:w="0" w:type="dxa"/>
        </w:tblCellMar>
      </w:tblPr>
      <w:tblGrid>
        <w:gridCol w:w="155"/>
        <w:gridCol w:w="3590"/>
      </w:tblGrid>
      <w:tr>
        <w:trPr/>
        <w:tc>
          <w:tcPr>
            <w:tcW w:w="15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w:t>
            </w:r>
          </w:p>
        </w:tc>
        <w:tc>
          <w:tcPr>
            <w:tcW w:w="359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Adoption of Insider Trading Policy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The Company has adopted the Insider Trading Policy attached hereto as </w:t>
      </w:r>
      <w:r>
        <w:rPr>
          <w:rFonts w:ascii="Times New Roman;Times;serif" w:hAnsi="Times New Roman;Times;serif"/>
          <w:sz w:val="24"/>
          <w:u w:val="single"/>
        </w:rPr>
        <w:t>Exhibit A</w:t>
      </w:r>
      <w:r>
        <w:rPr>
          <w:rFonts w:ascii="Times New Roman;Times;serif" w:hAnsi="Times New Roman;Times;serif"/>
          <w:sz w:val="24"/>
        </w:rPr>
        <w:t xml:space="preserve"> (the “Policy”), which prohibits trading in the Company’s common stock or any other traded security of the Company (collectively the “Company Securities”) based on material, nonpublic information regarding the Company (“Inside Information”). The Policy covers directors, officers and all other employees of the Company, the Manager and CTO, as well as family members of such directors, officers and employees, and certain other persons, in each case where such persons have or may have access to Inside Information (“Insiders”). The Policy is to be delivered to all new employees and consultants on the commencement of their relationships with the Company, the Manager and/or CTO, and is to be circulated to all directors, officers and employees of the Company, the Manager and CTO at least annually.</w:t>
      </w:r>
    </w:p>
    <w:tbl>
      <w:tblPr>
        <w:tblW w:w="3400" w:type="dxa"/>
        <w:jc w:val="left"/>
        <w:tblInd w:w="0" w:type="dxa"/>
        <w:tblLayout w:type="fixed"/>
        <w:tblCellMar>
          <w:top w:w="0" w:type="dxa"/>
          <w:left w:w="0" w:type="dxa"/>
          <w:bottom w:w="0" w:type="dxa"/>
          <w:right w:w="0" w:type="dxa"/>
        </w:tblCellMar>
      </w:tblPr>
      <w:tblGrid>
        <w:gridCol w:w="230"/>
        <w:gridCol w:w="3170"/>
      </w:tblGrid>
      <w:tr>
        <w:trPr/>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w:t>
            </w:r>
          </w:p>
        </w:tc>
        <w:tc>
          <w:tcPr>
            <w:tcW w:w="317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Designation of Certain Persons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The Company has determined that those persons listed on </w:t>
      </w:r>
      <w:r>
        <w:rPr>
          <w:rFonts w:ascii="Times New Roman;Times;serif" w:hAnsi="Times New Roman;Times;serif"/>
          <w:sz w:val="24"/>
          <w:u w:val="single"/>
        </w:rPr>
        <w:t>Exhibit B</w:t>
      </w:r>
      <w:r>
        <w:rPr>
          <w:rFonts w:ascii="Times New Roman;Times;serif" w:hAnsi="Times New Roman;Times;serif"/>
          <w:sz w:val="24"/>
        </w:rPr>
        <w:t xml:space="preserve"> attached hereto are the directors and officers of the Company who are subject to the reporting and penalty provisions of Section 16 of the Securities Exchange Act of 1934, as amended (the “Exchange Act”), and the rules and regulations promulgated thereunder (“Section 16 Individuals”). </w:t>
      </w:r>
      <w:r>
        <w:rPr>
          <w:rFonts w:ascii="Times New Roman;Times;serif" w:hAnsi="Times New Roman;Times;serif"/>
          <w:sz w:val="24"/>
          <w:u w:val="single"/>
        </w:rPr>
        <w:t>Exhibit B</w:t>
      </w:r>
      <w:r>
        <w:rPr>
          <w:rFonts w:ascii="Times New Roman;Times;serif" w:hAnsi="Times New Roman;Times;serif"/>
          <w:sz w:val="24"/>
        </w:rPr>
        <w:t xml:space="preserve"> may be amended by the Company from time to time.</w:t>
      </w:r>
    </w:p>
    <w:tbl>
      <w:tblPr>
        <w:tblW w:w="3970" w:type="dxa"/>
        <w:jc w:val="left"/>
        <w:tblInd w:w="0" w:type="dxa"/>
        <w:tblLayout w:type="fixed"/>
        <w:tblCellMar>
          <w:top w:w="0" w:type="dxa"/>
          <w:left w:w="0" w:type="dxa"/>
          <w:bottom w:w="0" w:type="dxa"/>
          <w:right w:w="0" w:type="dxa"/>
        </w:tblCellMar>
      </w:tblPr>
      <w:tblGrid>
        <w:gridCol w:w="305"/>
        <w:gridCol w:w="3665"/>
      </w:tblGrid>
      <w:tr>
        <w:trPr/>
        <w:tc>
          <w:tcPr>
            <w:tcW w:w="30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III.</w:t>
            </w:r>
          </w:p>
        </w:tc>
        <w:tc>
          <w:tcPr>
            <w:tcW w:w="366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Appointment of Compliance Person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Company has appointed the General Counsel &amp; Corporate Secretary (or his/her successor in office), or such other person to whom the General Counsel &amp; Corporate Secretary shall designate and oversee, as the Company’s Insider Trading Compliance Officer (the “Compliance Officer”).</w:t>
      </w:r>
    </w:p>
    <w:tbl>
      <w:tblPr>
        <w:tblW w:w="3670" w:type="dxa"/>
        <w:jc w:val="left"/>
        <w:tblInd w:w="0" w:type="dxa"/>
        <w:tblLayout w:type="fixed"/>
        <w:tblCellMar>
          <w:top w:w="0" w:type="dxa"/>
          <w:left w:w="0" w:type="dxa"/>
          <w:bottom w:w="0" w:type="dxa"/>
          <w:right w:w="0" w:type="dxa"/>
        </w:tblCellMar>
      </w:tblPr>
      <w:tblGrid>
        <w:gridCol w:w="335"/>
        <w:gridCol w:w="3335"/>
      </w:tblGrid>
      <w:tr>
        <w:trPr/>
        <w:tc>
          <w:tcPr>
            <w:tcW w:w="33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IV.</w:t>
            </w:r>
          </w:p>
        </w:tc>
        <w:tc>
          <w:tcPr>
            <w:tcW w:w="333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Duties of the Compliance Officer</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duties of the Compliance Officer shall include, but not be limited to, the following:</w:t>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Pre-clearance of (i) all transactions, other than transactions made in compliance with an outstanding pre-cleared Trading Plan (as defined below), involving Company Securities by all Insiders, (ii) all contracts, instructions or written plans </w:t>
            </w:r>
          </w:p>
        </w:tc>
      </w:tr>
    </w:tbl>
    <w:p>
      <w:pPr>
        <w:pStyle w:val="TextBody"/>
        <w:bidi w:val="0"/>
        <w:spacing w:before="0" w:after="24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 the purchase or sale of Company Securities intended to satisfy the affirmative defense conditions of Rule 10b5-1(c) under the Exchange Act (“Rule 10b5-1 Plans”) established by Insiders, and (iii) all other contracts, instructions or written plans for the purchase or sale of Company Securities (“Non-Rule 10b5-1 Plans” and, together with the Rule 10b5-1 Plans, “Trading Plans”) established by Insiders, in each case in order to ensure compliance with the Policy, insider trading laws, Sections 13 and 16 of the Exchange Act, Rule 144 promulgated under the Securities Act of 1933, as amended, and certain disclosure obligations related to Trading Plans. To ensure compliance, pre-clearance may require inquiry by the Compliance Officer and clearance may require up to 24 hours under normal circumstances.</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B.</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Monitoring established Trading Plans for compliance with the terms of such Trading Plans, the Policy, insider trading laws, and certain disclosure obligations related to Trading Plans.</w:t>
            </w:r>
          </w:p>
        </w:tc>
      </w:tr>
    </w:tbl>
    <w:tbl>
      <w:tblPr>
        <w:tblW w:w="10205" w:type="dxa"/>
        <w:jc w:val="left"/>
        <w:tblInd w:w="0" w:type="dxa"/>
        <w:tblLayout w:type="fixed"/>
        <w:tblCellMar>
          <w:top w:w="0" w:type="dxa"/>
          <w:left w:w="0" w:type="dxa"/>
          <w:bottom w:w="0" w:type="dxa"/>
          <w:right w:w="0" w:type="dxa"/>
        </w:tblCellMar>
      </w:tblPr>
      <w:tblGrid>
        <w:gridCol w:w="23"/>
        <w:gridCol w:w="245"/>
        <w:gridCol w:w="9937"/>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C.</w:t>
            </w:r>
          </w:p>
        </w:tc>
        <w:tc>
          <w:tcPr>
            <w:tcW w:w="99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Assisting with the preparation of such disclosures regarding the Policy and the Trading Plans as may be required by the Exchange Act.</w:t>
            </w:r>
          </w:p>
        </w:tc>
      </w:tr>
    </w:tbl>
    <w:tbl>
      <w:tblPr>
        <w:tblW w:w="8073" w:type="dxa"/>
        <w:jc w:val="left"/>
        <w:tblInd w:w="0" w:type="dxa"/>
        <w:tblLayout w:type="fixed"/>
        <w:tblCellMar>
          <w:top w:w="0" w:type="dxa"/>
          <w:left w:w="0" w:type="dxa"/>
          <w:bottom w:w="0" w:type="dxa"/>
          <w:right w:w="0" w:type="dxa"/>
        </w:tblCellMar>
      </w:tblPr>
      <w:tblGrid>
        <w:gridCol w:w="23"/>
        <w:gridCol w:w="260"/>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w:t>
            </w:r>
          </w:p>
        </w:tc>
        <w:tc>
          <w:tcPr>
            <w:tcW w:w="7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Preparation of Section 16 reports (Forms 3, 4 and 5) for all Section 16 Individuals.</w:t>
            </w:r>
          </w:p>
        </w:tc>
      </w:tr>
    </w:tbl>
    <w:tbl>
      <w:tblPr>
        <w:tblW w:w="10068" w:type="dxa"/>
        <w:jc w:val="left"/>
        <w:tblInd w:w="0" w:type="dxa"/>
        <w:tblLayout w:type="fixed"/>
        <w:tblCellMar>
          <w:top w:w="0" w:type="dxa"/>
          <w:left w:w="0" w:type="dxa"/>
          <w:bottom w:w="0" w:type="dxa"/>
          <w:right w:w="0" w:type="dxa"/>
        </w:tblCellMar>
      </w:tblPr>
      <w:tblGrid>
        <w:gridCol w:w="23"/>
        <w:gridCol w:w="230"/>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w:t>
            </w:r>
          </w:p>
        </w:tc>
        <w:tc>
          <w:tcPr>
            <w:tcW w:w="9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Annual distribution of reminders to all Section 16 Individuals regarding their SEC reporting obligations.</w:t>
            </w:r>
          </w:p>
        </w:tc>
      </w:tr>
    </w:tbl>
    <w:tbl>
      <w:tblPr>
        <w:tblW w:w="10205" w:type="dxa"/>
        <w:jc w:val="left"/>
        <w:tblInd w:w="0" w:type="dxa"/>
        <w:tblLayout w:type="fixed"/>
        <w:tblCellMar>
          <w:top w:w="0" w:type="dxa"/>
          <w:left w:w="0" w:type="dxa"/>
          <w:bottom w:w="0" w:type="dxa"/>
          <w:right w:w="0" w:type="dxa"/>
        </w:tblCellMar>
      </w:tblPr>
      <w:tblGrid>
        <w:gridCol w:w="23"/>
        <w:gridCol w:w="215"/>
        <w:gridCol w:w="9967"/>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w:t>
            </w:r>
          </w:p>
        </w:tc>
        <w:tc>
          <w:tcPr>
            <w:tcW w:w="99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Performance of cross-checks of available materials, which may include Director and Officer Questionnaires, Forms 3, 4 and 5, and Form 144, to determine trading activity by directors, officers and others who have, or may have, access to Inside Information.</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Circulation of the Policy to all employees of the Company, the Manager and CTO, including Section 16 Individuals, on an annual basis and provision of the Policy and other appropriate materials to new directors, officers and others who have, or may have, access to Inside Information. Each of the aforementioned persons shall provide signed confirmation of receipt that they have read and understood the Policy.</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H.</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Assisting the Company’s Board of Directors in the implementation of Sections I and II of this memorandum.</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Exhibit A</w:t>
      </w:r>
      <w:bookmarkStart w:id="1908" w:name="_Ref153831663"/>
      <w:bookmarkEnd w:id="1908"/>
      <w:r>
        <w:rPr>
          <w:rFonts w:ascii="Times New Roman;Times;serif" w:hAnsi="Times New Roman;Times;serif"/>
          <w:caps/>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ALPINE INCOME PROPERTY TRUST,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INSIDER TRADING POLICY</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and Guidelines with Respect to</w:t>
        <w:br/>
        <w:t>Certain Transactions in Company Securities</w:t>
      </w:r>
    </w:p>
    <w:p>
      <w:pPr>
        <w:pStyle w:val="TextBody"/>
        <w:bidi w:val="0"/>
        <w:spacing w:before="0" w:after="240"/>
        <w:ind w:left="3240" w:right="3240" w:hanging="0"/>
        <w:jc w:val="center"/>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Policy provides guidelines to directors, officers and employees of Alpine Income Property Trust, Inc. (the “Company”), Alpine Income Property Manager, LLC the Company’s external manager (the “Manager”) and CTO Realty Growth, Inc., the sole member of the Manager (“CTO”), with respect to transactions in Company Securities (as defined below).</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Applicability of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Policy applies to all transactions in securities issued by the Company and its subsidiaries, including common stock, options for common stock and any other securities the Company and its subsidiaries may issue from time to time, such as preferred stock, warrants and convertible debentures, as well as derivative securities relating to the Company’s stock, whether or not issued by the Company, such as common units of limited partnership interest issued by Alpine Income Property OP, LP (“OP Units”) and exchange-traded options (collectively, the “Company Securities”). This Policy applies to all directors, officers and employees of the Company, the Manager and CTO and to consultants and contractors to the Company and its subsidiaries, the Manager and CTO who receive or have access to Material Nonpublic Information (as defined below) regarding the Company. This group of people, members of their immediate families, and members of their households are sometimes referred to in this Policy as “Insiders.” This Policy also applies to any person who receives Material Nonpublic Information from any Insider.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person who possesses Material Nonpublic Information regarding the Company is an Insider for so long as the information is not publicly known. Any employee can be an Insider from time to time, and would at those times be subject to this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Statement of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General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the policy of the Company to prevent the unauthorized disclosure of any Material Nonpublic Information acquired in the workplace and the misuse of Material Nonpublic Information in securities trading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It is also the policy of the Company that the Company will not engage in transactions in the Company’s equity securities (as defined in the Securities Exchange Act of 1934 (the “</w:t>
      </w:r>
      <w:r>
        <w:rPr>
          <w:rFonts w:ascii="Times New Roman;Times;serif" w:hAnsi="Times New Roman;Times;serif"/>
          <w:sz w:val="24"/>
          <w:u w:val="single"/>
        </w:rPr>
        <w:t>Exchange Act</w:t>
      </w:r>
      <w:r>
        <w:rPr>
          <w:rFonts w:ascii="Times New Roman;Times;serif" w:hAnsi="Times New Roman;Times;serif"/>
          <w:sz w:val="24"/>
        </w:rPr>
        <w:t>”)) while aware of Material Nonpublic Information relating to the Company or its securities, except for:</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plan participants (or their permitted assignees) pursuant to an equity-based compensation plan of the Company;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holders of outstanding options, warrants, rights, convertible securities or other derivative securities that are issued by the Company and that result from the holder’s exercise, conversion or other election pursuant to the terms of the security or result from the Company’s exercise, notice of redemption or conversion, or other election made pursuant to the terms of the security;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made pursuant to written plans for transacting in the Company’s securities that, at the time adopted, conform to all of the requirements of Exchange Act Rule 10b5-1 as then in effect;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transactions with counterparties who are at the time also aware of the Material Nonpublic Information or who acknowledge, agree or represent that they are aware that the Company may possess Material Nonpublic Information but are not relying on the disclosure or omission to disclose to them of any such information;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other transaction expressly authorized by the Board or any committee thereof, or by senior management in consultation with the Company’s Insider Trading Compliance Officer (the “Compliance Officer”).</w:t>
            </w:r>
          </w:p>
        </w:tc>
      </w:tr>
    </w:tbl>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1. Specific Policies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Trading on Material Nonpublic Information</w:t>
      </w:r>
      <w:r>
        <w:rPr>
          <w:rFonts w:ascii="Times New Roman;Times;serif" w:hAnsi="Times New Roman;Times;serif"/>
          <w:sz w:val="24"/>
        </w:rPr>
        <w:t>. No Insider shall engage in any transaction involving a purchase, sale or gift of Company Securities, including any offer to purchase or offer to sell, during any period commencing with the date that such Insider possesses Material Nonpublic Information concerning the Company, and ending at the close of business on the second Trading Day following the date of public disclosure of that information, or at such time as such nonpublic information is no longer material. As used herein, the term “Trading Day” shall mean a day on which national stock exchanges are open for trading. In addition, no Insider shall engage in any transaction involving a purchase, sale or gift of the securities of any other company if such person is aware of Material Nonpublic Information about such other company which the Insider obtained in the course of such Insider’s employment with the Company, the Manager or CTO. For example, no Insider may trade in the securities of another company with which the Company may be negotiating a major transaction while in possession of Material Nonpublic Information about such other company or the Company. Information that is not Material Nonpublic Information with respect to the Company may still be material to such other companies, and vice versa.</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Tipping</w:t>
      </w:r>
      <w:r>
        <w:rPr>
          <w:rFonts w:ascii="Times New Roman;Times;serif" w:hAnsi="Times New Roman;Times;serif"/>
          <w:sz w:val="24"/>
        </w:rPr>
        <w:t>.  No Insider shall disclose (“tip”) Material Nonpublic Information to any other person (including but not limited to any of the Insider’s family members) where such information may be used by such person to his or her profit by trading in Company Securities or the securities of other companies to which such information relates, nor shall such Insider or related person make recommendations or express opinions on the basis of Material Nonpublic Information as to trading in Company Securities.</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Confidentiality of Nonpublic Information</w:t>
      </w:r>
      <w:r>
        <w:rPr>
          <w:rFonts w:ascii="Times New Roman;Times;serif" w:hAnsi="Times New Roman;Times;serif"/>
          <w:sz w:val="24"/>
        </w:rPr>
        <w:t>. Nonpublic information relating to the Company is the property of the Company, and the unauthorized disclosure of such information is strictly forbidden. In addition, the Company is required under Regulation FD of the federal securities laws and the Company’s Regulation FD Policy to avoid the selective disclosure of Material Nonpublic Information. The Company has established procedures for releasing Material Nonpublic Information in a manner that is designed to achieve broad public dissemination of the information immediately upon its release, which is consistent with the legal requirements applicable to the Company. Therefore, no Insider may disclose Material Nonpublic Information to anyone outside the Company, the Manager or CTO, including family members and friends, other than in accordance with those procedures. Also, no Insider may discuss Material Nonpublic Information in an internet “chat room” or message board or similar internet-based forum, or on any social media of any kind.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Hedging Activities Prohibited</w:t>
      </w:r>
      <w:r>
        <w:rPr>
          <w:rFonts w:ascii="Times New Roman;Times;serif" w:hAnsi="Times New Roman;Times;serif"/>
          <w:sz w:val="24"/>
        </w:rPr>
        <w:t>. No director, officer or employee of the Company, the Manager or CTO, or any designee of such person, is permitted to purchase financial instruments (including prepaid variable forward contracts, equity swaps, collars, and exchange funds) that are designed to hedge or offset any decrease in the market value of Company Securities that have been granted to such person by the Company as part of his/her compensation or that are directly or indirectly held by such person.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Pledging Activities Prohibited</w:t>
      </w:r>
      <w:r>
        <w:rPr>
          <w:rFonts w:ascii="Times New Roman;Times;serif" w:hAnsi="Times New Roman;Times;serif"/>
          <w:sz w:val="24"/>
        </w:rPr>
        <w:t>. No director, officer or employee of the Company, the Manager or CTO, or any designee of such person, is permitted to purchase on margin, borrow against on margin or pledge as collateral for a loan Company Securities that have been granted to such person by the Company as part of his/her compensation or that are directly or indirectly held by such person.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2. Potential Criminal and Civil Liability</w:t>
        <w:br/>
        <w:t>and/or Disciplinary Action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Liability for Insider Trading</w:t>
      </w:r>
      <w:r>
        <w:rPr>
          <w:rFonts w:ascii="Times New Roman;Times;serif" w:hAnsi="Times New Roman;Times;serif"/>
          <w:sz w:val="24"/>
        </w:rPr>
        <w:t>. Insiders may be subject to disgorging of the profit made or the loss avoided, civil penalties of up to three times the profit made or loss avoided, prejudgment interest, criminal fines of up to $5,000,000 and up to twenty years in jail when engaging in transactions in Company Securities at a time when they possess Material Nonpublic Information regarding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Liability for Tipping</w:t>
      </w:r>
      <w:r>
        <w:rPr>
          <w:rFonts w:ascii="Times New Roman;Times;serif" w:hAnsi="Times New Roman;Times;serif"/>
          <w:sz w:val="24"/>
        </w:rPr>
        <w:t>. Insiders may also be liable for improper transactions by any person (commonly referred to as a “tippee”) to whom they have disclosed Material Nonpublic Information regarding the Company or to whom they have made recommendations or expressed opinions on the basis of such information as to trading in Company Securities. The Securities and Exchange Commission (the “SEC”) has imposed large penalties even when the disclosing person did not profit from the trading. The SEC, the stock exchanges and the Financial Industry Regulatory Authority, Inc. use sophisticated electronic surveillance techniques to uncover insider trading.</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Possible Disciplinary Actions</w:t>
      </w:r>
      <w:r>
        <w:rPr>
          <w:rFonts w:ascii="Times New Roman;Times;serif" w:hAnsi="Times New Roman;Times;serif"/>
          <w:sz w:val="24"/>
        </w:rPr>
        <w:t>. Employees of the Company, the Manager or CTO who violate this Policy may also be subject to disciplinary action by the Company, the Manager or CTO, as applicable, up to and including termination.</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3. Recommended Guidelines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Trading Window</w:t>
      </w:r>
      <w:r>
        <w:rPr>
          <w:rFonts w:ascii="Times New Roman;Times;serif" w:hAnsi="Times New Roman;Times;serif"/>
          <w:sz w:val="24"/>
        </w:rPr>
        <w:t>. To ensure compliance with this Policy and applicable federal and state securities laws, all directors, officers and employees of the Company, the Manager or CTO having access to the Company’s internal financial statements, financial information, transactional documents or materials, financial models or projections or other materials that qualify as Material Nonpublic Information, must refrain from conducting transactions involving the purchase, sale or gift of Company Securities other than during the following period (hereinafter referred to as the “Trading Window”):</w:t>
      </w:r>
    </w:p>
    <w:p>
      <w:pPr>
        <w:pStyle w:val="TextBody"/>
        <w:bidi w:val="0"/>
        <w:spacing w:before="0" w:after="240"/>
        <w:ind w:left="720" w:right="720" w:hanging="0"/>
        <w:jc w:val="both"/>
        <w:rPr>
          <w:rFonts w:ascii="Times New Roman;Times;serif" w:hAnsi="Times New Roman;Times;serif"/>
          <w:sz w:val="24"/>
        </w:rPr>
      </w:pPr>
      <w:r>
        <w:rPr>
          <w:rFonts w:ascii="Times New Roman;Times;serif" w:hAnsi="Times New Roman;Times;serif"/>
          <w:sz w:val="24"/>
          <w:u w:val="single"/>
        </w:rPr>
        <w:t>Trading Window</w:t>
      </w:r>
      <w:r>
        <w:rPr>
          <w:rFonts w:ascii="Times New Roman;Times;serif" w:hAnsi="Times New Roman;Times;serif"/>
          <w:sz w:val="24"/>
        </w:rPr>
        <w:t>: The period in the current fiscal quarter commencing at the close of business on the second Trading Day following the date of public disclosure of the Company’s financial results for the prior fiscal quarter or year (in the case of the first fiscal quarter of the following year), and ending at the close of business on the last calendar day of the current fiscal quarter. If such public disclosure occurs on a Trading Day after the market open but before the markets close, then such date of disclosure shall be considered the first Trading Day following such public disclosure. If such public disclosure occurs on a Trading Day before the market open, then for purposes of determining the Trading Window, the public disclosure shall be deemed to have occurred on such Trading Day.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should be noted that even during the Trading Window, any person possessing Material Nonpublic Information concerning the Company should not engage in any transactions in Company Securities until such information has been known publicly for at least two Trading Days. Although the Company may from time to time recommend during a Trading Window that directors, officers, selected employees of the Company, the Manager and CTO and others suspend trading because of developments known to the Company and not yet disclosed to the public, each person is individually responsible at all times for compliance with the prohibitions against insider trading. Trading in Company Securities during the Trading Window should not be considered a “safe harbor,” and all directors, officers, employees of the Company, the Manager and CTO and other persons should use good judgment at all times in addition to adhering to the specific requirements of this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Pre-clearance of Trades</w:t>
      </w:r>
      <w:r>
        <w:rPr>
          <w:rFonts w:ascii="Times New Roman;Times;serif" w:hAnsi="Times New Roman;Times;serif"/>
          <w:sz w:val="24"/>
        </w:rPr>
        <w:t>. The Company has determined that all directors, officers and employees of the Company, the Manager and CTO must refrain from trading in Company Securities, even during the Trading Window, without first complying with the Company’s “preclearance” process. Each such employee, officer and director must contact the Compliance Officer prior to commencing any purchase, sale or gift of Company Securities, including the exercise of any stock options or the redemption of any OP Units. The Compliance Officer will evaluate all proposed transactions to determine if such transaction raises concerns regarding insider trading and this Policy or other concerns under federal or state securities laws and regulations. Any response to the pre-clearance request will relate solely to the restraints imposed by law and will not constitute advice regarding any aspect of the investment transaction, including the merit of executing the transaction or not. Clearance of a transaction is valid only for a 48-hour period. If the transaction order is not placed within that 48-hour period, clearance of the transaction must be re-requested. If clearance is denied by the Compliance Officer, the fact of such denial must be kept confidential by the person requesting such clearance.</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Clearance of a proposed trade by the Compliance Officer does not constitute legal advice or otherwise acknowledge that the recipient of clearance to trade does not possess Material Nonpublic Information about the Company. Insiders must ultimately make their own judgments regarding, and are personally responsible for determining, whether they are in possession of Material Nonpublic Information about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may also find it necessary, from time to time, to require compliance with the pre-clearance process from certain consultants and contractors other than and in addition to directors, officers and employees.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Individual Responsibility</w:t>
      </w:r>
      <w:r>
        <w:rPr>
          <w:rFonts w:ascii="Times New Roman;Times;serif" w:hAnsi="Times New Roman;Times;serif"/>
          <w:sz w:val="24"/>
        </w:rPr>
        <w:t>. Every officer, director and employee of the Company, the Manager and CTO has the individual responsibility to comply with this Policy to protect against insider trading, regardless of whether the Trading Window is open. Violations of this Policy will be viewed seriously, and may provide grounds for disciplinary actions up to and including dismissal.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Insider may, from time to time, be required to forego a proposed transaction in Company Securities, even if he or she planned to enter into such transaction before learning of the Material Nonpublic Information, and/or even though the Insider believes he or she may suffer an economic loss or forego anticipated profit by delaying or foregoing consummation of the proposed transaction.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4. Definition of Material Nonpublic Information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not possible to define all categories of information that would qualify as material. However, information should be regarded as material if (i) there is a reasonable likelihood that it would be considered important to a reasonable investor in making an investment decision regarding the purchase, sale or gift of Company Securities, or (ii) if disclosed, such information could be viewed by a reasonable investor as having significantly altered the total mix of information publicly available regarding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While it may be difficult under this standard to determine whether particular information is material, there are various categories of information that are particularly sensitive and, as a general rule, should always be considered material. Some examples of information pertaining to the Company that ordinarily would be regarded as material are:</w:t>
      </w:r>
    </w:p>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Projections of future earnings or losses, or other metrics associated with earnings guidance;</w:t>
            </w:r>
          </w:p>
        </w:tc>
      </w:tr>
    </w:tbl>
    <w:tbl>
      <w:tblPr>
        <w:tblW w:w="8913" w:type="dxa"/>
        <w:jc w:val="left"/>
        <w:tblInd w:w="0" w:type="dxa"/>
        <w:tblLayout w:type="fixed"/>
        <w:tblCellMar>
          <w:top w:w="0" w:type="dxa"/>
          <w:left w:w="0" w:type="dxa"/>
          <w:bottom w:w="0" w:type="dxa"/>
          <w:right w:w="0" w:type="dxa"/>
        </w:tblCellMar>
      </w:tblPr>
      <w:tblGrid>
        <w:gridCol w:w="23"/>
        <w:gridCol w:w="17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Earnings that are inconsistent with the consensus expectations of the investment community;</w:t>
            </w:r>
          </w:p>
        </w:tc>
      </w:tr>
    </w:tbl>
    <w:tbl>
      <w:tblPr>
        <w:tblW w:w="5733" w:type="dxa"/>
        <w:jc w:val="left"/>
        <w:tblInd w:w="0" w:type="dxa"/>
        <w:tblLayout w:type="fixed"/>
        <w:tblCellMar>
          <w:top w:w="0" w:type="dxa"/>
          <w:left w:w="0" w:type="dxa"/>
          <w:bottom w:w="0" w:type="dxa"/>
          <w:right w:w="0" w:type="dxa"/>
        </w:tblCellMar>
      </w:tblPr>
      <w:tblGrid>
        <w:gridCol w:w="23"/>
        <w:gridCol w:w="170"/>
        <w:gridCol w:w="55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pending or proposed merger, acquisition or tender offer;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pending or proposed joint venture or acquisition or disposition of a significant asset, or operating segment;</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placement or pay-down or pay-off of any significant debt instrument, amendments thereto, or compliance matters involving one or more debt instruments;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change in executive management, composition of the Board of Directors or the Company’s relationship with the Manager, CTO or both the Manager and CTO;</w:t>
            </w:r>
          </w:p>
        </w:tc>
      </w:tr>
    </w:tbl>
    <w:tbl>
      <w:tblPr>
        <w:tblW w:w="6633" w:type="dxa"/>
        <w:jc w:val="left"/>
        <w:tblInd w:w="0" w:type="dxa"/>
        <w:tblLayout w:type="fixed"/>
        <w:tblCellMar>
          <w:top w:w="0" w:type="dxa"/>
          <w:left w:w="0" w:type="dxa"/>
          <w:bottom w:w="0" w:type="dxa"/>
          <w:right w:w="0" w:type="dxa"/>
        </w:tblCellMar>
      </w:tblPr>
      <w:tblGrid>
        <w:gridCol w:w="23"/>
        <w:gridCol w:w="170"/>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Impending bankruptcy or the existence of severe liquidity problems;</w:t>
            </w:r>
          </w:p>
        </w:tc>
      </w:tr>
    </w:tbl>
    <w:tbl>
      <w:tblPr>
        <w:tblW w:w="3393" w:type="dxa"/>
        <w:jc w:val="left"/>
        <w:tblInd w:w="0" w:type="dxa"/>
        <w:tblLayout w:type="fixed"/>
        <w:tblCellMar>
          <w:top w:w="0" w:type="dxa"/>
          <w:left w:w="0" w:type="dxa"/>
          <w:bottom w:w="0" w:type="dxa"/>
          <w:right w:w="0" w:type="dxa"/>
        </w:tblCellMar>
      </w:tblPr>
      <w:tblGrid>
        <w:gridCol w:w="23"/>
        <w:gridCol w:w="170"/>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Cybersecurity risks and incidents;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Changes in the independent public accountant or auditor of the Company or auditor notification that the Company may no longer rely on an audit report issued by the auditor;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Events regarding Company Securities (e.g., defaults on senior securities, calls of securities for redemption, repurchase plans, stock splits or changes in dividends, changes to rights of security holders, public or private sales of additional securities or information related to any additional funding);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Regulatory approvals, denials or notifications of violation or non-compliance, or changes in regulations; or</w:t>
            </w:r>
          </w:p>
        </w:tc>
      </w:tr>
    </w:tbl>
    <w:tbl>
      <w:tblPr>
        <w:tblW w:w="7788" w:type="dxa"/>
        <w:jc w:val="left"/>
        <w:tblInd w:w="0" w:type="dxa"/>
        <w:tblLayout w:type="fixed"/>
        <w:tblCellMar>
          <w:top w:w="0" w:type="dxa"/>
          <w:left w:w="0" w:type="dxa"/>
          <w:bottom w:w="0" w:type="dxa"/>
          <w:right w:w="0" w:type="dxa"/>
        </w:tblCellMar>
      </w:tblPr>
      <w:tblGrid>
        <w:gridCol w:w="23"/>
        <w:gridCol w:w="170"/>
        <w:gridCol w:w="7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Significant exposure due to actual or threatened litigation or other contingencies.</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Either favorable or unfavorable information may be deemed material.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Nonpublic information is information that has not been previously disclosed, and is otherwise not available, to the general public. In order for information to be considered public, it must be widely disseminated, in a manner which makes it generally available to all investors. The circulation of rumors, even if accurate and reported in the media, does not constitute effective or appropriate public dissemination. In addition, even after a public announcement of material information, a reasonable period of time must elapse in order for the market to react to the information. In order to ensure adequate public dissemination of information, directors, officers and employees of the Company, the Manager and CTO may not engage in transactions in Company Securities until the close of business on the second Trading Day following the date of public disclosure of the Material Nonpublic Information.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5. Certain Exceptions—Equity Incentive Plan Shares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For purposes of this Policy, the Company considers the exercise of stock options under the Company’s equity incentive plans to constitute an investment decision and thus would not be exempt from this Policy, even where the total option exercise price is paid in cash. However, upon the vesting of restricted stock under the Company’s equity incentive plans, where such vesting is not a voluntary decision of the recipient of such award, then the tendering to the Company of a portion of such shares to pay the payroll taxes resulting from such vesting would be exempt from this Policy and is therefore permitted.</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6. Prearranged Trading Plans (Rule 10b5-1 Plans)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Rule 10b5-1 Plans</w:t>
      </w:r>
      <w:r>
        <w:rPr>
          <w:rFonts w:ascii="Times New Roman;Times;serif" w:hAnsi="Times New Roman;Times;serif"/>
          <w:sz w:val="24"/>
        </w:rPr>
        <w:t>. Rule 10b5-1 (“Rule 10b5-1”) under the Exchange Act, provides a defense from insider trading liability if trades in Company Securities occur pursuant to a pre-arranged “trading plan” that meets certain conditions specified in Rule 10b5-1 (a “Rule 10b5-1 Plan”), including, but not limited to:</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 have been entered into at a time when the Insider was not in possession of Material Nonpublic Information;</w:t>
            </w:r>
          </w:p>
        </w:tc>
      </w:tr>
    </w:tbl>
    <w:tbl>
      <w:tblPr>
        <w:tblW w:w="2883" w:type="dxa"/>
        <w:jc w:val="left"/>
        <w:tblInd w:w="0" w:type="dxa"/>
        <w:tblLayout w:type="fixed"/>
        <w:tblCellMar>
          <w:top w:w="0" w:type="dxa"/>
          <w:left w:w="0" w:type="dxa"/>
          <w:bottom w:w="0" w:type="dxa"/>
          <w:right w:w="0" w:type="dxa"/>
        </w:tblCellMar>
      </w:tblPr>
      <w:tblGrid>
        <w:gridCol w:w="23"/>
        <w:gridCol w:w="170"/>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specify the amount of securities to be purchased or sold and the price at which and the date on which the securities were to be purchased or sold;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include a written formula or algorithm, or computer program, for determining the amount of securities to be purchased or sold and the price at which and the date on which the securities were to be purchased or sold;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permit the Insider to exercise any subsequent influence over how, when, or whether to effect purchases or sales; provided, in addition, that any other person who, pursuant to the Rule 10b5-1 Plan, did exercise such influence must not have been aware of Material Nonpublic Information when doing so;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Rule 10b5-1 Plan must be entered into in good faith and not as part of a plan or scheme to evade the prohibitions of Rule 10b5-1, and the Insider must have acted in good faith with respect to the Rule 10135-1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a director or officer (as defined in Rule 16a-1(f) under the Exchange Act (“Rule 16a-1(f)”)) of the Company, no purchases or sales may occur until expiration of a cooling-off period consisting of the later of:</w:t>
            </w:r>
          </w:p>
        </w:tc>
      </w:tr>
    </w:tbl>
    <w:tbl>
      <w:tblPr>
        <w:tblW w:w="5298" w:type="dxa"/>
        <w:jc w:val="left"/>
        <w:tblInd w:w="0" w:type="dxa"/>
        <w:tblLayout w:type="fixed"/>
        <w:tblCellMar>
          <w:top w:w="0" w:type="dxa"/>
          <w:left w:w="0" w:type="dxa"/>
          <w:bottom w:w="0" w:type="dxa"/>
          <w:right w:w="0" w:type="dxa"/>
        </w:tblCellMar>
      </w:tblPr>
      <w:tblGrid>
        <w:gridCol w:w="23"/>
        <w:gridCol w:w="170"/>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90 days after the adoption of the Rule 10b5-1 Plan,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two business days following the disclosure of the Company’s financial results in a Form 10-Q or Form 10-K for the completed fiscal quarter in which the Rule 10b5-1 Plan was adopted (but, in any event, this required cooling-off period is subject to a maximum of 120 days after adoption of the Rule 10b5-1 Plan);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not a director or officer (as defined in Rule 16a-1(f)) of the Company, no purchases or sales may occur until the expiration of a cooling-off period that is 30 days after the adoption of the Rule 10b5-1 Plan;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Insider is a director or officer (as defined in Rule 16a-1(f)) of the Company, such director or officer included a representation in the Rule 10b5-1 Plan certifying that, on the date of adoption of the Rule 10b5-1 Plan:</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tbl>
      <w:tblPr>
        <w:tblW w:w="8613" w:type="dxa"/>
        <w:jc w:val="left"/>
        <w:tblInd w:w="0" w:type="dxa"/>
        <w:tblLayout w:type="fixed"/>
        <w:tblCellMar>
          <w:top w:w="0" w:type="dxa"/>
          <w:left w:w="0" w:type="dxa"/>
          <w:bottom w:w="0" w:type="dxa"/>
          <w:right w:w="0" w:type="dxa"/>
        </w:tblCellMar>
      </w:tblPr>
      <w:tblGrid>
        <w:gridCol w:w="23"/>
        <w:gridCol w:w="17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8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individual director or officer is not aware of any Material Nonpublic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individual director or officer is adopting the plan in good faith and not as part of a plan or scheme to evade the prohibitions of Rule 10b5-1;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person who entered into the Rule 10b5-1 Plan has no outstanding (and does not subsequently enter into any additional) Rule 10b5-1 Plan that would qualify for the affirmative defense under paragraph (c)(1) of Rule 10b5-1 for purchases or sales of the Company’s securities on the open market (subject to certain exceptions set forth in Rule 10b5-1).</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Additionally, Rule 10b5-1 limits the ability of Insiders to rely on the affirmative defense for a single-trade plan to one such plan during any consecutive 12-month period.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 Insider with a Rule 10b5-1 Plan that satisfies the applicable conditions set forth in Rule 10b5-1 may claim an affirmative defense to insider trading liability if the transactions under such Rule 10b5-1 Plan occur at a time when such Insider has subsequently learned Material Nonpublic Information. The details of the rules and regulations regarding Rule 10b5-1 Plans are complex, and further information about them is available upon request from the Compliance Officer.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Non-Rule 10b5-1 Plans</w:t>
      </w:r>
      <w:r>
        <w:rPr>
          <w:rFonts w:ascii="Times New Roman;Times;serif" w:hAnsi="Times New Roman;Times;serif"/>
          <w:sz w:val="24"/>
        </w:rPr>
        <w:t>. In addition to the affirmative defense provided under Rule 10b5-1, Insiders may assert other defenses to liability under the Exchange Act for trades of Company Securities that occur when an Insider is in possession of Material Nonpublic Information. Accordingly, Insiders may choose to establish trading plans that are not Rule 10b5-1 Plans (a “Non-Rule 10b5-1 Plan” and, collectively with Rule 10b5-1 Plans, “Trading Plans”). Non-Rule 10b5-1 Plans must meet the requirements for a “non-Rule 10b5-1 trading arrangement” as defined in Item 408(c) of Regulation S-K under the Exchange Act, including:</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non-Rule 10b5-1 trading arrangement must have been entered into at a time when the Insider was not in possession of Material Nonpublic Information; and</w:t>
            </w:r>
          </w:p>
        </w:tc>
      </w:tr>
    </w:tbl>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non-Rule 10b5-1 trading arrangement must: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specify the amount of securities to be purchased or sold and the price at which and the date on which the securities were to be purchased or sold;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include a written formula or algorithm, or computer program, for determining the amount of securities to be purchased or sold and the price at which and the date on which the securities were to be purchased or sold; or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 permit the Insider to exercise any subsequent influence over how, when, or whether to effect purchases or sales; provided, in addition, that any other person who, pursuant to the non-Rule 10b5-1 trading arrangement, did exercise such influence must not have been aware of Material Nonpublic Information when doing so.</w:t>
            </w:r>
          </w:p>
        </w:tc>
      </w:tr>
    </w:tbl>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rules and regulations regarding Non-Rule 10b5-1 Plans are complex, and further information about them is available upon request from the Compliance Officer.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Disclosure Requirements</w:t>
      </w:r>
      <w:r>
        <w:rPr>
          <w:rFonts w:ascii="Times New Roman;Times;serif" w:hAnsi="Times New Roman;Times;serif"/>
          <w:sz w:val="24"/>
        </w:rPr>
        <w:t>. The SEC has adopted certain disclosure requirements related to the use of Trading Plans, including with respect to the adoption and termination (including modification) of such plans. In addition, Forms 4 and 5 require filers to identify transactions made pursuant to Rule 10b5-1 Plans.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b/>
          <w:sz w:val="24"/>
        </w:rPr>
        <w:t>Pre-Clearance of Trading Plans</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person subject to the pre-clearance requirements set forth in Section 3 of this Policy who wishes to implement, amend, modify, or terminate a Trading Plan (a “Trading Plan Action”) must first pre-clear the proposed Trading Plan Action with the Compliance Officer (such Trading Plan Action, as cleared by the Compliance Officer, a “Pre-Cleared Trading Plan”). To ensure compliance, pre-clearance may require inquiry by the Compliance Officer and clearance may require up to 24 hours under normal circumstances. Transactions that comply with a properly implemented Pre-Cleared Trading Plan will not require further pre-clearance at the time of the transaction. A purchase or sale of Company securities in accordance with a properly implemented Pre-Cleared Trading Plan shall not be deemed to be a violation of this Policy even though such trade takes place during a blackout period or while the director, officer or employee making such trade was aware of Material Nonpublic Information. Notwithstanding any pre-clearance of a Trading Plan Action, the Company, its officers and directors assume no liability for the consequences of any transaction made pursuant to a Pre-Cleared Trading Plan.</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7. Additional Information - Directors and Officers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Directors and executive officers of the Company must also comply with the reporting obligations and limitations on short-swing transactions set forth in Section 16 of the Exchange Act. The practical effect of these provisions is that directors and officers who purchase and sell (or sell and purchase) Company Securities within a six-month period must disgorge all profits to the Company whether or not they had knowledge of any Material Nonpublic Information. The Company has provided, or will provide, separate memoranda and other appropriate materials to its directors and officers regarding compliance with Section 16 of the Exchange Act and its related rules.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8. Inquiries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Please direct your questions as to any of the provisions or procedures discussed in this Policy to the Compliance Officer. The Compliance Officer has full and exclusive power to construe and interpret this Policy.</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9. Updates and Amendments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reserves the right to update or amend this Policy at any time.</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A, Page 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Exhibit B</w:t>
      </w:r>
      <w:bookmarkStart w:id="1909" w:name="_Ref153831674"/>
      <w:bookmarkEnd w:id="1909"/>
      <w:r>
        <w:rPr>
          <w:rFonts w:ascii="Times New Roman;Times;serif" w:hAnsi="Times New Roman;Times;serif"/>
          <w:caps/>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Directors and Officers who are subject to the reporting and penalty provisions of Section 16 of the Securities Exchange Act of 1934, as amended, and the rules and regulations promulgated thereunder, include the following:</w:t>
      </w:r>
    </w:p>
    <w:tbl>
      <w:tblPr>
        <w:tblW w:w="6100" w:type="dxa"/>
        <w:jc w:val="left"/>
        <w:tblInd w:w="0" w:type="dxa"/>
        <w:tblLayout w:type="fixed"/>
        <w:tblCellMar>
          <w:top w:w="0" w:type="dxa"/>
          <w:left w:w="0" w:type="dxa"/>
          <w:bottom w:w="0" w:type="dxa"/>
          <w:right w:w="0" w:type="dxa"/>
        </w:tblCellMar>
      </w:tblPr>
      <w:tblGrid>
        <w:gridCol w:w="1580"/>
        <w:gridCol w:w="4520"/>
      </w:tblGrid>
      <w:tr>
        <w:trPr/>
        <w:tc>
          <w:tcPr>
            <w:tcW w:w="158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John P. Albright</w:t>
            </w:r>
          </w:p>
        </w:tc>
        <w:tc>
          <w:tcPr>
            <w:tcW w:w="452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President, Chief Executive Officer and Director</w:t>
            </w:r>
          </w:p>
        </w:tc>
      </w:tr>
    </w:tbl>
    <w:tbl>
      <w:tblPr>
        <w:tblW w:w="7030" w:type="dxa"/>
        <w:jc w:val="left"/>
        <w:tblInd w:w="0" w:type="dxa"/>
        <w:tblLayout w:type="fixed"/>
        <w:tblCellMar>
          <w:top w:w="0" w:type="dxa"/>
          <w:left w:w="0" w:type="dxa"/>
          <w:bottom w:w="0" w:type="dxa"/>
          <w:right w:w="0" w:type="dxa"/>
        </w:tblCellMar>
      </w:tblPr>
      <w:tblGrid>
        <w:gridCol w:w="1445"/>
        <w:gridCol w:w="5585"/>
      </w:tblGrid>
      <w:tr>
        <w:trPr/>
        <w:tc>
          <w:tcPr>
            <w:tcW w:w="144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Philip R. Mays</w:t>
            </w:r>
          </w:p>
        </w:tc>
        <w:tc>
          <w:tcPr>
            <w:tcW w:w="558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Chief Financial Officer &amp; Treasurer</w:t>
            </w:r>
          </w:p>
        </w:tc>
      </w:tr>
    </w:tbl>
    <w:tbl>
      <w:tblPr>
        <w:tblW w:w="7510" w:type="dxa"/>
        <w:jc w:val="left"/>
        <w:tblInd w:w="0" w:type="dxa"/>
        <w:tblLayout w:type="fixed"/>
        <w:tblCellMar>
          <w:top w:w="0" w:type="dxa"/>
          <w:left w:w="0" w:type="dxa"/>
          <w:bottom w:w="0" w:type="dxa"/>
          <w:right w:w="0" w:type="dxa"/>
        </w:tblCellMar>
      </w:tblPr>
      <w:tblGrid>
        <w:gridCol w:w="1535"/>
        <w:gridCol w:w="5975"/>
      </w:tblGrid>
      <w:tr>
        <w:trPr/>
        <w:tc>
          <w:tcPr>
            <w:tcW w:w="153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Daniel E. Smith</w:t>
            </w:r>
          </w:p>
        </w:tc>
        <w:tc>
          <w:tcPr>
            <w:tcW w:w="59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General Counsel &amp; Corporate Secretary</w:t>
            </w:r>
          </w:p>
        </w:tc>
      </w:tr>
    </w:tbl>
    <w:tbl>
      <w:tblPr>
        <w:tblW w:w="6820" w:type="dxa"/>
        <w:jc w:val="left"/>
        <w:tblInd w:w="0" w:type="dxa"/>
        <w:tblLayout w:type="fixed"/>
        <w:tblCellMar>
          <w:top w:w="0" w:type="dxa"/>
          <w:left w:w="0" w:type="dxa"/>
          <w:bottom w:w="0" w:type="dxa"/>
          <w:right w:w="0" w:type="dxa"/>
        </w:tblCellMar>
      </w:tblPr>
      <w:tblGrid>
        <w:gridCol w:w="2090"/>
        <w:gridCol w:w="4730"/>
      </w:tblGrid>
      <w:tr>
        <w:trPr/>
        <w:tc>
          <w:tcPr>
            <w:tcW w:w="209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Steven R. Greathouse</w:t>
            </w:r>
          </w:p>
        </w:tc>
        <w:tc>
          <w:tcPr>
            <w:tcW w:w="473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&amp; Chief Investment Officer</w:t>
            </w:r>
          </w:p>
        </w:tc>
      </w:tr>
    </w:tbl>
    <w:tbl>
      <w:tblPr>
        <w:tblW w:w="6580" w:type="dxa"/>
        <w:jc w:val="left"/>
        <w:tblInd w:w="0" w:type="dxa"/>
        <w:tblLayout w:type="fixed"/>
        <w:tblCellMar>
          <w:top w:w="0" w:type="dxa"/>
          <w:left w:w="0" w:type="dxa"/>
          <w:bottom w:w="0" w:type="dxa"/>
          <w:right w:w="0" w:type="dxa"/>
        </w:tblCellMar>
      </w:tblPr>
      <w:tblGrid>
        <w:gridCol w:w="1775"/>
        <w:gridCol w:w="4805"/>
      </w:tblGrid>
      <w:tr>
        <w:trPr/>
        <w:tc>
          <w:tcPr>
            <w:tcW w:w="17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Lisa M. Vorakoun</w:t>
            </w:r>
          </w:p>
        </w:tc>
        <w:tc>
          <w:tcPr>
            <w:tcW w:w="480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Senior Vice President &amp; Chief Accounting Officer</w:t>
            </w:r>
          </w:p>
        </w:tc>
      </w:tr>
    </w:tbl>
    <w:tbl>
      <w:tblPr>
        <w:tblW w:w="2575" w:type="dxa"/>
        <w:jc w:val="left"/>
        <w:tblInd w:w="0" w:type="dxa"/>
        <w:tblLayout w:type="fixed"/>
        <w:tblCellMar>
          <w:top w:w="0" w:type="dxa"/>
          <w:left w:w="0" w:type="dxa"/>
          <w:bottom w:w="0" w:type="dxa"/>
          <w:right w:w="0" w:type="dxa"/>
        </w:tblCellMar>
      </w:tblPr>
      <w:tblGrid>
        <w:gridCol w:w="1775"/>
        <w:gridCol w:w="800"/>
      </w:tblGrid>
      <w:tr>
        <w:trPr/>
        <w:tc>
          <w:tcPr>
            <w:tcW w:w="177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Rachel Elias Wein</w:t>
            </w:r>
          </w:p>
        </w:tc>
        <w:tc>
          <w:tcPr>
            <w:tcW w:w="80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Director</w:t>
            </w:r>
          </w:p>
        </w:tc>
      </w:tr>
    </w:tbl>
    <w:tbl>
      <w:tblPr>
        <w:tblW w:w="2425" w:type="dxa"/>
        <w:jc w:val="left"/>
        <w:tblInd w:w="0" w:type="dxa"/>
        <w:tblLayout w:type="fixed"/>
        <w:tblCellMar>
          <w:top w:w="0" w:type="dxa"/>
          <w:left w:w="0" w:type="dxa"/>
          <w:bottom w:w="0" w:type="dxa"/>
          <w:right w:w="0" w:type="dxa"/>
        </w:tblCellMar>
      </w:tblPr>
      <w:tblGrid>
        <w:gridCol w:w="1625"/>
        <w:gridCol w:w="800"/>
      </w:tblGrid>
      <w:tr>
        <w:trPr/>
        <w:tc>
          <w:tcPr>
            <w:tcW w:w="162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M. Carson Good</w:t>
            </w:r>
          </w:p>
        </w:tc>
        <w:tc>
          <w:tcPr>
            <w:tcW w:w="80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Director</w:t>
            </w:r>
          </w:p>
        </w:tc>
      </w:tr>
    </w:tbl>
    <w:tbl>
      <w:tblPr>
        <w:tblW w:w="5380" w:type="dxa"/>
        <w:jc w:val="left"/>
        <w:tblInd w:w="0" w:type="dxa"/>
        <w:tblLayout w:type="fixed"/>
        <w:tblCellMar>
          <w:top w:w="0" w:type="dxa"/>
          <w:left w:w="0" w:type="dxa"/>
          <w:bottom w:w="0" w:type="dxa"/>
          <w:right w:w="0" w:type="dxa"/>
        </w:tblCellMar>
      </w:tblPr>
      <w:tblGrid>
        <w:gridCol w:w="2225"/>
        <w:gridCol w:w="3155"/>
      </w:tblGrid>
      <w:tr>
        <w:trPr/>
        <w:tc>
          <w:tcPr>
            <w:tcW w:w="222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Andrew C. Richardson</w:t>
            </w:r>
          </w:p>
        </w:tc>
        <w:tc>
          <w:tcPr>
            <w:tcW w:w="315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4"/>
              </w:rPr>
              <w:t xml:space="preserve">Director, Chairman of the Board </w:t>
            </w:r>
          </w:p>
        </w:tc>
      </w:tr>
    </w:tbl>
    <w:tbl>
      <w:tblPr>
        <w:tblW w:w="2785" w:type="dxa"/>
        <w:jc w:val="left"/>
        <w:tblInd w:w="0" w:type="dxa"/>
        <w:tblLayout w:type="fixed"/>
        <w:tblCellMar>
          <w:top w:w="0" w:type="dxa"/>
          <w:left w:w="0" w:type="dxa"/>
          <w:bottom w:w="0" w:type="dxa"/>
          <w:right w:w="0" w:type="dxa"/>
        </w:tblCellMar>
      </w:tblPr>
      <w:tblGrid>
        <w:gridCol w:w="1985"/>
        <w:gridCol w:w="800"/>
      </w:tblGrid>
      <w:tr>
        <w:trPr/>
        <w:tc>
          <w:tcPr>
            <w:tcW w:w="19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Brenna A. Wadleigh</w:t>
            </w:r>
          </w:p>
        </w:tc>
        <w:tc>
          <w:tcPr>
            <w:tcW w:w="8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Director</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Last Reviewed: January 28, 2026</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Last Amended: January 28, 2026</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Exhibit B, Page 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10" w:name="pine-20251231xex21d1.htm"/>
      <w:bookmarkStart w:id="1911" w:name="kspine20251231xex21d1"/>
      <w:bookmarkEnd w:id="1910"/>
      <w:bookmarkEnd w:id="1911"/>
      <w:r>
        <w:rPr>
          <w:rFonts w:ascii="Times New Roman;Times;serif" w:hAnsi="Times New Roman;Times;serif"/>
          <w:b/>
          <w:sz w:val="20"/>
        </w:rPr>
        <w:t>Exhibit 21.1</w:t>
      </w:r>
      <w:r>
        <w:br w:type="page"/>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Subsidiaries of the Registrant: Alpine Income Property Trust, Inc.</w:t>
      </w:r>
    </w:p>
    <w:p>
      <w:pPr>
        <w:pStyle w:val="TextBody"/>
        <w:bidi w:val="0"/>
        <w:spacing w:before="0" w:after="0"/>
        <w:ind w:left="0" w:right="0" w:hanging="0"/>
        <w:jc w:val="both"/>
        <w:rPr/>
      </w:pPr>
      <w:r>
        <w:rPr/>
        <w:t>​</w:t>
      </w:r>
    </w:p>
    <w:tbl>
      <w:tblPr>
        <w:tblW w:w="8682" w:type="dxa"/>
        <w:jc w:val="left"/>
        <w:tblInd w:w="0" w:type="dxa"/>
        <w:tblLayout w:type="fixed"/>
        <w:tblCellMar>
          <w:top w:w="0" w:type="dxa"/>
          <w:left w:w="0" w:type="dxa"/>
          <w:bottom w:w="0" w:type="dxa"/>
          <w:right w:w="0" w:type="dxa"/>
        </w:tblCellMar>
      </w:tblPr>
      <w:tblGrid>
        <w:gridCol w:w="3571"/>
        <w:gridCol w:w="109"/>
        <w:gridCol w:w="2101"/>
        <w:gridCol w:w="109"/>
        <w:gridCol w:w="2476"/>
        <w:gridCol w:w="316"/>
      </w:tblGrid>
      <w:tr>
        <w:trPr/>
        <w:tc>
          <w:tcPr>
            <w:tcW w:w="3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1334135" cy="175260"/>
                      <wp:effectExtent l="0" t="0" r="0" b="0"/>
                      <wp:wrapNone/>
                      <wp:docPr id="553" name="Frame553"/>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572260" cy="175260"/>
                      <wp:effectExtent l="0" t="0" r="0" b="0"/>
                      <wp:wrapNone/>
                      <wp:docPr id="554" name="Frame554"/>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0"/>
              <w:ind w:left="0" w:right="0" w:hanging="0"/>
              <w:jc w:val="left"/>
              <w:rPr/>
            </w:pPr>
            <w:r>
              <w:rPr/>
              <w:t>​</w:t>
            </w:r>
          </w:p>
        </w:tc>
      </w:tr>
      <w:tr>
        <w:trPr/>
        <w:tc>
          <w:tcPr>
            <w:tcW w:w="35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Organized Under Laws of</w:t>
            </w:r>
          </w:p>
        </w:tc>
        <w:tc>
          <w:tcPr>
            <w:tcW w:w="109" w:type="dxa"/>
            <w:tcBorders/>
            <w:vAlign w:val="center"/>
          </w:tcPr>
          <w:p>
            <w:pPr>
              <w:pStyle w:val="TableContents"/>
              <w:bidi w:val="0"/>
              <w:spacing w:before="0" w:after="0"/>
              <w:ind w:left="0" w:right="0" w:hanging="0"/>
              <w:jc w:val="left"/>
              <w:rPr/>
            </w:pPr>
            <w:r>
              <w:rPr/>
              <w:t>​</w:t>
            </w:r>
          </w:p>
        </w:tc>
        <w:tc>
          <w:tcPr>
            <w:tcW w:w="247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Percentage of Voting Securities</w:t>
              <w:br/>
              <w:t>Owned by Immediate Parent</w:t>
            </w:r>
          </w:p>
        </w:tc>
        <w:tc>
          <w:tcPr>
            <w:tcW w:w="316" w:type="dxa"/>
            <w:tcBorders/>
            <w:vAlign w:val="center"/>
          </w:tcPr>
          <w:p>
            <w:pPr>
              <w:pStyle w:val="TableContents"/>
              <w:bidi w:val="0"/>
              <w:spacing w:before="0" w:after="0"/>
              <w:ind w:left="0" w:right="0" w:hanging="0"/>
              <w:jc w:val="lef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Alpine Income Property GP,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Alpine Income Property OP, LP</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CTLC18 Lynn MA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CTO16 Reno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CTO17 Brandon FL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CTO17 Hillsboro OR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Albany GA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Birmingham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CTO19 Troy WI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Indigo Henry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Florida</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PINE MEX OH LLC </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PINE MEX OH 2 LLC </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Alpharetta GA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Georgetown TX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PINE19 Slaughter Austin TX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Barker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Bingham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Blanding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Chazy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Cut &amp; Shoot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Del Rio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Hammond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Harrisville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Heuvelton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Howell MI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Hurst TX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Kermit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Limestone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Milford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Newtonsville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Odessa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Salem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Seguin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Severn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Somerville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Tacoma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Tyn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Willis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PINE20 Winthrop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III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IX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VIII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Acquisitions X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Houston East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PINE21 Houston West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ACQ 3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Caesar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IN Lender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Malden MO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Maple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PINE22 Wash Mo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MM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PINE23 TN Lender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Concord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Coolray LLC fka PINE20 Sun WI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Downer's Grove LLC</w:t>
            </w:r>
          </w:p>
        </w:tc>
        <w:tc>
          <w:tcPr>
            <w:tcW w:w="109" w:type="dxa"/>
            <w:tcBorders/>
            <w:shd w:fill="CCEEFF" w:val="clear"/>
            <w:vAlign w:val="center"/>
          </w:tcPr>
          <w:p>
            <w:pPr>
              <w:pStyle w:val="TableContents"/>
              <w:bidi w:val="0"/>
              <w:spacing w:before="0" w:after="0"/>
              <w:ind w:left="0" w:right="0" w:hanging="0"/>
              <w:jc w:val="left"/>
              <w:rPr/>
            </w:pPr>
            <w:r>
              <w:rPr/>
              <w:t>​</w:t>
            </w:r>
          </w:p>
        </w:tc>
        <w:tc>
          <w:tcPr>
            <w:tcW w:w="210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24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Knoxville LLC</w:t>
            </w:r>
          </w:p>
        </w:tc>
        <w:tc>
          <w:tcPr>
            <w:tcW w:w="109" w:type="dxa"/>
            <w:tcBorders/>
            <w:vAlign w:val="center"/>
          </w:tcPr>
          <w:p>
            <w:pPr>
              <w:pStyle w:val="TableContents"/>
              <w:bidi w:val="0"/>
              <w:spacing w:before="0" w:after="0"/>
              <w:ind w:left="0" w:right="0" w:hanging="0"/>
              <w:jc w:val="left"/>
              <w:rPr/>
            </w:pPr>
            <w:r>
              <w:rPr/>
              <w:t>​</w:t>
            </w:r>
          </w:p>
        </w:tc>
        <w:tc>
          <w:tcPr>
            <w:tcW w:w="210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bl>
    <w:p>
      <w:pPr>
        <w:pStyle w:val="HorizontalLine"/>
        <w:pBdr>
          <w:bottom w:val="double" w:sz="2" w:space="0" w:color="808080"/>
        </w:pBdr>
        <w:bidi w:val="0"/>
        <w:spacing w:before="0" w:after="283"/>
        <w:jc w:val="left"/>
        <w:rPr/>
      </w:pPr>
      <w:r>
        <w:rPr/>
      </w:r>
    </w:p>
    <w:tbl>
      <w:tblPr>
        <w:tblW w:w="6387" w:type="dxa"/>
        <w:jc w:val="left"/>
        <w:tblInd w:w="0" w:type="dxa"/>
        <w:tblLayout w:type="fixed"/>
        <w:tblCellMar>
          <w:top w:w="0" w:type="dxa"/>
          <w:left w:w="0" w:type="dxa"/>
          <w:bottom w:w="0" w:type="dxa"/>
          <w:right w:w="0" w:type="dxa"/>
        </w:tblCellMar>
      </w:tblPr>
      <w:tblGrid>
        <w:gridCol w:w="4561"/>
        <w:gridCol w:w="109"/>
        <w:gridCol w:w="781"/>
        <w:gridCol w:w="109"/>
        <w:gridCol w:w="511"/>
        <w:gridCol w:w="316"/>
      </w:tblGrid>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Mt Carmel OH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Oceanside BH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Oceanside MV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Oceanside SB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PINE24 Short Pump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Canton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CR Austin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Cornerstone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El Paso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Freemont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Longcliff LLC fka PINE20 Arden NC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MM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MM 2 LLC fka PINE21 Sports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Orange Park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Ormond Beach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Palm Pike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Parham LLC fka CTO19 Winston Salem NC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Reno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Rivana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Riverpoint LLC fka PINE24 Clear Creek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Stockton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Stonedale fka PINE21 Acquisitions IV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Stone Mountain LLC fka PINE20 Highland KY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Tupelo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Westminster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PINE25 Willowbrook LLC fka PINE25 Feasterville LLC</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r>
        <w:trPr/>
        <w:tc>
          <w:tcPr>
            <w:tcW w:w="45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9603 Westheimer Road, LLC</w:t>
            </w:r>
          </w:p>
        </w:tc>
        <w:tc>
          <w:tcPr>
            <w:tcW w:w="109"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Delaware</w:t>
            </w:r>
          </w:p>
        </w:tc>
        <w:tc>
          <w:tcPr>
            <w:tcW w:w="109"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w:t>
            </w:r>
          </w:p>
        </w:tc>
      </w:tr>
    </w:tbl>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(1)    </w:t>
      </w:r>
      <w:r>
        <w:rPr>
          <w:rFonts w:ascii="Times New Roman;Times;serif" w:hAnsi="Times New Roman;Times;serif"/>
          <w:sz w:val="20"/>
        </w:rPr>
        <w:t>Alpine Income Property Trust, Inc. (the “Company”) is the sole member of Alpine Income Property GP, LLC (the “General Partner”).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(2)    </w:t>
      </w:r>
      <w:r>
        <w:rPr>
          <w:rFonts w:ascii="Times New Roman;Times;serif" w:hAnsi="Times New Roman;Times;serif"/>
          <w:sz w:val="20"/>
        </w:rPr>
        <w:t xml:space="preserve">The General Partner is the sole general partner of Alpine Income Property OP, LP (the “Operating Partnership”). The Company owns an approximate 92.4% common ownership interest in the Operating Partnership, with CTO Realty Growth, Inc. holding, directly and indirectly, an approximate 7.6% common ownership interest in the Operating Partnership.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5"/>
        </w:rPr>
        <w:t>(3)    </w:t>
      </w:r>
      <w:r>
        <w:rPr>
          <w:rFonts w:ascii="Times New Roman;Times;serif" w:hAnsi="Times New Roman;Times;serif"/>
          <w:sz w:val="20"/>
        </w:rPr>
        <w:t>The Operating Partnership is the sole member.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subsidiaries are included in the Consolidated and Combined Financial Statements of the Company and its subsidiaries appearing elsewhere in the Company’s Annual Report on Form 10-K for the year ended December 31, 2025.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12" w:name="pine-20251231xex23d1.htm"/>
      <w:bookmarkStart w:id="1913" w:name="kspine20251231xex23d1"/>
      <w:bookmarkEnd w:id="1912"/>
      <w:bookmarkEnd w:id="1913"/>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issued our report dated February 5, 2026 with respect to the consolidated financial statements included in the Annual Report of Alpine Income Property Trust, Inc. on Form 10-K for the year ended December 31, 2025. We consent to the incorporation by reference of said report in the Registration Statements of Alpine Income Property Trust, Inc. on Form S-3 (File No. 333-274724) and Form S-8 (File No 333-235256).</w:t>
      </w:r>
    </w:p>
    <w:p>
      <w:pPr>
        <w:pStyle w:val="TextBody"/>
        <w:bidi w:val="0"/>
        <w:spacing w:before="0" w:after="0"/>
        <w:ind w:left="0" w:right="0" w:hanging="0"/>
        <w:jc w:val="left"/>
        <w:rPr/>
      </w:pPr>
      <w:r>
        <w:rPr/>
        <w:t>​</w:t>
      </w:r>
    </w:p>
    <w:tbl>
      <w:tblPr>
        <w:tblW w:w="2382" w:type="dxa"/>
        <w:jc w:val="center"/>
        <w:tblInd w:w="0" w:type="dxa"/>
        <w:tblLayout w:type="fixed"/>
        <w:tblCellMar>
          <w:top w:w="0" w:type="dxa"/>
          <w:left w:w="0" w:type="dxa"/>
          <w:bottom w:w="0" w:type="dxa"/>
          <w:right w:w="0" w:type="dxa"/>
        </w:tblCellMar>
      </w:tblPr>
      <w:tblGrid>
        <w:gridCol w:w="2191"/>
        <w:gridCol w:w="19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391285" cy="29210"/>
                      <wp:effectExtent l="0" t="0" r="0" b="0"/>
                      <wp:wrapNone/>
                      <wp:docPr id="555" name="Frame555"/>
                      <a:graphic xmlns:a="http://schemas.openxmlformats.org/drawingml/2006/main">
                        <a:graphicData uri="http://schemas.microsoft.com/office/word/2010/wordprocessingShape">
                          <wps:wsp>
                            <wps:cNvSpPr txBox="1"/>
                            <wps:spPr>
                              <a:xfrm>
                                <a:off x="0" y="0"/>
                                <a:ext cx="139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21920" cy="29210"/>
                      <wp:effectExtent l="0" t="0" r="0" b="0"/>
                      <wp:wrapNone/>
                      <wp:docPr id="556" name="Frame556"/>
                      <a:graphic xmlns:a="http://schemas.openxmlformats.org/drawingml/2006/main">
                        <a:graphicData uri="http://schemas.microsoft.com/office/word/2010/wordprocessingShape">
                          <wps:wsp>
                            <wps:cNvSpPr txBox="1"/>
                            <wps:spPr>
                              <a:xfrm>
                                <a:off x="0" y="0"/>
                                <a:ext cx="12192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1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Grant Thornton LLP</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2191"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Charlotte, North Carolina</w:t>
            </w:r>
          </w:p>
        </w:tc>
        <w:tc>
          <w:tcPr>
            <w:tcW w:w="191" w:type="dxa"/>
            <w:tcBorders/>
            <w:vAlign w:val="center"/>
          </w:tcPr>
          <w:p>
            <w:pPr>
              <w:pStyle w:val="TableContents"/>
              <w:bidi w:val="0"/>
              <w:spacing w:before="0" w:after="0"/>
              <w:ind w:left="0" w:right="0" w:hanging="0"/>
              <w:jc w:val="left"/>
              <w:rPr/>
            </w:pPr>
            <w:r>
              <w:rPr/>
              <w:t> </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14" w:name="pine-20251231xex31d1.htm"/>
      <w:bookmarkStart w:id="1915" w:name="kspine20251231xex31d1"/>
      <w:bookmarkEnd w:id="1914"/>
      <w:bookmarkEnd w:id="191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John P. Albright, certify that: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1.    I have reviewed this annual report on Form 10-K of Alpine Income Property Trust, Inc.;</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718" w:type="dxa"/>
        <w:jc w:val="center"/>
        <w:tblInd w:w="0" w:type="dxa"/>
        <w:tblLayout w:type="fixed"/>
        <w:tblCellMar>
          <w:top w:w="0" w:type="dxa"/>
          <w:left w:w="0" w:type="dxa"/>
          <w:bottom w:w="0" w:type="dxa"/>
          <w:right w:w="0" w:type="dxa"/>
        </w:tblCellMar>
      </w:tblPr>
      <w:tblGrid>
        <w:gridCol w:w="1981"/>
        <w:gridCol w:w="406"/>
        <w:gridCol w:w="3331"/>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5, 2026</w:t>
            </w:r>
          </w:p>
        </w:tc>
        <w:tc>
          <w:tcPr>
            <w:tcW w:w="4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3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98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98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98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16" w:name="pine-20251231xex31d2.htm"/>
      <w:bookmarkStart w:id="1917" w:name="kspine20251231xex31d2"/>
      <w:bookmarkEnd w:id="1916"/>
      <w:bookmarkEnd w:id="191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Philip R. Mays, certify that: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1.    I have reviewed this annual report on Form 10-K of Alpine Income Property Trust, Inc.;</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753" w:type="dxa"/>
        <w:jc w:val="left"/>
        <w:tblInd w:w="0" w:type="dxa"/>
        <w:tblLayout w:type="fixed"/>
        <w:tblCellMar>
          <w:top w:w="0" w:type="dxa"/>
          <w:left w:w="0" w:type="dxa"/>
          <w:bottom w:w="0" w:type="dxa"/>
          <w:right w:w="0" w:type="dxa"/>
        </w:tblCellMar>
      </w:tblPr>
      <w:tblGrid>
        <w:gridCol w:w="1981"/>
        <w:gridCol w:w="406"/>
        <w:gridCol w:w="4366"/>
      </w:tblGrid>
      <w:tr>
        <w:trPr/>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257935" cy="350520"/>
                      <wp:effectExtent l="0" t="0" r="0" b="0"/>
                      <wp:wrapNone/>
                      <wp:docPr id="557" name="Frame557"/>
                      <a:graphic xmlns:a="http://schemas.openxmlformats.org/drawingml/2006/main">
                        <a:graphicData uri="http://schemas.microsoft.com/office/word/2010/wordprocessingShape">
                          <wps:wsp>
                            <wps:cNvSpPr txBox="1"/>
                            <wps:spPr>
                              <a:xfrm>
                                <a:off x="0" y="0"/>
                                <a:ext cx="1257935"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772410" cy="29210"/>
                      <wp:effectExtent l="0" t="0" r="0" b="0"/>
                      <wp:wrapNone/>
                      <wp:docPr id="558" name="Frame558"/>
                      <a:graphic xmlns:a="http://schemas.openxmlformats.org/drawingml/2006/main">
                        <a:graphicData uri="http://schemas.microsoft.com/office/word/2010/wordprocessingShape">
                          <wps:wsp>
                            <wps:cNvSpPr txBox="1"/>
                            <wps:spPr>
                              <a:xfrm>
                                <a:off x="0" y="0"/>
                                <a:ext cx="2772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6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PHILIP R. MAYS</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Philip R. Mays</w:t>
            </w:r>
          </w:p>
        </w:tc>
      </w:tr>
      <w:tr>
        <w:trPr/>
        <w:tc>
          <w:tcPr>
            <w:tcW w:w="19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w:t>
            </w:r>
          </w:p>
        </w:tc>
      </w:tr>
      <w:tr>
        <w:trPr/>
        <w:tc>
          <w:tcPr>
            <w:tcW w:w="19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Treasurer</w:t>
            </w:r>
          </w:p>
        </w:tc>
      </w:tr>
      <w:tr>
        <w:trPr/>
        <w:tc>
          <w:tcPr>
            <w:tcW w:w="19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18" w:name="pine-20251231xex32d1.htm"/>
      <w:bookmarkStart w:id="1919" w:name="kspine20251231xex32d1"/>
      <w:bookmarkEnd w:id="1918"/>
      <w:bookmarkEnd w:id="191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Alpine Income Property Trust, Inc. (the “Company”) on Form 10-K for the year ended December 31, 2025,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4978" w:type="dxa"/>
        <w:jc w:val="center"/>
        <w:tblInd w:w="0" w:type="dxa"/>
        <w:tblLayout w:type="fixed"/>
        <w:tblCellMar>
          <w:top w:w="0" w:type="dxa"/>
          <w:left w:w="0" w:type="dxa"/>
          <w:bottom w:w="0" w:type="dxa"/>
          <w:right w:w="0" w:type="dxa"/>
        </w:tblCellMar>
      </w:tblPr>
      <w:tblGrid>
        <w:gridCol w:w="1501"/>
        <w:gridCol w:w="146"/>
        <w:gridCol w:w="333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331"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146" w:type="dxa"/>
            <w:tcBorders/>
            <w:vAlign w:val="center"/>
          </w:tcPr>
          <w:p>
            <w:pPr>
              <w:pStyle w:val="TableContents"/>
              <w:bidi w:val="0"/>
              <w:spacing w:before="0" w:after="0"/>
              <w:ind w:left="0" w:right="0" w:hanging="0"/>
              <w:jc w:val="left"/>
              <w:rPr/>
            </w:pPr>
            <w:r>
              <w:rPr/>
              <w:t> </w:t>
            </w:r>
          </w:p>
        </w:tc>
        <w:tc>
          <w:tcPr>
            <w:tcW w:w="33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JOHN P. ALBRIGHT</w:t>
            </w:r>
          </w:p>
        </w:tc>
      </w:tr>
      <w:tr>
        <w:trPr/>
        <w:tc>
          <w:tcPr>
            <w:tcW w:w="1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John P. Albright</w:t>
            </w:r>
          </w:p>
        </w:tc>
      </w:tr>
      <w:tr>
        <w:trPr/>
        <w:tc>
          <w:tcPr>
            <w:tcW w:w="1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President and Chief Executive Officer</w:t>
            </w:r>
          </w:p>
        </w:tc>
      </w:tr>
      <w:tr>
        <w:trPr/>
        <w:tc>
          <w:tcPr>
            <w:tcW w:w="15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3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920" w:name="pine-20251231xex32d2.htm"/>
      <w:bookmarkStart w:id="1921" w:name="kspine20251231xex32d2"/>
      <w:bookmarkEnd w:id="1920"/>
      <w:bookmarkEnd w:id="192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Annual Report of Alpine Income Property Trust, Inc. (the “Company”) on Form 10-K for the year ended December 31,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6782" w:type="dxa"/>
        <w:jc w:val="left"/>
        <w:tblInd w:w="0" w:type="dxa"/>
        <w:tblLayout w:type="fixed"/>
        <w:tblCellMar>
          <w:top w:w="0" w:type="dxa"/>
          <w:left w:w="0" w:type="dxa"/>
          <w:bottom w:w="0" w:type="dxa"/>
          <w:right w:w="0" w:type="dxa"/>
        </w:tblCellMar>
      </w:tblPr>
      <w:tblGrid>
        <w:gridCol w:w="1501"/>
        <w:gridCol w:w="528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5281" w:type="dxa"/>
            <w:tcBorders/>
            <w:vAlign w:val="center"/>
          </w:tcPr>
          <w:p>
            <w:pPr>
              <w:pStyle w:val="TableContents"/>
              <w:bidi w:val="0"/>
              <w:spacing w:before="0" w:after="283"/>
              <w:ind w:left="0" w:right="0" w:hanging="0"/>
              <w:jc w:val="left"/>
              <w:rPr>
                <w:sz w:val="4"/>
                <w:szCs w:val="4"/>
              </w:rPr>
            </w:pPr>
            <w:r>
              <w:rPr>
                <w:sz w:val="4"/>
                <w:szCs w:val="4"/>
              </w:rPr>
            </w:r>
          </w:p>
        </w:tc>
      </w:tr>
      <w:tr>
        <w:trPr/>
        <w:tc>
          <w:tcPr>
            <w:tcW w:w="1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5, 2026</w:t>
            </w:r>
          </w:p>
        </w:tc>
        <w:tc>
          <w:tcPr>
            <w:tcW w:w="52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PHILIP R. MAYS</w:t>
            </w:r>
          </w:p>
        </w:tc>
      </w:tr>
      <w:tr>
        <w:trPr/>
        <w:tc>
          <w:tcPr>
            <w:tcW w:w="1501" w:type="dxa"/>
            <w:tcBorders/>
            <w:vAlign w:val="center"/>
          </w:tcPr>
          <w:p>
            <w:pPr>
              <w:pStyle w:val="TableContents"/>
              <w:bidi w:val="0"/>
              <w:spacing w:before="0" w:after="0"/>
              <w:ind w:left="0" w:right="0" w:hanging="0"/>
              <w:jc w:val="left"/>
              <w:rPr/>
            </w:pPr>
            <w:r>
              <w:rPr/>
              <w:t> </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Philip R. Mays</w:t>
            </w:r>
          </w:p>
        </w:tc>
      </w:tr>
      <w:tr>
        <w:trPr/>
        <w:tc>
          <w:tcPr>
            <w:tcW w:w="1501" w:type="dxa"/>
            <w:tcBorders/>
            <w:vAlign w:val="center"/>
          </w:tcPr>
          <w:p>
            <w:pPr>
              <w:pStyle w:val="TableContents"/>
              <w:bidi w:val="0"/>
              <w:spacing w:before="0" w:after="0"/>
              <w:ind w:left="0" w:right="0" w:hanging="0"/>
              <w:jc w:val="left"/>
              <w:rPr/>
            </w:pPr>
            <w:r>
              <w:rPr/>
              <w:t>​</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Senior Vice President, Chief Financial Officer and Treasurer</w:t>
            </w:r>
          </w:p>
        </w:tc>
      </w:tr>
      <w:tr>
        <w:trPr/>
        <w:tc>
          <w:tcPr>
            <w:tcW w:w="1501" w:type="dxa"/>
            <w:tcBorders/>
            <w:vAlign w:val="center"/>
          </w:tcPr>
          <w:p>
            <w:pPr>
              <w:pStyle w:val="TableContents"/>
              <w:bidi w:val="0"/>
              <w:spacing w:before="0" w:after="0"/>
              <w:ind w:left="0" w:right="0" w:hanging="0"/>
              <w:jc w:val="left"/>
              <w:rPr/>
            </w:pPr>
            <w:r>
              <w:rPr/>
              <w:t> </w:t>
            </w:r>
          </w:p>
        </w:tc>
        <w:tc>
          <w:tcPr>
            <w:tcW w:w="52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NewRomanPS-ItalicMT">
    <w:charset w:val="01"/>
    <w:family w:val="auto"/>
    <w:pitch w:val="default"/>
  </w:font>
  <w:font w:name="Courier New">
    <w:charset w:val="01"/>
    <w:family w:val="auto"/>
    <w:pitch w:val="default"/>
  </w:font>
  <w:font w:name="Times">
    <w:altName w:val="Times New Roman"/>
    <w:charset w:val="01"/>
    <w:family w:val="auto"/>
    <w:pitch w:val="default"/>
  </w:font>
  <w:font w:name="Cambri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6117/000155837019011294/ex-3d1.htm" TargetMode="External"/><Relationship Id="rId3" Type="http://schemas.openxmlformats.org/officeDocument/2006/relationships/hyperlink" Target="https://www.sec.gov/Archives/edgar/data/1786117/000155837023000881/pine-20230201xex3d1.htm" TargetMode="External"/><Relationship Id="rId4" Type="http://schemas.openxmlformats.org/officeDocument/2006/relationships/hyperlink" Target="https://www.sec.gov/Archives/edgar/data/1786117/000110465925109185/tm2530776d1_ex3-2.htm" TargetMode="External"/><Relationship Id="rId5" Type="http://schemas.openxmlformats.org/officeDocument/2006/relationships/hyperlink" Target="https://www.sec.gov/Archives/edgar/data/1786117/000110465925118920/tm2532814d1_ex3-1.htm" TargetMode="External"/><Relationship Id="rId6" Type="http://schemas.openxmlformats.org/officeDocument/2006/relationships/hyperlink" Target="https://www.sec.gov/Archives/edgar/data/1786117/000119312519277917/d793798dex41.htm" TargetMode="External"/><Relationship Id="rId7" Type="http://schemas.openxmlformats.org/officeDocument/2006/relationships/hyperlink" Target="https://www.sec.gov/Archives/edgar/data/1786117/000155837019011294/ex-10d1.htm" TargetMode="External"/><Relationship Id="rId8" Type="http://schemas.openxmlformats.org/officeDocument/2006/relationships/hyperlink" Target="https://www.sec.gov/Archives/edgar/data/1786117/000155837019011294/ex-10d2.htm" TargetMode="External"/><Relationship Id="rId9" Type="http://schemas.openxmlformats.org/officeDocument/2006/relationships/hyperlink" Target="https://www.sec.gov/Archives/edgar/data/1786117/000155837019011294/ex-10d3.htm" TargetMode="External"/><Relationship Id="rId10" Type="http://schemas.openxmlformats.org/officeDocument/2006/relationships/hyperlink" Target="https://www.sec.gov/Archives/edgar/data/1786117/000155837019011294/ex-10d4.htm" TargetMode="External"/><Relationship Id="rId11" Type="http://schemas.openxmlformats.org/officeDocument/2006/relationships/hyperlink" Target="https://www.sec.gov/Archives/edgar/data/1786117/000155837019011294/ex-10d5.htm" TargetMode="External"/><Relationship Id="rId12" Type="http://schemas.openxmlformats.org/officeDocument/2006/relationships/hyperlink" Target="https://www.sec.gov/Archives/edgar/data/1786117/000155837019011294/ex-10d6.htm" TargetMode="External"/><Relationship Id="rId13" Type="http://schemas.openxmlformats.org/officeDocument/2006/relationships/hyperlink" Target="https://www.sec.gov/Archives/edgar/data/1786117/000155837019011294/ex-10d8.htm" TargetMode="External"/><Relationship Id="rId14" Type="http://schemas.openxmlformats.org/officeDocument/2006/relationships/hyperlink" Target="https://www.sec.gov/Archives/edgar/data/1786117/000155837019011294/ex-10d10.htm" TargetMode="External"/><Relationship Id="rId15" Type="http://schemas.openxmlformats.org/officeDocument/2006/relationships/hyperlink" Target="https://www.sec.gov/Archives/edgar/data/1786117/000155837019011294/ex-10d11.htm" TargetMode="External"/><Relationship Id="rId16" Type="http://schemas.openxmlformats.org/officeDocument/2006/relationships/hyperlink" Target="https://www.sec.gov/Archives/edgar/data/1786117/000155837019011294/ex-10d13.htm" TargetMode="External"/><Relationship Id="rId17" Type="http://schemas.openxmlformats.org/officeDocument/2006/relationships/hyperlink" Target="https://www.sec.gov/Archives/edgar/data/1786117/000155837019011294/ex-10d14.htm" TargetMode="External"/><Relationship Id="rId18" Type="http://schemas.openxmlformats.org/officeDocument/2006/relationships/hyperlink" Target="https://www.sec.gov/Archives/edgar/data/1786117/000155837021000918/tmb-20210210xex10d1.htm" TargetMode="External"/><Relationship Id="rId19" Type="http://schemas.openxmlformats.org/officeDocument/2006/relationships/hyperlink" Target="https://www.sec.gov/Archives/edgar/data/1786117/000119312519300042/d839902dex101.htm" TargetMode="External"/><Relationship Id="rId20" Type="http://schemas.openxmlformats.org/officeDocument/2006/relationships/hyperlink" Target="https://www.sec.gov/Archives/edgar/data/1786117/000155837019011294/ex-10d17.htm" TargetMode="External"/><Relationship Id="rId21" Type="http://schemas.openxmlformats.org/officeDocument/2006/relationships/hyperlink" Target="https://www.sec.gov/Archives/edgar/data/1786117/000119312519287435/d793798dex1011.htm" TargetMode="External"/><Relationship Id="rId22" Type="http://schemas.openxmlformats.org/officeDocument/2006/relationships/hyperlink" Target="https://www.sec.gov/Archives/edgar/data/1786117/000155837024009917/pine-20240718xex10d1.htm" TargetMode="External"/><Relationship Id="rId23" Type="http://schemas.openxmlformats.org/officeDocument/2006/relationships/hyperlink" Target="https://www.sec.gov/Archives/edgar/data/1786117/000155837024015523/pine-20241108xex10d1.htm" TargetMode="External"/><Relationship Id="rId24" Type="http://schemas.openxmlformats.org/officeDocument/2006/relationships/hyperlink" Target="https://www.sec.gov/Archives/edgar/data/1786117/000155837025000687/pine-20241231xex10d24.htm" TargetMode="External"/><Relationship Id="rId25" Type="http://schemas.openxmlformats.org/officeDocument/2006/relationships/hyperlink" Target="https://www.sec.gov/Archives/edgar/data/1786117/000155837025000687/pine-20241231xex10d25.htm" TargetMode="External"/><Relationship Id="rId26" Type="http://schemas.openxmlformats.org/officeDocument/2006/relationships/hyperlink" Target="https://www.sec.gov/Archives/edgar/data/1786117/000110465925109223/tm2530776d2_ex10-1.htm" TargetMode="External"/><Relationship Id="rId27" Type="http://schemas.openxmlformats.org/officeDocument/2006/relationships/hyperlink" Target="https://www.sec.gov/Archives/edgar/data/1786117/000110465925109223/tm2530776d2_ex10-2.htm" TargetMode="External"/><Relationship Id="rId28" Type="http://schemas.openxmlformats.org/officeDocument/2006/relationships/hyperlink" Target="https://www.sec.gov/Archives/edgar/data/1786117/000110465925118920/tm2532814d1_ex10-1.htm" TargetMode="External"/><Relationship Id="rId29" Type="http://schemas.openxmlformats.org/officeDocument/2006/relationships/hyperlink" Target="https://www.sec.gov/Archives/edgar/data/1786117/000110465925118920/tm2532814d1_ex10-2.htm" TargetMode="External"/><Relationship Id="rId30" Type="http://schemas.openxmlformats.org/officeDocument/2006/relationships/hyperlink" Target="https://www.sec.gov/Archives/edgar/data/1786117/000155837024000899/pine-20231231xex97d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167754</Words>
  <Characters>892847</Characters>
  <CharactersWithSpaces>1059737</CharactersWithSpaces>
  <Paragraphs>14450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