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pine-20241231x10k.htm"/>
        <w:bookmarkStart w:id="1" w:name="kspine2024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ed77a7ac_2236_4147_a7f1_ef2521e3065b"/>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Washington, DC 20549</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           </w:t>
      </w:r>
      <w:r>
        <w:rPr>
          <w:rFonts w:ascii="Times New Roman;Times;serif" w:hAnsi="Times New Roman;Times;serif"/>
          <w:b/>
          <w:sz w:val="16"/>
        </w:rPr>
        <w:t>ANNUAL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2024</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to</w:t>
      </w:r>
      <w:r>
        <w:rPr>
          <w:rFonts w:ascii="Times New Roman;Times;serif" w:hAnsi="Times New Roman;Times;serif"/>
          <w:sz w:val="16"/>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001-39143</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ALPINE INCOME PROPERTY TRUST,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jAv2GSeeM0qN8NA8g9anXQ_3_1"/>
      <w:bookmarkStart w:id="4" w:name="Tc_HuAeOOwnsECf_P0WUnGQyg_3_0"/>
      <w:bookmarkStart w:id="5" w:name="Tc_LEsJmWGULUa6i-dxN1aNNA_2_1"/>
      <w:bookmarkStart w:id="6" w:name="Tc_brKPLsYInU-4vCtboeMUkw_2_0"/>
      <w:bookmarkStart w:id="7" w:name="_391b19ac_d944_4882_be45_f70e9c55e18a"/>
      <w:bookmarkStart w:id="8" w:name="Tc_jAv2GSeeM0qN8NA8g9anXQ_3_1"/>
      <w:bookmarkStart w:id="9" w:name="Tc_HuAeOOwnsECf_P0WUnGQyg_3_0"/>
      <w:bookmarkStart w:id="10" w:name="Tc_LEsJmWGULUa6i-dxN1aNNA_2_1"/>
      <w:bookmarkStart w:id="11" w:name="Tc_brKPLsYInU-4vCtboeMUkw_2_0"/>
      <w:bookmarkStart w:id="12" w:name="_391b19ac_d944_4882_be45_f70e9c55e18a"/>
      <w:bookmarkEnd w:id="8"/>
      <w:bookmarkEnd w:id="9"/>
      <w:bookmarkEnd w:id="10"/>
      <w:bookmarkEnd w:id="11"/>
      <w:bookmarkEnd w:id="12"/>
    </w:p>
    <w:tbl>
      <w:tblPr>
        <w:tblW w:w="3857" w:type="dxa"/>
        <w:jc w:val="left"/>
        <w:tblInd w:w="0" w:type="dxa"/>
        <w:tblLayout w:type="fixed"/>
        <w:tblCellMar>
          <w:top w:w="0" w:type="dxa"/>
          <w:left w:w="0" w:type="dxa"/>
          <w:bottom w:w="0" w:type="dxa"/>
          <w:right w:w="0" w:type="dxa"/>
        </w:tblCellMar>
      </w:tblPr>
      <w:tblGrid>
        <w:gridCol w:w="2371"/>
        <w:gridCol w:w="1486"/>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05585" cy="29210"/>
                      <wp:effectExtent l="0" t="0" r="0" b="0"/>
                      <wp:wrapNone/>
                      <wp:docPr id="1" name="Frame1"/>
                      <a:graphic xmlns:a="http://schemas.openxmlformats.org/drawingml/2006/main">
                        <a:graphicData uri="http://schemas.microsoft.com/office/word/2010/wordprocessingShape">
                          <wps:wsp>
                            <wps:cNvSpPr txBox="1"/>
                            <wps:spPr>
                              <a:xfrm>
                                <a:off x="0" y="0"/>
                                <a:ext cx="1505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43610" cy="29210"/>
                      <wp:effectExtent l="0" t="0" r="0" b="0"/>
                      <wp:wrapNone/>
                      <wp:docPr id="2"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Maryland</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84-2769895</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TXHUmEM3a0i1p8WlAKFnug_3_1"/>
      <w:bookmarkStart w:id="14" w:name="Tc_Ceiy_lb3BkyuVjtB0DOEMQ_3_0"/>
      <w:bookmarkStart w:id="15" w:name="Tc_nmRc52jWeUKwYuU80TEYWQ_2_0"/>
      <w:bookmarkStart w:id="16" w:name="Tc_VuJTBJLlokSwvnL7G1-6zA_1_0"/>
      <w:bookmarkStart w:id="17" w:name="_47b806e9_828f_4e6a_a806_575a83e22086"/>
      <w:bookmarkStart w:id="18" w:name="Tc_TXHUmEM3a0i1p8WlAKFnug_3_1"/>
      <w:bookmarkStart w:id="19" w:name="Tc_Ceiy_lb3BkyuVjtB0DOEMQ_3_0"/>
      <w:bookmarkStart w:id="20" w:name="Tc_nmRc52jWeUKwYuU80TEYWQ_2_0"/>
      <w:bookmarkStart w:id="21" w:name="Tc_VuJTBJLlokSwvnL7G1-6zA_1_0"/>
      <w:bookmarkStart w:id="22" w:name="_47b806e9_828f_4e6a_a806_575a83e22086"/>
      <w:bookmarkEnd w:id="18"/>
      <w:bookmarkEnd w:id="19"/>
      <w:bookmarkEnd w:id="20"/>
      <w:bookmarkEnd w:id="21"/>
      <w:bookmarkEnd w:id="22"/>
    </w:p>
    <w:tbl>
      <w:tblPr>
        <w:tblW w:w="3857" w:type="dxa"/>
        <w:jc w:val="left"/>
        <w:tblInd w:w="0" w:type="dxa"/>
        <w:tblLayout w:type="fixed"/>
        <w:tblCellMar>
          <w:top w:w="0" w:type="dxa"/>
          <w:left w:w="0" w:type="dxa"/>
          <w:bottom w:w="0" w:type="dxa"/>
          <w:right w:w="0" w:type="dxa"/>
        </w:tblCellMar>
      </w:tblPr>
      <w:tblGrid>
        <w:gridCol w:w="29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58010" cy="29210"/>
                      <wp:effectExtent l="0" t="0" r="0" b="0"/>
                      <wp:wrapNone/>
                      <wp:docPr id="3" name="Frame3"/>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29210"/>
                      <wp:effectExtent l="0" t="0" r="0" b="0"/>
                      <wp:wrapNone/>
                      <wp:docPr id="4" name="Frame4"/>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369 N. New York Avenue, Suite 201</w:t>
            </w:r>
            <w:r>
              <w:rPr>
                <w:rFonts w:ascii="Times New Roman;Times;serif" w:hAnsi="Times New Roman;Times;serif"/>
                <w:sz w:val="20"/>
              </w:rPr>
              <w:t xml:space="preserve"> </w:t>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Winter Park, Florida</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32789</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lineRule="auto" w:line="256" w:before="0" w:after="0"/>
        <w:ind w:left="0" w:right="0" w:hanging="0"/>
        <w:jc w:val="center"/>
        <w:rPr>
          <w:rFonts w:ascii="Times New Roman;Times;serif" w:hAnsi="Times New Roman;Times;serif"/>
          <w:b/>
          <w:sz w:val="16"/>
        </w:rPr>
      </w:pPr>
      <w:r>
        <w:rPr>
          <w:rFonts w:ascii="Times New Roman;Times;serif" w:hAnsi="Times New Roman;Times;serif"/>
          <w:b/>
          <w:sz w:val="16"/>
        </w:rPr>
        <w:t>(407) 904-3324</w:t>
      </w:r>
    </w:p>
    <w:p>
      <w:pPr>
        <w:pStyle w:val="TextBody"/>
        <w:bidi w:val="0"/>
        <w:spacing w:lineRule="auto" w:line="256" w:before="0" w:after="240"/>
        <w:ind w:left="0" w:right="0" w:hanging="0"/>
        <w:jc w:val="center"/>
        <w:rPr/>
      </w:pPr>
      <w:r>
        <w:rPr/>
        <w:t>​</w:t>
      </w:r>
    </w:p>
    <w:p>
      <w:pPr>
        <w:pStyle w:val="TextBody"/>
        <w:bidi w:val="0"/>
        <w:spacing w:lineRule="auto" w:line="256" w:before="0" w:after="240"/>
        <w:ind w:left="0" w:right="0" w:hanging="0"/>
        <w:jc w:val="center"/>
        <w:rPr/>
      </w:pPr>
      <w:r>
        <w:rPr/>
        <w:t>​</w:t>
      </w:r>
    </w:p>
    <w:p>
      <w:pPr>
        <w:pStyle w:val="TextBody"/>
        <w:bidi w:val="0"/>
        <w:spacing w:lineRule="auto" w:line="256"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lineRule="auto" w:line="256" w:before="0" w:after="240"/>
        <w:ind w:left="0" w:right="0" w:hanging="0"/>
        <w:jc w:val="both"/>
        <w:rPr/>
      </w:pPr>
      <w:r>
        <w:rPr/>
        <w:t>​</w:t>
      </w:r>
    </w:p>
    <w:p>
      <w:pPr>
        <w:pStyle w:val="Normal"/>
        <w:bidi w:val="0"/>
        <w:spacing w:before="0" w:after="0"/>
        <w:jc w:val="left"/>
        <w:rPr>
          <w:sz w:val="4"/>
          <w:szCs w:val="4"/>
        </w:rPr>
      </w:pPr>
      <w:r>
        <w:rPr>
          <w:sz w:val="4"/>
          <w:szCs w:val="4"/>
        </w:rPr>
      </w:r>
      <w:bookmarkStart w:id="23" w:name="Tc_3cR-EyT3u0-SiOkkzlbuDQ_2_4"/>
      <w:bookmarkStart w:id="24" w:name="Tc_bd_btDvmPk2HtZn88nC0vw_2_2"/>
      <w:bookmarkStart w:id="25" w:name="Tc_LjsuLtNrsUyKF-8YJoIRYA_2_0"/>
      <w:bookmarkStart w:id="26" w:name="Tc_75pxvZRTgU2LLbJg4_k01w_1_4"/>
      <w:bookmarkStart w:id="27" w:name="_95a3012e_9d60_4f8f_8a67_a69feed569bd"/>
      <w:bookmarkStart w:id="28" w:name="Tc_3cR-EyT3u0-SiOkkzlbuDQ_2_4"/>
      <w:bookmarkStart w:id="29" w:name="Tc_bd_btDvmPk2HtZn88nC0vw_2_2"/>
      <w:bookmarkStart w:id="30" w:name="Tc_LjsuLtNrsUyKF-8YJoIRYA_2_0"/>
      <w:bookmarkStart w:id="31" w:name="Tc_75pxvZRTgU2LLbJg4_k01w_1_4"/>
      <w:bookmarkStart w:id="32" w:name="_95a3012e_9d60_4f8f_8a67_a69feed569bd"/>
      <w:bookmarkEnd w:id="28"/>
      <w:bookmarkEnd w:id="29"/>
      <w:bookmarkEnd w:id="30"/>
      <w:bookmarkEnd w:id="31"/>
      <w:bookmarkEnd w:id="32"/>
    </w:p>
    <w:tbl>
      <w:tblPr>
        <w:tblW w:w="7585" w:type="dxa"/>
        <w:jc w:val="left"/>
        <w:tblInd w:w="0" w:type="dxa"/>
        <w:tblLayout w:type="fixed"/>
        <w:tblCellMar>
          <w:top w:w="0" w:type="dxa"/>
          <w:left w:w="0" w:type="dxa"/>
          <w:bottom w:w="0" w:type="dxa"/>
          <w:right w:w="0" w:type="dxa"/>
        </w:tblCellMar>
      </w:tblPr>
      <w:tblGrid>
        <w:gridCol w:w="3061"/>
        <w:gridCol w:w="326"/>
        <w:gridCol w:w="1276"/>
        <w:gridCol w:w="326"/>
        <w:gridCol w:w="259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256" w:before="0" w:after="0"/>
              <w:ind w:left="0" w:right="0" w:hanging="0"/>
              <w:jc w:val="left"/>
              <w:rPr/>
            </w:pPr>
            <w:r>
              <w:rPr/>
              <w:t>​</w:t>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256" w:before="0" w:after="0"/>
              <w:ind w:left="0" w:right="0" w:hanging="0"/>
              <w:jc w:val="left"/>
              <w:rPr/>
            </w:pPr>
            <w:r>
              <w:rPr/>
              <w:t>​</w:t>
            </w:r>
          </w:p>
        </w:tc>
        <w:tc>
          <w:tcPr>
            <w:tcW w:w="2596"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256" w:before="0" w:after="0"/>
              <w:ind w:left="0" w:right="0" w:hanging="0"/>
              <w:jc w:val="center"/>
              <w:rPr/>
            </w:pPr>
            <w:r>
              <w:rPr/>
              <w:t>    </w:t>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256" w:before="0" w:after="0"/>
              <w:ind w:left="0" w:right="0" w:hanging="0"/>
              <w:jc w:val="center"/>
              <w:rPr/>
            </w:pPr>
            <w:r>
              <w:rPr/>
              <w:t>    </w:t>
            </w:r>
          </w:p>
        </w:tc>
        <w:tc>
          <w:tcPr>
            <w:tcW w:w="2596" w:type="dxa"/>
            <w:tcBorders/>
            <w:vAlign w:val="center"/>
          </w:tcPr>
          <w:p>
            <w:pPr>
              <w:pStyle w:val="TableContents"/>
              <w:bidi w:val="0"/>
              <w:spacing w:lineRule="auto" w:line="256"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Name of each exchange on which </w:t>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24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vAlign w:val="center"/>
          </w:tcPr>
          <w:p>
            <w:pPr>
              <w:pStyle w:val="TableContents"/>
              <w:bidi w:val="0"/>
              <w:spacing w:before="0" w:after="240"/>
              <w:ind w:left="0" w:right="0" w:hanging="0"/>
              <w:jc w:val="center"/>
              <w:rPr/>
            </w:pPr>
            <w:r>
              <w:rPr/>
              <w:t>​</w:t>
            </w:r>
          </w:p>
        </w:tc>
        <w:tc>
          <w:tcPr>
            <w:tcW w:w="25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registered</w:t>
            </w:r>
          </w:p>
        </w:tc>
      </w:tr>
      <w:tr>
        <w:trPr/>
        <w:tc>
          <w:tcPr>
            <w:tcW w:w="30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COMMON STOCK, $0.01</w:t>
            </w:r>
            <w:r>
              <w:rPr>
                <w:rFonts w:ascii="Times New Roman;Times;serif" w:hAnsi="Times New Roman;Times;serif"/>
                <w:sz w:val="20"/>
              </w:rPr>
              <w:t xml:space="preserve"> </w:t>
            </w:r>
            <w:r>
              <w:rPr>
                <w:rFonts w:ascii="Times New Roman;Times;serif" w:hAnsi="Times New Roman;Times;serif"/>
                <w:b/>
                <w:sz w:val="16"/>
              </w:rPr>
              <w:t>PAR VALUE</w:t>
            </w:r>
          </w:p>
        </w:tc>
        <w:tc>
          <w:tcPr>
            <w:tcW w:w="32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PINE</w:t>
            </w:r>
          </w:p>
        </w:tc>
        <w:tc>
          <w:tcPr>
            <w:tcW w:w="326" w:type="dxa"/>
            <w:tcBorders/>
            <w:vAlign w:val="center"/>
          </w:tcPr>
          <w:p>
            <w:pPr>
              <w:pStyle w:val="TableContents"/>
              <w:bidi w:val="0"/>
              <w:spacing w:before="0" w:after="240"/>
              <w:ind w:left="0" w:right="0" w:hanging="0"/>
              <w:jc w:val="center"/>
              <w:rPr/>
            </w:pPr>
            <w:r>
              <w:rPr/>
              <w:t>​</w:t>
            </w:r>
          </w:p>
        </w:tc>
        <w:tc>
          <w:tcPr>
            <w:tcW w:w="25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NYSE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12(g) OF THE ACT: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240"/>
        <w:ind w:left="0" w:right="0" w:hanging="0"/>
        <w:jc w:val="center"/>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56" w:before="0" w:after="240"/>
        <w:ind w:left="0" w:right="0" w:hanging="0"/>
        <w:jc w:val="both"/>
        <w:rPr/>
      </w:pPr>
      <w:r>
        <w:rPr/>
        <w:t>​</w:t>
      </w:r>
    </w:p>
    <w:tbl>
      <w:tblPr>
        <w:tblW w:w="7384" w:type="dxa"/>
        <w:jc w:val="left"/>
        <w:tblInd w:w="0" w:type="dxa"/>
        <w:tblLayout w:type="fixed"/>
        <w:tblCellMar>
          <w:top w:w="0" w:type="dxa"/>
          <w:left w:w="0" w:type="dxa"/>
          <w:bottom w:w="0" w:type="dxa"/>
          <w:right w:w="0" w:type="dxa"/>
        </w:tblCellMar>
      </w:tblPr>
      <w:tblGrid>
        <w:gridCol w:w="1861"/>
        <w:gridCol w:w="1441"/>
        <w:gridCol w:w="1786"/>
        <w:gridCol w:w="229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81735" cy="29210"/>
                      <wp:effectExtent l="0" t="0" r="0" b="0"/>
                      <wp:wrapNone/>
                      <wp:docPr id="5" name="Frame5"/>
                      <a:graphic xmlns:a="http://schemas.openxmlformats.org/drawingml/2006/main">
                        <a:graphicData uri="http://schemas.microsoft.com/office/word/2010/wordprocessingShape">
                          <wps:wsp>
                            <wps:cNvSpPr txBox="1"/>
                            <wps:spPr>
                              <a:xfrm>
                                <a:off x="0" y="0"/>
                                <a:ext cx="1181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15035" cy="29210"/>
                      <wp:effectExtent l="0" t="0" r="0" b="0"/>
                      <wp:wrapNone/>
                      <wp:docPr id="6" name="Frame6"/>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134110" cy="29210"/>
                      <wp:effectExtent l="0" t="0" r="0" b="0"/>
                      <wp:wrapNone/>
                      <wp:docPr id="7" name="Frame7"/>
                      <a:graphic xmlns:a="http://schemas.openxmlformats.org/drawingml/2006/main">
                        <a:graphicData uri="http://schemas.microsoft.com/office/word/2010/wordprocessingShape">
                          <wps:wsp>
                            <wps:cNvSpPr txBox="1"/>
                            <wps:spPr>
                              <a:xfrm>
                                <a:off x="0" y="0"/>
                                <a:ext cx="1134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57960" cy="29210"/>
                      <wp:effectExtent l="0" t="0" r="0" b="0"/>
                      <wp:wrapNone/>
                      <wp:docPr id="8" name="Frame8"/>
                      <a:graphic xmlns:a="http://schemas.openxmlformats.org/drawingml/2006/main">
                        <a:graphicData uri="http://schemas.microsoft.com/office/word/2010/wordprocessingShape">
                          <wps:wsp>
                            <wps:cNvSpPr txBox="1"/>
                            <wps:spPr>
                              <a:xfrm>
                                <a:off x="0" y="0"/>
                                <a:ext cx="1457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61" w:type="dxa"/>
            <w:tcBorders/>
            <w:vAlign w:val="center"/>
          </w:tcPr>
          <w:p>
            <w:pPr>
              <w:pStyle w:val="TableContents"/>
              <w:bidi w:val="0"/>
              <w:spacing w:lineRule="auto" w:line="256"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lineRule="auto" w:line="256"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86" w:type="dxa"/>
            <w:tcBorders/>
            <w:vAlign w:val="center"/>
          </w:tcPr>
          <w:p>
            <w:pPr>
              <w:pStyle w:val="TableContents"/>
              <w:bidi w:val="0"/>
              <w:spacing w:lineRule="auto" w:line="256"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2296" w:type="dxa"/>
            <w:tcBorders/>
            <w:vAlign w:val="center"/>
          </w:tcPr>
          <w:p>
            <w:pPr>
              <w:pStyle w:val="TableContents"/>
              <w:bidi w:val="0"/>
              <w:spacing w:lineRule="auto" w:line="256" w:before="0" w:after="0"/>
              <w:ind w:left="0" w:right="0" w:hanging="0"/>
              <w:jc w:val="right"/>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r>
      <w:tr>
        <w:trPr/>
        <w:tc>
          <w:tcPr>
            <w:tcW w:w="1861" w:type="dxa"/>
            <w:tcBorders/>
            <w:vAlign w:val="center"/>
          </w:tcPr>
          <w:p>
            <w:pPr>
              <w:pStyle w:val="TableContents"/>
              <w:bidi w:val="0"/>
              <w:spacing w:lineRule="auto" w:line="256" w:before="0" w:after="0"/>
              <w:ind w:left="0" w:right="0" w:hanging="0"/>
              <w:jc w:val="center"/>
              <w:rPr/>
            </w:pPr>
            <w:r>
              <w:rPr/>
              <w:t> </w:t>
            </w:r>
          </w:p>
        </w:tc>
        <w:tc>
          <w:tcPr>
            <w:tcW w:w="1441" w:type="dxa"/>
            <w:tcBorders/>
            <w:vAlign w:val="center"/>
          </w:tcPr>
          <w:p>
            <w:pPr>
              <w:pStyle w:val="TableContents"/>
              <w:bidi w:val="0"/>
              <w:spacing w:lineRule="auto" w:line="256" w:before="0" w:after="0"/>
              <w:ind w:left="0" w:right="0" w:hanging="0"/>
              <w:jc w:val="center"/>
              <w:rPr/>
            </w:pPr>
            <w:r>
              <w:rPr/>
              <w:t> </w:t>
            </w:r>
          </w:p>
        </w:tc>
        <w:tc>
          <w:tcPr>
            <w:tcW w:w="1786" w:type="dxa"/>
            <w:tcBorders/>
            <w:vAlign w:val="center"/>
          </w:tcPr>
          <w:p>
            <w:pPr>
              <w:pStyle w:val="TableContents"/>
              <w:bidi w:val="0"/>
              <w:spacing w:lineRule="auto" w:line="256" w:before="0" w:after="0"/>
              <w:ind w:left="0" w:right="0" w:hanging="0"/>
              <w:jc w:val="left"/>
              <w:rPr/>
            </w:pPr>
            <w:r>
              <w:rPr/>
              <w:t> </w:t>
            </w:r>
          </w:p>
        </w:tc>
        <w:tc>
          <w:tcPr>
            <w:tcW w:w="2296" w:type="dxa"/>
            <w:tcBorders/>
            <w:vAlign w:val="center"/>
          </w:tcPr>
          <w:p>
            <w:pPr>
              <w:pStyle w:val="TableContents"/>
              <w:bidi w:val="0"/>
              <w:spacing w:lineRule="auto" w:line="256" w:before="0" w:after="0"/>
              <w:ind w:left="0" w:right="0" w:hanging="0"/>
              <w:jc w:val="right"/>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56" w:before="0" w:after="0"/>
        <w:ind w:left="0" w:right="0" w:hanging="0"/>
        <w:jc w:val="left"/>
        <w:rPr/>
      </w:pPr>
      <w:r>
        <w:rPr/>
        <w:t>​</w:t>
      </w:r>
    </w:p>
    <w:p>
      <w:pPr>
        <w:pStyle w:val="TextBody"/>
        <w:bidi w:val="0"/>
        <w:spacing w:lineRule="auto" w:line="256"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56" w:before="0" w:after="240"/>
        <w:ind w:left="0" w:right="0" w:hanging="0"/>
        <w:jc w:val="left"/>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xml:space="preserve"> ☐    </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Times;serif" w:hAnsi="Times New Roman;Times;serif"/>
          <w:sz w:val="20"/>
        </w:rPr>
        <w:t xml:space="preserve"> ☐    </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On June 28, 2024, the last business day of the Registrant’s most recently completed second fiscal quarter, the aggregate market value of the Registrant’s common stock held by non-affiliates of the Registrant was $192,841,102 based on the closing sales price of the Registrant’s common stock on such date as reported on the New York Stock Exchange. For purposes of this computation, all officers, directors and 10% beneficial owners of the Registrant’s common stock of which the Registrant is aware are deemed to be affiliates. Such determination should not be deemed to be an admission that such officers, directors or 10% beneficial owners are, in fact, affiliates of the Registrant.</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The number of shares of the registrant’s common stock outstanding on January 30, 2025 was 14,692,498.</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240"/>
        <w:ind w:left="0" w:right="0" w:hanging="0"/>
        <w:jc w:val="center"/>
        <w:rPr/>
      </w:pPr>
      <w:r>
        <w:rPr/>
        <w:t>​</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Portions of the registrant’s Proxy Statement for the 2025 Annual Meeting of Stockholders, which will be filed with the Securities and Exchange Commission within 120 days after the end of the registrant’s fiscal year ended December 31, 2024, are incorporated by reference in Part III of this report.</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3" w:name="_bed46c9f_c867_4754_80f0_9a078fdae354"/>
      <w:bookmarkStart w:id="34" w:name="TOC"/>
      <w:bookmarkEnd w:id="33"/>
      <w:bookmarkEnd w:id="3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326"/>
        <w:gridCol w:w="8021"/>
        <w:gridCol w:w="326"/>
        <w:gridCol w:w="72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093335" cy="29210"/>
                      <wp:effectExtent l="0" t="0" r="0" b="0"/>
                      <wp:wrapNone/>
                      <wp:docPr id="9" name="Frame9"/>
                      <a:graphic xmlns:a="http://schemas.openxmlformats.org/drawingml/2006/main">
                        <a:graphicData uri="http://schemas.microsoft.com/office/word/2010/wordprocessingShape">
                          <wps:wsp>
                            <wps:cNvSpPr txBox="1"/>
                            <wps:spPr>
                              <a:xfrm>
                                <a:off x="0" y="0"/>
                                <a:ext cx="5093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57835" cy="29210"/>
                      <wp:effectExtent l="0" t="0" r="0" b="0"/>
                      <wp:wrapNone/>
                      <wp:docPr id="10" name="Frame10"/>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02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_973964">
              <w:r>
                <w:rPr>
                  <w:rStyle w:val="InternetLink"/>
                  <w:rFonts w:ascii="Times New Roman;Times;serif" w:hAnsi="Times New Roman;Times;serif"/>
                  <w:b/>
                  <w:i w:val="false"/>
                  <w:caps w:val="false"/>
                  <w:smallCaps w:val="false"/>
                  <w:sz w:val="20"/>
                </w:rPr>
                <w:t>PART 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BUSINESS_896461">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BUSINESS_896461">
              <w:r>
                <w:rPr>
                  <w:rStyle w:val="InternetLink"/>
                  <w:rFonts w:ascii="Times New Roman;Times;serif" w:hAnsi="Times New Roman;Times;serif"/>
                  <w:b w:val="false"/>
                  <w:i w:val="false"/>
                  <w:caps w:val="false"/>
                  <w:smallCaps w:val="false"/>
                  <w:sz w:val="20"/>
                </w:rPr>
                <w:t>BUSINESS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1ARISKFACTORS_920857">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ARISKFACTORS_920857">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11" w:type="dxa"/>
            <w:tcBorders/>
            <w:vAlign w:val="center"/>
          </w:tcPr>
          <w:p>
            <w:pPr>
              <w:pStyle w:val="TableContents"/>
              <w:bidi w:val="0"/>
              <w:spacing w:before="0" w:after="0"/>
              <w:ind w:left="0" w:right="0" w:hanging="0"/>
              <w:jc w:val="left"/>
              <w:rPr/>
            </w:pPr>
            <w:hyperlink w:anchor="ITEM1BUNRESOLVEDSTAFFCOMMENTS_212658">
              <w:r>
                <w:rPr>
                  <w:rStyle w:val="InternetLink"/>
                  <w:rFonts w:ascii="Times New Roman;Times;serif" w:hAnsi="Times New Roman;Times;serif"/>
                  <w:b w:val="false"/>
                  <w:i w:val="false"/>
                  <w:caps w:val="false"/>
                  <w:smallCaps w:val="false"/>
                  <w:sz w:val="20"/>
                </w:rPr>
                <w:t>Item 1B.</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BUNRESOLVEDSTAFFCOMMENTS_212658">
              <w:r>
                <w:rPr>
                  <w:rStyle w:val="InternetLink"/>
                  <w:rFonts w:ascii="Times New Roman;Times;serif" w:hAnsi="Times New Roman;Times;serif"/>
                  <w:b w:val="false"/>
                  <w:i w:val="false"/>
                  <w:caps w:val="false"/>
                  <w:smallCaps w:val="false"/>
                  <w:sz w:val="20"/>
                </w:rPr>
                <w:t>UNRESOLVED STAFF COMMENTS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Item 1C.</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CYBERSECURITY</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2PROPERTIES_519156">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2PROPERTIES_519156">
              <w:r>
                <w:rPr>
                  <w:rStyle w:val="InternetLink"/>
                  <w:rFonts w:ascii="Times New Roman;Times;serif" w:hAnsi="Times New Roman;Times;serif"/>
                  <w:b w:val="false"/>
                  <w:i w:val="false"/>
                  <w:caps w:val="false"/>
                  <w:smallCaps w:val="false"/>
                  <w:sz w:val="20"/>
                </w:rPr>
                <w:t>PROPERTIES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hyperlink w:anchor="ITEM3LEGALPROCEEDINGS_42989">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3LEGALPROCEEDINGS_42989">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hyperlink w:anchor="ITEM4MINESAFETYDISCLOSURES_844828">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4MINESAFETYDISCLOSURES_844828">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I_948070">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hyperlink w:anchor="ITEM6SELECTEDFINANCIALDATA_762869">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Reserved_762107">
              <w:r>
                <w:rPr>
                  <w:rStyle w:val="InternetLink"/>
                  <w:rFonts w:ascii="Times New Roman;Times;serif" w:hAnsi="Times New Roman;Times;serif"/>
                  <w:b w:val="false"/>
                  <w:i w:val="false"/>
                  <w:caps w:val="false"/>
                  <w:smallCaps w:val="false"/>
                  <w:sz w:val="20"/>
                </w:rPr>
                <w:t>RESERVED</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1" w:type="dxa"/>
            <w:tcBorders/>
            <w:vAlign w:val="center"/>
          </w:tcPr>
          <w:p>
            <w:pPr>
              <w:pStyle w:val="TableContents"/>
              <w:bidi w:val="0"/>
              <w:spacing w:before="0" w:after="0"/>
              <w:ind w:left="0" w:right="0" w:hanging="0"/>
              <w:jc w:val="left"/>
              <w:rPr/>
            </w:pPr>
            <w:hyperlink w:anchor="ITEM9ACONTROLSANDPROCEDURES_752806">
              <w:r>
                <w:rPr>
                  <w:rStyle w:val="InternetLink"/>
                  <w:rFonts w:ascii="Times New Roman;Times;serif" w:hAnsi="Times New Roman;Times;serif"/>
                  <w:b w:val="false"/>
                  <w:i w:val="false"/>
                  <w:caps w:val="false"/>
                  <w:smallCaps w:val="false"/>
                  <w:sz w:val="20"/>
                </w:rPr>
                <w:t>Item 9A.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9ACONTROLSANDPROCEDURES_752806">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1" w:type="dxa"/>
            <w:tcBorders/>
            <w:vAlign w:val="center"/>
          </w:tcPr>
          <w:p>
            <w:pPr>
              <w:pStyle w:val="TableContents"/>
              <w:bidi w:val="0"/>
              <w:spacing w:before="0" w:after="0"/>
              <w:ind w:left="0" w:right="0" w:hanging="0"/>
              <w:jc w:val="left"/>
              <w:rPr/>
            </w:pPr>
            <w:hyperlink w:anchor="ITEM9BOTHERINFORMATION_64042">
              <w:r>
                <w:rPr>
                  <w:rStyle w:val="InternetLink"/>
                  <w:rFonts w:ascii="Times New Roman;Times;serif" w:hAnsi="Times New Roman;Times;serif"/>
                  <w:b w:val="false"/>
                  <w:i w:val="false"/>
                  <w:caps w:val="false"/>
                  <w:smallCaps w:val="false"/>
                  <w:sz w:val="20"/>
                </w:rPr>
                <w:t>Item 9B.</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9BOTHERINFORMATION_64042">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hyperlink w:anchor="DISCLOSUREREGARDINGFOREIGNJURISDICTIONST">
              <w:r>
                <w:rPr>
                  <w:rStyle w:val="InternetLink"/>
                  <w:rFonts w:ascii="Times New Roman;Times;serif" w:hAnsi="Times New Roman;Times;serif"/>
                  <w:b w:val="false"/>
                  <w:i w:val="false"/>
                  <w:caps w:val="false"/>
                  <w:smallCaps w:val="false"/>
                  <w:sz w:val="20"/>
                </w:rPr>
                <w:t>Item 9C.</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DISCLOSUREREGARDINGFOREIGNJURISDICTIONST">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II_476155">
              <w:r>
                <w:rPr>
                  <w:rStyle w:val="InternetLink"/>
                  <w:rFonts w:ascii="Times New Roman;Times;serif" w:hAnsi="Times New Roman;Times;serif"/>
                  <w:b/>
                  <w:i w:val="false"/>
                  <w:caps w:val="false"/>
                  <w:smallCaps w:val="false"/>
                  <w:sz w:val="20"/>
                </w:rPr>
                <w:t>PART III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hyperlink w:anchor="ITEM11EXECUTIVECOMPENSATION_918030">
              <w:r>
                <w:rPr>
                  <w:rStyle w:val="InternetLink"/>
                  <w:rFonts w:ascii="Times New Roman;Times;serif" w:hAnsi="Times New Roman;Times;serif"/>
                  <w:b w:val="false"/>
                  <w:i w:val="false"/>
                  <w:caps w:val="false"/>
                  <w:smallCaps w:val="false"/>
                  <w:sz w:val="20"/>
                </w:rPr>
                <w:t>Item 11.</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1EXECUTIVECOMPENSATION_918030">
              <w:r>
                <w:rPr>
                  <w:rStyle w:val="InternetLink"/>
                  <w:rFonts w:ascii="Times New Roman;Times;serif" w:hAnsi="Times New Roman;Times;serif"/>
                  <w:b w:val="false"/>
                  <w:i w:val="false"/>
                  <w:caps w:val="false"/>
                  <w:smallCaps w:val="false"/>
                  <w:sz w:val="20"/>
                </w:rPr>
                <w:t>EXECUTIVE COMPENSATION</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1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81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V_258754">
              <w:r>
                <w:rPr>
                  <w:rStyle w:val="InternetLink"/>
                  <w:rFonts w:ascii="Times New Roman;Times;serif" w:hAnsi="Times New Roman;Times;serif"/>
                  <w:b/>
                  <w:i w:val="false"/>
                  <w:caps w:val="false"/>
                  <w:smallCaps w:val="false"/>
                  <w:sz w:val="20"/>
                </w:rPr>
                <w:t>PART IV</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158" w:type="dxa"/>
            <w:gridSpan w:val="3"/>
            <w:tcBorders/>
            <w:vAlign w:val="center"/>
          </w:tcPr>
          <w:p>
            <w:pPr>
              <w:pStyle w:val="TableContents"/>
              <w:bidi w:val="0"/>
              <w:spacing w:before="0" w:after="0"/>
              <w:ind w:left="0" w:right="0" w:hanging="0"/>
              <w:jc w:val="left"/>
              <w:rPr/>
            </w:pPr>
            <w:hyperlink w:anchor="SIGNATURES_747870">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9158"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PARTI_973964"/>
      <w:bookmarkStart w:id="36" w:name="_9074975c_b4f2_4aa3_ae42_9a2e16aa345a"/>
      <w:bookmarkEnd w:id="35"/>
      <w:bookmarkEnd w:id="36"/>
      <w:r>
        <w:rPr>
          <w:rFonts w:ascii="Times New Roman;Times;serif" w:hAnsi="Times New Roman;Times;serif"/>
          <w:b/>
          <w:sz w:val="20"/>
        </w:rPr>
        <w:t>PART I</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When we refer to “we,” “us,” “our,” “PINE,” or “the Company,” we mean Alpine Income Property Trust, Inc. and its consolidated subsidiaries. References to “Notes to the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and higher interest rates;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See “Item 1A. Risk Factors” within this Annual Report on Form 10-K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Annual Report on Form 10-K.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sz w:val="20"/>
        </w:rPr>
      </w:pPr>
      <w:bookmarkStart w:id="37" w:name="ITEM1BUSINESS_896461"/>
      <w:bookmarkEnd w:id="37"/>
      <w:r>
        <w:rPr>
          <w:rFonts w:ascii="Times New Roman;Times;serif" w:hAnsi="Times New Roman;Times;serif"/>
          <w:b/>
          <w:sz w:val="20"/>
        </w:rPr>
        <w:t>ITEM 1.            BUSINESS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a real estate investment trust (“REIT”) that owns and operates a high-quality portfolio of commercial net lease properties all located in the United States. Our properties are primarily leased to industry leading, creditworthy tenants, many of which operate in industries we believe are resistant to the impact of e-commerce. Our portfolio consists of 134 net leased properties located in 35 states. The properties in our portfolio are primarily subject to long-term  leases, which generally require the tenant to pay directly or reimburse us for property operating expenses such as real estate taxes, insurance, assessments and other governmental fees, utilities, repairs and maintenance and certain capital expenditures. We may also acquire or originate commercial loans and investments. Our investments in commercial loans are generally secured by real estate or the borrower’s pledge of its ownership interest in an entity that owns real estate.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in two primary business segments: income properties and 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no employees and is externally managed by Alpine Income Property Manager, LLC (our “Manager”), a Delaware limited liability company and a wholly owned subsidiary of CTO Realty Growth, Inc. (NYSE: CTO) (“CTO”). CTO is a Maryland corporation that is a publicly traded diversified REIT and the sole member of our Manager.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commencing with its initial taxable year ended December 31, 2019. We believe we have been organized and have operated in such a manner as to qualify and maintain our qualification for taxation as a REIT under the U.S. federal income tax laws. We intend to continue to operate in such a manner, but no assurances can be given that we will continue to operate in such a manner as to qualify and maintain our qualification for taxation as a REIT under the U.S. federal income tax laws.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primary objective is to maximize cash flow and value per share by generating stable and growing cash flows and attractive risk-adjusted returns through the ownership, operation and growth through acquisition of a diversified portfolio of high-quality, net leased commercial properties with attractive long-term real estate fundamentals and through the investment of commercial loans secured by commercial real estate. The 134 properties in our income property portfolio are 98% occupied and represent 3.9 million of gross rentable square feet with leases that have a weighted average lease term of 8.7 years (weighting based on annualized base rent as of December 31, 2024). Our portfolio is representative of our investment strategy, which consists of one or more of the following core investment criteria:</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Attractive Locations</w:t>
            </w:r>
            <w:r>
              <w:rPr>
                <w:rFonts w:ascii="Times New Roman;Times;serif" w:hAnsi="Times New Roman;Times;serif"/>
                <w:b w:val="false"/>
                <w:i w:val="false"/>
                <w:caps w:val="false"/>
                <w:smallCaps w:val="false"/>
                <w:sz w:val="20"/>
              </w:rPr>
              <w:t>. The 134 properties in our portfolio represent 3.9 million gross rentable square feet, are 98% occupied, and are primarily located in, or in close proximity to major metropolitan statistical areas, or MSAs, and in markets in the United States with favorable economic and demographic conditions supporting the underlying businesses of our tenants. As of December 31, 2024, approximately 55% of our portfolio’s annualized base rent was derived from properties located in MSAs with populations greater than one million people.</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Creditworthy Tenants</w:t>
            </w:r>
            <w:r>
              <w:rPr>
                <w:rFonts w:ascii="Times New Roman;Times;serif" w:hAnsi="Times New Roman;Times;serif"/>
                <w:b w:val="false"/>
                <w:i w:val="false"/>
                <w:caps w:val="false"/>
                <w:smallCaps w:val="false"/>
                <w:sz w:val="20"/>
              </w:rPr>
              <w:t xml:space="preserve">. 51% of our portfolio’s annualized base rent as of December 31, 2024 was derived from tenants that have (or whose parent company has) an investment grade credit rating from a recognized credit rating agency. The Company defines an investment grade credit rating as a rating from S&amp;P Global Ratings, Moody’s Investors Service, Fitch Ratings or the National Association of Insurance Commissioners of Baa3, BBB-, or NAIC-2 or higher. If applicable, in the event of a split rating between S&amp;P Global Ratings and Moody’s Investors Services, the Company utilizes the higher of the two ratings as its reference point as to whether a tenant has an investment grade credit rating. </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Geographic Diversity</w:t>
            </w:r>
            <w:r>
              <w:rPr>
                <w:rFonts w:ascii="Times New Roman;Times;serif" w:hAnsi="Times New Roman;Times;serif"/>
                <w:b w:val="false"/>
                <w:i w:val="false"/>
                <w:caps w:val="false"/>
                <w:smallCaps w:val="false"/>
                <w:sz w:val="20"/>
              </w:rPr>
              <w:t>. Our portfolio is spread across 100 markets in 35 states. Our largest property, as measured by annualized base rent, is located in the Tampa-St. Petersburg, Florida MSA.</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98% Occupied with Primarily Long Duration Leases</w:t>
            </w:r>
            <w:r>
              <w:rPr>
                <w:rFonts w:ascii="Times New Roman;Times;serif" w:hAnsi="Times New Roman;Times;serif"/>
                <w:b w:val="false"/>
                <w:i w:val="false"/>
                <w:caps w:val="false"/>
                <w:smallCaps w:val="false"/>
                <w:sz w:val="20"/>
              </w:rPr>
              <w:t>. Our portfolio is 98% occupied. The leases in our portfolio have a weighted average remaining lease term of 8.7 years (weighted based on annualized base rent as of December 31, 2024).</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our income property portfolio, as of December 31, 2024, our business included a portfolio of nine commercial loan investments secured by real estate, of which three were acquired pursuant to a sale-leaseback transaction whereby the tenant has a future repurchase right.</w:t>
      </w:r>
    </w:p>
    <w:p>
      <w:pPr>
        <w:pStyle w:val="TextBody"/>
        <w:bidi w:val="0"/>
        <w:spacing w:before="0" w:after="0"/>
        <w:ind w:left="0" w:right="0" w:firstLine="360"/>
        <w:jc w:val="both"/>
        <w:rPr/>
      </w:pPr>
      <w:r>
        <w:rPr/>
        <w:t>​</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Organization</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The Company is a Maryland corporation formed on August 19, 2019. On November 26, 2019, the Company closed its initial public offering (“IPO”). Our common stock is listed on the New York Stock Exchange (“NYSE”) under the symbol “PINE.” We sold 7,500,000 shares of our common stock at $19.00 per share in the IPO. CTO purchased 421,053 of the shares of our common stock that we sold in the IPO. Concurrently with the closing of the IPO, CTO invested $15.5 million in exchange for 815,790 shares of our common stock (the “CTO Private Placement”). We refer to the IPO, the CTO Private Placement, and the other transactions executed at the time of our listing on the NYSE collectively as the “Formation Transactions.” See Note 19, “Related Party Management Company” in the Notes to the Financial Statements for the Company’s disclosure related to CTO’s purchase of PINE common stock subsequent to the IPO.</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We are externally managed by our Manager and conduct the substantial majority of our operations through, and substantially all of our assets are held by, Alpine Income Property OP, LP (the “Operating Partnership”). Our wholly owned subsidiary, Alpine Income Property GP, LLC (“PINE GP”), is the sole general partner of the Operating Partnership. As of December 31, 2024, we have a total ownership interest in the Operating Partnership of 92.3%, with CTO holding, directly and indirectly, a 7.7%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Each limited partner of the Operating Partnership has the right to require the Operating Partnership to redeem part or all of its units of the Operating Partnership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 Each redemption of OP Units will increase our percentage ownership interest in the Operating Partnership and our share of its cash distributions and profits and losses.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Capital Markets</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i/>
          <w:sz w:val="20"/>
        </w:rPr>
        <w:t xml:space="preserve">Equity. </w:t>
      </w:r>
      <w:r>
        <w:rPr>
          <w:rFonts w:ascii="Times New Roman;Times;serif" w:hAnsi="Times New Roman;Times;serif"/>
          <w:sz w:val="20"/>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(the “SEC”) declared the 2020 Registration Statement effective on December 11, 2020.</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its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 declared the 2023 Registration Statement effective on September 29, 2023.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was not active under the 2020 ATM Program during the year ended December 31, 2020. The 2020 ATM Program was terminated in advance of implementing the 2022 ATM Program, hereinafter defined.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 As of December 31, 2024, we have $90.4 million of availability under the 2022 ATM Program.</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Debt</w:t>
      </w:r>
      <w:r>
        <w:rPr>
          <w:rFonts w:ascii="Times New Roman;Times;serif" w:hAnsi="Times New Roman;Times;serif"/>
          <w:sz w:val="20"/>
        </w:rPr>
        <w:t>. Credit Facility. On September 30, 2022, the Company and the Operating Partnership entered into a credit agreement (the “2022 Amended and Restated Credit Agreement”) with KeyBank National Association, as administrative agent, and certain other lenders named therein, which amended and restated the 2027 Term Loan Credit Agreement (hereinafter defined) to include, among other things: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origination of a new senior unsecured revolving credit facility in the amount of $250 million (the “Credit Facility”) which matures on January 31, 2027, with the option to extend for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an accordion option that allows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to request additional revolving loan commitments and additional term loan commitments, provided the aggregate amount of revolving loan commitments and term loan commitments shall not exceed $750 million;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 of certain financial covenants;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the addition of a sustainability-linked pricing component pursuant to which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will receive interest rate reductions up to 0.025% based on performance against sustainability performance targets.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2022 Amended and Restated Credit Agreement, the indebtedness outstanding under the Credit Facility accrues at a rate ranging from SOFR plus 0.10% plus a range of 125 basis points to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2026 Term Loan. On May 21, 2021, the Operating Partnership, the Company and certain subsidiaries of the Company 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5, 2022, the Company entered into an amendment which, among other things, amends certain financial covenants and adds a sustainability-linked pricing component consistent with what is contained in the 2022 Amended and Restated Credit Agreement (the “2026 Term Loan Second Amendment”), effective September 30, 2022.</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2027 Term Loan. 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Amendment”), which increased the Term Commitment by $20 million to an aggregate of $100 million. The 2027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Mortgage Notes Payable. On June 30, 2021, in connection with the acquisition of six net lease properties from CTO (the “CMBS Portfolio”), the Company assumed an existing $30.0 million secured mortgage, which bears interest at a fixed rate of 4.33% (the “CMBS Loan”). On December 1, 2022, the Company completed the defeasance of the CMBS Loan, unencumbering the CMBS Portfolio. The Company sold four of the six properties subsequent to the defeasance, during the year ended December 31, 2022.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Market Opportunity</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that investor demand remains resilient for the net lease industry with the total addressable market continuing to expand through sale-leaseback transactions and new developments. Unlike a gross lease, which places the financial responsibility for most expenses with the property owner, the net lease structure shifts the majority or entirety of costs for property taxes, insurance, maintenance and often utilities and capital expenditures, to the lessee, in addition to rent payments. Net leases are generally executed for an initial term of 10 to 15 years, but 20- and 25-year leases are not uncommon. Lease agreements often include multiple options for the tenant to extend and may include terms for periodic rent increases. Comparatively, multi-tenant commercial real estate properties under gross leases often have average initial lease terms between five and ten years with shorter or fewer options to extend. Rent escalation is also commonly embedded in the net lease terms as a specified percentage increase of existing rent per year or determined by reference to an inflation measure such as the Consumer Price Index. With cash flows that are intended to be passive, stable and paid at regular intervals, net leased real estate is similar, in many ways, to interest-bearing corporate bonds, but with the additional potential for appreciation in the value of the underlying property.</w:t>
      </w:r>
    </w:p>
    <w:p>
      <w:pPr>
        <w:pStyle w:val="TextBody"/>
        <w:bidi w:val="0"/>
        <w:spacing w:before="0" w:after="240"/>
        <w:ind w:left="0" w:right="0" w:firstLine="36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Investment Strategy</w:t>
      </w:r>
    </w:p>
    <w:p>
      <w:pPr>
        <w:pStyle w:val="TextBody"/>
        <w:bidi w:val="0"/>
        <w:spacing w:before="0" w:after="240"/>
        <w:ind w:left="0" w:right="0" w:firstLine="360"/>
        <w:jc w:val="both"/>
        <w:rPr/>
      </w:pPr>
      <w:r>
        <w:rPr/>
        <w:t>​</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the net leased properties we own and intend to acquire will provide our stockholders with investment diversification and can deliver strong risk-adjusted returns. We expect the majority of our net leased properties will be retail properties. We believe the risk-adjusted returns for retail properties within our portfolio are compelling and offer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attractive investment yields, rental rates at or below prevailing market rental rates and an investment basis below replacement cost.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may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The Company seeks to invest in commercial loans and investments secured by real estate with the same general fundamentals as our net lease property investments.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Property Portfolio</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the Company owned 134 properties in 35 states. The following is a summary of the relevant leases attributable to these properties: </w:t>
      </w:r>
    </w:p>
    <w:p>
      <w:pPr>
        <w:pStyle w:val="TextBody"/>
        <w:bidi w:val="0"/>
        <w:spacing w:before="0" w:after="0"/>
        <w:ind w:left="0" w:right="0" w:firstLine="360"/>
        <w:jc w:val="both"/>
        <w:rPr/>
      </w:pPr>
      <w:r>
        <w:rPr/>
        <w:t>​</w:t>
      </w:r>
    </w:p>
    <w:tbl>
      <w:tblPr>
        <w:tblW w:w="7752" w:type="dxa"/>
        <w:jc w:val="left"/>
        <w:tblInd w:w="0" w:type="dxa"/>
        <w:tblLayout w:type="fixed"/>
        <w:tblCellMar>
          <w:top w:w="0" w:type="dxa"/>
          <w:left w:w="0" w:type="dxa"/>
          <w:bottom w:w="0" w:type="dxa"/>
          <w:right w:w="0" w:type="dxa"/>
        </w:tblCellMar>
      </w:tblPr>
      <w:tblGrid>
        <w:gridCol w:w="1861"/>
        <w:gridCol w:w="109"/>
        <w:gridCol w:w="1666"/>
        <w:gridCol w:w="109"/>
        <w:gridCol w:w="1486"/>
        <w:gridCol w:w="226"/>
        <w:gridCol w:w="412"/>
        <w:gridCol w:w="1883"/>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81735" cy="175260"/>
                      <wp:effectExtent l="0" t="0" r="0" b="0"/>
                      <wp:wrapNone/>
                      <wp:docPr id="11" name="Frame11"/>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057910" cy="175260"/>
                      <wp:effectExtent l="0" t="0" r="0" b="0"/>
                      <wp:wrapNone/>
                      <wp:docPr id="13" name="Frame13"/>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43610" cy="175260"/>
                      <wp:effectExtent l="0" t="0" r="0" b="0"/>
                      <wp:wrapNone/>
                      <wp:docPr id="15" name="Frame1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61620" cy="175260"/>
                      <wp:effectExtent l="0" t="0" r="0" b="0"/>
                      <wp:wrapNone/>
                      <wp:docPr id="17" name="Frame1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195705" cy="175260"/>
                      <wp:effectExtent l="0" t="0" r="0" b="0"/>
                      <wp:wrapNone/>
                      <wp:docPr id="18" name="Frame18"/>
                      <a:graphic xmlns:a="http://schemas.openxmlformats.org/drawingml/2006/main">
                        <a:graphicData uri="http://schemas.microsoft.com/office/word/2010/wordprocessingShape">
                          <wps:wsp>
                            <wps:cNvSpPr txBox="1"/>
                            <wps:spPr>
                              <a:xfrm>
                                <a:off x="0" y="0"/>
                                <a:ext cx="1195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Description</w:t>
            </w:r>
          </w:p>
        </w:tc>
        <w:tc>
          <w:tcPr>
            <w:tcW w:w="109" w:type="dxa"/>
            <w:tcBorders/>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Location</w:t>
            </w:r>
          </w:p>
        </w:tc>
        <w:tc>
          <w:tcPr>
            <w:tcW w:w="109"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Rentable Square Feet</w:t>
            </w:r>
          </w:p>
        </w:tc>
        <w:tc>
          <w:tcPr>
            <w:tcW w:w="226" w:type="dxa"/>
            <w:tcBorders/>
            <w:vAlign w:val="center"/>
          </w:tcPr>
          <w:p>
            <w:pPr>
              <w:pStyle w:val="TableContents"/>
              <w:bidi w:val="0"/>
              <w:spacing w:before="0" w:after="0"/>
              <w:ind w:left="0" w:right="0" w:hanging="0"/>
              <w:jc w:val="left"/>
              <w:rPr/>
            </w:pPr>
            <w:r>
              <w:rPr/>
              <w:t>​</w:t>
            </w:r>
          </w:p>
        </w:tc>
        <w:tc>
          <w:tcPr>
            <w:tcW w:w="229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Annualized Base Rent ($000's) </w:t>
            </w:r>
            <w:r>
              <w:rPr>
                <w:rFonts w:ascii="Times New Roman;Times;serif" w:hAnsi="Times New Roman;Times;serif"/>
                <w:b/>
                <w:sz w:val="11"/>
              </w:rPr>
              <w:t>(1)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Beachside Hospitality Group</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Anna Maria, FL</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10,600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1,996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Victor, NY</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120,908</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Howell, MI</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214,172</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1,369</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Bass Pro Shops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Hermantown, MN</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66,033</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Knoxville, TN</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142,092</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BJ's Wholesale Club</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108,532</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Beachside Hospitality Group</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Bradenton Beach, FL</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22,131</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1,168</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 Home</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108,338</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Houston, TX</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131,644</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Kohl's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Chandler, AZ</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86,584</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Logan, WV</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114,731</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870</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Richland Hills, TX</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70,891</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 Home</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Canton, OH</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89,902</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801</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Adrian, MI</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101,287</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703</w:t>
            </w:r>
          </w:p>
        </w:tc>
      </w:tr>
      <w:tr>
        <w:trPr/>
        <w:tc>
          <w:tcPr>
            <w:tcW w:w="18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Home Depot</w:t>
            </w:r>
            <w:r>
              <w:rPr>
                <w:rFonts w:ascii="Times New Roman;Times;serif" w:hAnsi="Times New Roman;Times;serif"/>
                <w:sz w:val="14"/>
              </w:rPr>
              <w:t xml:space="preserve"> </w:t>
            </w:r>
            <w:r>
              <w:rPr>
                <w:rFonts w:ascii="Times New Roman;Times;serif" w:hAnsi="Times New Roman;Times;serif"/>
                <w:sz w:val="11"/>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Woodridge, IL</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110,626</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Downers Grove, IL</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62,860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Beachside Hospitality Group</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Longboat Key, FL</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6,520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 Home</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Turnersville, NJ</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89,460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Live Nation</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East Troy, WI</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1"/>
              </w:rPr>
              <w:t>(2)</w:t>
            </w:r>
            <w:r>
              <w:rPr>
                <w:rFonts w:ascii="Times New Roman;Times;serif" w:hAnsi="Times New Roman;Times;serif"/>
                <w:sz w:val="14"/>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Downers Grove, IL</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38,297</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630</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Academy Sports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Florence, SC</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58,410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Fremont, OH</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125,357</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Chesterfield, MI</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49,979</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Crunch Fitness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Buford, GA</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24,800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Feasterville-Trevose, PA</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509</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Lafayette, LA</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45,611</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AMC</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Tyngsborough, MA</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39,474</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Sportsman's Warehouse</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Morgantown, WV</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30,547</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McDonough, GA</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46,315</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Party City</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Oceanside, NY</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15,500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490</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Blackwood, NJ</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Glen Allen, VA</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23,635</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458</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Old Time Pottery</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Orange Park, FL</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84,180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West Hartford, CT</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12,805</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430</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Brick, NJ</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14,550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Dayton, OH</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45,535</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409</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CVS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Baton Rouge, LA</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13,813</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HomeGoods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30,006</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375</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Verizon</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6,034</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Home Depot</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125,218</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Decatur, IL</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McDonough, GA</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30,038</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338</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Edgewater, MD</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Verizon</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Turnersville, NJ</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6,027</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Michaels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24,000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Old Time Pottery</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West Chicago, IL</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78,721</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Office Depot</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Albuquerque, NM</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30,346</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20,460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Ashley HomeStore</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Dayton, OH</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33,310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Taylorville, IL</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14,550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Tacoma, WA</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14,125</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Albany, GA</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14,770</w:t>
            </w:r>
          </w:p>
        </w:tc>
        <w:tc>
          <w:tcPr>
            <w:tcW w:w="2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center"/>
              <w:rPr/>
            </w:pPr>
            <w:r>
              <w:rPr/>
              <w:t>​</w:t>
            </w:r>
          </w:p>
        </w:tc>
        <w:tc>
          <w:tcPr>
            <w:tcW w:w="188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258</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Hempstead, TX</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52,190</w:t>
            </w:r>
          </w:p>
        </w:tc>
        <w:tc>
          <w:tcPr>
            <w:tcW w:w="2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center"/>
              <w:rPr/>
            </w:pPr>
            <w:r>
              <w:rPr/>
              <w:t>​</w:t>
            </w:r>
          </w:p>
        </w:tc>
        <w:tc>
          <w:tcPr>
            <w:tcW w:w="1883" w:type="dxa"/>
            <w:tcBorders/>
            <w:vAlign w:val="center"/>
          </w:tcPr>
          <w:p>
            <w:pPr>
              <w:pStyle w:val="TableContents"/>
              <w:bidi w:val="0"/>
              <w:spacing w:before="0" w:after="0"/>
              <w:ind w:left="0" w:right="48" w:hanging="0"/>
              <w:jc w:val="right"/>
              <w:rPr>
                <w:rFonts w:ascii="Times New Roman;Times;serif" w:hAnsi="Times New Roman;Times;serif"/>
                <w:sz w:val="15"/>
              </w:rPr>
            </w:pPr>
            <w:r>
              <w:rPr>
                <w:rFonts w:ascii="Times New Roman;Times;serif" w:hAnsi="Times New Roman;Times;serif"/>
                <w:sz w:val="15"/>
              </w:rPr>
              <w:t>253</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550" w:type="dxa"/>
        <w:jc w:val="left"/>
        <w:tblInd w:w="0" w:type="dxa"/>
        <w:tblLayout w:type="fixed"/>
        <w:tblCellMar>
          <w:top w:w="0" w:type="dxa"/>
          <w:left w:w="0" w:type="dxa"/>
          <w:bottom w:w="0" w:type="dxa"/>
          <w:right w:w="0" w:type="dxa"/>
        </w:tblCellMar>
      </w:tblPr>
      <w:tblGrid>
        <w:gridCol w:w="1696"/>
        <w:gridCol w:w="109"/>
        <w:gridCol w:w="1516"/>
        <w:gridCol w:w="109"/>
        <w:gridCol w:w="526"/>
        <w:gridCol w:w="109"/>
        <w:gridCol w:w="109"/>
        <w:gridCol w:w="376"/>
      </w:tblGrid>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Marshalls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22,910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Malden, MO</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48,081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Circle K</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Indianapolis, IN</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4,283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Nawabi Hyderabad House</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7,480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Glen Burnie, MD</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14,490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228</w:t>
            </w:r>
          </w:p>
        </w:tc>
      </w:tr>
      <w:tr>
        <w:trPr/>
        <w:tc>
          <w:tcPr>
            <w:tcW w:w="169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7-Eleven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Olathe, KS</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4,165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Office Depot</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Gadsden, AL</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23,638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217</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Boot Barn</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10,037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Lynn, MA</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9,228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IN</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5,108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City, FL</w:t>
            </w:r>
          </w:p>
        </w:tc>
        <w:tc>
          <w:tcPr>
            <w:tcW w:w="109" w:type="dxa"/>
            <w:tcBorders/>
            <w:shd w:fill="CCEEFF" w:val="clear"/>
            <w:vAlign w:val="center"/>
          </w:tcPr>
          <w:p>
            <w:pPr>
              <w:pStyle w:val="TableContents"/>
              <w:bidi w:val="0"/>
              <w:spacing w:before="0" w:after="0"/>
              <w:ind w:left="0" w:right="0" w:hanging="0"/>
              <w:jc w:val="center"/>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Tractor Supply Company</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Washington Court, OH</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39,984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 Paul, MN</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7,201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Harbor Freight</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Washington, MO</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23,466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Severn, MD</w:t>
            </w:r>
          </w:p>
        </w:tc>
        <w:tc>
          <w:tcPr>
            <w:tcW w:w="109" w:type="dxa"/>
            <w:tcBorders/>
            <w:shd w:fill="CCEEFF" w:val="clear"/>
            <w:vAlign w:val="center"/>
          </w:tcPr>
          <w:p>
            <w:pPr>
              <w:pStyle w:val="TableContents"/>
              <w:bidi w:val="0"/>
              <w:spacing w:before="0" w:after="0"/>
              <w:ind w:left="0" w:right="0" w:hanging="0"/>
              <w:jc w:val="center"/>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6,876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w:t>
            </w:r>
          </w:p>
        </w:tc>
      </w:tr>
      <w:tr>
        <w:trPr/>
        <w:tc>
          <w:tcPr>
            <w:tcW w:w="169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Red Robin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O'Reilly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Angels Camp, CA</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7,066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Kermit, TX</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10,920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Burger King</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Plymouth, NC</w:t>
            </w:r>
          </w:p>
        </w:tc>
        <w:tc>
          <w:tcPr>
            <w:tcW w:w="109" w:type="dxa"/>
            <w:tcBorders/>
            <w:shd w:fill="CCEEFF" w:val="clear"/>
            <w:vAlign w:val="center"/>
          </w:tcPr>
          <w:p>
            <w:pPr>
              <w:pStyle w:val="TableContents"/>
              <w:bidi w:val="0"/>
              <w:spacing w:before="0" w:after="0"/>
              <w:ind w:left="0" w:right="0" w:hanging="0"/>
              <w:jc w:val="center"/>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3,142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Carrabba's Italian Grill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6,382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Harbor Freight</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Midland, MI</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14,624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Gadsden, AL</w:t>
            </w:r>
          </w:p>
        </w:tc>
        <w:tc>
          <w:tcPr>
            <w:tcW w:w="109"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7,237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Tractor Supply Company</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Owensville, MO</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38,452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Chazy, NY</w:t>
            </w:r>
          </w:p>
        </w:tc>
        <w:tc>
          <w:tcPr>
            <w:tcW w:w="109"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9,277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Auburn, NE</w:t>
            </w:r>
          </w:p>
        </w:tc>
        <w:tc>
          <w:tcPr>
            <w:tcW w:w="109" w:type="dxa"/>
            <w:tcBorders/>
            <w:shd w:fill="CCEEFF" w:val="clear"/>
            <w:vAlign w:val="center"/>
          </w:tcPr>
          <w:p>
            <w:pPr>
              <w:pStyle w:val="TableContents"/>
              <w:bidi w:val="0"/>
              <w:spacing w:before="0" w:after="0"/>
              <w:ind w:left="0" w:right="0" w:hanging="0"/>
              <w:jc w:val="center"/>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10,577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Odessa, TX</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9,127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McKenney, VA</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10,531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Willis, TX</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9,138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Medicine Lodge, KS</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10,566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City, AR</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10,424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Amsterdam, OH</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Winthrop, NY</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9,167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 KS</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 NC</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11,394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Caneyville, KY</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10,604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Caney, KS</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Cut and Shoot, TX</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9,096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Sulphur, OK</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Ware, MA</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6,889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Tipton, MO</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Pet Supplies Plus</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Canton, OH</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Milford, ME</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9,128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Demopolis, AL</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10,159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Madill, OK</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9,682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Superior, NE</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Sabetha, KS</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Phillipsburg, KS</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Van Buren, MO</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Salem, NY</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9,199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Plainville, KS</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McGehee, AR</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10,993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Gladewater, TX</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10,111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Stilwell, OK</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9,828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Town Creek, AL</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10,545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Tecumseh, NE</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10,644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Anthony, KS</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Bingham, ME</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9,345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Harrisville, NY</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9,309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Murfreesboro, AR</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Heuvelton, NY</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9,342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Firestone</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Pittsburgh, PA</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10,629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Barker, NY</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9,275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Limestone, ME</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9,167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Anderson, AL</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10,607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Hammond, NY</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9,219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Des Arc, AR</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Somerville, TX</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9,252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Dearing, GA</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9,288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Seguin, TX</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9,155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Albuquerque, NM</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10,023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Re-Up</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Jackson, MS</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Tree/Family Dollar</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Village, AR</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14,592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Newtonsville, OH</w:t>
            </w:r>
          </w:p>
        </w:tc>
        <w:tc>
          <w:tcPr>
            <w:tcW w:w="10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9,290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48" w:hanging="0"/>
              <w:jc w:val="right"/>
              <w:rPr>
                <w:rFonts w:ascii="Times New Roman;Times;serif" w:hAnsi="Times New Roman;Times;serif"/>
                <w:sz w:val="15"/>
              </w:rPr>
            </w:pPr>
            <w:r>
              <w:rPr>
                <w:rFonts w:ascii="Times New Roman;Times;serif" w:hAnsi="Times New Roman;Times;serif"/>
                <w:sz w:val="15"/>
              </w:rPr>
              <w:t>83</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820" w:type="dxa"/>
        <w:jc w:val="left"/>
        <w:tblInd w:w="0" w:type="dxa"/>
        <w:tblLayout w:type="fixed"/>
        <w:tblCellMar>
          <w:top w:w="0" w:type="dxa"/>
          <w:left w:w="0" w:type="dxa"/>
          <w:bottom w:w="0" w:type="dxa"/>
          <w:right w:w="0" w:type="dxa"/>
        </w:tblCellMar>
      </w:tblPr>
      <w:tblGrid>
        <w:gridCol w:w="1681"/>
        <w:gridCol w:w="109"/>
        <w:gridCol w:w="1291"/>
        <w:gridCol w:w="109"/>
        <w:gridCol w:w="721"/>
        <w:gridCol w:w="109"/>
        <w:gridCol w:w="181"/>
        <w:gridCol w:w="619"/>
      </w:tblGrid>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Del Rio, TX</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9,219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Athens, GA</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6,871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Re-Up</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Leland, MS</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3,343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Starbucks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Warsaw,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14,495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O'Reilly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Duluth, MN</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11,182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Salon Lofts</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Canton, OH</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Ludington, MI</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New Baltimore, MI</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6,784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Sushi Lovers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1,999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Perry,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9,181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Dansville, NY</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Ellicottville,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9,144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w:t>
            </w:r>
          </w:p>
        </w:tc>
      </w:tr>
      <w:tr>
        <w:trPr/>
        <w:tc>
          <w:tcPr>
            <w:tcW w:w="16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Century Theater Center </w:t>
            </w:r>
            <w:r>
              <w:rPr>
                <w:rFonts w:ascii="Times New Roman;Times;serif" w:hAnsi="Times New Roman;Times;serif"/>
                <w:sz w:val="11"/>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Reno, NV</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52,474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Philly Pretzel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w:t>
            </w:r>
          </w:p>
        </w:tc>
      </w:tr>
      <w:tr>
        <w:trPr/>
        <w:tc>
          <w:tcPr>
            <w:tcW w:w="16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7Brew </w:t>
            </w:r>
            <w:r>
              <w:rPr>
                <w:rFonts w:ascii="Times New Roman;Times;serif" w:hAnsi="Times New Roman;Times;serif"/>
                <w:sz w:val="11"/>
              </w:rPr>
              <w:t>(3) (5)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Orange Park, FL</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8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Chipotle </w:t>
            </w:r>
            <w:r>
              <w:rPr>
                <w:rFonts w:ascii="Times New Roman;Times;serif" w:hAnsi="Times New Roman;Times;serif"/>
                <w:sz w:val="11"/>
              </w:rPr>
              <w:t>(5)</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Turnersville, NJ</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2,627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Bounce Hopper </w:t>
            </w:r>
            <w:r>
              <w:rPr>
                <w:rFonts w:ascii="Times New Roman;Times;serif" w:hAnsi="Times New Roman;Times;serif"/>
                <w:sz w:val="11"/>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Victor, NY</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Cadiz, OH</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Lorain, OH</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6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3,906,526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5"/>
              </w:rPr>
            </w:pPr>
            <w:r>
              <w:rPr>
                <w:rFonts w:ascii="Times New Roman;Times;serif" w:hAnsi="Times New Roman;Times;serif"/>
                <w:sz w:val="15"/>
              </w:rPr>
              <w:t>44,327</w:t>
            </w:r>
          </w:p>
        </w:tc>
      </w:tr>
    </w:tbl>
    <w:tbl>
      <w:tblPr>
        <w:tblW w:w="5897" w:type="dxa"/>
        <w:jc w:val="left"/>
        <w:tblInd w:w="0" w:type="dxa"/>
        <w:tblLayout w:type="fixed"/>
        <w:tblCellMar>
          <w:top w:w="0" w:type="dxa"/>
          <w:left w:w="0" w:type="dxa"/>
          <w:bottom w:w="0" w:type="dxa"/>
          <w:right w:w="0" w:type="dxa"/>
        </w:tblCellMar>
      </w:tblPr>
      <w:tblGrid>
        <w:gridCol w:w="271"/>
        <w:gridCol w:w="562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56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Annualized straight-line base rental income in place as of December 31, 2024.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Alpine Valley Music Theatre, leased to Live Nation Entertainment, Inc., is an entertainment venue consisting of a two-sided, open-air, 7,500-seat pavilion; an outdoor amphitheater with a capacity for 37,000; and over 150 acres of green space.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 are the lessor in a ground lease with the tenant. Rentable square feet represents improvements on the property that revert to us at the expiration of the lease.</w:t>
            </w:r>
          </w:p>
        </w:tc>
      </w:tr>
    </w:tbl>
    <w:tbl>
      <w:tblPr>
        <w:tblW w:w="8327" w:type="dxa"/>
        <w:jc w:val="left"/>
        <w:tblInd w:w="0" w:type="dxa"/>
        <w:tblLayout w:type="fixed"/>
        <w:tblCellMar>
          <w:top w:w="0" w:type="dxa"/>
          <w:left w:w="0" w:type="dxa"/>
          <w:bottom w:w="0" w:type="dxa"/>
          <w:right w:w="0" w:type="dxa"/>
        </w:tblCellMar>
      </w:tblPr>
      <w:tblGrid>
        <w:gridCol w:w="271"/>
        <w:gridCol w:w="80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8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Century Theater lease expired on November 30, 2024 and the property was vacant as of December 31, 2024.</w:t>
            </w:r>
          </w:p>
        </w:tc>
      </w:tr>
    </w:tbl>
    <w:tbl>
      <w:tblPr>
        <w:tblW w:w="6617" w:type="dxa"/>
        <w:jc w:val="left"/>
        <w:tblInd w:w="0" w:type="dxa"/>
        <w:tblLayout w:type="fixed"/>
        <w:tblCellMar>
          <w:top w:w="0" w:type="dxa"/>
          <w:left w:w="0" w:type="dxa"/>
          <w:bottom w:w="0" w:type="dxa"/>
          <w:right w:w="0" w:type="dxa"/>
        </w:tblCellMar>
      </w:tblPr>
      <w:tblGrid>
        <w:gridCol w:w="271"/>
        <w:gridCol w:w="634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63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Tenants represent active leases with rent to commence subsequent to December 31, 2024.</w:t>
            </w:r>
          </w:p>
        </w:tc>
      </w:tr>
    </w:tbl>
    <w:p>
      <w:pPr>
        <w:pStyle w:val="TextBody"/>
        <w:bidi w:val="0"/>
        <w:spacing w:before="0" w:after="0"/>
        <w:ind w:left="36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individual tenants in the Company’s portfolio of income properties accounted for more than 10% of lease income from the Company’s income properties during the years ended December 31, 2024 and 2023. No individual tenant accounted for more than 10% of lease income from the Company’s income properties during the year ended December 31, 2022. For the years ended December 31, 2024 and 2023, Walgreens represented 11% of lease income from the Company’s income properties.</w:t>
      </w:r>
      <w:r>
        <w:rPr>
          <w:rFonts w:ascii="Times New Roman;Times;serif" w:hAnsi="Times New Roman;Times;serif"/>
          <w:color w:val="FF0000"/>
          <w:sz w:val="20"/>
        </w:rPr>
        <w:t xml:space="preserve"> </w:t>
      </w:r>
      <w:r>
        <w:rPr>
          <w:rFonts w:ascii="Times New Roman;Times;serif" w:hAnsi="Times New Roman;Times;serif"/>
          <w:sz w:val="20"/>
        </w:rPr>
        <w:t>As of December 31, 2024, 11% of the Company’s income property portfolio, based on square footage, was located in each of the states of New Jersey and Michigan. As of December 31, 2023, 13%, 11%, and 11% of the Company’s income property portfolio, based on square footage, was located in the states of Texas, New Jersey, and Michigan,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investments in commercial loans are generally secured by real estate or the borrower’s pledge of its ownership interest in the entity that owns the real estate. As of December 31, 2024 and 2023, our</w:t>
      </w:r>
      <w:r>
        <w:rPr>
          <w:rFonts w:ascii="Times New Roman;Times;serif" w:hAnsi="Times New Roman;Times;serif"/>
          <w:sz w:val="20"/>
          <w:shd w:fill="FFFFFF" w:val="clear"/>
        </w:rPr>
        <w:t xml:space="preserve"> investments in commercial loans were all associated with commercial real estate located in the United States, are current and performing, and bear interest at a fixed rate.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shd w:fill="FFFFFF" w:val="clear"/>
        </w:rPr>
        <w:t>2024 Commercial Loans and Investments Portfolio</w:t>
      </w:r>
      <w:r>
        <w:rPr>
          <w:rFonts w:ascii="Times New Roman;Times;serif" w:hAnsi="Times New Roman;Times;serif"/>
          <w:sz w:val="20"/>
          <w:shd w:fill="FFFFFF" w:val="clear"/>
        </w:rPr>
        <w:t xml:space="preserve">. During the year ended December 31, 2024, the Company invested in three commercial loans with a total funding commitment of $31.1 million. The Company also acquired three single-tenant income properties (“the Tampa Properties”) in the greater Tampa Bay, Florida area for $31.4 million during the year ended December 31, 2024, through a sale-leaseback transaction that includes a tenant repurchase option. Due to the existence of the tenant repurchase option, and pursuant to FASB ASC Topic 842, </w:t>
      </w:r>
      <w:r>
        <w:rPr>
          <w:rFonts w:ascii="Times New Roman;Times;serif" w:hAnsi="Times New Roman;Times;serif"/>
          <w:i/>
          <w:sz w:val="20"/>
          <w:shd w:fill="FFFFFF" w:val="clear"/>
        </w:rPr>
        <w:t>Leases</w:t>
      </w:r>
      <w:r>
        <w:rPr>
          <w:rFonts w:ascii="Times New Roman;Times;serif" w:hAnsi="Times New Roman;Times;serif"/>
          <w:sz w:val="20"/>
          <w:shd w:fill="FFFFFF" w:val="clear"/>
        </w:rPr>
        <w:t xml:space="preserve">, GAAP requires that the $31.4 million investment be accounted for as a financing arrangement, and accordingly the related assets and corresponding revenue are included in the Company’s commercial loans and investments in the Company’s consolidated balance sheets and consolidated statement of operations. However, as the Tampa Properties constitute real estate assets for both legal and tax purposes, we have included them in the property portfolio when describing our property portfolio and for purposes of providing statistics related thereto. </w:t>
      </w:r>
      <w:r>
        <w:rPr>
          <w:rFonts w:ascii="Times New Roman;Times;serif" w:hAnsi="Times New Roman;Times;serif"/>
          <w:sz w:val="20"/>
        </w:rPr>
        <w:t xml:space="preserve">Also during the year ended December 31, 2024, the Company sold a $13.6 million A-1 participation interest in the Company’s initial $23.4 million portfolio loan. </w:t>
      </w:r>
      <w:r>
        <w:rPr>
          <w:rFonts w:ascii="Times New Roman;Times;serif" w:hAnsi="Times New Roman;Times;serif"/>
          <w:sz w:val="20"/>
          <w:shd w:fill="FFFFFF" w:val="clear"/>
        </w:rPr>
        <w:t xml:space="preserve">As of December 31, 2024, the Company’s commercial loan investments portfolio included </w:t>
      </w:r>
      <w:r>
        <w:rPr>
          <w:rFonts w:ascii="Times New Roman;Times;serif" w:hAnsi="Times New Roman;Times;serif"/>
          <w:sz w:val="20"/>
        </w:rPr>
        <w:t>five construction loans, one mortgage note, and three properties acquired pursuant to a sale-leaseback transaction whereby the tenant has a future repurchase right,</w:t>
      </w:r>
      <w:r>
        <w:rPr>
          <w:rFonts w:ascii="Times New Roman;Times;serif" w:hAnsi="Times New Roman;Times;serif"/>
          <w:sz w:val="20"/>
          <w:shd w:fill="FFFFFF" w:val="clear"/>
        </w:rPr>
        <w:t xml:space="preserve"> with a total carrying value of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$89.6 million. </w:t>
      </w:r>
      <w:r>
        <w:rPr>
          <w:rFonts w:ascii="Times New Roman;Times;serif" w:hAnsi="Times New Roman;Times;serif"/>
          <w:sz w:val="20"/>
        </w:rPr>
        <w:t xml:space="preserve">See Note 4, “Commercial Loans and Investments” </w:t>
      </w:r>
      <w:r>
        <w:rPr>
          <w:rFonts w:ascii="Times New Roman;Times;serif" w:hAnsi="Times New Roman;Times;serif"/>
          <w:sz w:val="20"/>
          <w:shd w:fill="FFFFFF" w:val="clear"/>
        </w:rPr>
        <w:t xml:space="preserve">in the Notes to the Financial Statements </w:t>
      </w:r>
      <w:r>
        <w:rPr>
          <w:rFonts w:ascii="Times New Roman;Times;serif" w:hAnsi="Times New Roman;Times;serif"/>
          <w:sz w:val="20"/>
        </w:rPr>
        <w:t xml:space="preserve">for additional disclosures related to the Company’s commercial loans and investments as of December 31, 2024. </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2023 Commercial Loans and Investments Portfolio</w:t>
      </w:r>
      <w:r>
        <w:rPr>
          <w:rFonts w:ascii="Times New Roman;Times;serif" w:hAnsi="Times New Roman;Times;serif"/>
          <w:sz w:val="20"/>
          <w:shd w:fill="FFFFFF" w:val="clear"/>
        </w:rPr>
        <w:t xml:space="preserve">. During the year ended December 31, 2023, the Company invested in three commercial loans with a total funding commitment of $38.6 million. As of December 31, 2023, the Company’s commercial loan investments portfolio included two construction loans and one mortgage note with a total carrying value of $35.1 million. </w:t>
      </w:r>
      <w:r>
        <w:rPr>
          <w:rFonts w:ascii="Times New Roman;Times;serif" w:hAnsi="Times New Roman;Times;serif"/>
          <w:sz w:val="20"/>
        </w:rPr>
        <w:t xml:space="preserve">See Note 4, “Commercial Loans and Investments” </w:t>
      </w:r>
      <w:r>
        <w:rPr>
          <w:rFonts w:ascii="Times New Roman;Times;serif" w:hAnsi="Times New Roman;Times;serif"/>
          <w:sz w:val="20"/>
          <w:shd w:fill="FFFFFF" w:val="clear"/>
        </w:rPr>
        <w:t xml:space="preserve">in the Notes to the Financial Statements </w:t>
      </w:r>
      <w:r>
        <w:rPr>
          <w:rFonts w:ascii="Times New Roman;Times;serif" w:hAnsi="Times New Roman;Times;serif"/>
          <w:sz w:val="20"/>
        </w:rPr>
        <w:t xml:space="preserve">for additional disclosures related to the Company’s commercial loans and investments as of December 31, 2023.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Management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years ended December 31, 2024, 2023, or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the initial term will automatically renew for an unlimited number of successive one-year periods thereafter, unless the agreement is not renewed or is terminated in accordance with its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firstLine="360"/>
        <w:jc w:val="both"/>
        <w:rPr/>
      </w:pPr>
      <w:r>
        <w:rPr/>
        <w: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Conflicts of Interest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asset.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4" w:after="4"/>
        <w:ind w:left="0" w:right="0" w:firstLine="360"/>
        <w:jc w:val="both"/>
        <w:rPr/>
      </w:pPr>
      <w:r>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real estate business, generally, is highly competitive. We intend to focus on investing in commercial real estate that produces income primarily through the leasing of assets to tenants and on acquiring or originating commercial loans and investments associated with commercial real estate located in the United States. To identify investment opportunities in income-producing real estate assets and commercial loans and investments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net leased properties, price is the principal method of competition, with transaction structure and certainty of execution also being significant considerations for potential sellers. We face competition for acquisitions of real property and acquisitions and originations of commercial loans and investments from investors, including traded and non-traded public REITs, private equity investors, institutional investment funds, debt funds, specialty finance companies, savings and loan associations, banks, mortgage bankers, insurance companies, mutual funds, investment banking firms, financial institutions, hedge funds, governmental bodies and other entities, many of which have greater financial resources than we do, a greater ability to borrow funds to acquire or originate properties or other investments and the ability to accept more risk. This competition may increase the demand for the types of properties or commercial loans and investments in which we typically invest and, therefore, reduce the number of suitable investment opportunities available to us and increase the prices paid for such acquisition properties or commercial loans and investments. This competition will increase if investments in real estate become more attractive relative to other forms of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landlord, we compete in the multi-billion-dollar commercial real estate market with numerous developers and owners of properties, many of which own properties similar to ours in the same markets in which our properties are located. Some of our competitors have greater economies of scale, lower costs of capital, access to more resources and greater name recognition than we do. If our competitors offer space at rental rates below current market rates or below the rental rates we currently charge our tenants, we may lose our tenants or prospective tenants and we may be pressured to reduce our rental rates or to offer substantial rent abatements, tenant improvement allowances, early termination rights or below-market renewal options in order to retain tenants when our leases expire.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xml:space="preserve"> Our properties are subject to various laws, ordinances and regulations, including those relating to fire and safety requirements, and affirmative and negative covenants and, in some instances, common area obligations. Our tenants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have primary responsibility for compliance with these requirements pursuant to our leases. We believe that each of our properties has the necessary permits and approvals.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Americans With Disabilities Act. </w:t>
      </w:r>
      <w:r>
        <w:rPr>
          <w:rFonts w:ascii="Times New Roman;Times;serif" w:hAnsi="Times New Roman;Times;serif"/>
          <w:sz w:val="20"/>
        </w:rPr>
        <w:t>Under Title III of the Americans with Disabilities Act (“ADA”), and 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ENVIRONMENTAL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may also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obtain Phase I environmental assessments for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no employees and is externally managed and advised by our Manager pursuant to the Management Agreement. Our Manager is a wholly owned subsidiary of CTO. All of our executive officers also serve as executive officers of CTO, and one of our executive officers and directors, John P. Albright, also serves as an executive officer and director of CTO.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maintains a website at </w:t>
      </w:r>
      <w:r>
        <w:rPr>
          <w:rFonts w:ascii="Times New Roman;Times;serif" w:hAnsi="Times New Roman;Times;serif"/>
          <w:i/>
          <w:sz w:val="20"/>
        </w:rPr>
        <w:t>www.alpinereit.com</w:t>
      </w:r>
      <w:r>
        <w:rPr>
          <w:rFonts w:ascii="Times New Roman;Times;serif" w:hAnsi="Times New Roman;Times;serif"/>
          <w:sz w:val="20"/>
        </w:rPr>
        <w:t>. The Company is providing the address to its website solely for the information of investors. The information on the Company’s website is not a part of, nor is it incorporated by reference into this Annual Report on Form 10-K. Through its website, the Company makes available, free of charge, its annual proxy statement, Annual Reports on Form 10-K, Quarterly Reports on Form 10-Q, Current Reports on Form 8-K and amendments to those reports filed or furnished pursuant to Section 13(a) or 15(d) of the Securities Exchange Act of 1934, as amended, as soon as reasonably practicable after the Company electronically files such material with, or furnishes them to, the SEC. The public may read and obtain a copy of any materials the Company files electronically with the SEC at www.sec.gov.</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38" w:name="ITEM1ARISKFACTORS_920857"/>
      <w:bookmarkStart w:id="39" w:name="_2cdd1f86_09e8_4c33_81c6_ad8a6c3ebfdb"/>
      <w:bookmarkEnd w:id="38"/>
      <w:bookmarkEnd w:id="39"/>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 investment in our securities involves a high degree of risk. You should carefully consider the risks summarized below in this Item 1A, “Risk Factors” included in this Annual Report on Form 10-K. These risks include, but are not limited to, the following: </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U.S., global and local regions or markets that impact our tenants’ businesses may materially and adversely affect us generally and the ability of our tenants to make rental payments to us pursuant to our leases.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 occupied by a single tenant pursuant to a single lease subject us to significant risk of tenant default.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has geographic market concentrations that make us susceptible to adverse developments in those geographic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tenant concentration, and an adverse development with respect to a large tenant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tenants are not rated by a recognized credit rating agency or do not have an investment grade rating from such an agency. Leases with unrated or non-investment grade rated tenants may be subject to a greater risk of default.</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demand for retail space may materially and adversely affect us.</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renew leases, lease vacant space or re-lease space as leases expire on favorable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and potential tenants’ businesses and thereby adversely impact our ability to collect rents and reduce the demand for leasing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vacancy of one or more of our properties could result in us having to incur significant capital expenditures to re-tenant the space.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identify suitable property acquisitions or developments, which may impede our growth, and our future acquisitions and developments may not yield the returns we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for tenants, which may adversely impact the occupancy levels of our portfolio or prevent increases of the rental rates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investment strategy is focused on investing in commercial loans and investments which may involve credit risk or repayment risk.</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origination or acquisition of construction loans exposes us to an increased risk of loss.</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fixed-rate loan investments, and an increase in market interest rates may adversely affect the value of these investments, which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loans or similar financings we may acquire that are secured by commercial real estate typically depend on the ability of the property owner to generate income from operating the property. Failure to do so may result in delinquency and/or foreclosure.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losses when a borrower defaults on a loan and the value of the underlying collateral is less than the amount due.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decline in the fair value of our real estate assets or investments which could result in impairments and would impact our financial condition and results of operations.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compliance with or liabilities related to environmental laws may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properties may contain or develop harmful mold, which could lead to liability for adverse health effects and costs of remediation.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team is required to operate two publicly traded companies, CTO and our company, which could place a significant strain on our senior management team and the management systems, infrastructure and other resources of CTO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employees and are entirely dependent upon our Manager for all the services we require, and we cannot assure you that our Manager will allocate the resources necessary to meet our business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CTO may be unable to obtain or retain the executive officers and other personnel that it provides to us through our Manager.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payable to our Manager pursuant to the Management Agreement may cause our Manager to select investments in more risky assets to increase its incentive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conflicts of interest in our relationships with our Manager, which could result in outcomes that are not in our best interests.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Management Agreement could be difficult and costly, including as a result of payment of termination fees to our Manager, and may cause us to be unable to execute our business plan, which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Agreement with our Manager and the ROFO Agreement with CTO were not negotiated on an arm’s-length basis and may not be as favorable to us as if they had been negotiated with unaffiliated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remain qualified as a REIT would cause us to be taxed as a regular corporation, which would substantially reduce funds available for distributions to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remain qualified as a REIT, we may face other tax liabilities that could reduce our cash flows and negatively impact our results of operations and financial condition.</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required distributions would subject us to U.S. federal corporate income tax.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REIT requirements may limit our ability to hedge our liabilities effectively and may cause us to incur tax liabilities.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prohibited transactions tax may limit our ability to dispose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revoke our REIT qualification without stockholder approval may cause adverse consequences to our stockholders.</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 by REITs do not qualify for the reduced tax rates available for some dividends.</w:t>
            </w:r>
          </w:p>
        </w:tc>
      </w:tr>
    </w:tbl>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Income Properties Segment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the ownership of commercial real estate that could affect the performance and value of our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Factors beyond our control can affect the performance and value of our properties. Our core business is the ownership of commercial net leased properties. Accordingly, our performance is subject to risks incident to the ownership of commercial real estate, including:</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collect rents from tenants due to financial hardship, including bankruptcy;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local real estate conditions in the markets where our properties are located, including the availability and demand for the properties we own;</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trends and preferences that affect the demand for products and services offered by our tenants;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national, regional and local economic conditions;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lease or sell properties upon expiration or termination of existing leases;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risks, including the presence of hazardous or toxic substances on our properties;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subjectivity of real estate valuations and changes in such valuations over time;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illiquidity of real estate investments, which may limit our ability to modify our portfolio promptly in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response to changes in economic or other conditions;</w:t>
      </w:r>
    </w:p>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zoning or other local regulatory restrictions, or other factors pertaining to the local government institutions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which inhibit interest in the markets in which our properties are located;</w:t>
      </w:r>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and the availability of financing;</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from other real estate companies similar to ours and competition for tenants, including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competition based on rental rates, age and location of properties and the quality of maintenance, insurance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and management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God, including natural disasters and global pandemics, such as the COVID-19 Pandemic, which impact the United States, which may result in uninsured losses;</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war or terrorism, including consequences of terrorist attacks;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tenant preferences that reduce the attractiveness and marketability of our properties to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tenants or cause decreases in market rental rates;</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the need to periodically repair, renovate or re-lease our properties;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the cost of our operations, particularly maintenance, insurance or real estate taxes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which may occur even when circumstances such as market factors and competition cause a reduction in our revenues;</w:t>
      </w:r>
    </w:p>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governmental laws and regulations, fiscal policies and zoning ordinances and the related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costs of compliance with laws and regulations, fiscal policies and ordinances including in response to global pandemics whereby our tenants’ businesses are forced to close or remain open on a limited basis only; and</w:t>
      </w:r>
    </w:p>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commodities prices.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occurrence of any of the risks described above may cause the performance and value of our properties to decline, which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Adverse changes in U.S., global and local regions or markets that impact our tenants’ businesses may materially and adversely affect us generally and the ability of our tenants to make rental payments to us pursuant to our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business is dependent upon our tenants successfully operating their businesses, and their failure to do so could materially and adversely affect us.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Most of our income properties are occupied by a single tenant. Therefore, the success of our investments in these properties is materially dependent upon the performance of each property’s respective tenants. The financial performance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Our portfolio includes properties leased to single tenants that operate in multiple locations, which means we own multiple properties operated by the same tenant. To the extent we own multiple properties operated by one tenant, the general failure of that single tenant or a loss or significant decline in its business could materially and adversely affect us.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filing for bankruptcy protection.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invest in properties leased, in many instances, to tenants engaged in businesses that we believe are generally insulated from the impact of e-commerce. While we believe our assessment to be accurate, businesses previously thought to be resistant to the pressure of the increasing level of e-commerce have ultimately been proven to be susceptible to competition from e-commerce. Overall business conditions and the impact of technology, particularly in the retail industry, are rapidly changing, and our tenants may be adversely affected by technological innovation, changing consumer preferences and competition from non-traditional sources. To the extent our tenants face increased competition from non-traditional competitors, such as internet vendors, their businesses could suffer. There can be no assurance that our tenants will be successful in meeting any new competition, and a deterioration in our tenants’ businesses could impair their ability to meet their lease obligations to us and thereby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we believe that many of the businesses operated by our tenants are benefiting from macroeconomic trends that support consumer spending, such as low unemployment and positive consumer sentiment. Economic conditions are generally cyclical, and developments that discourage consumer spending, such as increasing unemployment, wage stagnation, decreases in the value of real estate, inflation or increasing interest rates, could adversely affect our tenants, impair their ability to meet their lease obligations to us and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Properties occupied by a single tenant pursuant to a single lease subject us to significant risk of tenant default.</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Most of our properties are occupied by a single tenant. Therefore, the financial failure of, or default in payment by, a tenant under its lease is likely to cause a significant reduction or complete cessation of our rental revenue from that property and possibly a reduction in the value of the property. We may also experience difficulty or a significant delay in re-leasing or selling such property. This risk is magnified in situations where we lease multiple properties to a single tenant and the financial failure of the tenant’s business affects more than a single property. A failure or default by such a tenant could reduce or eliminate rental revenue from multiple properties and reduce the value of such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experience a decline in the fair value of our real estate assets which could result in impairments and would impact our financial condition and results of operations.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decline in the fair market value of our long-lived assets may require us to recognize an impairment against such assets (as defined by Financial Accounting Standards Board, or the FASB, authoritative accounting guidance) if certain conditions or circumstances related to an asset were to change and we were to determine that, with respect to any such asset, that the cash flows no longer support the carrying value of the asset. The fair value of our long-lived assets depends on market conditions, including estimates of future demand for these assets, and the revenues that can be generated from such assets. If such a determination were to be made, we would recognize the estimated unrealized losses through earnings and write down the depreciated cost of such assets to a new cost basis, based on the fair value of such assets on the date they are considered to be impaired. Such impairment charges reflect non-cash losses at the time of recognition, and subsequent dispositions or sales of such assets could further affect our future losses or gains, as they are based on the difference between the sales price received and the adjusted depreciated cost of such assets at the time of sale.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portfolio has geographic market concentrations that make us susceptible to adverse developments in those geographic markets.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general, regional, national, and global economic conditions, our operating performance is impacted by the economic conditions of the specific geographic markets in which we have concentrations of properties. Our portfolio includes substantial holdings in New Jersey and Michigan as of December 31, 2024 (based on square footage). Our geographic concentrations could adversely affect our operating performance if conditions become less favorable in any of the states or markets within such states in which we have a concentration of properties. Such geographic concentrations could be heightened by the fact that our investments may be concentrated in certain areas that are affected by epidemics or pandemics such as COVID-19 more than other areas. We cannot assure you that any of our markets will grow, not experience adverse developments or that underlying real estate fundamentals will be favorable to owners and operators of commercial properties. Our operations may also be affected if competing properties are built in our markets. A downturn in the economy in the states or regions in which we have a concentration of properties, or markets within such states or regions, could adversely affect our tenants operating businesses in those states or regions, impair their ability to pay rent to us and thereby,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tenant concentration, and an adverse development with respect to a large tenant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 the past and may in the future have significant tenant and property concentrations. In the event that a tenant that occupies a significant number of our properties or whose lease payments represent a significant portion of our rental revenue, were to experience financial difficulty or file for bankruptcy protection, it could have a material adverse effect on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Certain of our tenants are not rated by a recognized credit rating agency or do not have an investment grade rating from such an agency. Leases with unrated or non-investment grade rated tenants may be subject to a greater risk of default.</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49% of our tenants or parent entities thereof (based on annualized straight-line base rent) were not rated or did not have an investment grade credit rating from a recognized rating agency. Leases with non-investment grade or unrated tenants may be subject to a greater risk of default. Unrated tenants or non-investment grade tenants may also be more likely to experience financial weakness or file for bankruptcy protection than tenants with investment grade credit ratings. When we consider the acquisition of a property with an in-place lease with an unrated or non-investment grade rated tenant or leasing a property to a tenant that does not have a credit rating or does not have an investment grade rating, we evaluate the strength of the proposed tenant’s business at the property level and at a corporate level, if applicable, and may consider the risk of tenant/company insolvency using internally developed methodologies or assessments provided by third parties. If our evaluation of an unrated or non-investment grade tenant’s creditworthiness is inaccurate, the default or bankruptcy risk related to the tenant may be greater than anticipated. In the event that any of our unrated tenants were to experience financial weakness or file for bankruptcy protection, it could have a material adverse effect on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decrease in demand for retail space may materially and adversely affect us.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100% of leases based on annualized straight-line base rent were with tenants operating retail businesses. In the future, we intend to acquire additional properties leased to a single tenant operating a retail business at the property. Accordingly, decreases in the demand for leasing retail space may have a greater adverse effect on us than if we had fewer investments in retail properties. The market for leasing of retail space has historically been adversely affected by weakness in the national, regional and local economies, the adverse financial condition of some large retail companies, consolidation in the retail industry, the excess amount of retail space in a number of markets and increasing e-commerce pressure. To the extent that adverse conditions arise or continue, they are likely to negatively affect market rents for retail space and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renew leases, lease vacant space or re-lease space as leases expire on favorable terms or at all.</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results of operations depend on our ability to lease our properties, including renewing expiring leases, leasing vacant space and re-leasing space in properties where leases are expiring, and leasing space related to new project development. In leasing or re-leasing our properties, we may be unable to optimize our tenant mix or execute leases on more economically favorable terms than the prior in-place lease. Our tenants may decline, or may not have the financial resources available, to renew their leases, and there can be no assurance that leases that are renewed will have terms that are as economically favorable to us as the expiring lease terms. If tenants do not renew their leases as they expire, we will have to source new tenants to lease our properties, and there can be no assurance that we will be able to find new tenants or that our properties will be re-leased at rental rates equal to or above the previous in-place lease or current average rental rates or that substantial rent abatements, tenant improvement allowances, early termination rights or below-market renewal options will not be offered to attract new tenants. We may experience increased costs in connection with re-leasing our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Certain provisions of our leases may be unenforceable.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rights and obligations with respect to our leases are governed by written agreements. A court could determine that one or more provisions of such an agreement are unenforceable. We could be adversely impacted if this were to happen with respect to a property or group of properties.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bankruptcy or insolvency of any of our tenants could result in the termination of such tenant’s lease and material losses to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occurrence of a tenant bankruptcy or insolvency in most cases diminishes the income we receive from that tenant’s lease or leases, or forces us to re-tenant the affected property as a result of a default of the in-place tenant or a rejection of a tenant lease by a bankruptcy court. When a tenant files for bankruptcy protection or becomes insolvent, federal law may prohibit us from evicting such tenant based solely upon such bankruptcy or insolvency. In addition, a bankrupt or insolvent tenant may be authorized to reject and terminate its lease or leases with us. Any claims against such bankrupt tenant for unpaid rent or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property in which the in-place lease was not terminated or rejected or to re-lease it on comparable or more favorable terms. As a result, tenant bankruptcies or insolvencies may materially and adversely affect us.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2023, one of our tenants under three separate master leases filed for bankruptcy protection and ultimately liquidation, resulting in the termination of such master leases, which covered seven convenience store properties. During the year ended December 31, 2023, the Company recorded a $2.9 million impairment charge representing the provision for losses related to these seven convenience store properties within our income properties segment. The seven leases underlying these seven convenience store properties were rejected as a part of the bankruptcy proceedings during August of 2023. The impairment charge of $2.9 million was equal to the estimated sales prices for these seven convenience store properties (as set forth in executed letters of intent at the time the impairment was estimated), less the book value of the assets as of December 31, 2023, less estimated costs to sell. During the year ended December 31, 2024, the Company recorded an additional $1.1 million impairment charge representing the provision for losses related to the same portfolio of convenience store properties within our income properties segment. The impairment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charge of $1.1 million is equal to the estimated sales prices for these assets pursuant to letters of intent for sale executed during the year ended December 31, 2024, less the book value of the assets, less estimated costs to sell. Our estimated costs to sell include certain property improvements, which are estimated at $0.6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not acquire the properties that we evaluate in our pipeline.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generally seek to maintain a robust pipeline of investment opportunities. Transactions may fail to close for a variety of reasons, including the discovery of previously unknown liabilities or other items uncovered during our diligence process. Similarly, we may never execute binding purchase agreements with respect to properties that are currently subject to non-binding letters of intent, and properties with respect to which we are negotiating may never lead to the execution of any letter of intent. For many other reasons, we may not ultimately acquire the properties in our pipeline.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As we continue to acquire properties, we may decrease or fail to increase the diversity of our portfolio.</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generally seek to maintain or increase our portfolio’s tenant, geographic and industry diversification with future acquisitions, it is possible that we may determine to consummate one or more acquisitions that actually decrease our portfolio’s diversity. If our portfolio becomes less diverse, our business will be more sensitive to tenant or market factors, including the bankruptcy or insolvency of tenants, to changes in consumer trends of a particular industry and to a general economic downturn or downturns in a market or particular geographic area.</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obtain only limited warranties when we acquire a property and may only have limited recourse if our due diligence did not identify any issues that may subject us to unknown liabilities or lower the value of our property, which could adversely affect our financial condition and ability to make distributions to you.</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seller of a property often sells the property in its “as is” condition on a “where is” basis and “with all faults,” without any warranties of merchantability or fitness for a particular use or purpose. In addition, purchase agreements may contain only limited warranties, representations and indemnifications that will survive for only a limited period after the closing. The acquisition of, or purchase of, properties with limited warranties increases the risk that we may lose some or all of our invested capital in the property, lose rental income from that property or may be subject to unknown liabilities with respect to such properties.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Many of 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Certain properties in our portfolio are leased to tenants operating retail, service-oriented or experience-based businesses. Sporting goods, home improvement, dollar stores, casual dining, home furnishings, pharmacy, consumer electronics and grocery represent a significant portion of the industries in our portfolio. The success of most of the tenants operating businesses in these industries depends on consumer demand and, more specifically, the willingness of consumers to use their discretionary income to purchase products or services from our tenants. The ability of consumers to use their discretionary income may be impacted by issues including a global pandemic that impacts the United States. A prolonged period of economic weakness, another downturn in the U.S. economy or accelerated dislocation of these industries due to the impact of e-commerce, could cause consumers to reduce their discretionary spending in general or spending at these locations in particular, which could have a material and adverse effect on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vacancy of one or more of our properties could result in us having to incur significant capital expenditures to re-tenant the space.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loss of a tenant, either through lease expiration or tenant bankruptcy or insolvency, may require us to spend significant amounts of capital to renovate the property before it is suitable for a new tenant and cause us to incur significant costs to source new tenants. In many instances, the leases we enter into or assume through acquisition are for properties that are specifically suited to the particular business of our tenants. Because these properties have been designed or physically modified for a particular tenant, if the current lease is terminated or not renewed, we may be required to renovate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property at substantial costs, decrease the rent we charge or provide other concessions in order to lease the property to another tenant. In addition, in the event we decide to sell the property, we may have difficulty selling it to a party other than the tenant due to the special purpose for which the property may have been designed or modified. This potential limitation on our ability to sell a property may limit our ability to quickly modify our portfolio in response to changes in our tenants’ business prospects, economic or other conditions, including tenant demand. These limitations may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identify and complete suitable property acquisitions or developments, which may impede our growth, and our future acquisitions and developments may not yield the returns we expect.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ability to expand through acquisitions and developments requires us to identify and complete acquisitions and new property developments that are consistent with our investment and growth strategy and our investment criteria and to successfully integrate newly acquired properties into our portfolio. Our Manager continually evaluates investment opportunities for us, but our ability to acquire or develop new properties on favorable terms and successfully operate them may be constrained by the following significant risks: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commercial developers and other real estate investors with significant capital, including REITs and institutional investment funds, which may be able to accept more risk than we can prudently manage, including risks associated with paying higher acquisition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other potential acquirers which may significantly increase the purchase price for a property we acquire, which could reduce our growth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significant costs and divert management attention in connection with evaluating and negotiating potential acquisitions and developments, including ones that we are unable to complete;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properties that are not accretive to our results of operations upon acquisition, and we may be unsuccessful in managing and leasing such properties in accordance with our expectations;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 from an acquired or developed property may be insufficient to meet our required principal and interest payments with respect to debt used to finance the acquisition or development of such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discover unexpected issues, such as unknown liabilities, during our due diligence investigation of a potential acquisition or other customary closing conditions may not be satisfied, causing us to abandon an investment opportunity after incurring expenses related thereto;</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obtain financing for an acquisition or new property development on favorable terms or at all;</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spend more than budgeted amounts to make necessary improvements or renovations to acquired properties;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may result in higher than expected vacancy rates and lower than expected rental rates;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properties subject to (i) liabilities without any recourse, or with only limited recourse, with respect to unknown liabilities such as liabilities for clean-up of undisclosed environmental contamination not revealed in Phase I environmental site assessments or otherwise through due diligence, (ii) claims by tenants, vendors or other persons dealing with the former owners of the properties, (iii) liabilities incurred in the ordinary course of business, and (iv) claims for indemnification by general partners, directors, officers and others indemnified by the former owners of the properties.</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these risks are realized, we may be materially and adversely affected.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complete acquisitions of properties owned by CTO that are covered by the ROFO Agreement, and any completed acquisitions of such properties may not yield the returns we expect.</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the ROFO Agreement provides us with a right of first offer with respect to certain single-tenant, net leased properties owned by CTO, there can be no assurance that CTO will elect to sell these properties in the future. Even if CTO elects to sell these properties in the future, we may be unable to reach an agreement with CTO on the terms of the purchase of such properties or may not have the funds or ability to finance the purchase of such properties. Accordingly, there can be no assurance that we will be able to acquire any properties covered by the ROFO Agreement in the future. Further, even if we are able to acquire properties covered by the ROFO Agreement, there is no guarantee that such properties will be able to maintain their historical performance, or that we will be able to realize the same returns from those properties as CTO.</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face significant competition for tenants, which may adversely impact the occupancy levels of our portfolio or prevent increases of the rental rates of our properties.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compete with numerous developers, owners and operators of net leased properties, many of which are much larger and own properties similar to ours in the same markets in which our properties are located. The size and financial wherewithal of our competitors may allow them to offer space at rental rates below current market rates or below the rental rates we charge our tenants. As a result, we may lose existing tenants or fail to obtain future tenants, and the downward pressure caused by these other owners, operators and developers may cause us to reduce our rental rates or to offer more substantial rent abatements, tenant improvements, early termination rights or below-market renewal options in order to retain tenants when our leases expire. Competition for tenants could adversely impact the occupancy levels of our portfolio or prevent increases of the rental rates of our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Inflation may materially and adversely affect us and our tenants.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Increased inflation has in the past and could again in the future have an adverse impact on interest rates, which has negatively impacted the cost of our or our tenants’ variable rate debt and would likely negatively impact the cost of any variable rate debt that we obtain in the future. During times when inflation is increasing at a greater rate than the increases in rent provided by our leases, our rent levels will not keep up with the costs associated with rising inflation. Increased costs may have an adverse impact on our tenants if increases in their operating expenses exceed increases they might achieve in revenues, which may adversely affect the tenants’ ability to pay rent owed to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redevelopment or renovation of our properties may cause us to experience unexpected costs and have other risks that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in the future redevelop, significantly renovate or otherwise invest additional capital in our properties to improve them and enhance the opportunity for achieving attractive risk-adjusted returns. These activities are subject to a number of risks, including risks associated with construction work and risks of cost overruns due to construction delays or other factors that may increase the expected costs of a project. In addition, we may incur costs in connection with projects that are ultimately not pursued to completion. Any of our redevelopment or renovation projects may be financed. If such financing is not available on acceptable terms, our redevelopment and renovation activities may not be pursued or may be curtailed. In addition, such activities would likely reduce the available borrowing capacity on the Credit Facility or any other credit facilities that we may have in place in the future, which would limit our ability to use those sources of capital for the acquisition of properties and other operating needs. The risks associated with redevelopment and renovation activities, including but not necessarily limited to those noted above,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real estate investments are generally illiquid, which could significantly affect our ability to respond to market changes or adverse changes relating to our tenants or in the performance of our properties.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real estate investments made, and expected to be made, by us are relatively difficult for us to sell quickly. As a result, our ability to make rapid adjustments in the size and content of our portfolio in response to economic or other conditions is limited. Illiquid assets typically experience greater price volatility, as a ready market does not exist, and can be more difficult to value. In addition, validating third party pricing for illiquid assets may be more subjective than more liquid assets. As a result, if we are required to quickly liquidate all or a portion of our portfolio, we may realize significantly less than the value at which we have previously recorded our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Internal Revenue Code of 1986, as amended (the “Code”), imposes restrictions on a REIT’s ability to dispose of properties that are not applicable to other types of real estate companies. In particular, the tax laws applicable to REITs effectively require that we hold our properties for investment, rather than primarily for sale in the ordinary course of business, which may cause us to forgo or defer sales of properties that otherwise would be in our best interest. Therefore, we may not be able to vary our portfolio in response to economic or other conditions promptly or on favorable terms, which may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not be able to dispose of properties we target for sale to recycle our capital.</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may seek to selectively sell properties to recycle our capital, we may be unable to sell properties targeted for disposition due to adverse market or other conditions, or not achieve the pricing or timing that is consistent with our expectations. This may adversely affect, among other things, our ability to deploy capital into the acquisition of other properties and the execution of our overall operating strategy, which could, consequently,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development of new projects and/or properties may cause us to experience unexpected costs and have other risks that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develop new projects to enhance the opportunity for achieving attractive risk-adjusted returns. New project development is subject to a number of risks, including risks associated with the availability and timely receipt of zoning and other regulatory approvals, the timely completion of construction (including risks from factors beyond our control, such as weather, labor conditions or material shortages) and risks of cost overruns due to construction delays or other factors that may increase the expected costs of a project. These risks could result in substantial unanticipated delays and, under certain circumstances, provide a tenant the opportunity to delay rent commencement, reduce rent or terminate a lease. In addition, we may incur costs in connection with projects that are ultimately not pursued to completion. Any new development projects may be financed. If such financing is not available on acceptable terms, our development activities may not be pursued or may be curtailed. In addition, such activities would likely reduce the available borrowing capacity on the revolving credit facility or any other credit facilities that we may have in place in the future, which would limit our ability to use those sources of capital for the acquisition of properties and other operating needs. The risks associated with new project development activities, including but not necessarily limited to those noted above,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success of our activities related to new project development in which we will retain an ownership interest is partly dependent on the availability of suitable undeveloped land at acceptable prices.</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r>
        <w:rPr>
          <w:rFonts w:ascii="Times New Roman;Times;serif" w:hAnsi="Times New Roman;Times;serif"/>
          <w:sz w:val="20"/>
        </w:rPr>
        <w:t>Our success in developing projects that we will retain an ownership interest in is partly dependent upon the availability of undeveloped land suitable for the intended development. The availability of undeveloped land for purchase at acceptable prices depends on a number of factors outside of our control, including the risk of competitive over-bidding on land and governmental regulations that restrict the potential uses of land. If the availability of suitable land opportunities decreases, the number of development projects we may be able to undertake could be reduced. Thus, the lack of availability of suitable land opportunities could have a material adverse effect on our results of operations and growth prospects.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Commercial Loans and Investments Segment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 part of our investment strategy is focused on investing in commercial loans and investments which may involve credit risk.</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We have invested in commercial loans secured by commercial real estate and may from time to time in the future opportunistically invest in additional commercial loans secured by commercial real estate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commercial loans and investments segment is also generally exposed to risks associated with real estate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deterioration of real estate fundamentals generally, and in the United States in particular, could negatively impact the performance of our commercial loans and investments segment by making it more difficult for borrowers to satisfy their debt payment obligations, increasing the default risk applicable to borrowers and making it relatively more difficult for us to generate attractive risk-adjusted returns in our commercial loans and investments segment. Real estate investments are subject to various risks, including the risks described elsewhere in this Form 10-K with respect to the properties that we own directly. Our borrowers may be impacted by these same risks, which may make it more difficult for them to satisfy their debt payment obligations to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origination or acquisition of construction loans exposes us to an increased risk of loss.</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originated, and may in the future, originate or acquire additional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construction from other sources; a borrower claim against us for failure to perform under the loan documents; increased costs to the borrower that the borrower is unable to pay; a bankruptcy filing by the borrower; and abandonment by the borrower of the collateral for the loan. A borrower default on a construction loan where the property has not achieved completion poses a greater risk than a conventional loan, as completion would be required before the property is able to generate revenue. The process of foreclosing on a property is time-consuming, and we may incur significant expense if we foreclose on a property securing a loan under these or other circumstances.</w:t>
      </w:r>
    </w:p>
    <w:p>
      <w:pPr>
        <w:pStyle w:val="TextBody"/>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investments in construction loans require us to make estimates about the fair value of land improvements that may be challenged by the Internal Revenue Service (“IRS”).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originated and may in the future originate or acquire additional construction loans, the interest from which will be qualifying income for purposes of the REIT income tests, provided that the loan value of the real property securing the construction loan is equal to or greater than the highest outstanding principal amount of the construction loan during any taxable year. For purposes of construction loans, the loan value of the real property is the fair value of the land plus the reasonably estimated cost of the improvements or developments (other than personal property) that will secure the loan and that are to be constructed from the proceeds of the loan. There can be no assurance that the IRS would not challenge our estimate of the loan value of the real property.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invest in fixed-rate loan investments, and an increase in interest rates may adversely affect the value of these investments, which could adversely impact our financial condition, results of operations and cash flows.</w:t>
      </w:r>
    </w:p>
    <w:p>
      <w:pPr>
        <w:pStyle w:val="TextBody"/>
        <w:shd w:fill="FFFFFF" w:val="clear"/>
        <w:bidi w:val="0"/>
        <w:spacing w:before="0" w:after="0"/>
        <w:ind w:left="0" w:right="0" w:hanging="0"/>
        <w:jc w:val="both"/>
        <w:rPr/>
      </w:pPr>
      <w:r>
        <w:rPr/>
        <w:t>​</w:t>
      </w:r>
    </w:p>
    <w:p>
      <w:pPr>
        <w:pStyle w:val="TextBody"/>
        <w:shd w:fill="FFFFFF" w:val="clear"/>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Increases in interest rates may negatively affect the market value of our investments, particularly any fixed-rate commercial loans or other financings we have invested in. Generally, any fixed-rate commercial loans or other financings will be more negatively affected by rising interest rates than adjustable-rate assets. Reductions in the fair value of our investments could decrease the amounts we may borrow to purchase additional commercial loans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commercial loans or similar financings we have acquired and may acquire in the future that are secured by commercial real estate typically depend on the ability of the property owner to generate income from operating the property. Failure to do so may result in delinquency and/or foreclosure.</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 xml:space="preserve">Commercial loans are secured by commercial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suffer losses when a borrower defaults on a loan and the value of the underlying collateral is less than the amount due.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protection,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any of the above factors or events, the losses we may suffer could adversely impact our financial condition, results of operations and cash flows.</w:t>
      </w:r>
    </w:p>
    <w:p>
      <w:pPr>
        <w:pStyle w:val="TextBody"/>
        <w:shd w:fill="FFFFFF" w:val="clear"/>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We could fail to continue to qualify as a REIT if the IRS successfully challenges our treatment of any mezzanine loans in which we invest.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in the future, originate or acquire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ownership interests in a partnership or limited liability company owning real property will be treated as real estate assets for purposes of the REIT asset tests, and interest derived from those loans will be treated as qualifying income for both the 75% and 95% gross income tests, provided several requirements are satisfied. Although Revenue Procedure 2003-65 provides a safe harbor on which taxpayers may rely, it does not prescribe rules of substantive tax law. Moreover, our mezzanine loans may not meet all of the requirements for reliance on the safe harbor. Consequently, there can be no assurance that the IRS will not challenge our treatment of such loans as qualifying real estate assets, which could adversely affect our ability to continue to qualify as a REIT.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be subject to risks associated with commercial real estate loan participations.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our commercial real estate loan investments may be held in the form of participation interests or co-lender arrangements in which we share the loan rights, obligations and benefits with other lenders. With respect to such participation interests, we may require the consent of these parties to exercise our rights under such loans, including rights with respect to amendment of loan documentation, enforcement proceedings upon a default and the institution of, and control over, foreclosure proceedings. In circumstances where we hold a minority interest, we may become bound to actions of the majority to which we otherwise would object. We may be adversely affected by this lack of control with respect to these interests.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Certain Events, Environmental Matters and Climate Change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Natural disasters, terrorist attacks, other acts of violence or war or other unexpected events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Natural disasters, terrorist attacks, other acts of violence or war or other unexpected events, including a global pandemic that impacts the economy in the United States, could materially interrupt our business operations (or those of our tenants), cause consumer confidence and spending to decrease or result in increased volatility in the U.S. and worldwide financial markets and economies. They also could result in or prolong an economic recession. Any of these occurrences could materially and adversely affect us.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our corporate headquarters and certain of our properties are located in Florida, where major hurricanes have occurred. Depending on where any hurricane makes landfall, our properties in Florida could experience significant damage. In addition, the occurrence and frequency of hurricanes in Florida could also negatively impact demand for our properties located in that state because of consumer perceptions of hurricane risks. In addition to hurricanes, the occurrence of other natural disasters and climate conditions in Florida (and in other states where our properties are located), such as tornadoes, floods, fires, unusually heavy or prolonged rain, droughts and heat waves, could have an adverse effect on our tenants, which could adversely impact our ability to collect rental revenues. If a hurricane, earthquake, natural disaster or other similar significant disruption occurs, we may experience disruptions to our operations and damage to our properties, which could materially and adversely affect us.</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Terrorist attacks or other acts of violence may also negatively affect our operations. There can be no assurance that there will not be terrorist attacks against businesses within the U.S. These attacks may directly impact our physical assets or business operations or the financial condition of our tenants, lenders or other institutions with which we have a relationship. The U.S. may be engaged in armed conflict, which could also have an impact on the tenants, lenders or other institutions with which we have a relationship. The consequences of armed conflict are unpredictable, and we may not be able to foresee events that could have an adverse effect on our business. Any of these occurrences could materially and adversely affect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Insurance on our properties may not adequately cover all losses and uninsured losses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leases typically provide that either the landlord or the tenant will maintain property and liability insurance for the properties that are leased from us. If our tenants are required to carry liability and/or property insurance coverage, our tenants are required to name us (and any of our lenders that have a mortgage on the property leased by the tenant) as additional insureds on their liability policies and additional named insured and/or loss payee (or mortgagee, in the case of our lenders) on their property policies. Depending on the location of the property, losses of a catastrophic nature, such as those caused by hurricanes, earthquakes and floods, may be covered by insurance policies that are held by our tenant with limitations such as large deductibles or co-payments that a tenant may not be able to meet. In addition, losses of a catastrophic nature, such as those caused by wind, hail, hurricanes, terrorism or acts of war, may be uninsurable or not economically insurable. In the event there is damage to our properties that is not covered by insurance and such properties are subject to recourse indebtedness, we will continue to be liable for the indebtedness, even if these properties are irreparably damaged.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Inflation, changes in building codes and ordinances, environmental considerations and other factors, including terrorism or acts of war, may make any insurance proceeds we receive insufficient to repair or replace a property if it is damaged or destroyed. In those circumstances, the insurance proceeds received may not be adequate to restore our economic position with respect to the affected real property and its generation of rental revenue. Furthermore, in the event we experience a substantial or comprehensive loss of one of our properties, we may not be able to rebuild such property to its existing specifications without significant capital expenditures which may exceed any amounts received pursuant to insurance policies, as reconstruction or improvement of such a property would likely require significant upgrades to meet zoning and building code requirements. The loss of our capital investment in or anticipated future returns from our properties due to material uninsured losses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costs of compliance with or liabilities related to environmental laws may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ownership of our properties may subject us to known and unknown environmental liabilities. Under various federal, state and local laws and regulations relating to the environment, as a current or former owner or operator of real property, we may be liable for costs and damages resulting from environmental matters, including the presence or discharge of hazardous or toxic substances, waste or petroleum products at, on, in, under or migrating from such property, as well as costs to investigate or clean up such contamination and liability for personal injury, property damage or harm to natural resources. We may face liability regardless of:</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knowledge of the contamination;</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contamination;</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cause of the contamination; or</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responsible for the contamination of the property.</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may be environmental liabilities associated with our properties of which we are unaware. We obtain Phase I environmental assessments for properties acquired. Phase I environmental site assessments are limited in scope and therefore may not reveal all environmental conditions affecting a property. Therefore, there could be undiscovered environmental liabilities on the properties we own. Some of our properties use, or may have used in the past, underground tanks for the storage of petroleum-based products or waste products that could create a potential for release of hazardous substances or penalties if tanks do not comply with legal standards. If environmental contamination exists on our properties, we could be subject to strict, joint and/or several liability for the contamination by virtue of our ownership interest. Some of our properties may contain asbestos-containing materials, or ACM. Environmental laws govern the presence, maintenance and removal of ACM and such laws may impose fines, penalties or other obligations for failure to comply with these requirements or expose us to third-party liability (for example, liability for personal injury associated with exposure to asbestos). Environmental laws also apply to other activities that can occur on a property, such as storage of petroleum products or other hazardous toxic substances, air emissions, water discharges and exposure to lead-based paint. Such laws may impose fines and penalties for violations and may require permits or other governmental approvals to be obtained for the operation of a business involving such activities.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known or potential presence of hazardous substances on a property may adversely affect our ability to sell, lease or improve the property or to borrow using the property as collateral. In addition, environmental laws may create liens on contaminated properties in favor of the government for damages and costs it incurs to address such contamination. Moreover, if contamination is discovered on our properties, environmental laws may impose restrictions on the manner in which they may be used or businesses may be operated, and these restrictions may require substantial expenditures.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although our leases generally require our tenants to operate in compliance with all applicable laws and to indemnify us against any environmental liabilities arising from a tenant’s activities on the property, we could be subject to strict liability by virtue of our ownership interest. We cannot be sure that our tenants will, or will be able to, satisfy their indemnification obligations, if any, under our leases. Furthermore, the discovery of environmental liabilities on any of our properties could lead to significant remediation costs or to other liabilities or obligations attributable to the tenant of that property or could result in material interference with the ability of our tenants to operate their businesses as currently operated. Noncompliance with environmental laws or discovery of environmental liabilities could each individually or collectively affect such tenant’s ability to make payments to us, including rental payments and, where applicable, indemnification 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environmental liabilities may include property and natural resources damage, personal injury, investigation and clean-up costs, among other potential environmental liabilities. These costs could be substantial. Although we may obtain insurance for environmental liability for certain properties that are deemed to warrant coverage, our insurance may be insufficient to address any particular environmental situation and we may be unable to continue to obtain insurance for environmental matters, at a reasonable cost or at all, in the future. If our environmental liability insurance is inadequate, we may become subject to material losses for environmental liabilities. Our ability to receive the benefits of any environmental liability insurance policy will depend on the financial stability of our insurance company and the position it takes with respect to our insurance policies. If we were to become subject to significant environmental liabilities, we could be materially and adversely affected.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properties may contain or develop harmful mold, which could lead to liability for adverse health effects and costs of remediation.</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or other reactions. As a result, should our tenants or their employees or customers be exposed to mold at any of our properties, we could be required to undertake a costly remediation program to contain or remove the mold from the affected property. In addition, exposure to mold by our tenants or others could subject us to liability if property damage or health concerns arise. If we were to become subject to significant mold-related liabilities, we could be materially and adversely affected.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operations and financial condition may be adversely affected by climate change, including possible changes in weather patterns, weather-related events, government policy, laws, regulations and economic conditions.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recent years, the assessment of the potential impact of climate change has begun to impact the activities of government authorities, the pattern of consumer behavior and other areas that impact the business environment in the U.S., including, but not limited to, energy-efficiency measures, water use measures and land-use practices. The promulgation of policies, laws or regulations relating to climate change by governmental authorities in the U.S. and the markets in which we own properties may require us to invest additional capital in our properties. In addition, the impact of climate change on businesses operated by our tenants is not reasonably determinable at this time. While not generally known at this time, climate change may impact weather patterns or the occurrence of significant weather events which could impact economic activity or the value of our properties in specific markets. The occurrence of any of these events or conditions may adversely impact our ability to lease our properties, which would materially and adversely affect us.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Other Aspects of our Operation and as a Public Company</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adversely impact our results of operations and cash flows.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highly dependent on communications and information systems and networks. Any failure or interruption of these systems or networks could cause delays or other problems in our operations and communications. Through our relationship with CTO and our Manager, we rely heavily on CTO’s financial, accounting and other data processing systems. In addition, much of the information technology (“IT”) infrastructure on which we rely is managed by a third party and, as such, we also face the risk of operational failure, termination or capacity constraints by this third party. It is difficult to determine what, if any, negative impact may directly result from any specific interruption or disruption of the networks or systems on which our business relies or any failure to maintain performance, reliability and security of our technological infrastructure, but significant events impacting the systems or networks on which our business relies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senior management team operates two publicly traded companies, our company and CTO, and is required to comply with periodic and current reporting requirements under applicable SEC regulations and comply with applicable listing standards of the NYSE. This could place a significant strain on our senior management team and the management systems, infrastructure and other resources of CTO made available to us through our Manager and on which we rely. There can be no assurance that our senior management team will be able to successfully operate two publicly traded companies. Any failure by our senior management team to successfully operate our company or CTO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If there are deficiencies in our disclosure controls and procedures or internal control over financial reporting, we may be unable to accurately present our financial statements, which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publicly traded company, we are required to report our financial statements on a consolidated basis. Effective internal controls are necessary for us to accurately report our financial results. Section 404 of the Sarbanes-Oxley Act requires us to evaluate and report on our internal control over financial reporting. However, for so long as we are a smaller reporting company that is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controls could detect problems that our management’s assessment might not. There can be no guarantee that our internal control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Future deficiencies, including any material weakness, in our internal control over financial reporting which may occur could result in misstatements of our results of operations that could require a restatement, failing to meet our public company reporting obligations and causing investors to lose confidence in our reported financial information,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Compliance with the Americans with Disabilities Act and fire, safety and other regulations may require us to make unanticipated expenditures that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properties are and will be subject to the Americans with Disabilities Act, or the ADA. Under the ADA, all public accommodations must meet federal requirements related to access and use by disabled persons. Compliance with the ADA requirements could require removal of access barriers and non-compliance could result in imposition of fines by the U.S. government or an award of damages to private litigants, or both. While our tenants are and will be obligated by law to comply with the ADA and typically obligated under our leases to cover costs associated with compliance, if required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changes involve greater expenditures than anticipated or if the changes must be made on a more accelerated basis than anticipated, the ability of our tenants to cover costs could be adversely affected. We could be required to expend our own funds to comply with the provisions of the ADA,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are and will be required to operate our properties in compliance with fire and safety regulations, building codes and other land use regulations, as they may be adopted by governmental agencies and bodies and become applicable to our properties. We may be required to make substantial capital expenditures to comply with those requirements and may be required to obtain approvals from various authorities with respect to our properties, including prior to acquiring a property or when undertaking renovations of any of our existing properties. There can be no assurance that existing laws and regulatory policies will not adversely affect us or the timing or cost of any future acquisitions, developments or renovations, or that additional regulations will not be adopted that increase such delays or result in additional costs. Additionally, failure to comply with any of these requirements could result in the imposition of fines by governmental authorities or awards of damages to private litigants. While we intend to only acquire properties that we believe are currently in substantial compliance with all regulatory requirements, these requirements may change, and new requirements may be imposed which would require significant unanticipated expenditures by us and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have in the past and may in the future choose to acquire properties or portfolios of properties through tax deferred contribution transactions, which could result in stockholder dilution and limit our ability to sell such assets.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 the past acquired, and may in the future acquire, properties or portfolios of properties through tax deferred contribution transactions in exchange for common or preferred units of limited partnership interest in the Operating Partnership, which may result in stockholder dilution. This acquisition structure may have the effect of, among other things, reducing the amount of tax depreciation we could deduct over the tax life of the acquired properties, and may require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Relationship with CTO and Our Manager and the Management Agreement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have no employees and are entirely dependent upon our Manager for all the services we require, and we cannot assure you that our Manager will allocate the resources necessary to meet our business objectives.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we are “externally managed,” we do not employ our own personnel, but instead depend upon CTO, our Manager and their affiliates for virtually all of the services we require. Our Manager selects and manages the acquisition and origination of properties and commercial loan investments that meet our investment criteria; administers the collection of rents, monitors lease compliance by our tenants and deals with vacancies and re-letting of our properties; coordinates the sale of our properties; provides financial and regulatory reporting services; communicates with our stockholders, causes us to pay distributions to our stockholders and arranges for transfer agent services; and provides all of our other administrative services. Accordingly, our success is largely dependent upon the expertise and services of the executive officers and other personnel of CTO provided to us through our Manager.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CTO may be unable to obtain or retain the executive officers and other personnel that it provides to us through our Manager.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success depends to a significant degree upon the executive officers and other personnel of CTO that it provides to us through our Manager. In particular, we rely on the services of John P. Albright, President and Chief Executive Officer of our company and CTO and a member of the board of directors of our company and CTO; Philip R. Mays, Senior Vice President, Chief Financial Officer and Treasurer of our company and CTO; Steven R. Greathouse, Senior Vice President and Chief Investment Officer of our company and CTO; Daniel E. Smith, Senior Vice President, General Counsel and Corporate Secretary of our company and CTO; and Lisa M. Vorakoun, Senior Vice President and Chief Accounting Officer of our company and CTO. In addition to these executive officers, we also rely on other personnel of CTO that are provided to us through our Manager. We cannot guarantee that all, or any particular one of these executive officers and other personnel of CTO provided to us through our Manager, will remain affiliated with CTO, our Manager and us. We do not separately maintain key person life insurance on any person. Failure by CTO to retain any of its executive officers and other personnel provided to us through our Manager and to hire and retain additional highly skilled managerial, operational and marketing personnel could have a material adverse effect on our ability to achieve our investment growth objectives and could result in us incurring excess costs and suffering deficiencies in our disclosure controls and procedures or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pay substantial fees and expenses to our Manager. These payments increase the risk that you will not earn a profit on your investment.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Management Agreement, we pay significant fees to our Manager. Those fees include a base management fee and an incentive fee, if earned. We will also reimburse our Manager for certain expenses pursuant to the Management Agreement. These payments increase the risk that you will not earn a profit on your investment.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pay our Manager a base management fee pursuant to the Management Agreement, which may be substantial, based on our “total equity” (as defined in the Management Agreement) regardless of the performance of our portfolio of properties. Our Manager’s entitlement to non-performance-based compensation might reduce its incentive to seek profitable investment opportunities for us, which could result in a lower performance of our portfolio and materially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incentive fee payable to our Manager pursuant to the Management Agreement may cause our Manager to select investments in more risky assets to increase its incentive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incentive fees based on our total stockholder return exceeding an 8% cumulative annual hurdle rate, which may create an incentive for our Manager to invest in properties with a purchase price reflecting a higher potential yield, that may be riskier or more speculative, or sell an investment prematurely for a gain, in an effort to increase our short-term gains and thereby increase our stock price and the incentive fees to which it is entitled. If our interests and those of our Manager are not aligned, the execution of our business plan and our results of operations could be adversely affected, which could materially and adversely affect the market price of our common stock and our ability to make distributions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There are conflicts of interest in our relationships with our Manager, which could result in outcomes that are not in our best interests.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subject to conflicts of interest arising out of our relationships with our Manager. Pursuant to the Management Agreement, our Manager is obligated to supply us with our management team. However, our Manager is not obligated to dedicate any specific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officers (John P. Albright) is also a member of the board of directors of our company and the board of directors of CTO. As a result, our Manager and the CTO personnel it provides to us, including our executive officers, may have conflicts between their duties to us and their duties to CTO.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initial portfolio, we have in the past acquired and may in the future acquire or sell properties that would potentially fit the investment criteria for CTO or its affiliates. Similarly, CTO or its affiliates may acquire or sell properties that would potentially fit our investment criteria. Although such acquisitions or dispositions could present conflicts of interest, we nonetheless may pursue and consummate such transactions. Additionally, we have in the past and may in the future engage in transactions directly with CTO, our Manager or their affiliates. If we acquire a property from CTO or one of its affiliates or sell a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 If we issue additional equity securities at dilutive prices, the market price of our common stock may be adversely affected, and you could lose some or all of your investment in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Manager’s failure to identify and acquire properties that meet our investment criteria or perform its responsibilities under the Management Agreement could materially and adversely affect our business and our ability to make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achieve our objectives depends on, among other things, our Manager’s ability to identify, acquire and lease properties that meet our investment criteria. Accomplishing our objectives is largely a function of our Manager’s structuring of our investment process, our access to financing on acceptable terms and general market conditions. Our stockholders will not have input into our investment decisions. All of these factors increase the uncertainty, and thus the risk, of investing in our common stock. The CTO executive officers and other CTO personnel provided to us through our Manager have substantial responsibilities under the Management Agreement. In order to implement certain strategies, CTO, our Manager or their affiliates may need to hire, train, supervise and manage new employees successfully. Any failure by CTO or our Manager to manage our future growth effectively could have a material adverse effect on us, our ability to maintain our qualification as a REIT and our ability to make distributions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Manager’s liability is limited under the Management Agreement, and we have agreed to indemnify our Manager against certain liabilities. As a result, we could experience unfavorable operating results or incur losses for which our Manager would not be liable.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Management Agreement, our Manager will not assume any responsibility other than to render the services called for thereunder and will not be responsible for any action of the Board in following or declining to follow its directives. Our Manager maintains a contractual, as opposed to a fiduciary relationship, with us. Under the terms of the Management Agreement, our Manager, its officers, members and personnel, any person controlling or controlled by our Manager and any person providing sub-advisory services to our Manager will not be liable to us, any subsidiary of ours, our directors, our stockholders or any subsidiary’s stockholders or partners for acts or omissions performed in accordance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and pursuant to the Management Agreement, except those resulting from acts constituting gross negligence, willful misconduct, bad faith or reckless disregard of our Manager’s duties under the Management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have agreed to indemnify our Manager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Management Agreement, except where attributable to gross negligence, willful misconduct, bad faith or reckless disregard of such person’s duties under the Management Agreement. As a result, we could experience unfavorable operating results or incur losses for which our Manager would not be liable.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Termination of the Management Agreement could be difficult and costly, including as a result of payment of termination fees to our Manager, and may cause us to be unable to execute our business plan,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renew the Management Agreement, or terminate the agreement, other than for a termination for cause, we are obligated to pay our Manager a termination fee equal to three times the sum of (i) the average annual base management fee earned by our Manager during the 24-month period immediately preceding the most recently completed calendar quarter prior to the termination date and (ii) the average annual incentive fee earned by our Manager during the two most recently completed measurement periods (as defined in the Management Agreement) prior to the termination date. Such a payment would likely be a substantial one-time charge that could render unattractive, or not economically feasible, the termination of our Manager, even if it performed poorly. In addition, any termination of the Management Agreement would end our Manager’s obligation to provide us with our executive officers and personnel upon whom we rely for the operation of our business and would also terminate our rights under the ROFO Agreement with CTO, as discussed further herein. As a result of termination of the ROFO Agreement, we would face increased competition from CTO and its affiliates, as well as others, for the acquisition of properties that meet our investment criteria, and our right to acquire certain properties from CTO and its affiliates would be terminated. As a result, the termination of the Management Agreement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our Manager ceases to be our manager pursuant to the Management Agreement, counterparties to our agreements may cease doing business with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our Manager ceases to be our manager, it could constitute an event of default or early termination event under financing and other agreements we may enter into in the future, upon which our counterparties may have the right to terminate their agreements with us. If our Manager ceases to be our manager for any reason, including upon the non-renewal of the Management Agreement, our business and our ability to make distributions to our stockholders may be materially adversely affected.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Management Agreement with our Manager and the ROFO Agreement with CTO were not negotiated on an arm’s-length basis and may not be as favorable to us as if they had been negotiated with unaffiliated third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Management Agreement with our Manager and the ROFO Agreement with CTO were negotiated between related parties and before our independent directors were elected, and their terms, including the fees payable to our Manager, may not be as favorable to us as if they had been negotiated with unaffiliated third parties. The terms of these agreements may not reflect our long-term best interests and may be overly favorable to CTO, our Manager and their affiliates (other than us and our subsidiaries). Further, we may choose not to enforce, or to enforce less vigorously, our rights under the Management Agreement and the ROFO Agreement because of our desire to maintain our ongoing relationships with our Manager and CTO.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Financing Activities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growth depends on external sources of capital, including debt financings, that are outside of our control and may not be available to us on commercially reasonable terms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maintain our qualification as a REIT under the Code, we are required, among other things, to distribute annually at least 90% of our REIT taxable income, determined without regard to the dividends paid deduction and excluding any net capital gain. In addition, we are subject to income tax at the U.S. federal corporate income tax rate to the extent that we distribute less than 100% of our net taxable income. Because of these distribution requirements, we may not have sufficient liquidity from our operating cash flows to fund future capital needs, including any acquisition financing. Consequently, we may rely on third-party sources, including lenders, to fund our capital needs. We may not be able to obtain debt financing on favorable terms or at all. Any additional debt we incur will increase our leverage and likelihood of default. Our access to third-party sources of capital depends, in part, on:</w:t>
      </w:r>
    </w:p>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perception of our growth potential;</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debt levels;</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expected future earnings;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 and cash distributions; and</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per share of our common stock.</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we cannot obtain capital from third-party sources, we may not be able to acquire or develop properties when strategic opportunities exist, meet the capital and operating needs of our existing properties, satisfy our debt service obligations or make the cash distributions to our stockholders necessary to maintain our qualification as a REIT, which would materially and adversely affect us.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organizational documents have no limitation on the amount of additional indebtedness that we may incur in the future. As a result, we may become highly leveraged in the future, which could materially and adversely affect us.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entered into certain debt agreements and, in the future, we may incur additional indebtedness to finance future acquisitions and development, redevelopment and renovation projects and for general corporate purposes. There are no restrictions in our charter or bylaws that limit the amount or percentage of indebtedness that we may incur nor restrict the form in which our indebtedness will be incurred (including recourse or non-recourse debt or cross-collateralized debt).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substantial level of indebtedness in the future could have adverse consequences for our business and otherwise materially and adversely affect us because it could, among other things:</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substantial portion of our cash flow from operations to make principal and interest payments on our indebtedness, thereby reducing our cash flow available to fund working capital, capital expenditures and other general corporate purposes, including to pay dividends on our common stock as currently contemplated or necessary to satisfy the requirements for qualification as a REIT;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 and limit our flexibility in planning for, or reacting to, changes in our business and our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borrow additional funds or refinance indebtedness on favorable terms or at all to expand our business or ease liquidity constraints; and</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us at a competitive disadvantage relative to competitors that have less indebtedness.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agreements governing our indebtedness place restrictions on us and our subsidiaries, reducing our operational flexibility and creating risks associated with default and noncompliance.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agreements governing the Credit Facility, the 2026 Term Loan, the 2027 Term Loan and any other indebtedness that we may incur in the future contain or may contain covenants that place restrictions on us and our subsidiaries. These covenants may restrict, among other activities, our and our subsidiaries’ ability to:</w:t>
      </w:r>
    </w:p>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consolidate or transfer all or substantially all of our or our subsidiaries’ assets;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transfer, pledge or encumber our stock or the ownership interests of our subsidiaries;</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 or issue preferred stock;</w:t>
            </w:r>
          </w:p>
        </w:tc>
      </w:tr>
    </w:tbl>
    <w:tbl>
      <w:tblPr>
        <w:tblW w:w="2646" w:type="dxa"/>
        <w:jc w:val="left"/>
        <w:tblInd w:w="0" w:type="dxa"/>
        <w:tblLayout w:type="fixed"/>
        <w:tblCellMar>
          <w:top w:w="28" w:type="dxa"/>
          <w:left w:w="28" w:type="dxa"/>
          <w:bottom w:w="28" w:type="dxa"/>
          <w:right w:w="28" w:type="dxa"/>
        </w:tblCellMar>
      </w:tblPr>
      <w:tblGrid>
        <w:gridCol w:w="124"/>
        <w:gridCol w:w="25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investments;</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expenditures, including capital expenditures;  </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on or repurchase our capital stock; and</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certain transactions with affiliates.</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covenants could impair our ability to grow our business, take advantage of attractive business opportunities or successfully compete. Our ability to comply with financial and other covenants may be affected by events beyond our control, including prevailing economic, financial and industry conditions. A breach of any of these covenants or covenants under any other agreements governing our indebtedness could result in an event of default. Any cross-default provisions in our debt agreements could cause an event of default under one debt agreement to trigger an event of default under our other debt agreements. Upon the occurrence of an event of default under any of our debt agreements, our lenders could elect to declare all outstanding debt under such agreements to be immediately due and payable. If we were unable to repay or refinance the accelerated debt, our lenders could proceed against any assets pledged to secure that debt, including foreclosing on or requiring the sale of any properties securing that debt, and the proceeds from the sale of these properties may not be sufficient to repay such debt in full.</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Mortgage debt obligations expose us to the possibility of foreclosure, which could result in the loss of our investment in any property subject to mortgage debt.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borrowings may be secured by mortgages on our properties. Incurring mortgage and other secured debt obligations increases our risk of losses because defaults on secured indebtedness may result in foreclosure actions initiated by lenders and ultimately our loss of the properties securing any loans for which we are in default. If we are in default under a cross-defaulted mortgage loan, we could lose multiple properties to foreclosure. For U.S. federal income tax purposes, a foreclosure of any of our properties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but would not receive any cash proceeds, which could hinder our ability to meet the REIT distribution requirements imposed by the Code. As we execute our business plan, we may assume or incur new mortgage indebtedness on our properties. Any default under any mortgage debt obligation we incur may increase the risk of our default on our other indebtedness, including indebtedness under our Credit Facility, the 2026 Term Loan and the 2027 Term Loan, which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Increases in interest rates have and will likely continue to increase our interest costs on our variable rate debt and could adversely impact our ability to refinance existing debt or sell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and future borrowings under our Credit Facility, the 2026 Term Loan and the 2027 Term Loan will bear interest at variable rates. Recent increases in interest rates have increased our interest payments and reduced our cash flow available for other corporate purposes, and we expect this trend to continue in the near term. In addition, rising interest rates could limit our ability to refinance debt when it matures and increase interest costs on any debt that is refinanced. Further, an increase in interest rates could increase the cost of financing, thereby decreasing the amount third parties are willing to pay for our properties, which would limit our ability to dispose of properties when necessary or desired.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we may enter into hedging arrangements in the future. Our hedging arrangements may include interest rate swaps, caps, floors and other interest rate hedging contracts. Our hedging arrangements could reduce, but may not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eliminate, the impact of rising interest rates, and they could expose us to the risk that other parties to our hedging arrangements will not perform or that the agreements relating to our hedges may not be enforceable.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Organization and Structure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a holding company with no direct operations, and we  rely on funds received from the Operating Partnership to pay our obligations and make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and conduct substantially all of our operations through the Operating Partnership. We do not have, apart from an interest in the Operating Partnership, any independent operations. As a result, we rely on distributions from the Operating Partnership to make any distributions we declare on shares of our common stock. We also rely on distributions from the Operating Partnership to meet our obligations, including any tax liability on taxable income allocated to us from the Operating Partnership. In addition, because we are a holding company, your claims as stockholders are structurally subordinated to all existing and future creditors and preferred equity holders of the Operating Partnership and its subsidiaries. Therefore, in the event of a bankruptcy, insolvency, liquidation or reorganization of the Operating Partnership or its subsidiaries, assets of the Operating Partnership or the applicable subsidiary will be available to satisfy our claims to us as an equity owner therein only after all of their liabilities and preferred equity have been paid in full.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we owned 92.3% of the OP Units issued by the Operating Partnership. However, in connection with our future acquisition activities or otherwise, we may issue additional OP Units to third parties. Such issuances would reduce our ownership in the Operating Partnership.</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Certain provisions of Maryland law could inhibit changes in control of our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Certain provisions in the partnership agreement of the Operating Partnership may delay, defer or prevent unsolicited acquisitions of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Provisions in the partnership agreement of the Operating Partnership may delay, defer or prevent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of qualifying parties;  </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 on OP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as general partner, in some cases, to amend the partnership agreement and to cause the Operating Partnership to issue units with terms that could delay, defer or prevent a merger or other change of control of us or the Operating Partnership without the consent of the limited partners;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limited partners to consent to transfers of the general partnership interest and mergers or other transactions involving us under specified circumstances.</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partnership agreement of the Operating Partnership and Delaware law also contain other provisions that may delay, defer or prevent a transaction or a change of control that might involve a premium price for our common stock or that our stockholders otherwise believe to be in their best interest.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charter contains stock ownership limits, which may delay, defer or prevent a change of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for us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of a taxable year of 12 months or during a proportionate portion of a shorter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(if and when issued)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Board may change our strategies, policies or procedures without stockholder consent, which may subject us to different and more significant risks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 financing, leverage and distribution policies and our policies with respect to all other activities, including growth, debt, capitalization and operations, are determined by the Board. These policies may be amended or revised at any time and from time to time at the discretion of the Board without notice to or a vote of our stockholders. This could result in us conducting operational matters, making investments or pursuing different business or growth strategies than those contemplated. Under these circumstances, we may expose ourselves to different and more significant risks in the future, which could have a material adverse effect on our business and growth. In addition, the Board may change our policies with respect to conflicts of interest, provided that such changes are consistent with applicable legal requirements.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have assumed unknown liabilities in connection with the Formation Transactions, which, if significant,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Formation Transactions, we acquired our initial portfolio from CTO, subject to existing liabilities, some of which may have been unknown at the time of the IPO and may remain unknown. Unknown liabilities might include claims of tenants, vendors or other persons dealing with such entities prior to the IPO (that had not been asserted or threatened prior to the IPO), tax liabilities and accrued but unpaid liabilities incurred in the ordinary course of business. Any unknown or unquantifiable liabilities that we assumed in connection with the Formation Transactions for which we have no or limited recourse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rights and the rights of our stockholders to take action against our directors and executive officers are limited, which could limit your recourse in the event of actions not in your best interest.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cause of action. As a result, we and our stockholders have limited rights against our present and former directors and executive officers, which could limit your recourse in the event of actions not in your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Conflicts of interest exist or could arise in the future between the interests of our stockholders and the interests of holders of Operating Partnership units, which may impede business decisions that could benefit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Conflicts of interest exist or could arise in the future as a result of the relationships between us and our affiliates, on the one hand, and the Operating Partnership or any partner thereof, on the other. Our directors and executive officers have duties to our company under applicable Maryland law in connection with their management of our company. At the same time, PINE GP, as the general partner of the Operating Partnership, has fiduciary duties and obligations to the Operating Partnership and its limited partners under Delaware law and the partnership agreement of the Operating Partnership in connection with the management of the Operating Partnership. The fiduciary duties and obligations of the general partner to the Operating Partnership and its partners may come into conflict with the duties of our directors and executive officers to our company. The Operating Partnership agreement provides that, in the event of a conflict between the interests of our stockholders on the one hand, and the limited partners of the Operating Partnership on the other hand, the general partner will endeavor in good faith to resolve the conflict in a manner not adverse to either our stockholders or the limited partners, provided however, that so long as we own a controlling interest in the Operating Partnership, any such conflict that the general partner, in its sole and absolute discretion, determines cannot be resolved in a manner not adverse to either our stockholders or the limited partners of the Operating Partnership are resolved in favor of our stockholders, and the general partner will not be liable for monetary damages for losses sustained, liabilities incurred or benefits not derived by the limited partners in connection with such decisions.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extent permitted by applicable law, the partnership agreement will provide for the indemnification of the general partner and our officers, directors, employees and any other persons the general partner may designate from and against any and all claims that relate to the operations of the Operating Partnership as set forth in the partnership agreement in which any indemnitee may be involved, or is threatened to be involved, as a party or otherwise, unless it is established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or omission of the indemnitee was material to the matter giving rise to the proceeding and either was committed in bad faith or was the result of active and deliberate dishonesty;</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indemnitee actually received an improper personal benefit in money, property or services;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criminal proceeding, the indemnitee had reasonable cause to believe that the act or omission was unlawful.</w:t>
            </w:r>
          </w:p>
        </w:tc>
      </w:tr>
    </w:tbl>
    <w:p>
      <w:pPr>
        <w:pStyle w:val="TextBody"/>
        <w:bidi w:val="0"/>
        <w:spacing w:before="0" w:after="0"/>
        <w:ind w:left="72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Similarly, the general partner of the Operating Partnership and our officers, directors, agents or employees, will not be liable for monetary damages to the Operating Partnership or the limited partners for losses sustained or liabilities incurred as a result of errors in judgment or mistakes of fact or law or of any act or omission so long as any such party acted in good faith.</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could increase or decrease the number of authorized shares of stock, classify and reclassify unissued stock and issue stock without stockholder approval, which could prevent a change in our control and negatively affect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As a result, we may issue series or classes of common stock or preferred stock with preferences, distributions, powers and rights, voting or otherwise, that are senior to the rights of holders of our common stock. Any such issuance could dilute our existing common stockholders’ interests. Although the Board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Operating Partnership has in the past and may in the future issue additional OP Units without the consent of our stockholders, which could have a dilutive effect on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has in the past and may in the future issue additional OP Units to third parties without the consent of our stockholders, which would reduce our ownership percentage in the Operating Partnership and may have a dilutive effect on the amount of distributions made to us by the Operating Partnership and, therefore, the amount of distributions we may make to our stockholders. Any such issuances, or the perception of such issuances, could materially and adversely affect the market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a “smaller reporting company” and we cannot be certain if the reduced disclosure requirements applicable to smaller reporting companies will make shares of our common stock less attractive to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Regulation S-K under the Securities Act and may benefit from certain of the scaled disclosures available to smaller reporting companies. We cannot be certain if the reduced disclosure requirements applicable to smaller reporting companies will make our common stock less attractive to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some investors find our common stock less attractive as a result, there may be a less active, liquid and/or orderly trading market for our common stock and the market price and trading volume of our common stock may be more volatile and decline significantly.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Qualification and Operation as a REIT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Failure to remain qualified as a REIT would cause us to be taxed as a regular corporation, which would substantially reduce funds available for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organization and method of operation have enabled us to meet the requirements for qualification and taxation as a REIT and we intend to continue to be organized and operate in such a manner. However, we cannot assure you that we will remain qualified as a REIT. Moreover, our qualification and taxation as a REIT depend upon our ability to meet on a continuing basis, through actual annual operating results, certain qualification tests set forth in the U.S. federal income tax laws. Accordingly, no assurance can be given that our actual results of operations for any particular taxable year will satisfy such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qualify as a REIT in any taxable year, we will face serious tax consequences that will substantially reduce the funds available for distributions to our stockholders because: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not be allowed a deduction for dividends paid to stockholders in computing our taxable income and would be subject to U.S. federal income tax at regular corporate rates (currently 21%);</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subject to increased state and local taxes;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entitled to relief under certain U.S. federal income tax laws, we could not re-elect REIT status until the fifth calendar year after the year in which we failed to qualify as a REIT.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Even if we remain qualified as a REIT, we may face other tax liabilities that could reduce our cash flows and negatively impact our results of operations and financial condition.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under partnership audit procedures, the Operating Partnership and any other partnership that we may form or acquire may be liable at the entity level for tax imposed under those procedures. Further, any taxable REIT subsidiaries (“TRSs”) that we may form in the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future will be subject to regular corporate U.S. federal, state and local taxes. Moreover, several provisions of the Code regarding the arrangements between a REIT and its TRS entities function to ensure that such TRS entities are subject to an appropriate level of U.S. federal income taxation.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Failure to make required distributions would subject us to U.S. federal corporate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on the amount, if any, by which dividends we pay in a calendar year are less than the sum of 85% of our ordinary income, 95% of our capital gain net income and, 100% of our undistributed income (as defined under the excise tax rules from prior 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Complying with REIT requirements may cause us to forego otherwise attractive opportunities or liquidate otherwise attractive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relative lack of experience of our Manager in operating under the constraints imposed on us as a REIT may hinder the achievement of our investment objectives.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qualifying for and maintaining REIT status. Our Manager has relatively limited experience operating under these constraints, which may hinder our ability to take advantage of attractive investment opportunities and to achieve our investment objectives. As a result, we cannot assure you that our Manager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paid deduction, and we would no longer be required to make distributions. If this occurs, we might be required to borrow funds or liquidate some investments in order to pay the applicable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Complying with REIT requirements may limit our ability to hedge our liabilities effectively and may cause us to incur tax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the 75% and 95%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ability to provide certain services to our tenants may be limited by the REIT rules or may have to be provided through a TRS.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prohibited transactions tax may limit our ability to dispose of our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or may conduct such sales through any TRS that we may form, which would be subject to U.S. federal corporate income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pay taxable dividends in our common stock and cash, in which case stockholders may sell shares of our common stock to pay tax on such dividends, placing downward pressure on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may satisfy the 90% distribution test with taxable distributions of our common stock. The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If we made a taxable dividend payable in cash and common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common stock that it receives as a dividend in order to pay this tax, the sales proceeds may be less than the amount included in income with respect to the dividend, depending on the market price of our common stock at the time of the sale.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with respect to certain non-U.S. stockholders, we may be required to withhold U.S. federal income tax with respect to such dividends, including in respect of all or a portion of such dividend that is payable in common stock. If we made a taxable dividend payable in cash and our common stock and a significant number of our stockholders determine to sell shares of our common stock in order to pay taxes owed on dividends, it may put downward pressure on the trading price of our common stock. We do not currently intend to pay taxable dividends using both our common stock and cash, although we may choose to do so in the future.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ability of the Board to revoke our REIT qualification without stockholder approval may cause adverse consequences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Any ownership of a TRS we may form in the future will be subject to limitations and our transactions with a TRS will cause us to be subject to a 100% penalty tax on certain income or deductions if those transactions are not conducted on arm’s-length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Overall, no more than 20% of the value of a REIT’s assets may consist of stock or securities of one or more TRS entities. A TRS will be subject to applicable U.S. federal, state and local corporate income tax on its taxable income, and its after tax net income will be available for distribution to us but is not required to be distributed to us. In addition, several provisions of the Code regarding the arrangements between a REIT and its TRS entities function to ensure that the TRS is subject to an appropriate level of U.S. federal income taxation. The Code also imposes a 100% excise tax on certain transactions between a TRS and its parent REIT that are not conducted on an arm’s-length basis. We will monitor the value of our respective investments in any TRS that we may form for the purpose of ensuring compliance with TRS ownership limitations and will structure our transactions with any TRS on terms that we believe are arm’s length to avoid incurring the 100% excise tax described above. There can be no assurance, however, that we will be able to comply with the 20% limitation or to avoid application of the 100% excise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You may be restricted from acquiring or transferring certain amounts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stock ownership restrictions of the Code for REITs and the 9.8% share ownership limit in our charter may inhibit market activity in our capital stock and restrict our business combination opportunities.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for us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 year other than our initial REIT taxable year. To help ensure that we meet these tests, our charter restricts the acquisition and ownership of shares of our capital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interests to continue to qualify as a REIT.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Dividends payable by REITs do not qualify for the reduced tax rates available for some 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be subject to adverse legislative or regulatory tax changes, in each instance with potentially retroactive effect, that could reduce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and preferred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the Operating Partnership failed to qualify as a partnership for U.S. federal income tax purposes, we would cease to qualify as a REIT and suffer other adverse consequences.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the Operating Partnership will be treated as a partnership for U.S. federal income tax purposes. As a partnership, the Operating Partnership will not be subject to U.S. federal income tax on its income. Instead, each of its partners, including us, will be allocated, and may be required to pay tax with respect to, its share of the Operating Partnership’s income. We cannot assure you, however, that the IRS will not challenge the status of the Operating Partnership or any other subsidiary partnership in which we own an interest as a partnership for U.S. federal income tax purposes, or that a court would not sustain such a challenge. If the IRS were successful in treating the Operating Partnership or any such other subsidiary partnership as an entity taxable as a corporation for U.S. federal income tax purposes, we would fail to meet the gross income tests and certain of the asset tests applicable to REITs and, accordingly, we would likely cease to qualify as a REIT. Also, the failure of the Operating Partnership or any subsidiary partnership to qualify as a partnership could cause such partnership to become subject to U.S. federal and state corporate income tax, which would reduce significantly the amount of cash available for debt service and for distribution to its partners, including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market value of our common stock is subject to various factors that may cause significant fluctuations or volatility.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with other publicly traded securities, the market price of our common stock depends on various factors, which may change from time to time and/or may be unrelated to our financial condition, results of operations or cash flows. These factors may cause significant fluctuations or volatility in the market price of our common stock. These factors include, but are likely not limited to, the following:</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and operating performance and the financial condition or performance of other similar companies;</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differences in our quarterly or annual operating results as compared to expected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revenues, Funds From Operations (“FFO”), Adjusted Funds From Operations (“AFFO”), or earnings estimates or recommendations by securities analysts;</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the real estate industry generally;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market interest rates, which may lead investors to demand a higher distribution yield for shares of our common stock, and could result in increased interest expense on our debt;  </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market reaction to any increased indebtedness we incur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our and our tenants’ businesses or prospects, including as a result of the impact of a global pandemic, such as the COVID-19 Pandemic;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state of the credit and capital markets, and our ability and the ability of our tenants to obtain financing on favorable terms;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with CTO and its affiliates, including our Manager;</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our Manager or additions and departures of key personnel of our Manager;</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in our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decisions by us or our competitors, such as acquisitions, divestments, spin-offs, joint ventures, strategic investments or changes in business or growth strategies;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or other regulatory developments that adversely affect us or our industry;</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speculation in the press or investment community;</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institutional stockholders;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investor interest in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reputation of REITs and the attractiveness of our equity securities in comparison to other equity securities, including securities issued by other real estate-based companies;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confidence in the stock and bond markets, generally;</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issuances by us (including the issuances of OP Units), or common stock resales by our stockholders, or the perception that such issuances or resales may occur;</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of average daily trading and the amount of our common stock available to be traded;</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our qualification as a REIT;</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rules of the NYSE or maintain the listing of our common stock on the NYSE;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terrorist acts, natural or man-made disasters, including global pandemics impacting the United States, or threatened or actual armed conflicts;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and local, regional and national economic conditions, including factors unrelated to our operating performance and prospects.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 assurance can be given that the market price of our common stock will not fluctuate or decline significantly in the future or that holders of shares of our common stock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There can be no assurance that we will be able to make or maintain cash distributions, and certain agreements relating to our indebtedness may, under certain circumstances, limit or eliminate our ability to make distributions to our common stockholders.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intend to make cash distributions to our stockholders in amounts such that all or substantially all of our taxable income in each year, subject to adjustments, is distributed. Our ability to continue to make distributions in the future may be adversely affected by the risk factors described in this Annual Report on Form 10-K. We can give no assurance that we will be able to make or maintain distributions and certain agreements relating to our indebtedness may, under certain circumstances, limit or eliminate our ability to make distributions to our common stockholders. We can give no assurance that rents from our properties will increase, or that future acquisitions of real properties or other investments will increase our cash available for distributions to stockholders. In addition, any distributions will be authorized at the sole discretion of the Board, and their form, timing and amount, if any, will depend upon a number of factors, including our actual and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projected results of operations, FFO, AFFO,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the Board deems relevant.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do not have sufficient cash available for distributions, we may need to fund the shortage out of working capital or borrow to provide funds for such distributions, which would reduce the amount of proceeds available for real estate investments and increase our future interest costs. Our inability to make distributions, or to make distributions at expected levels, could result in a decrease in the per share trading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market price of our common stock could be adversely affected by our level of cash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 market price of the equity securities of a REIT is based primarily upon the market’s perception of the REIT’s growth potential, its current and potential future cash distributions, whether from operations, sales or refinancing, and its management and governance structure and is secondarily based upon the real estate market value of the underlying assets. For that reason, our common stock may trade at prices that are higher or lower than our net asset value per share. To the extent we retain operating cash flows for investment purposes, working capital reserves or other purposes, these retained funds, while increasing the value of our underlying assets, may not correspondingly increase the market price of our common stock. If we fail to meet the market’s expectations with regard to future operating results and cash distributions, the market price of our common stock could be adversely affected.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Increases in market interest rates may result in a decline in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One of the factors that we believe influences the market price of our common stock is the distribution yield on the common stock (as a percentage of the market price of our common stock) relative to market interest rates. Additional increases in market interest rates, which have increased recently but are still currently at low levels relative to certain historical rates, may lead prospective purchasers of shares of our common stock to expect a higher distribution yield. Additionally, higher interest rates have in the past and are expected to continue to increase our borrowing costs and potentially decrease our cash available for distribution. Thus, higher market interest rates could cause the market price of our common stock to decline.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Future issuances of debt securities, which would rank senior to shares of our common stock upon our liquidation, and future issuances of equity securities (including preferred stock and OP Units), which would dilute the holdings of our then-existing common stockholders and may be senior to shares of our common stock for the purposes of making distributions, periodically or upon liquidation, may materially and adversely affect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future, we may issue debt or equity securities or incur other borrowings. Upon liquidation, holders of our debt securities and other loans and shares of our preferred stock will receive a distribution of our available assets before holders of shares of our common stock. We are not required to offer any debt or equity securities to existing stockholders on a preemptive basis. Therefore, shares of our common stock that we issue in the future, directly or through convertible or exchangeable securities (including OP Units), warrants or options, will dilute the holdings of our then-existing common stockholders and such issuances or the perception of such issuances may reduce the market price of our common stock. Our preferred stock, if issued, would likely have a preference on distribution payments, periodically or upon liquidation, which could limit our ability to make distributions to holders of shares of our common stock. Because our decision to issue debt or equity securities or otherwise incur debt in the future will depend on market conditions and other factors beyond our control, we cannot predict or estimate the amount, timing, nature or impact of our future capital raising efforts. Thus, holders of shares of our common stock bear the risk that our future issuances of debt or equity securities or our incurrence of other borrowings may materially and adversely affect the market price of shares of our common stock and dilute their ownership in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Sales of substantial amounts of our common stock in the public markets or the perception that they might occur, could reduce the price of our common stock and may dilute the voting power of our then-existing common stockholders and such common stockholders’ ownership interest in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of substantial amounts of our common stock in the public market, or the perception that such sales could occur, could adversely affect the market price of our common stock and may make it more difficult for our then-existing common stockholders to sell their shares of common stock at a time and price that such common stockholders deem appropriate.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shares of our common stock that we have sold in the IPO and subsequent public offerings may be resold immediately in the public market unless they are held by “affiliates,” as that term is defined in Rule 144 under the Securities Act. The common stock purchased by CTO in the CTO Private Placement and in the IPO and the shares of common stock underlying the OP Units issued in the Formation Transactions are “restricted securities” within the meaning of Rule 144 under the Securities Act and may not be sold in the absence of registration under the Securities Act unless an exemption from registration is available, including the exemptions contained in Rule 144. As a result of the registration rights agreement that we entered into with CTO, the shares of our common stock purchased by CTO in the CTO Private Placement may be eligible for future sale without restriction. Sales of a substantial number of such shares, or the perception that such sales may occur, could cause the market price of our common stock to fall or make it more difficult for our then-existing common stockholders to sell their common stock at a time and price that such common stockholders deem appropriate.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our charter provides that we may issue up to 500,000,000 shares of common stock and 100,000,000 shares of preferred stock, $0.01 par value per share. Moreover, under Maryland law and as is provided in our charter, a majority of our entire board of directors will have the power to amend our charter to increase or decrease the aggregate number of shares of stock or the number of shares of stock of any class or series that we are authorized to issue without stockholder approval. Future issuances of shares of our common stock or securities convertible or exchangeable into common stock may dilute the ownership interest of our common stockholders. Because our decision to issue additional equity or convertible or exchangeable securities in any future offering will depend on market conditions and other factors beyond our control, we cannot predict or estimate the amount, timing or nature of our future issuances. In addition, we are not required to offer any such securities to existing stockholders on a preemptive basis. Therefore, it may not be possible for existing stockholders to participate in such future issuances, which may dilute the existing stockholders’ interests in us.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Cybersecurity risks and cyber incidents could adversely affect our business and disrupt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Should any such cyber incidents or similar events occur, our assets, particularly cash, could be lost and, as a result, our ability to execute our business and pursue our investment and growth strategy could be impaired, thereby materially and adversely affecting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become subject to litigation, which could materially and adversely affect us.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may become subject to litigation, in connection with our operations, securities offerings and otherwise in the ordinary course of business. Some of these claims may result in significant defense costs and potentially significant judgments against us, some of which are not, or cannot be, insured against. We generally intend to vigorously defend ourselves. However, we cannot be certain of the ultimate outcomes of any claims that may arise in the future and which are presently not known to us. Resolution of these types of matters against us may result in our having to pay significant fines, judgments or settlements, which, if uninsured, or if the fines, judgments and settlements exceed insured levels, could materially and adversely impact our earnings and cash flows, thereby materially and adversely affecting us. Certain litigation or the resolution of certain litigation may affect the availability or cost of some of our insurance coverage, which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could materially and adversely impact us, expose us to increased risks that would be uninsured and materially and adversely impact our ability to attract directors and officers.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we fail to maintain effective disclosure controls and procedures, we may not be able to meet applicable reporting requirements,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publicly traded company, we are subject to the informational requirements of the Exchange Act and are required to file reports and other information with the SEC. In addition, we are required to maintain disclosure controls and procedures that are designed to ensure that information required to be disclosed in the reports that we file with, or submit to, the SEC is recorded, processed, summarized and reported, within the time periods specified in the SEC’s rules and forms. They include controls and procedures designed to ensure that information required to be disclosed in reports filed with, or submitted to, the SEC is accumulated and communicated to management, including our principal executive and principal financial officers, to allow timely decisions regarding required disclosure. Effective disclosure controls and procedures are necessary for us to provide reliable reports, effectively prevent and detect fraud and to operate successfully as a public company. Designing and implementing effective disclosure controls and procedures is a continuous effort that requires significant resources and devotion of time. We may discover deficiencies in our disclosure controls and procedures that may be difficult or time consuming to remediate in a timely manner. Any failure to maintain effective disclosure controls and procedures or to timely effect any necessary improvements thereto could cause us to fail to meet our reporting obligations (which could affect the listing of our common stock on the NYSE). Additionally, ineffective disclosure controls and procedures could also adversely affect our ability to prevent or detect fraud, harm our reputation and cause investors to lose confidence in our reports filed with, or submitted to, the SEC, which would likely have a negative effect on the trading price of our common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An epidemic or pandemic (such as the outbreak and worldwide spread of COVID-19), and the measures that international, federal, state and local governments, agencies, law enforcement and/or health authorities implement to address it, may precipitate or materially exacerbate one or more of the other risks, and may significantly disrupt our tenants’ ability to operate their businesses and/or pay rent to us or prevent us from operating our business in the ordinary course for an extended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epidemic or pandemic could have a material and adverse effect on or cause disruption to our business or financial condition, results of operations, cash flows and the market value and trading price of our securities due to, among other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or partial closure of, or other operational issues with, our portfolio as a result of government or tenant 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Declines in or instability of the economy or financial markets may result in a recession or negatively impact consumer discretionary spending, which could adversely affect retailers and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of economic activity may severely impact our tenants’ business operations, financial condition, liquidity and access to capital resources and may cause one or more of our tenants to be unable to meet their obligations to us in full, or at all, to default on their lease, or to otherwise seek modifications of such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access debt and equity capital on favorable terms, if at all, or a severe disruption and instability in the global financial markets or deteriorations in credit and financing conditions may affect our access to capital necessary to fund business operations, pursue acquisition and development opportunities, refinance existing debt, reduce our ability to make cash distributions to our stockholders and increase our future interest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decline in business activity and demand for real estate transactions would adversely affect our ability to successfully execute our investment strategies or expand our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reduction in our cash flows could impact our ability to continue paying cash dividends to our stockholders at expected levels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financial impact could negatively affect our future compliance with financial and other covenants of our debt instruments, and the failure to comply with such covenants could result in a default that accelerates the payment of such debt;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negative impact on the health of on CTO’s employees or members of the Board or CTO’s board of directors, particularly if a significant number are impacted, or the impact of government actions or restrictions, </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stay-at-home orders, restricting access to CTO’s headquarters, could result in a deterioration in our ability to ensure business continuity during a disruption.</w:t>
            </w:r>
          </w:p>
        </w:tc>
      </w:tr>
    </w:tbl>
    <w:p>
      <w:pPr>
        <w:pStyle w:val="TextBody"/>
        <w:bidi w:val="0"/>
        <w:spacing w:before="0" w:after="240"/>
        <w:ind w:left="72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prolonged continuation of or repeated temporary business closures, reduced capacity at businesses or other social-distancing practices, and quarantine orders may adversely impact our tenants’ ability to generate sufficient revenues to meet financial obligations, and could force tenants to default on their leases, or result in the bankruptcy of tenants, which would diminish the rental revenue we receive under our leases.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Changes in accounting standards may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the FASB and the SEC, who create and interpret appropriate accounting standards, may change the financial accounting and reporting standards or their interpretation and application of these standards that will govern the preparation of our financial statements. These changes could materially and adversely affect our reported financial condition and results of operations. In some cases, we could be required to apply a new or revised standard retroactively, resulting in restating prior period financial statements. Similarly, these changes could materially and adversely affect our tenant’s reported financial condition or results of operations and affect their preferences regarding leasing real estate.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corporate social responsibility.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faces public scrutiny related to environmental, social and governance (“ESG”) activities. We risk damage to our reputation if we or affiliates of our Manager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pStyle w:val="TextBody"/>
        <w:bidi w:val="0"/>
        <w:spacing w:before="0" w:after="160"/>
        <w:ind w:left="0" w:right="0" w:hanging="0"/>
        <w:jc w:val="both"/>
        <w:rPr>
          <w:rFonts w:ascii="Times New Roman;Times;serif" w:hAnsi="Times New Roman;Times;serif"/>
          <w:sz w:val="20"/>
        </w:rPr>
      </w:pPr>
      <w:bookmarkStart w:id="40" w:name="ITEM1BUNRESOLVEDSTAFFCOMMENTS_212658"/>
      <w:bookmarkStart w:id="41" w:name="_9d20b92e_6c63_44ef_8d89_49aed6bfe821"/>
      <w:bookmarkEnd w:id="40"/>
      <w:bookmarkEnd w:id="41"/>
      <w:r>
        <w:rPr>
          <w:rFonts w:ascii="Times New Roman;Times;serif" w:hAnsi="Times New Roman;Times;serif"/>
          <w:b/>
          <w:sz w:val="20"/>
        </w:rPr>
        <w:t>ITEM 1B.</w:t>
      </w:r>
      <w:r>
        <w:rPr>
          <w:rFonts w:ascii="Times New Roman;Times;serif" w:hAnsi="Times New Roman;Times;serif"/>
          <w:sz w:val="20"/>
        </w:rPr>
        <w:t>          </w:t>
      </w:r>
      <w:r>
        <w:rPr>
          <w:rFonts w:ascii="Times New Roman;Times;serif" w:hAnsi="Times New Roman;Times;serif"/>
          <w:b/>
          <w:sz w:val="20"/>
        </w:rPr>
        <w:t>UNRESOLVED STAFF COMMENTS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left"/>
        <w:rPr/>
      </w:pPr>
      <w:r>
        <w:rPr/>
        <w:t>​</w:t>
      </w:r>
    </w:p>
    <w:p>
      <w:pPr>
        <w:pStyle w:val="TextBody"/>
        <w:bidi w:val="0"/>
        <w:spacing w:before="0" w:after="160"/>
        <w:ind w:left="0" w:right="0" w:hanging="0"/>
        <w:jc w:val="both"/>
        <w:rPr>
          <w:rFonts w:ascii="Times New Roman;Times;serif" w:hAnsi="Times New Roman;Times;serif"/>
          <w:b/>
          <w:sz w:val="20"/>
        </w:rPr>
      </w:pPr>
      <w:bookmarkStart w:id="42" w:name="Item_1C_Cybersecurity"/>
      <w:bookmarkStart w:id="43" w:name="_2d755369_af5a_4f9c_bd52_f8261d89ed9b"/>
      <w:bookmarkEnd w:id="42"/>
      <w:bookmarkEnd w:id="43"/>
      <w:r>
        <w:rPr>
          <w:rFonts w:ascii="Times New Roman;Times;serif" w:hAnsi="Times New Roman;Times;serif"/>
          <w:b/>
          <w:sz w:val="20"/>
        </w:rPr>
        <w:t>ITEM 1C.          CYBERSECURITY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our Manager, which is a wholly owned subsidiary of CTO, a publicly traded diversified REIT. Pursuant to the terms of the Management Agreement, our Manager manages, operates and administers our day-to-day operations, business and affairs, subject to the direction and supervision of the Board. The Board recognizes the critical importance of maintaining the trust and confidence of our tenants and business partners. The Board plays an active role in overseeing management of our risks, and cybersecurity represents an important component of the Company’s overall approach to risk management and oversight.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an externally managed company, the Company relies on CTO’s information systems in connection with the Company’s day-to-day operations. Consequently, the Company also relies on the processes for assessing, identifying, and managing material risks from cybersecurity threats undertaken by CTO. All of the Company’s executive officers are executive officers and employees of CTO, and one of the Company’s officers (John P. Albright) is also a member of CTO’s board of directors.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cybersecurity processes and practices are integrated into CTO’s risk management and oversight program. In general, CTO seeks to address cybersecurity risks through a comprehensive, cross-functional approach that is focused on preserving the confidentiality, security and availability of the information that CTO collects and stores by identifying, preventing and mitigating cybersecurity threats and effectively responding to cybersecurity incidents when they occur. CTO utilizes a third-party managed IT service provider (the “MSP”) to provide comprehensive cybersecurity services for the Company, including threat detection and response, vulnerability assessment and monitoring, security incident response and recovery, and cybersecurity education and awareness. The Company has adopted a written information security incident response plan, which, as discussed below, is overseen by the Audit Committee of the Board (the “Audit Committee”).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cybersecurity program is focused on the following key areas: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Governance: As discussed in more detail under “Item 1C. Cybersecurity—Governance,” the Board’s oversight of cybersecurity risk management is supported by the Audit Committee, which regularly interacts with the Company’s management team.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Collaborative Approach: CTO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the Audit Committee, and the Board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Safeguards: CTO and the MSP deploy technical safeguards that are designed to protect information systems from cybersecurity threats, including firewalls, intrusion prevention systems, endpoint detection and response systems, anti-malware functionality and access controls, which are evaluated and improved through vulnerability assessments and cybersecurity threat intelligence.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 Response and Recovery Planning: CTO and the MSP have established a written information security incident response plan that addresses the response to a cybersecurity incident, which plan is tested and evaluated on a regular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Risk Management: CTO and the MSP maintain a comprehensive, risk-based approach to identifying and overseeing cybersecurity risks presented by third parties, including vendors, service providers and other external users of CTO’s systems, as well as the systems of third parties that could adversely impact the Company’s business in the event of a cybersecurity incident affecting those third-party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Education and Awareness: CTO, through the MSP, provides regular training for personnel regarding cybersecurity threats as a means to equip personnel with effective tools to address cybersecurity threats, and to communicate evolving information security policies, standards, processes and practices.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 and the MSP engage in the periodic assessment and testing of CTO’s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CTO’s cybersecurity measures and planning. The MSP regularly assesses CTO’s cybersecurity measures, including information security maturity, and regularly reviews CTO’s information security control environment and operating effectiveness. The results of such assessments, audits and reviews will be reported to the Audit Committee and the Board, and CTO will adjust its cybersecurity policies, standards, processes and practices as necessary based on the information provided by these assessments, audits and reviews.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Governance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in coordination with the Audit Committee, oversees the Company’s cybersecurity risk management process. The Audit Committee has adopted a charter that provides that the Audit Committee must review and discuss with the Company’s management team the Company’s privacy and cybersecurity risk exposures, including:</w:t>
      </w:r>
    </w:p>
    <w:p>
      <w:pPr>
        <w:pStyle w:val="TextBody"/>
        <w:bidi w:val="0"/>
        <w:spacing w:before="0" w:after="0"/>
        <w:ind w:left="0" w:right="0" w:firstLine="360"/>
        <w:jc w:val="both"/>
        <w:rPr/>
      </w:pPr>
      <w:r>
        <w:rPr/>
        <w:t>​</w:t>
      </w:r>
    </w:p>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those exposures on the Company’s business, financial results, operations and reputation;</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steps management has taken to monitor and mitigate such exposures;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information governance policies and programs;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major legislative and regulatory developments that could materially impact the Company’s privacy and cybersecurity risk exposure. </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charter of the Audit Committee also provides that the Audit Committee may receive additional training in cybersecurity and data privacy matters to enable its oversight of such risks and that the Audit Committee will regularly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report to the Board the substance of such reviews and discussions and, as necessary, recommend to the Board such actions as the Audit Committee deems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noted above, the Company relies on CTO’s information systems and the MSP in connection with the Company’s day-to-day operations. Consequently, the Company also relies on the processes for assessing, identifying, and managing material risks from cybersecurity threats undertaken by CTO. All of the Company’s executive officers are executive officers and employees of CTO, and one of the Company’s officers (John P. Albright) is also a member of CTO’s board of directors.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Senior Vice President, Chief Financial Officer and Treasurer, Senior Vice President, General Counsel and Corporate Secretary, and Senior Vice President, Chief Accounting Officer work collaboratively with the MSP to implement a program designed to protect CTO’s information systems from cybersecurity threats and to promptly respond to any cybersecurity incidents in accordance with written information security incident response plans adopted by CTO and the Company. These members of CTO’s management team, together with the MSP, monitor the prevention, detection, mitigation and remediation of cybersecurity threats and incidents and will report such threats and incidents to the Audit Committee when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Senior Vice President, Chief Financial Officer and Treasurer, Senior Vice President, General Counsel and Corporate Secretary, and Senior Vice President, Chief Accounting Officer each hold degrees in their respective fields, and have approximately 20</w:t>
      </w:r>
      <w:r>
        <w:rPr>
          <w:rFonts w:ascii="Times New Roman;Times;serif" w:hAnsi="Times New Roman;Times;serif"/>
          <w:color w:val="FF0000"/>
          <w:sz w:val="20"/>
        </w:rPr>
        <w:t xml:space="preserve"> </w:t>
      </w:r>
      <w:r>
        <w:rPr>
          <w:rFonts w:ascii="Times New Roman;Times;serif" w:hAnsi="Times New Roman;Times;serif"/>
          <w:sz w:val="20"/>
        </w:rPr>
        <w:t>years or more of experience managing risks at CTO, the Company and similar companies, including risks arising from cybersecurity threats.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Cybersecurity threats, including as a result of any previous cybersecurity incidents, have not materially affected and are not reasonably likely to affect the Company, including its business strategy, results of operations or financial condition.</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4" w:name="ITEM2PROPERTIES_519156"/>
      <w:bookmarkStart w:id="45" w:name="_663f2402_1041_4cab_8814_566dbc736e0c"/>
      <w:bookmarkEnd w:id="44"/>
      <w:bookmarkEnd w:id="45"/>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principal offices are located at 369 N. New York Avenue, Suite 201, Winter Park, Florida 32789. Our telephone number is (407) 904-3324.</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the Company owns 134 net leased retail buildings located in 35 states (refer to Item 1. “Business”).</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6" w:name="ITEM3LEGALPROCEEDINGS_42989"/>
      <w:bookmarkStart w:id="47" w:name="_291b3e37_d549_4b43_903a_5e7e34a2d570"/>
      <w:bookmarkEnd w:id="46"/>
      <w:bookmarkEnd w:id="47"/>
      <w:r>
        <w:rPr>
          <w:rFonts w:ascii="Times New Roman;Times;serif" w:hAnsi="Times New Roman;Times;serif"/>
          <w:b/>
          <w:sz w:val="20"/>
        </w:rPr>
        <w:t>ITEM 3.</w:t>
      </w:r>
      <w:r>
        <w:rPr>
          <w:rFonts w:ascii="Times New Roman;Times;serif" w:hAnsi="Times New Roman;Times;serif"/>
          <w:sz w:val="20"/>
        </w:rPr>
        <w:t>            </w:t>
      </w:r>
      <w:r>
        <w:rPr>
          <w:rFonts w:ascii="Times New Roman;Times;serif" w:hAnsi="Times New Roman;Times;serif"/>
          <w:b/>
          <w:sz w:val="20"/>
        </w:rPr>
        <w:t>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8" w:name="ITEM4MINESAFETYDISCLOSURES_844828"/>
      <w:bookmarkStart w:id="49" w:name="_fe5ea87d_82b0_49ad_9241_95aac4f10644"/>
      <w:bookmarkEnd w:id="48"/>
      <w:bookmarkEnd w:id="49"/>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MINE SAFETY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left"/>
        <w:rPr/>
      </w:pPr>
      <w:r>
        <w:rPr/>
        <w:t>​</w:t>
      </w:r>
    </w:p>
    <w:p>
      <w:pPr>
        <w:pStyle w:val="TextBody"/>
        <w:bidi w:val="0"/>
        <w:spacing w:before="0" w:after="0"/>
        <w:ind w:left="0" w:right="0" w:hanging="0"/>
        <w:jc w:val="center"/>
        <w:rPr>
          <w:rFonts w:ascii="Times New Roman;Times;serif" w:hAnsi="Times New Roman;Times;serif"/>
          <w:b/>
          <w:sz w:val="20"/>
        </w:rPr>
      </w:pPr>
      <w:bookmarkStart w:id="50" w:name="PARTII_948070"/>
      <w:bookmarkEnd w:id="50"/>
      <w:r>
        <w:rPr>
          <w:rFonts w:ascii="Times New Roman;Times;serif" w:hAnsi="Times New Roman;Times;serif"/>
          <w:b/>
          <w:sz w:val="20"/>
        </w:rPr>
        <w:t>PART II</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51" w:name="ITEM5MARKETFORREGISTRANTSCOMMONEQUITYREL"/>
      <w:bookmarkStart w:id="52" w:name="_435bfbf1_303c_4c1f_a87d_0c55e1b11a43"/>
      <w:bookmarkEnd w:id="51"/>
      <w:bookmarkEnd w:id="52"/>
      <w:r>
        <w:rPr>
          <w:rFonts w:ascii="Times New Roman;Times;serif" w:hAnsi="Times New Roman;Times;serif"/>
          <w:b/>
          <w:sz w:val="20"/>
        </w:rPr>
        <w:t>ITEM 5.</w:t>
      </w:r>
      <w:r>
        <w:rPr>
          <w:rFonts w:ascii="Times New Roman;Times;serif" w:hAnsi="Times New Roman;Times;serif"/>
          <w:sz w:val="20"/>
        </w:rPr>
        <w:t>            </w:t>
      </w:r>
      <w:r>
        <w:rPr>
          <w:rFonts w:ascii="Times New Roman;Times;serif" w:hAnsi="Times New Roman;Times;serif"/>
          <w:b/>
          <w:sz w:val="20"/>
        </w:rPr>
        <w:t>MARKET FOR REGISTRANT’S COMMON EQUITY, RELATED STOCKHOLDER</w:t>
      </w:r>
      <w:r>
        <w:rPr>
          <w:rFonts w:ascii="Times New Roman;Times;serif" w:hAnsi="Times New Roman;Times;serif"/>
          <w:sz w:val="20"/>
        </w:rPr>
        <w:t xml:space="preserve"> </w:t>
      </w:r>
      <w:r>
        <w:rPr>
          <w:rFonts w:ascii="Times New Roman;Times;serif" w:hAnsi="Times New Roman;Times;serif"/>
          <w:b/>
          <w:sz w:val="20"/>
        </w:rPr>
        <w:t>MATTERS, AND ISSUER REPURCHASES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common stock trades on the NYSE under the symbol “PINE”.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January 29, 2025, there were 144 holders of record of our common stock. This figure does not represent the actual number of beneficial owners of our common stock because shares of our common stock are frequently held in “street name” through banks, brokers and others for the benefit of beneficial owners who may vote the shares.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intend to make quarterly distributions to our common stockholders. In particular, in order to maintain our qualification for taxation as a REIT, we intend to make annual distributions to our stockholders of at least 90% of our REIT taxable income, determined without regard to the deduction for dividends paid and excluding any net capital gain. However, any future distributions will be at the sole discretion of the Board and will depend upon, among other things, our actual results of operations and liquidity.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2024 and December 31, 2022, there were no unregistered sales of equity securities, which were not previously reported. On November 10, 2023, we issued 479,640 shares of our common stock to holders OP Units upon the redemption of such OP Units pursuant to the partnership agreement of the Operating Partnership. The issuance of such shares was exempt from registration under the Securities Act, pursuant to the exemption contemplated by Section 4(a)(2) thereof for transactions not involving a public offering. The OP Units were redeemed for an equal number of shares of our common stock. Each limited partner of the Operating Partnership has the right to require the Operating Partnership to redeem part or all of its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53" w:name="Reserved_762107"/>
      <w:bookmarkStart w:id="54" w:name="ITEM6SELECTEDFINANCIALDATA_762869"/>
      <w:bookmarkStart w:id="55" w:name="_4bbb9d21_0a26_465e_a796_2df753daa488"/>
      <w:bookmarkEnd w:id="53"/>
      <w:bookmarkEnd w:id="54"/>
      <w:bookmarkEnd w:id="55"/>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56" w:name="ITEM7MANAGEMENTSDISCUSSIONANDANALYSISOFF"/>
      <w:bookmarkStart w:id="57" w:name="_858980d6_5d7d_4ec0_b3d4_dcda192a5b36"/>
      <w:bookmarkEnd w:id="56"/>
      <w:bookmarkEnd w:id="57"/>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When we refer to “we,” “us,” “our,” “PINE,” or “the Company,” we mean Alpine Income Property Trust, Inc. and its consolidated subsidiaries. References to “Notes to the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discussion and analysis should be read in conjunction with the consolidated financial statements and related notes included elsewhere in this report.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Alpine Income Property Trust, Inc. is a Maryland corporation that conducts its operations so as to qualify as a REIT for U.S. federal income tax purposes. Substantially all of our operations are conducted through our Operating Partnership.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seek to acquire, own and operate primarily freestanding, commercial retail real estate properties located in the United States primarily leased pursuant to long-term net leases. We target tenants in industries that we believe are favorably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in two primary business segments: income properties and 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our Manager, a Delaware limited liability company and a wholly owned subsidiary of CTO. CTO is a Maryland corporation that is a publicly traded diversified REIT and the sole member of our Manager. See Note 19, “Related Party Management Company” in the Notes to the Financial Statements for further discussion of the Company’s related party transactions with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2024, the Company acquired 12 properties for a combined purchase price of $103.6 million, of which the Tampa Properties totaling $31.4 million are accounted for as a financing arrangement. During the year ended December 31, 2024, the Company sold 15 properties for an aggregate sales price of $62.0 million, generating aggregate gains on sale of $3.4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2024, we owned 134 properties with an aggregate gross leasable area of 3.9 million square feet, located in 35 states, with a weighted average remaining lease term of 8.7 years. Our portfolio was 98% occupied as of December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may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During the year ended December 31, 2024, the Company invested in three commercial loans with a total funding commitment of $31.1 million. Also during the year ended December 31, 2024, the Company acquired the Tampa Properties for $31.4 million through a sale-leaseback transaction that includes a tenant repurchase option. Due to the existence of the tenant repurchase option, and pursuant to FASB ASC Topic 842, </w:t>
      </w:r>
      <w:r>
        <w:rPr>
          <w:rFonts w:ascii="Times New Roman;Times;serif" w:hAnsi="Times New Roman;Times;serif"/>
          <w:i/>
          <w:sz w:val="20"/>
        </w:rPr>
        <w:t>Leases</w:t>
      </w:r>
      <w:r>
        <w:rPr>
          <w:rFonts w:ascii="Times New Roman;Times;serif" w:hAnsi="Times New Roman;Times;serif"/>
          <w:sz w:val="20"/>
        </w:rPr>
        <w:t>, GAAP requires that the $31.4 million investment be accounted for as a financing arrangement, and accordingly the related assets and corresponding revenue are included in the Company’s commercial loans and investments in the Company’s consolidated balance sheets and consolidated statement of operations. However, as the Tampa Properties constitute real estate assets for both legal and tax purposes, we have included them in the property portfolio when describing our property portfolio and for purposes of providing statistics related thereto. Also during the year ended December 31, 2024, the Company sold a $13.6 million A-1 participation interest in the Company’s initial $23.4 million portfolio loan. As of December 31, 2024, the Company’s commercial loan investments portfolio included five construction loans, one mortgage note, and three properties acquired pursuant to a sale-leaseback transaction whereby the tenant has a future repurchase right, with a total carrying value of $89.6 million.</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Historical Financial Information</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our selected historical financial information for each of the last three fiscal years (in thousands, except per share and dividend data). The selected financial information has been derived from our audited consolidated financial statements. </w:t>
      </w:r>
    </w:p>
    <w:tbl>
      <w:tblPr>
        <w:tblW w:w="10205" w:type="dxa"/>
        <w:jc w:val="left"/>
        <w:tblInd w:w="0" w:type="dxa"/>
        <w:tblLayout w:type="fixed"/>
        <w:tblCellMar>
          <w:top w:w="0" w:type="dxa"/>
          <w:left w:w="0" w:type="dxa"/>
          <w:bottom w:w="0" w:type="dxa"/>
          <w:right w:w="0" w:type="dxa"/>
        </w:tblCellMar>
      </w:tblPr>
      <w:tblGrid>
        <w:gridCol w:w="4815"/>
        <w:gridCol w:w="326"/>
        <w:gridCol w:w="359"/>
        <w:gridCol w:w="1104"/>
        <w:gridCol w:w="326"/>
        <w:gridCol w:w="359"/>
        <w:gridCol w:w="1104"/>
        <w:gridCol w:w="326"/>
        <w:gridCol w:w="333"/>
        <w:gridCol w:w="1153"/>
      </w:tblGrid>
      <w:tr>
        <w:trPr/>
        <w:tc>
          <w:tcPr>
            <w:tcW w:w="48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7965" cy="175260"/>
                      <wp:effectExtent l="0" t="0" r="0" b="0"/>
                      <wp:wrapNone/>
                      <wp:docPr id="20" name="Frame20"/>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01040" cy="175260"/>
                      <wp:effectExtent l="0" t="0" r="0" b="0"/>
                      <wp:wrapNone/>
                      <wp:docPr id="21" name="Frame21"/>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7965" cy="175260"/>
                      <wp:effectExtent l="0" t="0" r="0" b="0"/>
                      <wp:wrapNone/>
                      <wp:docPr id="23" name="Frame23"/>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01040" cy="175260"/>
                      <wp:effectExtent l="0" t="0" r="0" b="0"/>
                      <wp:wrapNone/>
                      <wp:docPr id="24" name="Frame24"/>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1455" cy="175260"/>
                      <wp:effectExtent l="0" t="0" r="0" b="0"/>
                      <wp:wrapNone/>
                      <wp:docPr id="26" name="Frame2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32155" cy="175260"/>
                      <wp:effectExtent l="0" t="0" r="0" b="0"/>
                      <wp:wrapNone/>
                      <wp:docPr id="27" name="Frame27"/>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06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Year Ended</w:t>
            </w:r>
          </w:p>
        </w:tc>
      </w:tr>
      <w:tr>
        <w:trPr/>
        <w:tc>
          <w:tcPr>
            <w:tcW w:w="48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December 31, 2024</w:t>
            </w:r>
          </w:p>
        </w:tc>
        <w:tc>
          <w:tcPr>
            <w:tcW w:w="326" w:type="dxa"/>
            <w:tcBorders/>
            <w:vAlign w:val="center"/>
          </w:tcPr>
          <w:p>
            <w:pPr>
              <w:pStyle w:val="TableContents"/>
              <w:bidi w:val="0"/>
              <w:spacing w:before="0" w:after="0"/>
              <w:ind w:left="0" w:right="0" w:hanging="0"/>
              <w:jc w:val="center"/>
              <w:rPr/>
            </w:pPr>
            <w:r>
              <w:rPr/>
              <w:t>    </w:t>
            </w:r>
          </w:p>
        </w:tc>
        <w:tc>
          <w:tcPr>
            <w:tcW w:w="14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December 31, 2023</w:t>
            </w:r>
          </w:p>
        </w:tc>
        <w:tc>
          <w:tcPr>
            <w:tcW w:w="326" w:type="dxa"/>
            <w:tcBorders/>
            <w:vAlign w:val="center"/>
          </w:tcPr>
          <w:p>
            <w:pPr>
              <w:pStyle w:val="TableContents"/>
              <w:bidi w:val="0"/>
              <w:spacing w:before="0" w:after="0"/>
              <w:ind w:left="0" w:right="0" w:hanging="0"/>
              <w:jc w:val="center"/>
              <w:rPr/>
            </w:pPr>
            <w:r>
              <w:rPr/>
              <w:t>    </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December 31, 2022</w:t>
            </w:r>
          </w:p>
        </w:tc>
      </w:tr>
      <w:tr>
        <w:trPr/>
        <w:tc>
          <w:tcPr>
            <w:tcW w:w="481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52,227</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45,644</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45,191</w:t>
            </w:r>
          </w:p>
        </w:tc>
      </w:tr>
      <w:tr>
        <w:trPr/>
        <w:tc>
          <w:tcPr>
            <w:tcW w:w="48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481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14,015</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13,142</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43,482</w:t>
            </w:r>
          </w:p>
        </w:tc>
      </w:tr>
      <w:tr>
        <w:trPr/>
        <w:tc>
          <w:tcPr>
            <w:tcW w:w="48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481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2,254</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3,266</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33,955</w:t>
            </w:r>
          </w:p>
        </w:tc>
      </w:tr>
      <w:tr>
        <w:trPr/>
        <w:tc>
          <w:tcPr>
            <w:tcW w:w="481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Less: Net Income Attributable to Noncontrolling Interest</w:t>
            </w:r>
          </w:p>
        </w:tc>
        <w:tc>
          <w:tcPr>
            <w:tcW w:w="326" w:type="dxa"/>
            <w:tcBorders/>
            <w:vAlign w:val="center"/>
          </w:tcPr>
          <w:p>
            <w:pPr>
              <w:pStyle w:val="TableContents"/>
              <w:bidi w:val="0"/>
              <w:spacing w:before="0" w:after="0"/>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(188)</w:t>
            </w:r>
          </w:p>
        </w:tc>
        <w:tc>
          <w:tcPr>
            <w:tcW w:w="326" w:type="dxa"/>
            <w:tcBorders/>
            <w:vAlign w:val="center"/>
          </w:tcPr>
          <w:p>
            <w:pPr>
              <w:pStyle w:val="TableContents"/>
              <w:bidi w:val="0"/>
              <w:spacing w:before="0" w:after="0"/>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(349)</w:t>
            </w:r>
          </w:p>
        </w:tc>
        <w:tc>
          <w:tcPr>
            <w:tcW w:w="326"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(4,235)</w:t>
            </w:r>
          </w:p>
        </w:tc>
      </w:tr>
      <w:tr>
        <w:trPr/>
        <w:tc>
          <w:tcPr>
            <w:tcW w:w="481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Attributable to Alpine Income Property Trust, Inc.</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2,066</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2,917</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29,720</w:t>
            </w:r>
          </w:p>
        </w:tc>
      </w:tr>
      <w:tr>
        <w:trPr/>
        <w:tc>
          <w:tcPr>
            <w:tcW w:w="48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481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Per Share Attributable to Alpine Income Property Trust, Inc.</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481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Basic</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0.15</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0.21</w:t>
            </w:r>
          </w:p>
        </w:tc>
        <w:tc>
          <w:tcPr>
            <w:tcW w:w="32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2.48</w:t>
            </w:r>
          </w:p>
        </w:tc>
      </w:tr>
      <w:tr>
        <w:trPr/>
        <w:tc>
          <w:tcPr>
            <w:tcW w:w="481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0.14</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0.19</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2.17</w:t>
            </w:r>
          </w:p>
        </w:tc>
      </w:tr>
      <w:tr>
        <w:trPr/>
        <w:tc>
          <w:tcPr>
            <w:tcW w:w="48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pPr>
            <w:r>
              <w:rPr/>
              <w:t>​</w:t>
            </w:r>
          </w:p>
        </w:tc>
      </w:tr>
      <w:tr>
        <w:trPr/>
        <w:tc>
          <w:tcPr>
            <w:tcW w:w="481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Dividends Declared and Paid</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1.110</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1.100</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1153" w:type="dxa"/>
            <w:tcBorders/>
            <w:shd w:fill="CCEEFF"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1.090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Sheet Data (in thousands):</w:t>
      </w:r>
    </w:p>
    <w:p>
      <w:pPr>
        <w:pStyle w:val="TextBody"/>
        <w:bidi w:val="0"/>
        <w:spacing w:before="0" w:after="240"/>
        <w:ind w:left="0" w:right="0" w:hanging="0"/>
        <w:jc w:val="both"/>
        <w:rPr/>
      </w:pPr>
      <w:r>
        <w:rPr/>
        <w:t>​</w:t>
      </w:r>
    </w:p>
    <w:tbl>
      <w:tblPr>
        <w:tblW w:w="6313" w:type="dxa"/>
        <w:jc w:val="left"/>
        <w:tblInd w:w="0" w:type="dxa"/>
        <w:tblLayout w:type="fixed"/>
        <w:tblCellMar>
          <w:top w:w="0" w:type="dxa"/>
          <w:left w:w="0" w:type="dxa"/>
          <w:bottom w:w="0" w:type="dxa"/>
          <w:right w:w="0" w:type="dxa"/>
        </w:tblCellMar>
      </w:tblPr>
      <w:tblGrid>
        <w:gridCol w:w="4216"/>
        <w:gridCol w:w="109"/>
        <w:gridCol w:w="196"/>
        <w:gridCol w:w="691"/>
        <w:gridCol w:w="109"/>
        <w:gridCol w:w="196"/>
        <w:gridCol w:w="796"/>
      </w:tblGrid>
      <w:tr>
        <w:trPr/>
        <w:tc>
          <w:tcPr>
            <w:tcW w:w="4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38785" cy="175260"/>
                      <wp:effectExtent l="0" t="0" r="0" b="0"/>
                      <wp:wrapNone/>
                      <wp:docPr id="30" name="Frame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5460" cy="175260"/>
                      <wp:effectExtent l="0" t="0" r="0" b="0"/>
                      <wp:wrapNone/>
                      <wp:docPr id="33" name="Frame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As of December 31,</w:t>
            </w:r>
          </w:p>
        </w:tc>
      </w:tr>
      <w:tr>
        <w:trPr/>
        <w:tc>
          <w:tcPr>
            <w:tcW w:w="42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2024</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2023</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Real Estate, at Cost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489,867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478,307</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Real Estate—Net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444,017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443,593</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Assets Held For Sale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2,254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4,410</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Commercial Loans and Investments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89,629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35,080</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7,951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13,731</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Intangible Lease Assets—Net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43,925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49,292</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1,409</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15,734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17,045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604,995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564,560</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Payable, 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8,445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5,736</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Prepaid Rent and Deferred Revenue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2,412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2,627</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Intangible Lease Liabilities—Net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4,774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4,907</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Obligation Under Participation Agreement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11,403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Long-Term Debt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301,466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275,677</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328,500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288,947</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Equity</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276,495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96" w:type="dxa"/>
            <w:tcBorders/>
            <w:vAlign w:val="center"/>
          </w:tcPr>
          <w:p>
            <w:pPr>
              <w:pStyle w:val="TableContents"/>
              <w:bidi w:val="0"/>
              <w:spacing w:before="0" w:after="1"/>
              <w:ind w:left="0" w:right="60" w:hanging="0"/>
              <w:jc w:val="right"/>
              <w:rPr>
                <w:rFonts w:ascii="Times New Roman;Times;serif" w:hAnsi="Times New Roman;Times;serif"/>
                <w:sz w:val="17"/>
              </w:rPr>
            </w:pPr>
            <w:r>
              <w:rPr>
                <w:rFonts w:ascii="Times New Roman;Times;serif" w:hAnsi="Times New Roman;Times;serif"/>
                <w:sz w:val="17"/>
              </w:rPr>
              <w:t>275,613</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73" w:before="120" w:after="4"/>
        <w:ind w:left="0" w:right="0" w:firstLine="360"/>
        <w:jc w:val="both"/>
        <w:rPr>
          <w:rFonts w:ascii="Times New Roman;Times;serif" w:hAnsi="Times New Roman;Times;serif"/>
          <w:sz w:val="20"/>
        </w:rPr>
      </w:pPr>
      <w:r>
        <w:rPr>
          <w:rFonts w:ascii="Times New Roman;Times;serif" w:hAnsi="Times New Roman;Times;serif"/>
          <w:sz w:val="20"/>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pStyle w:val="TextBody"/>
        <w:bidi w:val="0"/>
        <w:spacing w:lineRule="auto" w:line="273" w:before="4" w:after="4"/>
        <w:ind w:left="0" w:right="0" w:firstLine="360"/>
        <w:jc w:val="both"/>
        <w:rPr/>
      </w:pPr>
      <w:r>
        <w:rPr/>
        <w:t>​</w:t>
      </w:r>
    </w:p>
    <w:p>
      <w:pPr>
        <w:pStyle w:val="TextBody"/>
        <w:bidi w:val="0"/>
        <w:spacing w:lineRule="auto" w:line="273" w:before="4" w:after="4"/>
        <w:ind w:left="0" w:right="0" w:firstLine="360"/>
        <w:jc w:val="both"/>
        <w:rPr>
          <w:rFonts w:ascii="Times New Roman;Times;serif" w:hAnsi="Times New Roman;Times;serif"/>
          <w:sz w:val="20"/>
        </w:rPr>
      </w:pPr>
      <w:r>
        <w:rPr>
          <w:rFonts w:ascii="Times New Roman;Times;serif" w:hAnsi="Times New Roman;Times;serif"/>
          <w:sz w:val="20"/>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pStyle w:val="TextBody"/>
        <w:bidi w:val="0"/>
        <w:spacing w:lineRule="auto" w:line="273" w:before="4" w:after="4"/>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sz w:val="20"/>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sz w:val="20"/>
        </w:rPr>
      </w:pPr>
      <w:r>
        <w:rPr>
          <w:rFonts w:ascii="Times New Roman;Times;serif" w:hAnsi="Times New Roman;Times;serif"/>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Reconciliation of Non-GAAP Measures (in thousands, except share data):</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937"/>
        <w:gridCol w:w="281"/>
        <w:gridCol w:w="1385"/>
        <w:gridCol w:w="109"/>
        <w:gridCol w:w="281"/>
        <w:gridCol w:w="1385"/>
        <w:gridCol w:w="109"/>
        <w:gridCol w:w="267"/>
        <w:gridCol w:w="1451"/>
      </w:tblGrid>
      <w:tr>
        <w:trPr/>
        <w:tc>
          <w:tcPr>
            <w:tcW w:w="4937"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8435" cy="175260"/>
                      <wp:effectExtent l="0" t="0" r="0" b="0"/>
                      <wp:wrapNone/>
                      <wp:docPr id="34" name="Frame3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879475" cy="175260"/>
                      <wp:effectExtent l="0" t="0" r="0" b="0"/>
                      <wp:wrapNone/>
                      <wp:docPr id="35" name="Frame35"/>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78435" cy="175260"/>
                      <wp:effectExtent l="0" t="0" r="0" b="0"/>
                      <wp:wrapNone/>
                      <wp:docPr id="37" name="Frame3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879475" cy="175260"/>
                      <wp:effectExtent l="0" t="0" r="0" b="0"/>
                      <wp:wrapNone/>
                      <wp:docPr id="38" name="Frame38"/>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69545" cy="175260"/>
                      <wp:effectExtent l="0" t="0" r="0" b="0"/>
                      <wp:wrapNone/>
                      <wp:docPr id="40" name="Frame4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21385" cy="175260"/>
                      <wp:effectExtent l="0" t="0" r="0" b="0"/>
                      <wp:wrapNone/>
                      <wp:docPr id="41" name="Frame41"/>
                      <a:graphic xmlns:a="http://schemas.openxmlformats.org/drawingml/2006/main">
                        <a:graphicData uri="http://schemas.microsoft.com/office/word/2010/wordprocessingShape">
                          <wps:wsp>
                            <wps:cNvSpPr txBox="1"/>
                            <wps:spPr>
                              <a:xfrm>
                                <a:off x="0" y="0"/>
                                <a:ext cx="92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7" w:type="dxa"/>
            <w:tcBorders/>
            <w:vAlign w:val="center"/>
          </w:tcPr>
          <w:p>
            <w:pPr>
              <w:pStyle w:val="TableContents"/>
              <w:bidi w:val="0"/>
              <w:spacing w:before="0" w:after="1"/>
              <w:ind w:left="0" w:right="0" w:hanging="0"/>
              <w:jc w:val="left"/>
              <w:rPr/>
            </w:pPr>
            <w:r>
              <w:rPr/>
              <w:t>​</w:t>
            </w:r>
          </w:p>
        </w:tc>
        <w:tc>
          <w:tcPr>
            <w:tcW w:w="526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937" w:type="dxa"/>
            <w:tcBorders/>
            <w:vAlign w:val="center"/>
          </w:tcPr>
          <w:p>
            <w:pPr>
              <w:pStyle w:val="TableContents"/>
              <w:bidi w:val="0"/>
              <w:spacing w:before="0" w:after="1"/>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1"/>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1"/>
              <w:ind w:left="0" w:right="0" w:hanging="0"/>
              <w:jc w:val="center"/>
              <w:rPr/>
            </w:pPr>
            <w:r>
              <w:rPr/>
              <w:t>​</w:t>
            </w:r>
          </w:p>
        </w:tc>
        <w:tc>
          <w:tcPr>
            <w:tcW w:w="17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4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33,955</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25,594</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4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r>
      <w:tr>
        <w:trPr/>
        <w:tc>
          <w:tcPr>
            <w:tcW w:w="4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28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451" w:type="dxa"/>
            <w:tcBorders/>
            <w:shd w:fill="CCEEFF" w:val="clear"/>
            <w:vAlign w:val="center"/>
          </w:tcPr>
          <w:p>
            <w:pPr>
              <w:pStyle w:val="TableContents"/>
              <w:bidi w:val="0"/>
              <w:spacing w:before="0" w:after="1"/>
              <w:ind w:left="0" w:right="0" w:hanging="0"/>
              <w:jc w:val="right"/>
              <w:rPr/>
            </w:pPr>
            <w:r>
              <w:rPr/>
              <w:t>—</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(33,801)</w:t>
            </w:r>
          </w:p>
        </w:tc>
      </w:tr>
      <w:tr>
        <w:trPr/>
        <w:tc>
          <w:tcPr>
            <w:tcW w:w="4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26,098</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22,910</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23,718</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451" w:type="dxa"/>
            <w:tcBorders/>
            <w:vAlign w:val="center"/>
          </w:tcPr>
          <w:p>
            <w:pPr>
              <w:pStyle w:val="TableContents"/>
              <w:bidi w:val="0"/>
              <w:spacing w:before="0" w:after="1"/>
              <w:ind w:left="0" w:right="0" w:hanging="0"/>
              <w:jc w:val="right"/>
              <w:rPr/>
            </w:pPr>
            <w:r>
              <w:rPr/>
              <w:t>​</w:t>
            </w:r>
          </w:p>
        </w:tc>
      </w:tr>
      <w:tr>
        <w:trPr/>
        <w:tc>
          <w:tcPr>
            <w:tcW w:w="4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Extinguishment of Debt</w:t>
            </w:r>
          </w:p>
        </w:tc>
        <w:tc>
          <w:tcPr>
            <w:tcW w:w="28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4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4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28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COVID-19 Rent Repayments</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4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28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4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4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Adjustments</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Funds From Operations</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26,185</w:t>
            </w:r>
          </w:p>
        </w:tc>
        <w:tc>
          <w:tcPr>
            <w:tcW w:w="109"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23,211</w:t>
            </w:r>
          </w:p>
        </w:tc>
        <w:tc>
          <w:tcPr>
            <w:tcW w:w="109"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24,236</w:t>
            </w:r>
          </w:p>
        </w:tc>
      </w:tr>
      <w:tr>
        <w:trPr/>
        <w:tc>
          <w:tcPr>
            <w:tcW w:w="4937"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right"/>
              <w:rPr/>
            </w:pPr>
            <w:r>
              <w:rPr/>
              <w:t>​</w:t>
            </w:r>
          </w:p>
        </w:tc>
        <w:tc>
          <w:tcPr>
            <w:tcW w:w="138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right"/>
              <w:rPr/>
            </w:pPr>
            <w:r>
              <w:rPr/>
              <w:t>​</w:t>
            </w:r>
          </w:p>
        </w:tc>
        <w:tc>
          <w:tcPr>
            <w:tcW w:w="138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1451" w:type="dxa"/>
            <w:tcBorders/>
            <w:shd w:fill="CCEEFF" w:val="clear"/>
            <w:vAlign w:val="center"/>
          </w:tcPr>
          <w:p>
            <w:pPr>
              <w:pStyle w:val="TableContents"/>
              <w:bidi w:val="0"/>
              <w:spacing w:before="0" w:after="1"/>
              <w:ind w:left="0" w:right="0" w:hanging="0"/>
              <w:jc w:val="left"/>
              <w:rPr/>
            </w:pPr>
            <w:r>
              <w:rPr/>
              <w:t>​</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281" w:type="dxa"/>
            <w:tcBorders/>
            <w:vAlign w:val="center"/>
          </w:tcPr>
          <w:p>
            <w:pPr>
              <w:pStyle w:val="TableContents"/>
              <w:bidi w:val="0"/>
              <w:spacing w:before="0" w:after="1"/>
              <w:ind w:left="0" w:right="0" w:hanging="0"/>
              <w:jc w:val="right"/>
              <w:rPr/>
            </w:pPr>
            <w:r>
              <w:rPr/>
              <w:t>​</w:t>
            </w:r>
          </w:p>
        </w:tc>
        <w:tc>
          <w:tcPr>
            <w:tcW w:w="13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right"/>
              <w:rPr/>
            </w:pPr>
            <w:r>
              <w:rPr/>
              <w:t>​</w:t>
            </w:r>
          </w:p>
        </w:tc>
        <w:tc>
          <w:tcPr>
            <w:tcW w:w="13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1451" w:type="dxa"/>
            <w:tcBorders/>
            <w:vAlign w:val="center"/>
          </w:tcPr>
          <w:p>
            <w:pPr>
              <w:pStyle w:val="TableContents"/>
              <w:bidi w:val="0"/>
              <w:spacing w:before="0" w:after="1"/>
              <w:ind w:left="0" w:right="0" w:hanging="0"/>
              <w:jc w:val="left"/>
              <w:rPr/>
            </w:pPr>
            <w:r>
              <w:rPr/>
              <w:t>​</w:t>
            </w:r>
          </w:p>
        </w:tc>
      </w:tr>
      <w:tr>
        <w:trPr/>
        <w:tc>
          <w:tcPr>
            <w:tcW w:w="49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281" w:type="dxa"/>
            <w:tcBorders/>
            <w:shd w:fill="CCEEFF" w:val="clear"/>
            <w:vAlign w:val="center"/>
          </w:tcPr>
          <w:p>
            <w:pPr>
              <w:pStyle w:val="TableContents"/>
              <w:bidi w:val="0"/>
              <w:spacing w:before="0" w:after="1"/>
              <w:ind w:left="0" w:right="0" w:hanging="0"/>
              <w:jc w:val="righ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13,858,257</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right"/>
              <w:rPr/>
            </w:pPr>
            <w:r>
              <w:rPr/>
              <w:t>​</w:t>
            </w:r>
          </w:p>
        </w:tc>
        <w:tc>
          <w:tcPr>
            <w:tcW w:w="13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13,925,362</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right"/>
              <w:rPr/>
            </w:pPr>
            <w:r>
              <w:rPr/>
              <w:t>​</w:t>
            </w:r>
          </w:p>
        </w:tc>
        <w:tc>
          <w:tcPr>
            <w:tcW w:w="14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11,976,001</w:t>
            </w:r>
          </w:p>
        </w:tc>
      </w:tr>
      <w:tr>
        <w:trPr/>
        <w:tc>
          <w:tcPr>
            <w:tcW w:w="49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281" w:type="dxa"/>
            <w:tcBorders/>
            <w:vAlign w:val="center"/>
          </w:tcPr>
          <w:p>
            <w:pPr>
              <w:pStyle w:val="TableContents"/>
              <w:bidi w:val="0"/>
              <w:spacing w:before="0" w:after="1"/>
              <w:ind w:left="0" w:right="0" w:hanging="0"/>
              <w:jc w:val="right"/>
              <w:rPr/>
            </w:pPr>
            <w:r>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15,082,111</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right"/>
              <w:rPr/>
            </w:pPr>
            <w:r>
              <w:rPr/>
              <w:t>​</w:t>
            </w:r>
          </w:p>
        </w:tc>
        <w:tc>
          <w:tcPr>
            <w:tcW w:w="13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15,560,524</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right"/>
              <w:rPr/>
            </w:pPr>
            <w:r>
              <w:rPr/>
              <w:t>​</w:t>
            </w:r>
          </w:p>
        </w:tc>
        <w:tc>
          <w:tcPr>
            <w:tcW w:w="145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13,679,495</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Other Data (in thousands, except per share data):</w:t>
      </w:r>
    </w:p>
    <w:tbl>
      <w:tblPr>
        <w:tblW w:w="7494" w:type="dxa"/>
        <w:jc w:val="left"/>
        <w:tblInd w:w="0" w:type="dxa"/>
        <w:tblLayout w:type="fixed"/>
        <w:tblCellMar>
          <w:top w:w="0" w:type="dxa"/>
          <w:left w:w="0" w:type="dxa"/>
          <w:bottom w:w="0" w:type="dxa"/>
          <w:right w:w="0" w:type="dxa"/>
        </w:tblCellMar>
      </w:tblPr>
      <w:tblGrid>
        <w:gridCol w:w="2056"/>
        <w:gridCol w:w="409"/>
        <w:gridCol w:w="1316"/>
        <w:gridCol w:w="109"/>
        <w:gridCol w:w="409"/>
        <w:gridCol w:w="1316"/>
        <w:gridCol w:w="109"/>
        <w:gridCol w:w="399"/>
        <w:gridCol w:w="1371"/>
      </w:tblGrid>
      <w:tr>
        <w:trPr/>
        <w:tc>
          <w:tcPr>
            <w:tcW w:w="205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59715" cy="175260"/>
                      <wp:effectExtent l="0" t="0" r="0" b="0"/>
                      <wp:wrapNone/>
                      <wp:docPr id="42" name="Frame42"/>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835660" cy="175260"/>
                      <wp:effectExtent l="0" t="0" r="0" b="0"/>
                      <wp:wrapNone/>
                      <wp:docPr id="43" name="Frame43"/>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59715" cy="175260"/>
                      <wp:effectExtent l="0" t="0" r="0" b="0"/>
                      <wp:wrapNone/>
                      <wp:docPr id="45" name="Frame45"/>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835660" cy="175260"/>
                      <wp:effectExtent l="0" t="0" r="0" b="0"/>
                      <wp:wrapNone/>
                      <wp:docPr id="46" name="Frame46"/>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53365" cy="175260"/>
                      <wp:effectExtent l="0" t="0" r="0" b="0"/>
                      <wp:wrapNone/>
                      <wp:docPr id="48" name="Frame48"/>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870585" cy="175260"/>
                      <wp:effectExtent l="0" t="0" r="0" b="0"/>
                      <wp:wrapNone/>
                      <wp:docPr id="49" name="Frame49"/>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center"/>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2056"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26,098</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22,910</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23,718</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per Diluted Share</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109"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205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26,185</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23,211</w:t>
            </w:r>
          </w:p>
        </w:tc>
        <w:tc>
          <w:tcPr>
            <w:tcW w:w="109"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24,236</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per Diluted Share</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1.77</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YEARS ENDED DECEMBER 31, 2024 AND 2023</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Company’s results of operations for the year ended December 31, 2024, as compared to the year ended December 31, 2023 (in thousands):  </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316"/>
        <w:gridCol w:w="109"/>
        <w:gridCol w:w="360"/>
        <w:gridCol w:w="1262"/>
        <w:gridCol w:w="109"/>
        <w:gridCol w:w="360"/>
        <w:gridCol w:w="1262"/>
        <w:gridCol w:w="109"/>
        <w:gridCol w:w="259"/>
        <w:gridCol w:w="777"/>
        <w:gridCol w:w="109"/>
        <w:gridCol w:w="1173"/>
      </w:tblGrid>
      <w:tr>
        <w:trPr/>
        <w:tc>
          <w:tcPr>
            <w:tcW w:w="4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28600" cy="175260"/>
                      <wp:effectExtent l="0" t="0" r="0" b="0"/>
                      <wp:wrapNone/>
                      <wp:docPr id="51" name="Frame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01370" cy="175260"/>
                      <wp:effectExtent l="0" t="0" r="0" b="0"/>
                      <wp:wrapNone/>
                      <wp:docPr id="52" name="Frame52"/>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8600" cy="175260"/>
                      <wp:effectExtent l="0" t="0" r="0" b="0"/>
                      <wp:wrapNone/>
                      <wp:docPr id="54" name="Frame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801370" cy="175260"/>
                      <wp:effectExtent l="0" t="0" r="0" b="0"/>
                      <wp:wrapNone/>
                      <wp:docPr id="55" name="Frame55"/>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4465" cy="175260"/>
                      <wp:effectExtent l="0" t="0" r="0" b="0"/>
                      <wp:wrapNone/>
                      <wp:docPr id="57" name="Frame5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3395" cy="175260"/>
                      <wp:effectExtent l="0" t="0" r="0" b="0"/>
                      <wp:wrapNone/>
                      <wp:docPr id="58" name="Frame58"/>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44855" cy="175260"/>
                      <wp:effectExtent l="0" t="0" r="0" b="0"/>
                      <wp:wrapNone/>
                      <wp:docPr id="60" name="Frame60"/>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1"/>
              <w:ind w:left="0" w:right="0" w:hanging="0"/>
              <w:jc w:val="center"/>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left"/>
              <w:rPr/>
            </w:pPr>
            <w:r>
              <w:rPr/>
              <w:t>​</w:t>
            </w:r>
          </w:p>
        </w:tc>
      </w:tr>
      <w:tr>
        <w:trPr/>
        <w:tc>
          <w:tcPr>
            <w:tcW w:w="4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1"/>
              <w:ind w:left="0" w:right="0" w:hanging="0"/>
              <w:jc w:val="center"/>
              <w:rPr/>
            </w:pPr>
            <w:r>
              <w:rPr/>
              <w:t>​</w:t>
            </w:r>
          </w:p>
        </w:tc>
        <w:tc>
          <w:tcPr>
            <w:tcW w:w="16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1"/>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1"/>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center"/>
              <w:rPr/>
            </w:pPr>
            <w:r>
              <w:rPr/>
              <w:t>​</w:t>
            </w:r>
          </w:p>
        </w:tc>
        <w:tc>
          <w:tcPr>
            <w:tcW w:w="360" w:type="dxa"/>
            <w:tcBorders/>
            <w:shd w:fill="CCEEFF" w:val="clear"/>
            <w:vAlign w:val="center"/>
          </w:tcPr>
          <w:p>
            <w:pPr>
              <w:pStyle w:val="TableContents"/>
              <w:bidi w:val="0"/>
              <w:spacing w:before="0" w:after="1"/>
              <w:ind w:left="0" w:right="0" w:hanging="0"/>
              <w:jc w:val="center"/>
              <w:rPr/>
            </w:pPr>
            <w:r>
              <w:rPr/>
              <w:t>​</w:t>
            </w:r>
          </w:p>
        </w:tc>
        <w:tc>
          <w:tcPr>
            <w:tcW w:w="126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center"/>
              <w:rPr/>
            </w:pPr>
            <w:r>
              <w:rPr/>
              <w:t>​</w:t>
            </w:r>
          </w:p>
        </w:tc>
        <w:tc>
          <w:tcPr>
            <w:tcW w:w="126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center"/>
              <w:rPr/>
            </w:pPr>
            <w:r>
              <w:rPr/>
              <w:t>​</w:t>
            </w:r>
          </w:p>
        </w:tc>
        <w:tc>
          <w:tcPr>
            <w:tcW w:w="7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left"/>
              <w:rPr/>
            </w:pPr>
            <w:r>
              <w:rPr/>
              <w:t>​</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46,005</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center"/>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5,124</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804.4%</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center"/>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109" w:type="dxa"/>
            <w:tcBorders/>
            <w:vAlign w:val="center"/>
          </w:tcPr>
          <w:p>
            <w:pPr>
              <w:pStyle w:val="TableContents"/>
              <w:bidi w:val="0"/>
              <w:spacing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52,227</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6,583</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left"/>
              <w:rPr/>
            </w:pPr>
            <w:r>
              <w:rPr/>
              <w:t>​</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7,793</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25,594</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vAlign w:val="center"/>
          </w:tcPr>
          <w:p>
            <w:pPr>
              <w:pStyle w:val="TableContents"/>
              <w:bidi w:val="0"/>
              <w:spacing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41,655</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41,859</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(5,891)</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14,015</w:t>
            </w:r>
          </w:p>
        </w:tc>
        <w:tc>
          <w:tcPr>
            <w:tcW w:w="10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w:t>
            </w:r>
          </w:p>
        </w:tc>
        <w:tc>
          <w:tcPr>
            <w:tcW w:w="109"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(12,008)</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(10,165)</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w:t>
            </w:r>
          </w:p>
        </w:tc>
        <w:tc>
          <w:tcPr>
            <w:tcW w:w="109" w:type="dxa"/>
            <w:tcBorders/>
            <w:vAlign w:val="center"/>
          </w:tcPr>
          <w:p>
            <w:pPr>
              <w:pStyle w:val="TableContents"/>
              <w:bidi w:val="0"/>
              <w:spacing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4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vAlign w:val="center"/>
          </w:tcPr>
          <w:p>
            <w:pPr>
              <w:pStyle w:val="TableContents"/>
              <w:bidi w:val="0"/>
              <w:spacing w:before="0" w:after="1"/>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vAlign w:val="center"/>
          </w:tcPr>
          <w:p>
            <w:pPr>
              <w:pStyle w:val="TableContents"/>
              <w:bidi w:val="0"/>
              <w:spacing w:before="0" w:after="1"/>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4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w:t>
            </w:r>
          </w:p>
        </w:tc>
        <w:tc>
          <w:tcPr>
            <w:tcW w:w="109" w:type="dxa"/>
            <w:tcBorders/>
            <w:shd w:fill="CCEEFF" w:val="clear"/>
            <w:vAlign w:val="center"/>
          </w:tcPr>
          <w:p>
            <w:pPr>
              <w:pStyle w:val="TableContents"/>
              <w:bidi w:val="0"/>
              <w:spacing w:before="0" w:after="1"/>
              <w:ind w:left="0" w:right="0" w:hanging="0"/>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our income properties during the years ended December 31, 2024 and 2023 totaled $46.0 million and $45.0 million, respectively. The increase in revenues is reflective of the Company’s volume of acquisitions, offset by dispositions, as well as certain one-time reduced revenues related to tenant credit loss and bankruptcy. The direct costs of revenues for our income properties totaled $7.8 million and $6.6 million during the years ended December 31, 2024 and 2023, respectively. The $1.2 million increase in the direct cost of revenues is reflective of a portion of portfolio expenses being non-recoverable pursuant to tenant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income from commercial loans and investments totaled $5.8 million and $0.6 million for the years ended December 31, 2024 and 2023, respectively. The increase in income is attributable to the expanded portfolio of commercial loans and investments, which as December 31, 2024, was comprised of five construction loans, one mortgage note, and three properties acquired pursuant to a sale-leaseback transaction whereby the tenant has a future repurchase right. As of December 31, 2023, the Company’s portfolio of commercial loans and investments was comprised of two construction loans and one mortgage note.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$0.5 million and less than $0.1 million for the years ended December 31, 2024 and 2023, respectively. The revenue is attributable to fees earned from a revenue sharing agreement the Company entered into with CTO as further described in Note 19, “Related Party Management Company” in the Notes to the Financial Statements. The increase is attributable to the year ended December 31, 2024 being the first full year the revenue sharing agreement was in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year ended December 31, 2024 as compared to the year ended December 31, 2023 (in thousands):</w:t>
      </w:r>
    </w:p>
    <w:p>
      <w:pPr>
        <w:pStyle w:val="TextBody"/>
        <w:bidi w:val="0"/>
        <w:spacing w:before="0" w:after="0"/>
        <w:ind w:left="0" w:right="0" w:hanging="0"/>
        <w:jc w:val="left"/>
        <w:rPr/>
      </w:pPr>
      <w:r>
        <w:rPr/>
        <w:t>​</w:t>
      </w:r>
    </w:p>
    <w:tbl>
      <w:tblPr>
        <w:tblW w:w="10114" w:type="dxa"/>
        <w:jc w:val="left"/>
        <w:tblInd w:w="0" w:type="dxa"/>
        <w:tblLayout w:type="fixed"/>
        <w:tblCellMar>
          <w:top w:w="0" w:type="dxa"/>
          <w:left w:w="0" w:type="dxa"/>
          <w:bottom w:w="0" w:type="dxa"/>
          <w:right w:w="0" w:type="dxa"/>
        </w:tblCellMar>
      </w:tblPr>
      <w:tblGrid>
        <w:gridCol w:w="4021"/>
        <w:gridCol w:w="109"/>
        <w:gridCol w:w="465"/>
        <w:gridCol w:w="1260"/>
        <w:gridCol w:w="109"/>
        <w:gridCol w:w="465"/>
        <w:gridCol w:w="1260"/>
        <w:gridCol w:w="109"/>
        <w:gridCol w:w="315"/>
        <w:gridCol w:w="72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95275" cy="175260"/>
                      <wp:effectExtent l="0" t="0" r="0" b="0"/>
                      <wp:wrapNone/>
                      <wp:docPr id="62" name="Frame62"/>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800100" cy="175260"/>
                      <wp:effectExtent l="0" t="0" r="0" b="0"/>
                      <wp:wrapNone/>
                      <wp:docPr id="63" name="Frame63"/>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95275" cy="175260"/>
                      <wp:effectExtent l="0" t="0" r="0" b="0"/>
                      <wp:wrapNone/>
                      <wp:docPr id="65" name="Frame65"/>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00100" cy="175260"/>
                      <wp:effectExtent l="0" t="0" r="0" b="0"/>
                      <wp:wrapNone/>
                      <wp:docPr id="66" name="Frame66"/>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0025" cy="175260"/>
                      <wp:effectExtent l="0" t="0" r="0" b="0"/>
                      <wp:wrapNone/>
                      <wp:docPr id="68" name="Frame68"/>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57835" cy="175260"/>
                      <wp:effectExtent l="0" t="0" r="0" b="0"/>
                      <wp:wrapNone/>
                      <wp:docPr id="69" name="Frame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43585" cy="175260"/>
                      <wp:effectExtent l="0" t="0" r="0" b="0"/>
                      <wp:wrapNone/>
                      <wp:docPr id="71" name="Frame7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109"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109" w:type="dxa"/>
            <w:tcBorders/>
            <w:vAlign w:val="center"/>
          </w:tcPr>
          <w:p>
            <w:pPr>
              <w:pStyle w:val="TableContents"/>
              <w:bidi w:val="0"/>
              <w:spacing w:before="0" w:after="0"/>
              <w:ind w:left="0" w:right="0" w:hanging="0"/>
              <w:jc w:val="righ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shd w:fill="CCEEFF" w:val="clear"/>
            <w:vAlign w:val="center"/>
          </w:tcPr>
          <w:p>
            <w:pPr>
              <w:pStyle w:val="TableContents"/>
              <w:bidi w:val="0"/>
              <w:spacing w:before="0" w:after="0"/>
              <w:ind w:left="0" w:right="0" w:hanging="0"/>
              <w:jc w:val="righ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totaled $6.6 million and $6.3 million during the years ended December 31, 2024 and 2023, respectively. The $0.3 million increase is primarily attributable to a $0.2 million increase in corporate legal and consulting fees and a $0.1 million increase in state tax expenses, partially offset by a $0.1 million decrease in management fee expense due to a decrease in the weighted average of the Company’s equity base.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2024, the Company recorded a $1.7 million impairment charge of which $0.6 million represents the current expected credit losses (“CECL”) reserve related to our commercial loans and investments and $1.1 million represents the provision for losses related to our income properties as further described in Note 7, “Provision for Impairment” in the Notes to the Financial Statements. During the year ended December 31, 2023, the Company recorded a $3.2 million impairment charge of which $0.3 million represents the CECL reserve related to our commercial loans and investments and $2.9 million represents the provision for losses related to our income properties as further described in Note 7, “Provision for Impairment” in the Notes to the Financial Statements.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 totaled $25.6 million and $25.8 million during the years ended December 31, 2024 and 2023, respectively. The $0.2 million decrease in the depreciation and amortization expense is reflective of the Company’s change in portfolio as well as the timing of acquisitions versus dispositions.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2024, the Company sold 15 properties for an aggregate sales price of $62.0 million, generating aggregate gains on sale of $3.4 million. During the year ended December 31, 2023, the Company sold 24 properties for an aggregate sales price of $108.3 million, generating aggregate gains on sale of $9.3 million. </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Investment and Other Income</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Investment and other income totaled $0.2 million and $0.3 million during the years ended December 31, 2024 and 2023, respectively. The decrease is attributable to lower interest rates on bank deposits.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totaled $12.0 million and $10.2 million during the years ended December 31, 2024 and 2023, respectively. The $1.8 million increase in interest expense is attributable to the higher average outstanding debt balance for increased interest expense of $1.2 million as well as $0.6 million of interest expense resulting from the sale of participation interest in the Company’s $23.4 million Mortgage Note as defined and further described in Note 4, “Commercial Loans and Investments” in the Notes to the Financial Statements. The overall increase in the Company’s long-term debt was primarily utilized to fund the acquisition of properties and commercial loans and investments during 2024.</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$2.3 million and $3.3 million during the years ended December 31, 2024 and 2023, respectively. The decrease in net income is attributable to the factors described above, most significantly to the $5.9 million decrease in gain on disposition of assets during the year ended December 31, 2024. The decreased gain on disposition of assets is the result of reduced disposition activity during the year ended December 31, 2024 as compared to 2023.</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YEARS ENDED DECEMBER 31, 2023 AND 2022</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Company’s results of operations for the year ended December 31, 2023, as compared to the year ended December 31, 2022 (in thousands):  </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365"/>
        <w:gridCol w:w="109"/>
        <w:gridCol w:w="361"/>
        <w:gridCol w:w="1267"/>
        <w:gridCol w:w="109"/>
        <w:gridCol w:w="371"/>
        <w:gridCol w:w="1195"/>
        <w:gridCol w:w="109"/>
        <w:gridCol w:w="230"/>
        <w:gridCol w:w="806"/>
        <w:gridCol w:w="109"/>
        <w:gridCol w:w="1174"/>
      </w:tblGrid>
      <w:tr>
        <w:trPr/>
        <w:tc>
          <w:tcPr>
            <w:tcW w:w="43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9235" cy="175260"/>
                      <wp:effectExtent l="0" t="0" r="0" b="0"/>
                      <wp:wrapNone/>
                      <wp:docPr id="73" name="Frame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04545" cy="175260"/>
                      <wp:effectExtent l="0" t="0" r="0" b="0"/>
                      <wp:wrapNone/>
                      <wp:docPr id="74" name="Frame74"/>
                      <a:graphic xmlns:a="http://schemas.openxmlformats.org/drawingml/2006/main">
                        <a:graphicData uri="http://schemas.microsoft.com/office/word/2010/wordprocessingShape">
                          <wps:wsp>
                            <wps:cNvSpPr txBox="1"/>
                            <wps:spPr>
                              <a:xfrm>
                                <a:off x="0" y="0"/>
                                <a:ext cx="804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35585" cy="175260"/>
                      <wp:effectExtent l="0" t="0" r="0" b="0"/>
                      <wp:wrapNone/>
                      <wp:docPr id="76" name="Frame7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58825" cy="175260"/>
                      <wp:effectExtent l="0" t="0" r="0" b="0"/>
                      <wp:wrapNone/>
                      <wp:docPr id="77" name="Frame77"/>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6050" cy="175260"/>
                      <wp:effectExtent l="0" t="0" r="0" b="0"/>
                      <wp:wrapNone/>
                      <wp:docPr id="79" name="Frame7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1810" cy="175260"/>
                      <wp:effectExtent l="0" t="0" r="0" b="0"/>
                      <wp:wrapNone/>
                      <wp:docPr id="80" name="Frame80"/>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45490" cy="175260"/>
                      <wp:effectExtent l="0" t="0" r="0" b="0"/>
                      <wp:wrapNone/>
                      <wp:docPr id="82" name="Frame82"/>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left"/>
              <w:rPr/>
            </w:pPr>
            <w:r>
              <w:rPr/>
              <w:t>​</w:t>
            </w:r>
          </w:p>
        </w:tc>
      </w:tr>
      <w:tr>
        <w:trPr/>
        <w:tc>
          <w:tcPr>
            <w:tcW w:w="43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1"/>
              <w:ind w:left="0" w:right="0" w:hanging="0"/>
              <w:jc w:val="center"/>
              <w:rPr/>
            </w:pPr>
            <w:r>
              <w:rPr/>
              <w:t>​</w:t>
            </w:r>
          </w:p>
        </w:tc>
        <w:tc>
          <w:tcPr>
            <w:tcW w:w="15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1"/>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1"/>
              <w:ind w:left="0" w:right="0" w:hanging="0"/>
              <w:jc w:val="center"/>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1267"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center"/>
              <w:rPr/>
            </w:pPr>
            <w:r>
              <w:rPr/>
              <w:t>​</w:t>
            </w:r>
          </w:p>
        </w:tc>
        <w:tc>
          <w:tcPr>
            <w:tcW w:w="1195"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left"/>
              <w:rPr/>
            </w:pPr>
            <w:r>
              <w:rPr/>
              <w:t>​</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center"/>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1"/>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45,644</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45,191</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26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left"/>
              <w:rPr/>
            </w:pPr>
            <w:r>
              <w:rPr/>
              <w:t>​</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5,435</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2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5,784</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109" w:type="dxa"/>
            <w:tcBorders/>
            <w:vAlign w:val="center"/>
          </w:tcPr>
          <w:p>
            <w:pPr>
              <w:pStyle w:val="TableContents"/>
              <w:bidi w:val="0"/>
              <w:spacing w:before="0" w:after="1"/>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41,859</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34,783</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7,076</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2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33,801</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(24,467)</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2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43,482</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(30,340)</w:t>
            </w:r>
          </w:p>
        </w:tc>
        <w:tc>
          <w:tcPr>
            <w:tcW w:w="109" w:type="dxa"/>
            <w:tcBorders/>
            <w:vAlign w:val="center"/>
          </w:tcPr>
          <w:p>
            <w:pPr>
              <w:pStyle w:val="TableContents"/>
              <w:bidi w:val="0"/>
              <w:spacing w:before="0" w:after="1"/>
              <w:ind w:left="0" w:right="0" w:hanging="0"/>
              <w:jc w:val="left"/>
              <w:rPr/>
            </w:pPr>
            <w:r>
              <w:rPr/>
              <w:t>​</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2308.3%</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(10,165)</w:t>
            </w:r>
          </w:p>
        </w:tc>
        <w:tc>
          <w:tcPr>
            <w:tcW w:w="109" w:type="dxa"/>
            <w:tcBorders/>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(9,539)</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109" w:type="dxa"/>
            <w:tcBorders/>
            <w:vAlign w:val="center"/>
          </w:tcPr>
          <w:p>
            <w:pPr>
              <w:pStyle w:val="TableContents"/>
              <w:bidi w:val="0"/>
              <w:spacing w:before="0" w:after="1"/>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33,955</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(30,689)</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4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(4,235)</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w:t>
            </w:r>
          </w:p>
        </w:tc>
        <w:tc>
          <w:tcPr>
            <w:tcW w:w="109" w:type="dxa"/>
            <w:tcBorders/>
            <w:vAlign w:val="center"/>
          </w:tcPr>
          <w:p>
            <w:pPr>
              <w:pStyle w:val="TableContents"/>
              <w:bidi w:val="0"/>
              <w:spacing w:before="0" w:after="1"/>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4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1"/>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29,720</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(26,803)</w:t>
            </w:r>
          </w:p>
        </w:tc>
        <w:tc>
          <w:tcPr>
            <w:tcW w:w="109" w:type="dxa"/>
            <w:tcBorders/>
            <w:shd w:fill="CCEEFF" w:val="clear"/>
            <w:vAlign w:val="center"/>
          </w:tcPr>
          <w:p>
            <w:pPr>
              <w:pStyle w:val="TableContents"/>
              <w:bidi w:val="0"/>
              <w:spacing w:before="0" w:after="1"/>
              <w:ind w:left="0" w:right="0" w:hanging="0"/>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our income properties during the years ended December 31, 2023 and 2022 totaled $45.0 million and $45.2 million, respectively. The decrease in revenues is reflective of the Company’s volume of dispositions, offset by acquisitions, as well as certain one-time reduced revenues related to tenant credit loss and bankruptcy. The direct costs of revenues for our income properties totaled $6.6 million and $5.4 million during the years ended December 31, 2023 and 2022, respectively. The $1.1 million increase in the direct cost of revenues is reflective of a portion of portfolio expenses being non-recoverable pursuant to tenant leases, as well as certain non-recoverable expenses related to transaction costs and legal fees associated with the seven assets leased to one tenant that filed for bankruptcy protection during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from commercial loans and investments totaled $0.6 million for the year ended December 31, 2023. The income is attributable to three loans originated by the Company during the year ended December 31, 2023. There were no commercial loans and investments generating interest income during the year ended December 31, 2022.</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less than $0.1 million for the year ended December 31, 2023. The revenue is attributable to fees earned from a revenue sharing agreement the Company entered into with CTO as further described in Note 19, “Related Party Management Company” in the Notes to the Financial Statements. There were no revenue sharing agreements generating income during the year ended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year ended December 31, 2023 as compared to the year ended December 31, 2022 (in thousands):</w:t>
      </w:r>
    </w:p>
    <w:p>
      <w:pPr>
        <w:pStyle w:val="TextBody"/>
        <w:bidi w:val="0"/>
        <w:spacing w:before="0" w:after="0"/>
        <w:ind w:left="0" w:right="0" w:hanging="0"/>
        <w:jc w:val="left"/>
        <w:rPr/>
      </w:pPr>
      <w:r>
        <w:rPr/>
        <w:t>​</w:t>
      </w:r>
    </w:p>
    <w:tbl>
      <w:tblPr>
        <w:tblW w:w="10114" w:type="dxa"/>
        <w:jc w:val="left"/>
        <w:tblInd w:w="0" w:type="dxa"/>
        <w:tblLayout w:type="fixed"/>
        <w:tblCellMar>
          <w:top w:w="0" w:type="dxa"/>
          <w:left w:w="0" w:type="dxa"/>
          <w:bottom w:w="0" w:type="dxa"/>
          <w:right w:w="0" w:type="dxa"/>
        </w:tblCellMar>
      </w:tblPr>
      <w:tblGrid>
        <w:gridCol w:w="4021"/>
        <w:gridCol w:w="109"/>
        <w:gridCol w:w="465"/>
        <w:gridCol w:w="1260"/>
        <w:gridCol w:w="109"/>
        <w:gridCol w:w="465"/>
        <w:gridCol w:w="1260"/>
        <w:gridCol w:w="109"/>
        <w:gridCol w:w="315"/>
        <w:gridCol w:w="72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95275" cy="175260"/>
                      <wp:effectExtent l="0" t="0" r="0" b="0"/>
                      <wp:wrapNone/>
                      <wp:docPr id="84" name="Frame84"/>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800100" cy="175260"/>
                      <wp:effectExtent l="0" t="0" r="0" b="0"/>
                      <wp:wrapNone/>
                      <wp:docPr id="85" name="Frame85"/>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95275" cy="175260"/>
                      <wp:effectExtent l="0" t="0" r="0" b="0"/>
                      <wp:wrapNone/>
                      <wp:docPr id="87" name="Frame87"/>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800100" cy="175260"/>
                      <wp:effectExtent l="0" t="0" r="0" b="0"/>
                      <wp:wrapNone/>
                      <wp:docPr id="88" name="Frame88"/>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0025" cy="175260"/>
                      <wp:effectExtent l="0" t="0" r="0" b="0"/>
                      <wp:wrapNone/>
                      <wp:docPr id="90" name="Frame90"/>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57835" cy="175260"/>
                      <wp:effectExtent l="0" t="0" r="0" b="0"/>
                      <wp:wrapNone/>
                      <wp:docPr id="91" name="Frame9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43585" cy="175260"/>
                      <wp:effectExtent l="0" t="0" r="0" b="0"/>
                      <wp:wrapNone/>
                      <wp:docPr id="93" name="Frame9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109" w:type="dxa"/>
            <w:tcBorders/>
            <w:vAlign w:val="center"/>
          </w:tcPr>
          <w:p>
            <w:pPr>
              <w:pStyle w:val="TableContents"/>
              <w:bidi w:val="0"/>
              <w:spacing w:before="0" w:after="0"/>
              <w:ind w:left="0" w:right="0" w:hanging="0"/>
              <w:jc w:val="righ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shd w:fill="CCEEFF" w:val="clear"/>
            <w:vAlign w:val="center"/>
          </w:tcPr>
          <w:p>
            <w:pPr>
              <w:pStyle w:val="TableContents"/>
              <w:bidi w:val="0"/>
              <w:spacing w:before="0" w:after="0"/>
              <w:ind w:left="0" w:right="0" w:hanging="0"/>
              <w:jc w:val="righ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totaled $6.3 million and $5.8 million during the years ended December 31, 2023 and 2022, respectively. The $0.5 million increase is primarily attributable to growth in the Company’s equity base, which led to an increase in management fee expense of $0.5 million.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recorded a $3.2 million impairment charge of which $0.3 million represents the current expected credit losses (“CECL”) reserve related to our commercial loans and investments and $2.9 million represents the provision for losses related to our income properties as further described in Note 7, “Provision for Impairment” in the Notes to the Financial Statements. There were no impairment charges on the Company’s income property portfolio during the year ended December 31, 2022.</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totaled $25.8 million and $23.5 million during the years ended December 31, 2023 and 2022, respectively. The $2.3 million increase in the depreciation and amortization expense is reflective of the Company’s change in portfolio as well as the timing of acquisitions versus dispositions. Several ground lease assets were disposed of during the earlier part of 2023 which were re-invested into more depreciable assets on a relative basis.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sold 24 properties for an aggregate sales price of $108.3 million, generating aggregate gains on sale of $9.3 million. During the year ended December 31, 2022, the Company sold 16 properties for an aggregate sales price of $154.6 million, generating aggregate gains on sale of $33.8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(Loss) on Extinguishment of Debt</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2022, the Company recorded a $0.7 million loss on the extinguishment of debt attributable to the write off of unamortized loan costs in connection with the CMBS Loan defeasance and the termination of the </w:t>
      </w:r>
      <w:r>
        <w:rPr>
          <w:rFonts w:ascii="Times New Roman;Times;serif" w:hAnsi="Times New Roman;Times;serif"/>
          <w:sz w:val="20"/>
          <w:shd w:fill="FFFFFF" w:val="clear"/>
        </w:rPr>
        <w:t>Prior Revolving Credit Facility</w:t>
      </w:r>
      <w:r>
        <w:rPr>
          <w:rFonts w:ascii="Times New Roman;Times;serif" w:hAnsi="Times New Roman;Times;serif"/>
          <w:sz w:val="20"/>
        </w:rPr>
        <w:t xml:space="preserve">, </w:t>
      </w:r>
      <w:r>
        <w:rPr>
          <w:rFonts w:ascii="Times New Roman;Times;serif" w:hAnsi="Times New Roman;Times;serif"/>
          <w:sz w:val="20"/>
          <w:shd w:fill="FFFFFF" w:val="clear"/>
        </w:rPr>
        <w:t>as defined in Note 13, “Long-Term Debt” in the Notes to the Financial Statements.</w:t>
      </w:r>
    </w:p>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Investment and Other Income</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Investment and other income totaled $0.3 million and less than $0.1 million during the years ended December 31, 2023 and 2022, respectively. The increase is attributable to higher interest rates on bank deposits.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totaled $10.1 million and $9.5 million during the years ended December 31, 2023 and 2022, respectively. The $0.6 million increase in interest expense is attributable to the higher average interest rates during the year ended December 31, 2023 as compared to the year ended December 31, 2022. The overall increase in the Company’s long-term debt was primarily utilized to fund the acquisition of properties and commercial loans and investments during 2023 and 2022.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$3.3 million and $34.0 million during the years ended December 31, 2023 and 2022, respectively. The decrease in net income is attributable to the factors described above, most significantly to the $24.5 million decrease in gain on disposition of assets during the year ended December 31, 2023. The decreased gain on disposition of assets is the result of reduced disposition activity during the year ended December 31, 2023 compared to 2022.</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Cash and Cash Equivalents and Restricted Cash. </w:t>
      </w:r>
      <w:r>
        <w:rPr>
          <w:rFonts w:ascii="Times New Roman;Times;serif" w:hAnsi="Times New Roman;Times;serif"/>
          <w:sz w:val="20"/>
        </w:rPr>
        <w:t>Cash totaled $8.0 million at December 31, 2024, including restricted cash of $6.4 million. See Note 2 “Summary of Significant Accounting Policies” under the heading Restricted Cash in the Notes to the Financial Statements for the Company’s disclosure related to its restricted cash balance at December 31, 2024.</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net cash provided by our operating activities totaled $25.6 million during each of the years ended December 31, 2024 and 2023.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used in investing activities totaled $57.8 million for the year ended December 31, 2024, compared to net cash used in investing activities of $13.6 million for the year ended December 31, 2023, an increase in cash outflows of $44.2 million. The increase in net cash used in investing activities of $44.2 million is primarily related to a net $36.2 million increase in acquisitions versus dispositions during the year ended December 31, 2024, in addition to a net $8.0 million increase related to investments in the Company’s commercial loans and investment portfolio.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provided by financing activities totaled $26.4 million for the year ended December 31, 2024, compared to net cash used in financing activities of $11.4 million for the year ended December 31, 2023, for an increase in cash inflows from financing activities of $37.8 million. The increase of $37.8 million is primarily related to a $17.3 million increase in net proceeds from long-term debt during the year ended December 31, 2024 as well as $6.5 million more proceeds received from sales of common stock under the Company’s “at-the-market” equity offering programs and $13.8 million less cash used to repurchase the Company’s common stock during the year ended December 31, 2024.</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 xml:space="preserve">At December 31, 2024, the commitment level under the Credit Facility was $250.0 million and the Company had an outstanding balance of $102.0 million and $89.5 million available capacity. See Note 13, “Long-Term Debt” </w:t>
      </w:r>
      <w:r>
        <w:rPr>
          <w:rFonts w:ascii="Times New Roman;Times;serif" w:hAnsi="Times New Roman;Times;serif"/>
          <w:sz w:val="20"/>
          <w:shd w:fill="FFFFFF" w:val="clear"/>
        </w:rPr>
        <w:t>in the Notes to the Financial Statements </w:t>
      </w:r>
      <w:r>
        <w:rPr>
          <w:rFonts w:ascii="Times New Roman;Times;serif" w:hAnsi="Times New Roman;Times;serif"/>
          <w:sz w:val="20"/>
        </w:rPr>
        <w:t xml:space="preserve">for the Company’s disclosure related to its long-term debt balance at December 31,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A</w:t>
      </w:r>
      <w:r>
        <w:rPr>
          <w:rFonts w:ascii="Times New Roman;Times;serif" w:hAnsi="Times New Roman;Times;serif"/>
          <w:sz w:val="20"/>
          <w:shd w:fill="FFFFFF" w:val="clear"/>
        </w:rPr>
        <w:t xml:space="preserve">s noted previously, the Company acquired 12 properties during the year ended December 31, 2024, for an aggregate purchase price of $103.6 million, as further described in Note 3 “Property Portfolio” in the Notes to the Financial Statements. Acquisitions during the year ended December 31, 2024 include the Tampa Properties purchased </w:t>
      </w:r>
      <w:r>
        <w:rPr>
          <w:rFonts w:ascii="Times New Roman;Times;serif" w:hAnsi="Times New Roman;Times;serif"/>
          <w:sz w:val="20"/>
        </w:rPr>
        <w:t xml:space="preserve">for $31.4 million through a sale-leaseback transaction that includes a tenant repurchase option. Due to the existence of the tenant repurchase option, and pursuant to FASB ASC Topic 842, </w:t>
      </w:r>
      <w:r>
        <w:rPr>
          <w:rFonts w:ascii="Times New Roman;Times;serif" w:hAnsi="Times New Roman;Times;serif"/>
          <w:i/>
          <w:sz w:val="20"/>
        </w:rPr>
        <w:t>Leases</w:t>
      </w:r>
      <w:r>
        <w:rPr>
          <w:rFonts w:ascii="Times New Roman;Times;serif" w:hAnsi="Times New Roman;Times;serif"/>
          <w:sz w:val="20"/>
        </w:rPr>
        <w:t xml:space="preserve">, GAAP requires that the $31.4 million investment be accounted for as a financing arrangement, and accordingly the related assets and corresponding revenue are included in the Company’s commercial loans and investments in the Company’s consolidated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balance sheets and consolidated statement of operations. However, as the Tampa Properties constitute real estate assets for both legal and tax purposes, we have included them in the property portfolio when describing our property portfolio and for purposes of providing statistics related thereto. </w:t>
      </w:r>
      <w:r>
        <w:rPr>
          <w:rFonts w:ascii="Times New Roman;Times;serif" w:hAnsi="Times New Roman;Times;serif"/>
          <w:sz w:val="20"/>
          <w:shd w:fill="FFFFFF" w:val="clear"/>
        </w:rPr>
        <w:t>T</w:t>
      </w:r>
      <w:r>
        <w:rPr>
          <w:rFonts w:ascii="Times New Roman;Times;serif" w:hAnsi="Times New Roman;Times;serif"/>
          <w:sz w:val="20"/>
        </w:rPr>
        <w:t xml:space="preserve">he </w:t>
      </w:r>
      <w:r>
        <w:rPr>
          <w:rFonts w:ascii="Times New Roman;Times;serif" w:hAnsi="Times New Roman;Times;serif"/>
          <w:sz w:val="20"/>
          <w:shd w:fill="FFFFFF" w:val="clear"/>
        </w:rPr>
        <w:t xml:space="preserve">Company also invested in three commercial loans during the year ended December 31, 2024, with a total funding commitment of $31.1 million. </w:t>
      </w:r>
      <w:r>
        <w:rPr>
          <w:rFonts w:ascii="Times New Roman;Times;serif" w:hAnsi="Times New Roman;Times;serif"/>
          <w:sz w:val="20"/>
        </w:rPr>
        <w:t xml:space="preserve">As of December 31, 2024, the Company’s commercial loan investments portfolio included five construction loans, one mortgage note, and three properties acquired pursuant to a sale-leaseback transaction whereby the tenant has a future repurchase right, with a total carrying value of $89.6 million. See Note 4, “Commercial Loans and Investments” in the Notes to the Financial Statements for additional disclosures related to the Company’s commercial loans and investments as of December 31, 2024.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Dispositions. </w:t>
      </w:r>
      <w:r>
        <w:rPr>
          <w:rFonts w:ascii="Times New Roman;Times;serif" w:hAnsi="Times New Roman;Times;serif"/>
          <w:sz w:val="20"/>
        </w:rPr>
        <w:t xml:space="preserve">During the year ended December 31, 2024, the Company sold 15 properties for a total sales price of $62.0 million, generating aggregate gains on sale of $3.4 million, </w:t>
      </w:r>
      <w:r>
        <w:rPr>
          <w:rFonts w:ascii="Times New Roman;Times;serif" w:hAnsi="Times New Roman;Times;serif"/>
          <w:sz w:val="20"/>
          <w:shd w:fill="FFFFFF" w:val="clear"/>
        </w:rPr>
        <w:t xml:space="preserve">as further described in Note 3 “Property Portfolio” in the Notes to the Financial Statements. Also during the year ended December 31, 2024, the Company sold a $13.6 million A-1 participation interest in the Company’s initial $23.4 million portfolio loan. </w:t>
      </w:r>
      <w:r>
        <w:rPr>
          <w:rFonts w:ascii="Times New Roman;Times;serif" w:hAnsi="Times New Roman;Times;serif"/>
          <w:sz w:val="20"/>
        </w:rPr>
        <w:t xml:space="preserve">See Note 4, “Commercial Loans and Investments” in the Notes to the Financial Statements for additional disclosures related to the Company’s commercial loans and investments as of December 31,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As of December 31, 2024, the Company had no commitments related to capital expenditures for the maintenance of fixed assets, such as land, buildings, and equipment. Pursuant to a certain lease agreement executed during the year ended December 31, 2024, the Company is committed to funding $5.0 million in tenant improvements.</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The Company is committed to fund five construction loans as described in Note 4, “Commercial Loans and Investments” in the Notes to the Financial Statements. The unfunded portion of the construction loans totaled $7.4 million as of December 31, 2024.</w:t>
      </w:r>
    </w:p>
    <w:p>
      <w:pPr>
        <w:pStyle w:val="TextBody"/>
        <w:bidi w:val="0"/>
        <w:spacing w:before="4" w:after="4"/>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contractually obligated under its various long-term debt agreements. In the aggregate, the Company is obligated under such agreements to repay $302.0 million on a long-term basis, to be repaid in excess of one year, with no payments due within one year.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sales of assets utilizing the reverse like-kind 1031 exchange structure, $90.4 million of availability under the 2022 ATM Program, and $89.5 million of available capacity on the existing $250.0 million Credit Facility, as of December 31,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and commercial loans and investments by utilizing the capital we raise and available borrowing capacity from the Credit Facility to increase our portfolio of income-producing properties and commercial loan and investments portfolio, providing stabilized cash flows with strong risk-adjusted returns primarily in larger metropolitan areas and growth markets.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As required by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9 properties for a combined purchase price of $72.2 million</w:t>
      </w:r>
      <w:r>
        <w:rPr>
          <w:rFonts w:ascii="Times New Roman;Times;serif" w:hAnsi="Times New Roman;Times;serif"/>
          <w:color w:val="FF0000"/>
          <w:sz w:val="20"/>
        </w:rPr>
        <w:t xml:space="preserve"> </w:t>
      </w:r>
      <w:r>
        <w:rPr>
          <w:rFonts w:ascii="Times New Roman;Times;serif" w:hAnsi="Times New Roman;Times;serif"/>
          <w:sz w:val="20"/>
        </w:rPr>
        <w:t xml:space="preserve">for the year ended December 31, 2024 and 14 properties for a combined purchase price of $82.9 million for the year ended December 31, 2023.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2, “Summary of Significant Accounting Policies” in the Notes to the Financial Statements for further discussion of the Company’s accounting estimates and policies.</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58" w:name="ITEM7AQUANTITATIVEANDQUALITATIVEDISCLOSU"/>
      <w:bookmarkStart w:id="59" w:name="_fb1ef982_d577_4882_8359_810eade8121b"/>
      <w:bookmarkEnd w:id="58"/>
      <w:bookmarkEnd w:id="59"/>
      <w:r>
        <w:rPr>
          <w:rFonts w:ascii="Times New Roman;Times;serif" w:hAnsi="Times New Roman;Times;serif"/>
          <w:b/>
          <w:sz w:val="20"/>
        </w:rPr>
        <w:t>ITEM 7A.</w:t>
      </w:r>
      <w:r>
        <w:rPr>
          <w:rFonts w:ascii="Times New Roman;Times;serif" w:hAnsi="Times New Roman;Times;serif"/>
          <w:sz w:val="20"/>
        </w:rPr>
        <w:t>            </w:t>
      </w:r>
      <w:r>
        <w:rPr>
          <w:rFonts w:ascii="Times New Roman;Times;serif" w:hAnsi="Times New Roman;Times;serif"/>
          <w:b/>
          <w:sz w:val="20"/>
        </w:rPr>
        <w:t>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Rule 12b-2 under the Securities Exchange Act of 1934. As a result, pursuant to Item 305(e) of Regulation S-K, we are not required to provide the information required by this Item.</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60" w:name="ITEM8FINANCIALSTATEMENTSANDSUPPLEMENTARY"/>
      <w:bookmarkStart w:id="61" w:name="_8b7e82b0_e928_4bc8_8233_f24d318ea04b"/>
      <w:bookmarkEnd w:id="60"/>
      <w:bookmarkEnd w:id="61"/>
      <w:r>
        <w:rPr>
          <w:rFonts w:ascii="Times New Roman;Times;serif" w:hAnsi="Times New Roman;Times;serif"/>
          <w:b/>
          <w:sz w:val="20"/>
        </w:rPr>
        <w:t>ITEM 8.</w:t>
      </w:r>
      <w:r>
        <w:rPr>
          <w:rFonts w:ascii="Times New Roman;Times;serif" w:hAnsi="Times New Roman;Times;serif"/>
          <w:sz w:val="20"/>
        </w:rPr>
        <w:t>            </w:t>
      </w:r>
      <w:r>
        <w:rPr>
          <w:rFonts w:ascii="Times New Roman;Times;serif" w:hAnsi="Times New Roman;Times;serif"/>
          <w:b/>
          <w:sz w:val="20"/>
        </w:rPr>
        <w:t>FINANCIAL STATEMENTS AND SUPPLEMENTARY DATA</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Consolidated Financial Statements appear beginning on page F-1 of this report. See Item 15 of this report.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62" w:name="ITEM9CHANGESINANDDISAGREEMENTSWITHACCOUN"/>
      <w:bookmarkStart w:id="63" w:name="_9e49bf10_08c0_4aa8_a429_6267f45d6d00"/>
      <w:bookmarkEnd w:id="62"/>
      <w:bookmarkEnd w:id="63"/>
      <w:r>
        <w:rPr>
          <w:rFonts w:ascii="Times New Roman;Times;serif" w:hAnsi="Times New Roman;Times;serif"/>
          <w:b/>
          <w:sz w:val="20"/>
        </w:rPr>
        <w:t>ITEM 9.</w:t>
      </w:r>
      <w:r>
        <w:rPr>
          <w:rFonts w:ascii="Times New Roman;Times;serif" w:hAnsi="Times New Roman;Times;serif"/>
          <w:sz w:val="20"/>
        </w:rPr>
        <w:t>            </w:t>
      </w:r>
      <w:r>
        <w:rPr>
          <w:rFonts w:ascii="Times New Roman;Times;serif" w:hAnsi="Times New Roman;Times;serif"/>
          <w:b/>
          <w:sz w:val="20"/>
        </w:rPr>
        <w:t>CHANGES IN AND DISAGREEMENTS WITH ACCOUNTANTS ON ACCOUNTING AND</w:t>
      </w:r>
      <w:r>
        <w:rPr>
          <w:rFonts w:ascii="Times New Roman;Times;serif" w:hAnsi="Times New Roman;Times;serif"/>
          <w:sz w:val="20"/>
        </w:rPr>
        <w:t xml:space="preserve"> </w:t>
      </w:r>
      <w:r>
        <w:rPr>
          <w:rFonts w:ascii="Times New Roman;Times;serif" w:hAnsi="Times New Roman;Times;serif"/>
          <w:b/>
          <w:sz w:val="20"/>
        </w:rPr>
        <w:t>FINANCIAL DISCLOSURE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disagreements with our accountants on accounting and financial disclosures.</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64" w:name="ITEM9ACONTROLSANDPROCEDURES_752806"/>
      <w:bookmarkStart w:id="65" w:name="_bf99c998_8940_4115_924d_9b7f5b986fa2"/>
      <w:bookmarkEnd w:id="64"/>
      <w:bookmarkEnd w:id="65"/>
      <w:r>
        <w:rPr>
          <w:rFonts w:ascii="Times New Roman;Times;serif" w:hAnsi="Times New Roman;Times;serif"/>
          <w:b/>
          <w:sz w:val="20"/>
        </w:rPr>
        <w:t>ITEM 9A.</w:t>
      </w:r>
      <w:r>
        <w:rPr>
          <w:rFonts w:ascii="Times New Roman;Times;serif" w:hAnsi="Times New Roman;Times;serif"/>
          <w:sz w:val="20"/>
        </w:rPr>
        <w:t>          </w:t>
      </w:r>
      <w:r>
        <w:rPr>
          <w:rFonts w:ascii="Times New Roman;Times;serif" w:hAnsi="Times New Roman;Times;serif"/>
          <w:b/>
          <w:sz w:val="20"/>
        </w:rPr>
        <w:t>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 xml:space="preserve">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Under the supervision and with the participation of our management, including our CEO and our CFO, we evaluated the effectiveness of our internal control over financial reporting using the criteria set forth in the 2013 Internal Control-Integrated Framework issued by the Committee of Sponsoring Organizations of the Treadway Commission (COSO). Based on our assessment and those criteria, our management concluded that our internal control over financial reporting was effective as of December 31,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or 15d-15(f) of the Exchange Act) during the period covered by this report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66" w:name="ITEM9BOTHERINFORMATION_64042"/>
      <w:bookmarkStart w:id="67" w:name="_ac53f11e_0201_496c_84ee_5b669c90b904"/>
      <w:bookmarkEnd w:id="66"/>
      <w:bookmarkEnd w:id="67"/>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9B.</w:t>
      </w:r>
      <w:r>
        <w:rPr>
          <w:rFonts w:ascii="Times New Roman;Times;serif" w:hAnsi="Times New Roman;Times;serif"/>
          <w:sz w:val="20"/>
        </w:rPr>
        <w:t>          </w:t>
      </w:r>
      <w:r>
        <w:rPr>
          <w:rFonts w:ascii="Times New Roman;Times;serif" w:hAnsi="Times New Roman;Times;serif"/>
          <w:b/>
          <w:sz w:val="20"/>
        </w:rPr>
        <w:t>OTHER</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6, 2025, the Company entered into indemnification agreements with each of Philip R. Mays, the Company’s Senior Vice President, Chief Financial Officer, and Treasurer, and Lisa M. Vorakoun, the Company’s Senior Vice President and Chief Accounting Officer. These agreements provide, in general, that the Company will indemnify the applicable executive officer to the fullest extent permitted by law in connection with their service to the Company or on the Company’s behalf. Copies of the indemnification agreements are attached hereto as Exhibits 10.24 and 10.25 and incorporated herein by reference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68" w:name="DISCLOSUREREGARDINGFOREIGNJURISDICTIONST"/>
      <w:bookmarkStart w:id="69" w:name="_a9a5e653_3f2a_4202_a05a_6c673a77b1e1"/>
      <w:bookmarkEnd w:id="68"/>
      <w:bookmarkEnd w:id="69"/>
      <w:r>
        <w:rPr>
          <w:rFonts w:ascii="Times New Roman;Times;serif" w:hAnsi="Times New Roman;Times;serif"/>
          <w:b/>
          <w:sz w:val="20"/>
        </w:rPr>
        <w:t>ITEM 9C.</w:t>
      </w:r>
      <w:r>
        <w:rPr>
          <w:rFonts w:ascii="Times New Roman;Times;serif" w:hAnsi="Times New Roman;Times;serif"/>
          <w:sz w:val="20"/>
        </w:rPr>
        <w:t>          </w:t>
      </w:r>
      <w:r>
        <w:rPr>
          <w:rFonts w:ascii="Times New Roman;Times;serif" w:hAnsi="Times New Roman;Times;serif"/>
          <w:b/>
          <w:sz w:val="20"/>
        </w:rPr>
        <w:t>DISCLOSURE REGARDING FOREIGN JURISDICTIONS THAT PREVENT INSPECTIONS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70" w:name="PARTIII_476155"/>
      <w:bookmarkStart w:id="71" w:name="_4dcd199a_0b94_4e79_b862_172cde53532d"/>
      <w:bookmarkEnd w:id="70"/>
      <w:bookmarkEnd w:id="71"/>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sz w:val="20"/>
        </w:rPr>
      </w:pPr>
      <w:bookmarkStart w:id="72" w:name="ITEM10DIRECTORSEXECUTIVEOFFICERSANDCORPO"/>
      <w:bookmarkEnd w:id="72"/>
      <w:r>
        <w:rPr>
          <w:rFonts w:ascii="Times New Roman;Times;serif" w:hAnsi="Times New Roman;Times;serif"/>
          <w:b/>
          <w:sz w:val="20"/>
        </w:rPr>
        <w:t>ITEM 10.</w:t>
      </w:r>
      <w:r>
        <w:rPr>
          <w:rFonts w:ascii="Times New Roman;Times;serif" w:hAnsi="Times New Roman;Times;serif"/>
          <w:sz w:val="20"/>
        </w:rPr>
        <w:t>          </w:t>
      </w:r>
      <w:r>
        <w:rPr>
          <w:rFonts w:ascii="Times New Roman;Times;serif" w:hAnsi="Times New Roman;Times;serif"/>
          <w:b/>
          <w:sz w:val="20"/>
        </w:rPr>
        <w:t>DIRECTORS, EXECUTIVE OFFICERS, AND CORPORATE GOVERNANCE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Company’s definitive proxy statement for its 2025 annual stockholders’ meeting to be filed with the SEC within 120 days after the end of the registrant’s fiscal year ended December 31, 2024 (the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3" w:name="ITEM11EXECUTIVECOMPENSATION_918030"/>
      <w:bookmarkStart w:id="74" w:name="_fa849ff3_d102_4a2b_9331_9868a0493ce2"/>
      <w:bookmarkEnd w:id="73"/>
      <w:bookmarkEnd w:id="74"/>
      <w:r>
        <w:rPr>
          <w:rFonts w:ascii="Times New Roman;Times;serif" w:hAnsi="Times New Roman;Times;serif"/>
          <w:b/>
          <w:sz w:val="20"/>
        </w:rPr>
        <w:t>ITEM 11.</w:t>
      </w:r>
      <w:r>
        <w:rPr>
          <w:rFonts w:ascii="Times New Roman;Times;serif" w:hAnsi="Times New Roman;Times;serif"/>
          <w:sz w:val="20"/>
        </w:rPr>
        <w:t>          </w:t>
      </w:r>
      <w:r>
        <w:rPr>
          <w:rFonts w:ascii="Times New Roman;Times;serif" w:hAnsi="Times New Roman;Times;serif"/>
          <w:b/>
          <w:sz w:val="20"/>
        </w:rPr>
        <w:t>EXECUTIVE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externally managed by our Manager and as such the Company does not incur compensation costs affiliated with our executive officers. Any additional information required to be set forth herein will be included in the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5" w:name="ITEM12SECURITYOWNERSHIPOFCERTAINBENEFICI"/>
      <w:bookmarkStart w:id="76" w:name="_5cd7320a_57d2_41db_af88_f3fe3cae6ce7"/>
      <w:bookmarkEnd w:id="75"/>
      <w:bookmarkEnd w:id="76"/>
      <w:r>
        <w:rPr>
          <w:rFonts w:ascii="Times New Roman;Times;serif" w:hAnsi="Times New Roman;Times;serif"/>
          <w:b/>
          <w:sz w:val="20"/>
        </w:rPr>
        <w:t>ITEM 12.</w:t>
      </w:r>
      <w:r>
        <w:rPr>
          <w:rFonts w:ascii="Times New Roman;Times;serif" w:hAnsi="Times New Roman;Times;serif"/>
          <w:sz w:val="20"/>
        </w:rPr>
        <w:t>          </w:t>
      </w:r>
      <w:r>
        <w:rPr>
          <w:rFonts w:ascii="Times New Roman;Times;serif" w:hAnsi="Times New Roman;Times;serif"/>
          <w:b/>
          <w:sz w:val="20"/>
        </w:rPr>
        <w:t>SECURITY OWNERSHIP OF CERTAIN BENEFICIAL OWNERS AND MANAGEMENT AND</w:t>
      </w:r>
      <w:r>
        <w:rPr>
          <w:rFonts w:ascii="Times New Roman;Times;serif" w:hAnsi="Times New Roman;Times;serif"/>
          <w:sz w:val="20"/>
        </w:rPr>
        <w:t xml:space="preserve"> </w:t>
      </w:r>
      <w:r>
        <w:rPr>
          <w:rFonts w:ascii="Times New Roman;Times;serif" w:hAnsi="Times New Roman;Times;serif"/>
          <w:b/>
          <w:sz w:val="20"/>
        </w:rPr>
        <w:t>RELATED STOCKHOLDER MATTERS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sections are incorporated herein by reference.</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7" w:name="ITEM13CERTAINRELATIONSHIPSANDRELATEDTRAN"/>
      <w:bookmarkStart w:id="78" w:name="_b20fa18d_8ded_41ce_9fcd_9e241c8d6a75"/>
      <w:bookmarkEnd w:id="77"/>
      <w:bookmarkEnd w:id="78"/>
      <w:r>
        <w:rPr>
          <w:rFonts w:ascii="Times New Roman;Times;serif" w:hAnsi="Times New Roman;Times;serif"/>
          <w:b/>
          <w:sz w:val="20"/>
        </w:rPr>
        <w:t>ITEM 13.</w:t>
      </w:r>
      <w:r>
        <w:rPr>
          <w:rFonts w:ascii="Times New Roman;Times;serif" w:hAnsi="Times New Roman;Times;serif"/>
          <w:sz w:val="20"/>
        </w:rPr>
        <w:t>          </w:t>
      </w:r>
      <w:r>
        <w:rPr>
          <w:rFonts w:ascii="Times New Roman;Times;serif" w:hAnsi="Times New Roman;Times;serif"/>
          <w:b/>
          <w:sz w:val="20"/>
        </w:rPr>
        <w:t>CERTAIN RELATIONSHIPS AND RELATED TRANSACTIONS, AND DIRECTOR</w:t>
      </w:r>
      <w:r>
        <w:rPr>
          <w:rFonts w:ascii="Times New Roman;Times;serif" w:hAnsi="Times New Roman;Times;serif"/>
          <w:sz w:val="20"/>
        </w:rPr>
        <w:t xml:space="preserve"> </w:t>
      </w:r>
      <w:r>
        <w:rPr>
          <w:rFonts w:ascii="Times New Roman;Times;serif" w:hAnsi="Times New Roman;Times;serif"/>
          <w:b/>
          <w:sz w:val="20"/>
        </w:rPr>
        <w:t>INDEPENDENCE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9" w:name="ITEM14PRINCIPALACCOUNTANTFEESANDSERVICES"/>
      <w:bookmarkStart w:id="80" w:name="_cb726313_f462_4ff8_aed2_9bb9f17638db"/>
      <w:bookmarkEnd w:id="79"/>
      <w:bookmarkEnd w:id="80"/>
      <w:r>
        <w:rPr>
          <w:rFonts w:ascii="Times New Roman;Times;serif" w:hAnsi="Times New Roman;Times;serif"/>
          <w:b/>
          <w:sz w:val="20"/>
        </w:rPr>
        <w:t>ITEM 14.</w:t>
      </w:r>
      <w:r>
        <w:rPr>
          <w:rFonts w:ascii="Times New Roman;Times;serif" w:hAnsi="Times New Roman;Times;serif"/>
          <w:sz w:val="20"/>
        </w:rPr>
        <w:t>          </w:t>
      </w:r>
      <w:r>
        <w:rPr>
          <w:rFonts w:ascii="Times New Roman;Times;serif" w:hAnsi="Times New Roman;Times;serif"/>
          <w:b/>
          <w:sz w:val="20"/>
        </w:rPr>
        <w:t>PRINCIPAL ACCOUNTANT FEES AND SERVICES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bidi w:val="0"/>
        <w:spacing w:before="0" w:after="240"/>
        <w:ind w:left="0" w:right="0" w:hanging="0"/>
        <w:jc w:val="center"/>
        <w:rPr>
          <w:rFonts w:ascii="Times New Roman;Times;serif" w:hAnsi="Times New Roman;Times;serif"/>
          <w:b/>
          <w:sz w:val="20"/>
        </w:rPr>
      </w:pPr>
      <w:bookmarkStart w:id="81" w:name="PARTIV_258754"/>
      <w:bookmarkStart w:id="82" w:name="_b231d78c_fd86_425e_bcbe_fc23eb85d287"/>
      <w:bookmarkEnd w:id="81"/>
      <w:bookmarkEnd w:id="82"/>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b/>
          <w:sz w:val="20"/>
        </w:rPr>
      </w:pPr>
      <w:bookmarkStart w:id="83" w:name="ITEM15EXHIBITSANDFINANCIALSTATEMENTSCHED"/>
      <w:bookmarkEnd w:id="83"/>
      <w:r>
        <w:rPr>
          <w:rFonts w:ascii="Times New Roman;Times;serif" w:hAnsi="Times New Roman;Times;serif"/>
          <w:b/>
          <w:sz w:val="20"/>
        </w:rPr>
        <w:t>ITEM 15.          EXHIBITS AND FINANCIAL STATEMENT SCHEDULES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FINANCIAL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financial statements are filed as part of this report:</w:t>
      </w:r>
    </w:p>
    <w:p>
      <w:pPr>
        <w:pStyle w:val="TextBody"/>
        <w:bidi w:val="0"/>
        <w:spacing w:before="0" w:after="240"/>
        <w:ind w:left="0" w:right="0" w:hanging="0"/>
        <w:jc w:val="both"/>
        <w:rPr/>
      </w:pPr>
      <w:r>
        <w:rPr/>
        <w:t>​</w:t>
      </w:r>
    </w:p>
    <w:tbl>
      <w:tblPr>
        <w:tblW w:w="9947" w:type="dxa"/>
        <w:jc w:val="left"/>
        <w:tblInd w:w="0" w:type="dxa"/>
        <w:tblLayout w:type="fixed"/>
        <w:tblCellMar>
          <w:top w:w="0" w:type="dxa"/>
          <w:left w:w="0" w:type="dxa"/>
          <w:bottom w:w="0" w:type="dxa"/>
          <w:right w:w="0" w:type="dxa"/>
        </w:tblCellMar>
      </w:tblPr>
      <w:tblGrid>
        <w:gridCol w:w="9421"/>
        <w:gridCol w:w="526"/>
      </w:tblGrid>
      <w:tr>
        <w:trPr/>
        <w:tc>
          <w:tcPr>
            <w:tcW w:w="9421" w:type="dxa"/>
            <w:tcBorders/>
            <w:vAlign w:val="center"/>
          </w:tcPr>
          <w:p>
            <w:pPr>
              <w:pStyle w:val="TableContents"/>
              <w:bidi w:val="0"/>
              <w:spacing w:before="0" w:after="283"/>
              <w:ind w:left="0" w:right="0" w:hanging="0"/>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34010" cy="29210"/>
                      <wp:effectExtent l="0" t="0" r="0" b="0"/>
                      <wp:wrapNone/>
                      <wp:docPr id="94" name="Frame94"/>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2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Number 248)</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21" w:type="dxa"/>
            <w:tcBorders/>
            <w:vAlign w:val="center"/>
          </w:tcPr>
          <w:p>
            <w:pPr>
              <w:pStyle w:val="TableContents"/>
              <w:bidi w:val="0"/>
              <w:spacing w:before="0" w:after="0"/>
              <w:ind w:left="0" w:right="0" w:hanging="0"/>
              <w:jc w:val="left"/>
              <w:rPr/>
            </w:pPr>
            <w:hyperlink w:anchor="CONSOLIDATEDANDCOMBINEDBALANCESHEETS_133">
              <w:r>
                <w:rPr>
                  <w:rStyle w:val="InternetLink"/>
                  <w:rFonts w:ascii="Times New Roman;Times;serif" w:hAnsi="Times New Roman;Times;serif"/>
                  <w:b w:val="false"/>
                  <w:i w:val="false"/>
                  <w:caps w:val="false"/>
                  <w:smallCaps w:val="false"/>
                  <w:sz w:val="20"/>
                </w:rPr>
                <w:t>Consolidated Balance Sheets as of December 31, 2024 and 2023</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21" w:type="dxa"/>
            <w:tcBorders/>
            <w:vAlign w:val="center"/>
          </w:tcPr>
          <w:p>
            <w:pPr>
              <w:pStyle w:val="TableContents"/>
              <w:pBdr/>
              <w:bidi w:val="0"/>
              <w:spacing w:before="0" w:after="0"/>
              <w:ind w:left="0" w:right="0" w:hanging="0"/>
              <w:jc w:val="left"/>
              <w:rPr/>
            </w:pPr>
            <w:hyperlink w:anchor="CONSOLIDATEDANDCOMBINEDSTATEMENTSOFOPERA">
              <w:r>
                <w:rPr>
                  <w:rStyle w:val="InternetLink"/>
                  <w:rFonts w:ascii="Times New Roman;Times;serif" w:hAnsi="Times New Roman;Times;serif"/>
                  <w:b w:val="false"/>
                  <w:i w:val="false"/>
                  <w:caps w:val="false"/>
                  <w:smallCaps w:val="false"/>
                  <w:sz w:val="20"/>
                </w:rPr>
                <w:t>Consolidated Statements of Operations for the years ended December 31, 2024, 2023, and 2022</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21" w:type="dxa"/>
            <w:tcBorders/>
            <w:vAlign w:val="center"/>
          </w:tcPr>
          <w:p>
            <w:pPr>
              <w:pStyle w:val="TableContents"/>
              <w:pBdr/>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(Loss) for the years ended December 31, 2024, 2023, and 2022</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21" w:type="dxa"/>
            <w:tcBorders/>
            <w:vAlign w:val="center"/>
          </w:tcPr>
          <w:p>
            <w:pPr>
              <w:pStyle w:val="TableContents"/>
              <w:pBdr/>
              <w:bidi w:val="0"/>
              <w:spacing w:before="0" w:after="0"/>
              <w:ind w:left="0" w:right="0" w:hanging="0"/>
              <w:jc w:val="left"/>
              <w:rPr/>
            </w:pPr>
            <w:hyperlink w:anchor="CONSOLIDATEDANDCOMBINEDSTATEMENTSOFEQUIT">
              <w:r>
                <w:rPr>
                  <w:rStyle w:val="InternetLink"/>
                  <w:rFonts w:ascii="Times New Roman;Times;serif" w:hAnsi="Times New Roman;Times;serif"/>
                  <w:b w:val="false"/>
                  <w:i w:val="false"/>
                  <w:caps w:val="false"/>
                  <w:smallCaps w:val="false"/>
                  <w:sz w:val="20"/>
                </w:rPr>
                <w:t xml:space="preserve">Consolidated Statements of Stockholders’ Equity for the years ended December 31, 2024, 2023, and 2022 </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421" w:type="dxa"/>
            <w:tcBorders/>
            <w:vAlign w:val="center"/>
          </w:tcPr>
          <w:p>
            <w:pPr>
              <w:pStyle w:val="TableContents"/>
              <w:pBdr/>
              <w:bidi w:val="0"/>
              <w:spacing w:before="0" w:after="0"/>
              <w:ind w:left="0" w:right="0" w:hanging="0"/>
              <w:jc w:val="left"/>
              <w:rPr/>
            </w:pPr>
            <w:hyperlink w:anchor="CONSOLIDATEDANDCOMBINEDSTATEMENTSOFCASHF">
              <w:r>
                <w:rPr>
                  <w:rStyle w:val="InternetLink"/>
                  <w:rFonts w:ascii="Times New Roman;Times;serif" w:hAnsi="Times New Roman;Times;serif"/>
                  <w:b w:val="false"/>
                  <w:i w:val="false"/>
                  <w:caps w:val="false"/>
                  <w:smallCaps w:val="false"/>
                  <w:sz w:val="20"/>
                </w:rPr>
                <w:t xml:space="preserve">Consolidated Statements of Cash Flows for the years ended December 31, 2024, 2023, and 2022 </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421" w:type="dxa"/>
            <w:tcBorders/>
            <w:vAlign w:val="center"/>
          </w:tcPr>
          <w:p>
            <w:pPr>
              <w:pStyle w:val="TableContents"/>
              <w:pBdr/>
              <w:bidi w:val="0"/>
              <w:spacing w:before="0" w:after="0"/>
              <w:ind w:left="0" w:right="0" w:hanging="0"/>
              <w:jc w:val="left"/>
              <w:rPr/>
            </w:pPr>
            <w:hyperlink w:anchor="NOTESTOCONSOLIDATEDANDCOMBINEDFINANCIALS">
              <w:r>
                <w:rPr>
                  <w:rStyle w:val="InternetLink"/>
                  <w:rFonts w:ascii="Times New Roman;Times;serif" w:hAnsi="Times New Roman;Times;serif"/>
                  <w:b w:val="false"/>
                  <w:i w:val="false"/>
                  <w:caps w:val="false"/>
                  <w:smallCaps w:val="false"/>
                  <w:sz w:val="20"/>
                </w:rPr>
                <w:t xml:space="preserve">Notes to Consolidated Financial Statements </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FINANCIAL STATEMENT SCHEDULES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Schedules are omitted because of the absence of conditions under which they are required, materiality, or because the required information is given in the financial statements or notes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3. EXHIBITS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06"/>
        <w:gridCol w:w="326"/>
        <w:gridCol w:w="917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48310" cy="189865"/>
                      <wp:effectExtent l="0" t="0" r="0" b="0"/>
                      <wp:wrapNone/>
                      <wp:docPr id="95" name="Frame95"/>
                      <a:graphic xmlns:a="http://schemas.openxmlformats.org/drawingml/2006/main">
                        <a:graphicData uri="http://schemas.microsoft.com/office/word/2010/wordprocessingShape">
                          <wps:wsp>
                            <wps:cNvSpPr txBox="1"/>
                            <wps:spPr>
                              <a:xfrm>
                                <a:off x="0" y="0"/>
                                <a:ext cx="448310" cy="189865"/>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HIDDEN_ROW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HIDDEN_ROW</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824855" cy="29210"/>
                      <wp:effectExtent l="0" t="0" r="0" b="0"/>
                      <wp:wrapNone/>
                      <wp:docPr id="96" name="Frame96"/>
                      <a:graphic xmlns:a="http://schemas.openxmlformats.org/drawingml/2006/main">
                        <a:graphicData uri="http://schemas.microsoft.com/office/word/2010/wordprocessingShape">
                          <wps:wsp>
                            <wps:cNvSpPr txBox="1"/>
                            <wps:spPr>
                              <a:xfrm>
                                <a:off x="0" y="0"/>
                                <a:ext cx="5824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 </w:t>
            </w:r>
            <w:r>
              <w:rPr>
                <w:rFonts w:ascii="Times New Roman;Times;serif" w:hAnsi="Times New Roman;Times;serif"/>
                <w:sz w:val="16"/>
              </w:rPr>
              <w:br/>
            </w: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center"/>
              <w:rPr/>
            </w:pPr>
            <w:r>
              <w:rPr/>
              <w:t>    </w:t>
            </w:r>
          </w:p>
        </w:tc>
        <w:tc>
          <w:tcPr>
            <w:tcW w:w="91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center"/>
              <w:rPr/>
            </w:pPr>
            <w:r>
              <w:rPr/>
              <w:t>​</w:t>
            </w:r>
          </w:p>
        </w:tc>
        <w:tc>
          <w:tcPr>
            <w:tcW w:w="9173"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Articles of Amendment and Restatement of Alpine Income Property Trust, Inc. (incorporated by reference to Exhibit 3.1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Bylaws of Alpine Income Property Trust, Inc. (incorporated by reference to Exhibit 3.1 to the Company’s Current Report on Form 8-K filed on February 3, 2023).</w:t>
              </w:r>
            </w:hyperlink>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Description of the Registrant’s Securities (incorporated by reference to Exhibit 4.1 to the Company’s Annual Report on Form 10-K filed on February 9, 2023).</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Specimen Common Stock Certificate of Alpine Income Property Trust, Inc. (incorporated by reference to Exhibit 4.1 to the Registrant’s Registration Statement on Form S-11/A (File No. 333-234304) filed with the Commission on October 29,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Stock Purchase Agreement, dated November 21, 2019, between Alpine Income Property Trust, Inc. and Consolidated-Tomoka Land Co. (incorporated by reference to Exhibit 10.1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Registration Rights Agreement, dated November 26, 2019, between Alpine Income Property Trust, Inc. and Consolidated-Tomoka Land Co. (incorporated by reference to Exhibit 10.2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Amended and Restated Agreement of Limited Partnership, dated November 26, 2019, among Alpine Income Property GP, LLC, Alpine Income Property Trust, Inc., Consolidated-Tomoka Land Co. and Indigo Group Ltd. (incorporated by reference to Exhibit 10.3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Tax Protection Agreement, dated November 26, 2019, among Alpine Income Property Trust, Inc., Alpine Income Property OP, LP, Consolidated-Tomoka Land Co. and Indigo Group Ltd. (incorporated by reference to Exhibit 10.4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Management Agreement, dated November 26, 2019, among Alpine Income Property Trust, Inc., Alpine Income Property OP, LP and Alpine Income Property Manager, LLC (incorporated by reference to Exhibit 10.5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Exclusivity and Right of First Offer Agreement, dated November 26, 2019, between Consolidated-Tomoka Land Co. and Alpine Income Property Trust, Inc. (incorporated by reference to Exhibit 10.6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John P. Albright (incorporated by reference to Exhibit 10.8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Steven R. Greathouse (incorporated by reference to Exhibit 10.10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left"/>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Daniel E. Smith (incorporated by reference to Exhibit 10.11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M. Carson Good (incorporated by reference to Exhibit 10.13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73"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Andrew C. Richardson (incorporated by reference to Exhibit 10.14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Indemnification Agreement, dated February 10, 2021, between Alpine Income Property Trust, Inc. and Rachel E. Wein (incorporated by reference to Exhibit 10.1 to the Company’s Current Report on Form 8-K filed on February 11, 2021).*</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Alpine Income Property Trust, Inc. 2019 Individual Equity Incentive Plan (incorporated by reference to Exhibit 10.1 to the Company’s Registration Statement on Form S-8 (File No. 333-235256) filed on November 25,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Alpine Income Property Trust, Inc. 2019 Manager Equity Incentive Plan (incorporated by reference to Exhibit 10.17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Form of Non-Employee Director Restricted Stock Award Agreement under the Alpine Income Property Trust, Inc. 2019 Individual Equity Incentive Plan (incorporated by reference to Exhibit 10.11 to the Registrant’s Registration Statement on Form S-11/A (File No. 333-234304) filed with the Commission on November 7,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Credit Agreement, dated as of May 21, 2021, among Alpine Income Property, OP, LP, Alpine Income Property Trust, Inc., the other Guarantors from time to time parties thereto, Truist Bank, N.A., Bank of Montreal, Raymond James Bank, N.A. and Stifel Bank (incorporated by reference to Exhibit 10.2 to the Company’s Current Report on Form 8-K filed on May 25, 2021)</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Amendment, Increase and Joinder to Credit Agreement, dated as of April 14, 2022, among Alpine Income Property, OP, LP, Alpine Income Property Trust, Inc., the other Guarantors from time to time parties thereto, Truist Bank, N.A., and certain other lenders named therein (incorporated by reference to Exhibit 10.2 to the Company’s Current Report on Form 8-K filed on April 18, 2022).</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Amended and Restated Credit Agreement, dated as of September 30, 2022, among Alpine Income Property, OP, LP, Alpine Income Property Trust, Inc., the other Guarantors from time to time parties thereto, KeyBank National Association, and certain other lenders named therein (incorporated by reference to Exhibit 10.1 to the Company’s Current Report on Form 8-K filed on October 6, 2022).</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Second Amendment to the 2026 Term Loan Agreement, dated as of October 5, 2022, among Alpine Income Property, OP, LP, Alpine Income Property Trust, Inc., the other Guarantors from time to time parties thereto, Truist Bank, N.A., and certain other lenders named therein (incorporated by reference to Exhibit 10.2 to the Company’s Quarterly Report on Form 10-Q filed on October 20, 2022).</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Amendment No. 1 to Management Agreement dated July 18, 2024 (incorporated by reference to Exhibit 10.1 to the Company’s Current Report on Form 8-K filed on July 19, 2024).</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Indemnification Agreement, dated November 8, 2024, between Alpine Income Property Trust, Inc. and Brenna A. Wadleigh (incorporated by reference to Exhibit 10.1 to the Company’s Current Report on Form 8 K filed on November 13, 2024).*</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left"/>
              <w:rPr>
                <w:color w:val="FF0000"/>
                <w:shd w:fill="FFFF00" w:val="clear"/>
              </w:rPr>
            </w:pPr>
            <w:r>
              <w:rPr>
                <w:color w:val="FF0000"/>
                <w:shd w:fill="FFFF00" w:val="clear"/>
              </w:rPr>
              <w:t>​</w:t>
            </w:r>
          </w:p>
        </w:tc>
        <w:tc>
          <w:tcPr>
            <w:tcW w:w="9510" w:type="dxa"/>
            <w:tcBorders/>
            <w:vAlign w:val="center"/>
          </w:tcPr>
          <w:p>
            <w:pPr>
              <w:pStyle w:val="TableContents"/>
              <w:bidi w:val="0"/>
              <w:spacing w:before="0" w:after="0"/>
              <w:ind w:left="0" w:right="0" w:hanging="0"/>
              <w:jc w:val="left"/>
              <w:rPr/>
            </w:pPr>
            <w:hyperlink w:anchor="pine-20241231xex10d22.htm">
              <w:r>
                <w:rPr>
                  <w:rStyle w:val="InternetLink"/>
                  <w:rFonts w:ascii="Times New Roman;Times;serif" w:hAnsi="Times New Roman;Times;serif"/>
                  <w:b w:val="false"/>
                  <w:i w:val="false"/>
                  <w:caps w:val="false"/>
                  <w:smallCaps w:val="false"/>
                  <w:sz w:val="20"/>
                </w:rPr>
                <w:t>First Amendment to the Amended and Restated Credit Agreement, dated as of December 20, 2024, among Alpine Income Property, OP, LP, Alpine Income Property Trust, Inc., the other Guarantors from time to time parties thereto, KeyBank National Association, and certain other lenders named therein. †</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w:anchor="pine-20241231xex10d23.htm">
              <w:r>
                <w:rPr>
                  <w:rStyle w:val="InternetLink"/>
                  <w:rFonts w:ascii="Times New Roman;Times;serif" w:hAnsi="Times New Roman;Times;serif"/>
                  <w:b w:val="false"/>
                  <w:i w:val="false"/>
                  <w:caps w:val="false"/>
                  <w:smallCaps w:val="false"/>
                  <w:sz w:val="20"/>
                </w:rPr>
                <w:t>Third Amendment to the 2026 Term Loan Agreement, dated as of December 20, 2024, among Alpine Income Property, OP, LP, Alpine Income Property Trust, Inc., the other Guarantors from time to time parties thereto, Truist Bank, N.A., and certain other lenders named therein. †</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w:anchor="pine-20241231xex10d24.htm">
              <w:r>
                <w:rPr>
                  <w:rStyle w:val="InternetLink"/>
                  <w:rFonts w:ascii="Times New Roman;Times;serif" w:hAnsi="Times New Roman;Times;serif"/>
                  <w:b w:val="false"/>
                  <w:i w:val="false"/>
                  <w:caps w:val="false"/>
                  <w:smallCaps w:val="false"/>
                  <w:sz w:val="20"/>
                </w:rPr>
                <w:t>Indemnification Agreement, dated February 6, 2025, between Alpine Income Property Trust, Inc. and Philip R. Mays. †</w:t>
              </w:r>
            </w:hyperlink>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w:anchor="pine-20241231xex10d25.htm">
              <w:r>
                <w:rPr>
                  <w:rStyle w:val="InternetLink"/>
                  <w:rFonts w:ascii="Times New Roman;Times;serif" w:hAnsi="Times New Roman;Times;serif"/>
                  <w:b w:val="false"/>
                  <w:i w:val="false"/>
                  <w:caps w:val="false"/>
                  <w:smallCaps w:val="false"/>
                  <w:sz w:val="20"/>
                </w:rPr>
                <w:t>Indemnification Agreement, dated February 6, 2025, between Alpine Income Property Trust, Inc. and Lisa M. Vorakoun. †</w:t>
              </w:r>
            </w:hyperlink>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35"/>
        <w:gridCol w:w="109"/>
        <w:gridCol w:w="8961"/>
      </w:tblGrid>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8961" w:type="dxa"/>
            <w:tcBorders/>
            <w:vAlign w:val="center"/>
          </w:tcPr>
          <w:p>
            <w:pPr>
              <w:pStyle w:val="TableContents"/>
              <w:bidi w:val="0"/>
              <w:spacing w:before="0" w:after="0"/>
              <w:ind w:left="0" w:right="0" w:hanging="0"/>
              <w:jc w:val="both"/>
              <w:rPr/>
            </w:pPr>
            <w:hyperlink w:anchor="pine-20241231xex19d1.htm">
              <w:r>
                <w:rPr>
                  <w:rStyle w:val="InternetLink"/>
                  <w:rFonts w:ascii="Times New Roman;Times;serif" w:hAnsi="Times New Roman;Times;serif"/>
                  <w:b w:val="false"/>
                  <w:i w:val="false"/>
                  <w:caps w:val="false"/>
                  <w:smallCaps w:val="false"/>
                  <w:sz w:val="20"/>
                </w:rPr>
                <w:t>Insider Trading Policy. †</w:t>
              </w:r>
            </w:hyperlink>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8961" w:type="dxa"/>
            <w:tcBorders/>
            <w:vAlign w:val="center"/>
          </w:tcPr>
          <w:p>
            <w:pPr>
              <w:pStyle w:val="TableContents"/>
              <w:bidi w:val="0"/>
              <w:spacing w:before="0" w:after="0"/>
              <w:ind w:left="0" w:right="0" w:hanging="0"/>
              <w:jc w:val="both"/>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hyperlink w:anchor="pine-20241231xex21d1.htm">
              <w:r>
                <w:rPr>
                  <w:rStyle w:val="InternetLink"/>
                  <w:rFonts w:ascii="Times New Roman;Times;serif" w:hAnsi="Times New Roman;Times;serif"/>
                  <w:b w:val="false"/>
                  <w:i w:val="false"/>
                  <w:caps w:val="false"/>
                  <w:smallCaps w:val="false"/>
                  <w:sz w:val="20"/>
                </w:rPr>
                <w:t>List of Subsidiaries of the Registrant. †</w:t>
              </w:r>
            </w:hyperlink>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hyperlink w:anchor="pine-20241231xex23d1.htm">
              <w:r>
                <w:rPr>
                  <w:rStyle w:val="InternetLink"/>
                  <w:rFonts w:ascii="Times New Roman;Times;serif" w:hAnsi="Times New Roman;Times;serif"/>
                  <w:b w:val="false"/>
                  <w:i w:val="false"/>
                  <w:caps w:val="false"/>
                  <w:smallCaps w:val="false"/>
                  <w:sz w:val="20"/>
                </w:rPr>
                <w:t>Consent of Grant Thornton LLP. †</w:t>
              </w:r>
            </w:hyperlink>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hyperlink w:anchor="pine-20241231xex31d1.htm">
              <w:r>
                <w:rPr>
                  <w:rStyle w:val="InternetLink"/>
                  <w:rFonts w:ascii="Times New Roman;Times;serif" w:hAnsi="Times New Roman;Times;serif"/>
                  <w:b w:val="false"/>
                  <w:i w:val="false"/>
                  <w:caps w:val="false"/>
                  <w:smallCaps w:val="false"/>
                  <w:sz w:val="20"/>
                </w:rPr>
                <w:t>Certificate of John P. Albright, President and Chief Executive Officer, pursuant to Section 302 of the Sarbanes-Oxley Act of 2002. †</w:t>
              </w:r>
            </w:hyperlink>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hyperlink w:anchor="pine-20241231xex31d2.htm">
              <w:r>
                <w:rPr>
                  <w:rStyle w:val="InternetLink"/>
                  <w:rFonts w:ascii="Times New Roman;Times;serif" w:hAnsi="Times New Roman;Times;serif"/>
                  <w:b w:val="false"/>
                  <w:i w:val="false"/>
                  <w:caps w:val="false"/>
                  <w:smallCaps w:val="false"/>
                  <w:sz w:val="20"/>
                </w:rPr>
                <w:t>Certificate of Philip R. Mays, Senior Vice President, Chief Financial Officer and Treasurer, pursuant to Section 302 of the Sarbanes-Oxley Act of 2002. †</w:t>
              </w:r>
            </w:hyperlink>
          </w:p>
        </w:tc>
      </w:tr>
      <w:tr>
        <w:trPr/>
        <w:tc>
          <w:tcPr>
            <w:tcW w:w="1135"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r>
              <w:rPr/>
              <w:t> </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hyperlink w:anchor="pine-20241231xex32d1.htm">
              <w:r>
                <w:rPr>
                  <w:rStyle w:val="InternetLink"/>
                  <w:rFonts w:ascii="Times New Roman;Times;serif" w:hAnsi="Times New Roman;Times;serif"/>
                  <w:b w:val="false"/>
                  <w:i w:val="false"/>
                  <w:caps w:val="false"/>
                  <w:smallCaps w:val="false"/>
                  <w:sz w:val="20"/>
                </w:rPr>
                <w:t>Certificate of John P. Albright, President and Chief Executive Officer, pursuant to 18 U.S.C. Section 1350, as adopted pursuant to Section 906 of the Sarbanes-Oxley Act of 2002. ††</w:t>
              </w:r>
            </w:hyperlink>
          </w:p>
        </w:tc>
      </w:tr>
      <w:tr>
        <w:trPr/>
        <w:tc>
          <w:tcPr>
            <w:tcW w:w="1135"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r>
              <w:rPr/>
              <w:t> </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hyperlink w:anchor="pine-20241231xex32d2.htm">
              <w:r>
                <w:rPr>
                  <w:rStyle w:val="InternetLink"/>
                  <w:rFonts w:ascii="Times New Roman;Times;serif" w:hAnsi="Times New Roman;Times;serif"/>
                  <w:b w:val="false"/>
                  <w:i w:val="false"/>
                  <w:caps w:val="false"/>
                  <w:smallCaps w:val="false"/>
                  <w:sz w:val="20"/>
                </w:rPr>
                <w:t>Certificate of Philip R. Mays, Senior Vice President, Chief Financial Officer and Treasurer, pursuant to 18 U.S.C. Section 1350, as adopted pursuant to Section 906 of the Sarbanes-Oxley Act of 2002. ††</w:t>
              </w:r>
            </w:hyperlink>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both"/>
              <w:rPr/>
            </w:pPr>
            <w:hyperlink w:anchor="pine-20241231xex97d1.htm">
              <w:r>
                <w:rPr>
                  <w:rStyle w:val="InternetLink"/>
                  <w:rFonts w:ascii="Times New Roman;Times;serif" w:hAnsi="Times New Roman;Times;serif"/>
                  <w:b w:val="false"/>
                  <w:i w:val="false"/>
                  <w:caps w:val="false"/>
                  <w:smallCaps w:val="false"/>
                  <w:sz w:val="20"/>
                </w:rPr>
                <w:t>Policy Relating to Recovery of Erroneously Awarded Compensation (incorporated by reference to Exhibit 97.1 to the Company’s Annual Report on Form 10-K filed on February 8, 2024). *</w:t>
              </w:r>
            </w:hyperlink>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101.INS</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101.SCH</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101.CAL</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101.DEF</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101.LAB</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101.PRE</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1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pPr>
            <w:r>
              <w:rPr/>
              <w:t>​</w:t>
            </w:r>
          </w:p>
        </w:tc>
      </w:tr>
      <w:tr>
        <w:trPr/>
        <w:tc>
          <w:tcPr>
            <w:tcW w:w="1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109" w:type="dxa"/>
            <w:tcBorders/>
            <w:vAlign w:val="center"/>
          </w:tcPr>
          <w:p>
            <w:pPr>
              <w:pStyle w:val="TableContents"/>
              <w:bidi w:val="0"/>
              <w:spacing w:before="0" w:after="0"/>
              <w:ind w:left="0" w:right="0" w:hanging="0"/>
              <w:jc w:val="left"/>
              <w:rPr/>
            </w:pPr>
            <w:r>
              <w:rPr/>
              <w:t>​</w:t>
            </w:r>
          </w:p>
        </w:tc>
        <w:tc>
          <w:tcPr>
            <w:tcW w:w="8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pBdr/>
        <w:bidi w:val="0"/>
        <w:spacing w:before="0" w:after="0"/>
        <w:ind w:left="0" w:right="0" w:hanging="360"/>
        <w:jc w:val="left"/>
        <w:rPr/>
      </w:pPr>
      <w:r>
        <w:rPr/>
        <w:t>† </w:t>
      </w:r>
      <w:r>
        <w:rPr>
          <w:rFonts w:ascii="Times New Roman;Times;serif" w:hAnsi="Times New Roman;Times;serif"/>
          <w:sz w:val="20"/>
        </w:rPr>
        <w:t>Filed Herewith</w:t>
      </w:r>
    </w:p>
    <w:p>
      <w:pPr>
        <w:pStyle w:val="TextBody"/>
        <w:pBdr/>
        <w:bidi w:val="0"/>
        <w:spacing w:before="0" w:after="0"/>
        <w:ind w:left="0" w:right="0" w:hanging="360"/>
        <w:jc w:val="left"/>
        <w:rPr/>
      </w:pPr>
      <w:r>
        <w:rPr/>
        <w:t>††  </w:t>
      </w:r>
      <w:r>
        <w:rPr>
          <w:rFonts w:ascii="Times New Roman;Times;serif" w:hAnsi="Times New Roman;Times;serif"/>
          <w:sz w:val="20"/>
        </w:rPr>
        <w:t>Furnished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Management Contract or Compensatory Plan or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4" w:name="SIGNATURES_747870"/>
      <w:bookmarkStart w:id="85" w:name="_2ef7e60c_1a32_4237_9712_544695bc32ce"/>
      <w:bookmarkEnd w:id="84"/>
      <w:bookmarkEnd w:id="85"/>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240"/>
        <w:ind w:left="0" w:right="0" w:hanging="0"/>
        <w:jc w:val="both"/>
        <w:rPr/>
      </w:pPr>
      <w:r>
        <w:rPr/>
        <w:t>​</w:t>
      </w:r>
    </w:p>
    <w:tbl>
      <w:tblPr>
        <w:tblW w:w="5776" w:type="dxa"/>
        <w:jc w:val="left"/>
        <w:tblInd w:w="0" w:type="dxa"/>
        <w:tblLayout w:type="fixed"/>
        <w:tblCellMar>
          <w:top w:w="0" w:type="dxa"/>
          <w:left w:w="0" w:type="dxa"/>
          <w:bottom w:w="0" w:type="dxa"/>
          <w:right w:w="0" w:type="dxa"/>
        </w:tblCellMar>
      </w:tblPr>
      <w:tblGrid>
        <w:gridCol w:w="1981"/>
        <w:gridCol w:w="412"/>
        <w:gridCol w:w="3383"/>
      </w:tblGrid>
      <w:tr>
        <w:trPr/>
        <w:tc>
          <w:tcPr>
            <w:tcW w:w="1981" w:type="dxa"/>
            <w:tcBorders/>
            <w:vAlign w:val="center"/>
          </w:tcPr>
          <w:p>
            <w:pPr>
              <w:pStyle w:val="TableContents"/>
              <w:bidi w:val="0"/>
              <w:spacing w:before="0" w:after="0"/>
              <w:ind w:left="0" w:right="0" w:hanging="0"/>
              <w:jc w:val="left"/>
              <w:rPr/>
            </w:pPr>
            <w:r>
              <w:rPr/>
              <w:t> </w:t>
            </w:r>
          </w:p>
        </w:tc>
        <w:tc>
          <w:tcPr>
            <w:tcW w:w="37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ALPINE INCOME PROPERTY TRUST, INC.</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6, 2025</w:t>
            </w:r>
          </w:p>
        </w:tc>
        <w:tc>
          <w:tcPr>
            <w:tcW w:w="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83"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354"/>
        <w:gridCol w:w="146"/>
        <w:gridCol w:w="6089"/>
        <w:gridCol w:w="146"/>
        <w:gridCol w:w="2470"/>
      </w:tblGrid>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 and Director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and Treasurer (Principal Financial Officer)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pBdr/>
              <w:bidi w:val="0"/>
              <w:spacing w:before="0" w:after="0"/>
              <w:ind w:left="0" w:right="0" w:hanging="0"/>
              <w:jc w:val="left"/>
              <w:rPr/>
            </w:pPr>
            <w:r>
              <w:rPr/>
              <w:t>​</w:t>
            </w:r>
          </w:p>
        </w:tc>
        <w:tc>
          <w:tcPr>
            <w:tcW w:w="6089" w:type="dxa"/>
            <w:tcBorders/>
            <w:vAlign w:val="center"/>
          </w:tcPr>
          <w:p>
            <w:pPr>
              <w:pStyle w:val="TableContents"/>
              <w:pBdr/>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Philip R. Mays</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46" w:type="dxa"/>
            <w:tcBorders/>
            <w:vAlign w:val="center"/>
          </w:tcPr>
          <w:p>
            <w:pPr>
              <w:pStyle w:val="TableContents"/>
              <w:pBdr/>
              <w:bidi w:val="0"/>
              <w:spacing w:before="0" w:after="0"/>
              <w:ind w:left="0" w:right="0" w:hanging="0"/>
              <w:jc w:val="left"/>
              <w:rPr/>
            </w:pPr>
            <w:r>
              <w:rPr/>
              <w:t>​</w:t>
            </w:r>
          </w:p>
        </w:tc>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46" w:type="dxa"/>
            <w:tcBorders/>
            <w:vAlign w:val="center"/>
          </w:tcPr>
          <w:p>
            <w:pPr>
              <w:pStyle w:val="TableContents"/>
              <w:bidi w:val="0"/>
              <w:spacing w:before="0" w:after="0"/>
              <w:ind w:left="0" w:right="0" w:hanging="0"/>
              <w:jc w:val="left"/>
              <w:rPr/>
            </w:pPr>
            <w:r>
              <w:rPr/>
              <w:t> </w:t>
            </w:r>
          </w:p>
        </w:tc>
        <w:tc>
          <w:tcPr>
            <w:tcW w:w="6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Director</w:t>
            </w:r>
          </w:p>
        </w:tc>
        <w:tc>
          <w:tcPr>
            <w:tcW w:w="146" w:type="dxa"/>
            <w:tcBorders/>
            <w:vAlign w:val="center"/>
          </w:tcPr>
          <w:p>
            <w:pPr>
              <w:pStyle w:val="TableContents"/>
              <w:bidi w:val="0"/>
              <w:spacing w:before="0" w:after="0"/>
              <w:ind w:left="0" w:right="0" w:hanging="0"/>
              <w:jc w:val="left"/>
              <w:rPr/>
            </w:pPr>
            <w:r>
              <w:rPr/>
              <w:t> </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C. RICHARDSON</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Andrew C. Richardson</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 CARSON GOOD</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 Carson Good</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BRENNA A. WADLEIGH</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Brenna A. Wadleigh</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RACHEL E. WEIN</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Rachel E. Wein</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6" w:name="_0bab3dc5_06bd_440f_bfa7_584521741d47"/>
      <w:bookmarkEnd w:id="86"/>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p>
      <w:pPr>
        <w:pStyle w:val="TextBody"/>
        <w:bidi w:val="0"/>
        <w:spacing w:before="0" w:after="240"/>
        <w:ind w:left="0" w:right="0" w:hanging="0"/>
        <w:jc w:val="both"/>
        <w:rPr/>
      </w:pPr>
      <w:r>
        <w:rPr/>
        <w:t>​</w:t>
      </w:r>
    </w:p>
    <w:tbl>
      <w:tblPr>
        <w:tblW w:w="9947" w:type="dxa"/>
        <w:jc w:val="left"/>
        <w:tblInd w:w="0" w:type="dxa"/>
        <w:tblLayout w:type="fixed"/>
        <w:tblCellMar>
          <w:top w:w="0" w:type="dxa"/>
          <w:left w:w="0" w:type="dxa"/>
          <w:bottom w:w="0" w:type="dxa"/>
          <w:right w:w="0" w:type="dxa"/>
        </w:tblCellMar>
      </w:tblPr>
      <w:tblGrid>
        <w:gridCol w:w="9421"/>
        <w:gridCol w:w="526"/>
      </w:tblGrid>
      <w:tr>
        <w:trPr/>
        <w:tc>
          <w:tcPr>
            <w:tcW w:w="9421" w:type="dxa"/>
            <w:tcBorders/>
            <w:vAlign w:val="center"/>
          </w:tcPr>
          <w:p>
            <w:pPr>
              <w:pStyle w:val="TableContents"/>
              <w:bidi w:val="0"/>
              <w:spacing w:before="0" w:after="283"/>
              <w:ind w:left="0" w:right="0" w:hanging="0"/>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34010" cy="29210"/>
                      <wp:effectExtent l="0" t="0" r="0" b="0"/>
                      <wp:wrapNone/>
                      <wp:docPr id="97" name="Frame97"/>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2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21" w:type="dxa"/>
            <w:tcBorders/>
            <w:vAlign w:val="center"/>
          </w:tcPr>
          <w:p>
            <w:pPr>
              <w:pStyle w:val="TableContents"/>
              <w:bidi w:val="0"/>
              <w:spacing w:before="0" w:after="0"/>
              <w:ind w:left="0" w:right="0" w:hanging="0"/>
              <w:jc w:val="left"/>
              <w:rPr/>
            </w:pPr>
            <w:hyperlink w:anchor="CONSOLIDATEDANDCOMBINEDBALANCESHEETS_133">
              <w:r>
                <w:rPr>
                  <w:rStyle w:val="InternetLink"/>
                  <w:rFonts w:ascii="Times New Roman;Times;serif" w:hAnsi="Times New Roman;Times;serif"/>
                  <w:b w:val="false"/>
                  <w:i w:val="false"/>
                  <w:caps w:val="false"/>
                  <w:smallCaps w:val="false"/>
                  <w:sz w:val="20"/>
                </w:rPr>
                <w:t>Consolidated Balance Sheets as of December 31, 2024 and 2023</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21" w:type="dxa"/>
            <w:tcBorders/>
            <w:vAlign w:val="center"/>
          </w:tcPr>
          <w:p>
            <w:pPr>
              <w:pStyle w:val="TableContents"/>
              <w:pBdr/>
              <w:bidi w:val="0"/>
              <w:spacing w:before="0" w:after="0"/>
              <w:ind w:left="0" w:right="0" w:hanging="0"/>
              <w:jc w:val="left"/>
              <w:rPr/>
            </w:pPr>
            <w:hyperlink w:anchor="CONSOLIDATEDANDCOMBINEDSTATEMENTSOFOPERA">
              <w:r>
                <w:rPr>
                  <w:rStyle w:val="InternetLink"/>
                  <w:rFonts w:ascii="Times New Roman;Times;serif" w:hAnsi="Times New Roman;Times;serif"/>
                  <w:b w:val="false"/>
                  <w:i w:val="false"/>
                  <w:caps w:val="false"/>
                  <w:smallCaps w:val="false"/>
                  <w:sz w:val="20"/>
                </w:rPr>
                <w:t>Consolidated Statements of Operations for the years ended December 31, 2024, 2023, and 2022</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21" w:type="dxa"/>
            <w:tcBorders/>
            <w:vAlign w:val="center"/>
          </w:tcPr>
          <w:p>
            <w:pPr>
              <w:pStyle w:val="TableContents"/>
              <w:pBdr/>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(Loss) for the years ended December 31, 2024, 2023, and 2022</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21" w:type="dxa"/>
            <w:tcBorders/>
            <w:vAlign w:val="center"/>
          </w:tcPr>
          <w:p>
            <w:pPr>
              <w:pStyle w:val="TableContents"/>
              <w:pBdr/>
              <w:bidi w:val="0"/>
              <w:spacing w:before="0" w:after="0"/>
              <w:ind w:left="0" w:right="0" w:hanging="0"/>
              <w:jc w:val="left"/>
              <w:rPr/>
            </w:pPr>
            <w:hyperlink w:anchor="CONSOLIDATEDANDCOMBINEDSTATEMENTSOFEQUIT">
              <w:r>
                <w:rPr>
                  <w:rStyle w:val="InternetLink"/>
                  <w:rFonts w:ascii="Times New Roman;Times;serif" w:hAnsi="Times New Roman;Times;serif"/>
                  <w:b w:val="false"/>
                  <w:i w:val="false"/>
                  <w:caps w:val="false"/>
                  <w:smallCaps w:val="false"/>
                  <w:sz w:val="20"/>
                </w:rPr>
                <w:t xml:space="preserve">Consolidated Statements of Stockholders’ Equity for the years ended December 31, 2024, 2023, and 2022 </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421" w:type="dxa"/>
            <w:tcBorders/>
            <w:vAlign w:val="center"/>
          </w:tcPr>
          <w:p>
            <w:pPr>
              <w:pStyle w:val="TableContents"/>
              <w:pBdr/>
              <w:bidi w:val="0"/>
              <w:spacing w:before="0" w:after="0"/>
              <w:ind w:left="0" w:right="0" w:hanging="0"/>
              <w:jc w:val="left"/>
              <w:rPr/>
            </w:pPr>
            <w:hyperlink w:anchor="CONSOLIDATEDANDCOMBINEDSTATEMENTSOFCASHF">
              <w:r>
                <w:rPr>
                  <w:rStyle w:val="InternetLink"/>
                  <w:rFonts w:ascii="Times New Roman;Times;serif" w:hAnsi="Times New Roman;Times;serif"/>
                  <w:b w:val="false"/>
                  <w:i w:val="false"/>
                  <w:caps w:val="false"/>
                  <w:smallCaps w:val="false"/>
                  <w:sz w:val="20"/>
                </w:rPr>
                <w:t xml:space="preserve">Consolidated Statements of Cash Flows for the years ended December 31, 2024, 2023, and 2022 </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421" w:type="dxa"/>
            <w:tcBorders/>
            <w:vAlign w:val="center"/>
          </w:tcPr>
          <w:p>
            <w:pPr>
              <w:pStyle w:val="TableContents"/>
              <w:pBdr/>
              <w:bidi w:val="0"/>
              <w:spacing w:before="0" w:after="0"/>
              <w:ind w:left="0" w:right="0" w:hanging="0"/>
              <w:jc w:val="left"/>
              <w:rPr/>
            </w:pPr>
            <w:hyperlink w:anchor="NOTESTOCONSOLIDATEDANDCOMBINEDFINANCIALS">
              <w:r>
                <w:rPr>
                  <w:rStyle w:val="InternetLink"/>
                  <w:rFonts w:ascii="Times New Roman;Times;serif" w:hAnsi="Times New Roman;Times;serif"/>
                  <w:b w:val="false"/>
                  <w:i w:val="false"/>
                  <w:caps w:val="false"/>
                  <w:smallCaps w:val="false"/>
                  <w:sz w:val="20"/>
                </w:rPr>
                <w:t xml:space="preserve">Notes to Consolidated Financial Statements </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7" w:name="ReportofIndependentRegisteredPublicAccou"/>
      <w:bookmarkStart w:id="88" w:name="_25d8d850_86e0_4667_82c0_e1cb25605765"/>
      <w:bookmarkEnd w:id="87"/>
      <w:bookmarkEnd w:id="88"/>
      <w:r>
        <w:rPr>
          <w:rFonts w:ascii="Times New Roman;Times;serif" w:hAnsi="Times New Roman;Times;serif"/>
          <w:b/>
          <w:sz w:val="20"/>
        </w:rPr>
        <w:t>Report of Independent Registered Public Accounting Firm</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 and Stockholders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Alpine Income Property Trust, Inc.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balance sheets of Alpine Income Property Trust, Inc. (a Maryland corporation) and subsidiaries (the “Company”) as of December 31, 2024 and 2023, the related consolidated statements of operations, comprehensive income (loss),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24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Critical audit matter </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Fair value of real estate acquired with in-place leases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described further in note 3 to the consolidated financial statements, during the year ended December 31, 2024, the Company acquired nine properties subject to purchase accounting for acquisitions subject to a lease, for a combined purchase price of $72.2 million, or a total cost of $72.7 million including capitalized acquisition costs. As further described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note 2 to the consolidated financial statements,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We identified the evaluation of the fair value of real estate acquired with in-place leases as a critical audit matter.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principal consideration for our determination that the evaluation of the fair value of real estate acquired with in-place leases is a critical audit matter is that auditing the estimates of fair values of the acquired tangible assets and identified intangible assets and liabilities is complex due to the significant assumptions being sensitive to changes, including discount rates, terminal rates, and market rent rates that can be impacted by expectations about future market or economic conditions.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 procedures related to the evaluation of the fair value of real estate acquired with in-place leases included the following,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evaluated the design of the key controls related to the Company’s process to account for real estate acquisitions with in-place leases, including those addressing the development of the significant assumptions, including discount rates, terminal rates and market rates.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involved internal valuation professionals who assisted in comparing the discount rates, terminal rates, and market rental rates to independently developed ranges.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2019.</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Orlando, Florida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9" w:name="_9509b1fd_9eb4_442c_b3a1_bdb0ced8cfd4"/>
      <w:bookmarkEnd w:id="89"/>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90" w:name="CONSOLIDATEDANDCOMBINEDBALANCESHEETS_133"/>
      <w:bookmarkEnd w:id="90"/>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1" w:name="Tc_sD8zuBVM-kSwAomzGWdReg_36_4"/>
      <w:bookmarkStart w:id="92" w:name="Tc_LHFAUrAi_E-GInb5CPWq3w_36_1"/>
      <w:bookmarkStart w:id="93" w:name="Tc_rhTQCUIIS0OTLPCvGjXa_g_36_0"/>
      <w:bookmarkStart w:id="94" w:name="Tc_ZWOq7dEKCEicZGWpXjTkIg_35_0"/>
      <w:bookmarkStart w:id="95" w:name="Tc_9EvUAy-XqECkdjISdHXC7g_34_0"/>
      <w:bookmarkStart w:id="96" w:name="Tc_e343h1kqBUGnzmzD4VZLCg_33_0"/>
      <w:bookmarkStart w:id="97" w:name="Tc_f-57slIXiEeNtIxRMFg8tQ_32_0"/>
      <w:bookmarkStart w:id="98" w:name="Tc_IJm1cbPhlkmZleRsdeHTFQ_31_0"/>
      <w:bookmarkStart w:id="99" w:name="Tc_iSpQWmHihUqlz9D0jQKlrQ_30_0"/>
      <w:bookmarkStart w:id="100" w:name="Tc_F5fyxTWt-Ui13_bb1xJbVQ_29_0"/>
      <w:bookmarkStart w:id="101" w:name="Tc_wKVOAS6S6UinhxBXgh-sog_28_0"/>
      <w:bookmarkStart w:id="102" w:name="Tc_Dqle5GAy5kKHwh1PKRHxzA_27_0"/>
      <w:bookmarkStart w:id="103" w:name="Tc_P3G-gv33GUueIai-NVRgfQ_26_0"/>
      <w:bookmarkStart w:id="104" w:name="Tc_H0ymoAcJ2US6NYs4hCdCXA_25_0"/>
      <w:bookmarkStart w:id="105" w:name="Tc_H8qFhY3d5U203IXyvLW-Ug_24_0"/>
      <w:bookmarkStart w:id="106" w:name="Tc__U_a_fXki0SBN1S2ugJzNQ_23_5"/>
      <w:bookmarkStart w:id="107" w:name="Tc_35n8w7VsuUW-Ptj_0-XNcw_23_0"/>
      <w:bookmarkStart w:id="108" w:name="Tc_3tDo-GpDDEmhFDT1HxIjvg_22_0"/>
      <w:bookmarkStart w:id="109" w:name="Tc_9LHG-qNE4U2G4-PvQGkHOg_21_0"/>
      <w:bookmarkStart w:id="110" w:name="Tc_dXYZT4gfR0iGhQ6oNUxZ5g_20_4"/>
      <w:bookmarkStart w:id="111" w:name="Tc_2mQ0luYnhkyLyjpUUf4iLw_20_1"/>
      <w:bookmarkStart w:id="112" w:name="Tc_yQj2skjzckuPUBbHqkJJRA_20_0"/>
      <w:bookmarkStart w:id="113" w:name="Tc_JdUOhp3f7kiBHsVDG8PkhA_19_0"/>
      <w:bookmarkStart w:id="114" w:name="Tc_ZZK7LjNypkWYXEzmdxBLNA_18_0"/>
      <w:bookmarkStart w:id="115" w:name="Tc_1rT8SF7xwkCzulE5QJAmAg_17_4"/>
      <w:bookmarkStart w:id="116" w:name="Tc_q2EhFPIF3U2WYJizIwroKQ_17_1"/>
      <w:bookmarkStart w:id="117" w:name="Tc_y4Yn5WddIE6MFLO43k6Yuw_17_0"/>
      <w:bookmarkStart w:id="118" w:name="Tc__Y3qgEdmUkC-4DMUtrhK3g_16_0"/>
      <w:bookmarkStart w:id="119" w:name="Tc_M9giTgazEk6qjEUXy9QyRA_15_0"/>
      <w:bookmarkStart w:id="120" w:name="Tc_0nPeiPZV3UiR2AGFafNviw_14_0"/>
      <w:bookmarkStart w:id="121" w:name="Tc_qJ7-b7bTv0qDZb3fDIP7Hg_13_0"/>
      <w:bookmarkStart w:id="122" w:name="Tc_x7OQ8l6mTEObutESjxU9UA_12_0"/>
      <w:bookmarkStart w:id="123" w:name="Tc_kuM3bUFKakKLtw9hYomhtA_11_0"/>
      <w:bookmarkStart w:id="124" w:name="Tc_5HqExtR7pkiQMS4qIa757Q_10_0"/>
      <w:bookmarkStart w:id="125" w:name="Tc_uoGdaw6HvE-oN3p-_XZYbw_9_0"/>
      <w:bookmarkStart w:id="126" w:name="Tc_o7eR_kEKpUGjE4Ei_sOFgA_8_0"/>
      <w:bookmarkStart w:id="127" w:name="Tc_AuSg8yVlykiQNXf4D4rFXA_7_0"/>
      <w:bookmarkStart w:id="128" w:name="Tc_4GEY9oe320eEzrco8L4R3w_6_0"/>
      <w:bookmarkStart w:id="129" w:name="Tc_Cf4u1OxstESQnW1x6ldJog_5_4"/>
      <w:bookmarkStart w:id="130" w:name="Tc_-jUs-v2PAkCeiKDZXW4MBQ_5_1"/>
      <w:bookmarkStart w:id="131" w:name="Tc_eJAzGQD3G0CXZu8N7VcrxA_5_0"/>
      <w:bookmarkStart w:id="132" w:name="Tc_CH6BNV0kBUi-r_H0AzpDDw_4_0"/>
      <w:bookmarkStart w:id="133" w:name="Tc_YgaNM7Slrkeps-WqGIMeow_3_0"/>
      <w:bookmarkStart w:id="134" w:name="Tc_OYwfqqdxp0SHZuuD4B9WEQ_2_4"/>
      <w:bookmarkStart w:id="135" w:name="Tc_W_u7Pw6gOUCMhQKM9u-NVw_2_1"/>
      <w:bookmarkStart w:id="136" w:name="Tc_UT9OTS7wCU6s6gtg2F9NIg_1_1"/>
      <w:bookmarkStart w:id="137" w:name="_b0056d4c_cb36_4a01_9596_2b6cb8577d93"/>
      <w:bookmarkStart w:id="138" w:name="Tc_sD8zuBVM-kSwAomzGWdReg_36_4"/>
      <w:bookmarkStart w:id="139" w:name="Tc_LHFAUrAi_E-GInb5CPWq3w_36_1"/>
      <w:bookmarkStart w:id="140" w:name="Tc_rhTQCUIIS0OTLPCvGjXa_g_36_0"/>
      <w:bookmarkStart w:id="141" w:name="Tc_ZWOq7dEKCEicZGWpXjTkIg_35_0"/>
      <w:bookmarkStart w:id="142" w:name="Tc_9EvUAy-XqECkdjISdHXC7g_34_0"/>
      <w:bookmarkStart w:id="143" w:name="Tc_e343h1kqBUGnzmzD4VZLCg_33_0"/>
      <w:bookmarkStart w:id="144" w:name="Tc_f-57slIXiEeNtIxRMFg8tQ_32_0"/>
      <w:bookmarkStart w:id="145" w:name="Tc_IJm1cbPhlkmZleRsdeHTFQ_31_0"/>
      <w:bookmarkStart w:id="146" w:name="Tc_iSpQWmHihUqlz9D0jQKlrQ_30_0"/>
      <w:bookmarkStart w:id="147" w:name="Tc_F5fyxTWt-Ui13_bb1xJbVQ_29_0"/>
      <w:bookmarkStart w:id="148" w:name="Tc_wKVOAS6S6UinhxBXgh-sog_28_0"/>
      <w:bookmarkStart w:id="149" w:name="Tc_Dqle5GAy5kKHwh1PKRHxzA_27_0"/>
      <w:bookmarkStart w:id="150" w:name="Tc_P3G-gv33GUueIai-NVRgfQ_26_0"/>
      <w:bookmarkStart w:id="151" w:name="Tc_H0ymoAcJ2US6NYs4hCdCXA_25_0"/>
      <w:bookmarkStart w:id="152" w:name="Tc_H8qFhY3d5U203IXyvLW-Ug_24_0"/>
      <w:bookmarkStart w:id="153" w:name="Tc__U_a_fXki0SBN1S2ugJzNQ_23_5"/>
      <w:bookmarkStart w:id="154" w:name="Tc_35n8w7VsuUW-Ptj_0-XNcw_23_0"/>
      <w:bookmarkStart w:id="155" w:name="Tc_3tDo-GpDDEmhFDT1HxIjvg_22_0"/>
      <w:bookmarkStart w:id="156" w:name="Tc_9LHG-qNE4U2G4-PvQGkHOg_21_0"/>
      <w:bookmarkStart w:id="157" w:name="Tc_dXYZT4gfR0iGhQ6oNUxZ5g_20_4"/>
      <w:bookmarkStart w:id="158" w:name="Tc_2mQ0luYnhkyLyjpUUf4iLw_20_1"/>
      <w:bookmarkStart w:id="159" w:name="Tc_yQj2skjzckuPUBbHqkJJRA_20_0"/>
      <w:bookmarkStart w:id="160" w:name="Tc_JdUOhp3f7kiBHsVDG8PkhA_19_0"/>
      <w:bookmarkStart w:id="161" w:name="Tc_ZZK7LjNypkWYXEzmdxBLNA_18_0"/>
      <w:bookmarkStart w:id="162" w:name="Tc_1rT8SF7xwkCzulE5QJAmAg_17_4"/>
      <w:bookmarkStart w:id="163" w:name="Tc_q2EhFPIF3U2WYJizIwroKQ_17_1"/>
      <w:bookmarkStart w:id="164" w:name="Tc_y4Yn5WddIE6MFLO43k6Yuw_17_0"/>
      <w:bookmarkStart w:id="165" w:name="Tc__Y3qgEdmUkC-4DMUtrhK3g_16_0"/>
      <w:bookmarkStart w:id="166" w:name="Tc_M9giTgazEk6qjEUXy9QyRA_15_0"/>
      <w:bookmarkStart w:id="167" w:name="Tc_0nPeiPZV3UiR2AGFafNviw_14_0"/>
      <w:bookmarkStart w:id="168" w:name="Tc_qJ7-b7bTv0qDZb3fDIP7Hg_13_0"/>
      <w:bookmarkStart w:id="169" w:name="Tc_x7OQ8l6mTEObutESjxU9UA_12_0"/>
      <w:bookmarkStart w:id="170" w:name="Tc_kuM3bUFKakKLtw9hYomhtA_11_0"/>
      <w:bookmarkStart w:id="171" w:name="Tc_5HqExtR7pkiQMS4qIa757Q_10_0"/>
      <w:bookmarkStart w:id="172" w:name="Tc_uoGdaw6HvE-oN3p-_XZYbw_9_0"/>
      <w:bookmarkStart w:id="173" w:name="Tc_o7eR_kEKpUGjE4Ei_sOFgA_8_0"/>
      <w:bookmarkStart w:id="174" w:name="Tc_AuSg8yVlykiQNXf4D4rFXA_7_0"/>
      <w:bookmarkStart w:id="175" w:name="Tc_4GEY9oe320eEzrco8L4R3w_6_0"/>
      <w:bookmarkStart w:id="176" w:name="Tc_Cf4u1OxstESQnW1x6ldJog_5_4"/>
      <w:bookmarkStart w:id="177" w:name="Tc_-jUs-v2PAkCeiKDZXW4MBQ_5_1"/>
      <w:bookmarkStart w:id="178" w:name="Tc_eJAzGQD3G0CXZu8N7VcrxA_5_0"/>
      <w:bookmarkStart w:id="179" w:name="Tc_CH6BNV0kBUi-r_H0AzpDDw_4_0"/>
      <w:bookmarkStart w:id="180" w:name="Tc_YgaNM7Slrkeps-WqGIMeow_3_0"/>
      <w:bookmarkStart w:id="181" w:name="Tc_OYwfqqdxp0SHZuuD4B9WEQ_2_4"/>
      <w:bookmarkStart w:id="182" w:name="Tc_W_u7Pw6gOUCMhQKM9u-NVw_2_1"/>
      <w:bookmarkStart w:id="183" w:name="Tc_UT9OTS7wCU6s6gtg2F9NIg_1_1"/>
      <w:bookmarkStart w:id="184" w:name="_b0056d4c_cb36_4a01_9596_2b6cb8577d93"/>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tbl>
      <w:tblPr>
        <w:tblW w:w="10205" w:type="dxa"/>
        <w:jc w:val="left"/>
        <w:tblInd w:w="0" w:type="dxa"/>
        <w:tblLayout w:type="fixed"/>
        <w:tblCellMar>
          <w:top w:w="0" w:type="dxa"/>
          <w:left w:w="0" w:type="dxa"/>
          <w:bottom w:w="0" w:type="dxa"/>
          <w:right w:w="0" w:type="dxa"/>
        </w:tblCellMar>
      </w:tblPr>
      <w:tblGrid>
        <w:gridCol w:w="6990"/>
        <w:gridCol w:w="301"/>
        <w:gridCol w:w="1119"/>
        <w:gridCol w:w="326"/>
        <w:gridCol w:w="281"/>
        <w:gridCol w:w="1188"/>
      </w:tblGrid>
      <w:tr>
        <w:trPr/>
        <w:tc>
          <w:tcPr>
            <w:tcW w:w="6990"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1135" cy="175260"/>
                      <wp:effectExtent l="0" t="0" r="0" b="0"/>
                      <wp:wrapNone/>
                      <wp:docPr id="98" name="Frame9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10565" cy="175260"/>
                      <wp:effectExtent l="0" t="0" r="0" b="0"/>
                      <wp:wrapNone/>
                      <wp:docPr id="99" name="Frame99"/>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78435" cy="175260"/>
                      <wp:effectExtent l="0" t="0" r="0" b="0"/>
                      <wp:wrapNone/>
                      <wp:docPr id="101" name="Frame10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54380" cy="175260"/>
                      <wp:effectExtent l="0" t="0" r="0" b="0"/>
                      <wp:wrapNone/>
                      <wp:docPr id="102" name="Frame102"/>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90" w:type="dxa"/>
            <w:tcBorders/>
            <w:vAlign w:val="center"/>
          </w:tcPr>
          <w:p>
            <w:pPr>
              <w:pStyle w:val="TableContents"/>
              <w:bidi w:val="0"/>
              <w:spacing w:before="0" w:after="0"/>
              <w:ind w:left="0" w:right="0" w:hanging="0"/>
              <w:jc w:val="left"/>
              <w:rPr/>
            </w:pPr>
            <w:r>
              <w:rPr/>
              <w:t>​</w:t>
            </w:r>
          </w:p>
        </w:tc>
        <w:tc>
          <w:tcPr>
            <w:tcW w:w="3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990" w:type="dxa"/>
            <w:tcBorders/>
            <w:vAlign w:val="center"/>
          </w:tcPr>
          <w:p>
            <w:pPr>
              <w:pStyle w:val="TableContents"/>
              <w:bidi w:val="0"/>
              <w:spacing w:before="0" w:after="0"/>
              <w:ind w:left="0" w:right="0" w:hanging="0"/>
              <w:jc w:val="left"/>
              <w:rPr/>
            </w:pPr>
            <w:r>
              <w:rPr/>
              <w:t>​</w:t>
            </w:r>
          </w:p>
        </w:tc>
        <w:tc>
          <w:tcPr>
            <w:tcW w:w="14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center"/>
              <w:rPr/>
            </w:pPr>
            <w:r>
              <w:rPr/>
              <w:t>    </w:t>
            </w:r>
          </w:p>
        </w:tc>
        <w:tc>
          <w:tcPr>
            <w:tcW w:w="14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6990"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20"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9" w:type="dxa"/>
            <w:gridSpan w:val="2"/>
            <w:tcBorders/>
            <w:shd w:fill="CCEEFF" w:val="clear"/>
            <w:vAlign w:val="center"/>
          </w:tcPr>
          <w:p>
            <w:pPr>
              <w:pStyle w:val="TableContents"/>
              <w:bidi w:val="0"/>
              <w:spacing w:before="0" w:after="0"/>
              <w:ind w:left="0" w:right="0" w:hanging="0"/>
              <w:jc w:val="center"/>
              <w:rPr/>
            </w:pPr>
            <w:r>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pPr>
            <w:r>
              <w:rPr/>
              <w:t>​</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147,912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149,314</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341,955</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328,993</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489,867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478,307</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(45,850)</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(34,714)</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444,017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443,593</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35,080</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43,925</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49,292</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15,734</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17,045</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604,995</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564,560</w:t>
            </w:r>
          </w:p>
        </w:tc>
      </w:tr>
      <w:tr>
        <w:trPr/>
        <w:tc>
          <w:tcPr>
            <w:tcW w:w="699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pPr>
            <w:r>
              <w:rPr/>
              <w:t>​</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pPr>
            <w:r>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8,445</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4,774</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pPr>
            <w:r>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301,466</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328,500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288,947</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20</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pPr>
            <w:r>
              <w:rPr/>
              <w:t>​</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pPr>
            <w:r>
              <w:rPr/>
              <w:t>​</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per share, 100 million shares authorized, no shares issued and outstanding as of December 31, 2024 and December 31, 2023</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14,691,982 shares issued and outstanding as of December 31, 2024 and 13,659,207 shares issued and outstanding as of December 31, 2023</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0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261,831</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243,690</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0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253,027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250,743</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23,468</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24,870</w:t>
            </w:r>
          </w:p>
        </w:tc>
      </w:tr>
      <w:tr>
        <w:trPr/>
        <w:tc>
          <w:tcPr>
            <w:tcW w:w="6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276,495</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275,613</w:t>
            </w:r>
          </w:p>
        </w:tc>
      </w:tr>
      <w:tr>
        <w:trPr/>
        <w:tc>
          <w:tcPr>
            <w:tcW w:w="6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604,995</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564,560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5" w:name="_2ca4651f_b9e7_416a_8e58_6c5bbdf5dbd9"/>
      <w:bookmarkEnd w:id="185"/>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186" w:name="CONSOLIDATEDANDCOMBINEDSTATEMENTSOFOPERA"/>
      <w:bookmarkEnd w:id="186"/>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187" w:name="Tc_CKATyGjXbE6fAu2RLG6nQw_30_0"/>
      <w:bookmarkStart w:id="188" w:name="Tc_3dpSQyB4q0yQyZfgTEfwmw_29_0"/>
      <w:bookmarkStart w:id="189" w:name="Tc_Jdjks_Wz5kCQPK2z6rxWmA_28_0"/>
      <w:bookmarkStart w:id="190" w:name="Tc_iLuADiY-00mL4uX0-_I5hg_26_7"/>
      <w:bookmarkStart w:id="191" w:name="Tc_0335t6NOREe6h82UTHwJ1g_26_4"/>
      <w:bookmarkStart w:id="192" w:name="Tc_c3kraHpWoEW9kkEIctOU5g_26_1"/>
      <w:bookmarkStart w:id="193" w:name="Tc_xK4dgsiifUOdat5xe-4NuA_26_0"/>
      <w:bookmarkStart w:id="194" w:name="Tc_D3bN6Vj6-EW3sSU_zpHexA_25_7"/>
      <w:bookmarkStart w:id="195" w:name="Tc_goyPV_fuwEu9vp5sOhbIgA_25_4"/>
      <w:bookmarkStart w:id="196" w:name="Tc_5SMtuulRj0--5LqQj2Am2Q_25_1"/>
      <w:bookmarkStart w:id="197" w:name="Tc_Jswd8R9eV0OhorW6CHddGQ_25_0"/>
      <w:bookmarkStart w:id="198" w:name="Tc_vreFdhgYK0iXKbe1-fuFZw_24_0"/>
      <w:bookmarkStart w:id="199" w:name="Tc_wlHBqM0xiUmgbqKWBYWlDg_23_0"/>
      <w:bookmarkStart w:id="200" w:name="Tc_3Oai-JlKFkiT5DQ8YhHs0A_21_7"/>
      <w:bookmarkStart w:id="201" w:name="Tc_rPZeCKW1a0CBmTSKPacI4w_21_4"/>
      <w:bookmarkStart w:id="202" w:name="Tc_tVnXe0-6SUGsm88bsLN_3Q_21_1"/>
      <w:bookmarkStart w:id="203" w:name="Tc_cg-P_kdqak2u5-luW5-jMw_21_0"/>
      <w:bookmarkStart w:id="204" w:name="Tc_QrnKQ8ZXvUKCAxZysynhrA_20_0"/>
      <w:bookmarkStart w:id="205" w:name="Tc_B0fuVd0Yfk6SOz66HXL3uA_19_0"/>
      <w:bookmarkStart w:id="206" w:name="Tc_xggAj1hktkKXTd_oWtJSLg_18_0"/>
      <w:bookmarkStart w:id="207" w:name="Tc_KzvkX3UBj0Wt7DyM1hSD7w_17_0"/>
      <w:bookmarkStart w:id="208" w:name="Tc_0Bp1HxY1TkWLQe52OyhWCw_16_0"/>
      <w:bookmarkStart w:id="209" w:name="Tc_4Yy4shoKO0an-kjYWpkx4Q_15_2"/>
      <w:bookmarkStart w:id="210" w:name="Tc__ySmDJnRaU6llYEbcbSDWA_15_0"/>
      <w:bookmarkStart w:id="211" w:name="Tc_3RDVDMi3ckO9jpYkwzartQ_14_0"/>
      <w:bookmarkStart w:id="212" w:name="Tc_FL7GECBai0OsKULE0vogcA_13_0"/>
      <w:bookmarkStart w:id="213" w:name="Tc_idYtQCrTHUedM0ImBUpEXw_12_0"/>
      <w:bookmarkStart w:id="214" w:name="Tc_QP-Zh4cr602hawDEeGQDuw_11_8"/>
      <w:bookmarkStart w:id="215" w:name="Tc_Mi4tuqsAvEyG095HIZKG-w_11_0"/>
      <w:bookmarkStart w:id="216" w:name="Tc_7XQQuNAEJU2rCfalHvnKOg_10_0"/>
      <w:bookmarkStart w:id="217" w:name="Tc_PCOJWebJpESCGq61_3XkrA_9_0"/>
      <w:bookmarkStart w:id="218" w:name="Tc_RghJOwnVq0aoB_BsAVdwsQ_8_0"/>
      <w:bookmarkStart w:id="219" w:name="Tc_jJo-fZdDIkyOeFzGmeXHBA_7_0"/>
      <w:bookmarkStart w:id="220" w:name="Tc_umsItNjhgUmn9bFhcsLesg_6_8"/>
      <w:bookmarkStart w:id="221" w:name="Tc_TiQRT4sKs0C5FX71tp-41w_6_0"/>
      <w:bookmarkStart w:id="222" w:name="Tc_M8crMP0hSEyAjRjZ52bRZQ_5_8"/>
      <w:bookmarkStart w:id="223" w:name="Tc_dPzAZ4r2PUOXXbmqq4l3vQ_5_0"/>
      <w:bookmarkStart w:id="224" w:name="Tc_3-_ckmg8_USFvolhNTWfWg_4_7"/>
      <w:bookmarkStart w:id="225" w:name="Tc_ReEPWF3-nEy-1N2FwaStFw_4_4"/>
      <w:bookmarkStart w:id="226" w:name="Tc_Bu7X6GtyIUqHKV4_P9IDzQ_4_1"/>
      <w:bookmarkStart w:id="227" w:name="Tc_jWX1T9giKEmnLqZQLQ59PQ_4_0"/>
      <w:bookmarkStart w:id="228" w:name="Tc_INnkwwkTz0eyPM4EyQFAUQ_3_0"/>
      <w:bookmarkStart w:id="229" w:name="Tc_u5LLZeKyWEi4WkMaxJt6KQ_2_7"/>
      <w:bookmarkStart w:id="230" w:name="Tc_WdchUib2ykOrlhyESLsExg_2_4"/>
      <w:bookmarkStart w:id="231" w:name="Tc_ykuq4OuUokWKeFvbDFdDUQ_2_1"/>
      <w:bookmarkStart w:id="232" w:name="Tc_iOTO2-dG00yaAKtVTqQU4Q_1_1"/>
      <w:bookmarkStart w:id="233" w:name="_2b4acae7_a989_407c_815f_9e4734cec68d"/>
      <w:bookmarkStart w:id="234" w:name="Tc_CKATyGjXbE6fAu2RLG6nQw_30_0"/>
      <w:bookmarkStart w:id="235" w:name="Tc_3dpSQyB4q0yQyZfgTEfwmw_29_0"/>
      <w:bookmarkStart w:id="236" w:name="Tc_Jdjks_Wz5kCQPK2z6rxWmA_28_0"/>
      <w:bookmarkStart w:id="237" w:name="Tc_iLuADiY-00mL4uX0-_I5hg_26_7"/>
      <w:bookmarkStart w:id="238" w:name="Tc_0335t6NOREe6h82UTHwJ1g_26_4"/>
      <w:bookmarkStart w:id="239" w:name="Tc_c3kraHpWoEW9kkEIctOU5g_26_1"/>
      <w:bookmarkStart w:id="240" w:name="Tc_xK4dgsiifUOdat5xe-4NuA_26_0"/>
      <w:bookmarkStart w:id="241" w:name="Tc_D3bN6Vj6-EW3sSU_zpHexA_25_7"/>
      <w:bookmarkStart w:id="242" w:name="Tc_goyPV_fuwEu9vp5sOhbIgA_25_4"/>
      <w:bookmarkStart w:id="243" w:name="Tc_5SMtuulRj0--5LqQj2Am2Q_25_1"/>
      <w:bookmarkStart w:id="244" w:name="Tc_Jswd8R9eV0OhorW6CHddGQ_25_0"/>
      <w:bookmarkStart w:id="245" w:name="Tc_vreFdhgYK0iXKbe1-fuFZw_24_0"/>
      <w:bookmarkStart w:id="246" w:name="Tc_wlHBqM0xiUmgbqKWBYWlDg_23_0"/>
      <w:bookmarkStart w:id="247" w:name="Tc_3Oai-JlKFkiT5DQ8YhHs0A_21_7"/>
      <w:bookmarkStart w:id="248" w:name="Tc_rPZeCKW1a0CBmTSKPacI4w_21_4"/>
      <w:bookmarkStart w:id="249" w:name="Tc_tVnXe0-6SUGsm88bsLN_3Q_21_1"/>
      <w:bookmarkStart w:id="250" w:name="Tc_cg-P_kdqak2u5-luW5-jMw_21_0"/>
      <w:bookmarkStart w:id="251" w:name="Tc_QrnKQ8ZXvUKCAxZysynhrA_20_0"/>
      <w:bookmarkStart w:id="252" w:name="Tc_B0fuVd0Yfk6SOz66HXL3uA_19_0"/>
      <w:bookmarkStart w:id="253" w:name="Tc_xggAj1hktkKXTd_oWtJSLg_18_0"/>
      <w:bookmarkStart w:id="254" w:name="Tc_KzvkX3UBj0Wt7DyM1hSD7w_17_0"/>
      <w:bookmarkStart w:id="255" w:name="Tc_0Bp1HxY1TkWLQe52OyhWCw_16_0"/>
      <w:bookmarkStart w:id="256" w:name="Tc_4Yy4shoKO0an-kjYWpkx4Q_15_2"/>
      <w:bookmarkStart w:id="257" w:name="Tc__ySmDJnRaU6llYEbcbSDWA_15_0"/>
      <w:bookmarkStart w:id="258" w:name="Tc_3RDVDMi3ckO9jpYkwzartQ_14_0"/>
      <w:bookmarkStart w:id="259" w:name="Tc_FL7GECBai0OsKULE0vogcA_13_0"/>
      <w:bookmarkStart w:id="260" w:name="Tc_idYtQCrTHUedM0ImBUpEXw_12_0"/>
      <w:bookmarkStart w:id="261" w:name="Tc_QP-Zh4cr602hawDEeGQDuw_11_8"/>
      <w:bookmarkStart w:id="262" w:name="Tc_Mi4tuqsAvEyG095HIZKG-w_11_0"/>
      <w:bookmarkStart w:id="263" w:name="Tc_7XQQuNAEJU2rCfalHvnKOg_10_0"/>
      <w:bookmarkStart w:id="264" w:name="Tc_PCOJWebJpESCGq61_3XkrA_9_0"/>
      <w:bookmarkStart w:id="265" w:name="Tc_RghJOwnVq0aoB_BsAVdwsQ_8_0"/>
      <w:bookmarkStart w:id="266" w:name="Tc_jJo-fZdDIkyOeFzGmeXHBA_7_0"/>
      <w:bookmarkStart w:id="267" w:name="Tc_umsItNjhgUmn9bFhcsLesg_6_8"/>
      <w:bookmarkStart w:id="268" w:name="Tc_TiQRT4sKs0C5FX71tp-41w_6_0"/>
      <w:bookmarkStart w:id="269" w:name="Tc_M8crMP0hSEyAjRjZ52bRZQ_5_8"/>
      <w:bookmarkStart w:id="270" w:name="Tc_dPzAZ4r2PUOXXbmqq4l3vQ_5_0"/>
      <w:bookmarkStart w:id="271" w:name="Tc_3-_ckmg8_USFvolhNTWfWg_4_7"/>
      <w:bookmarkStart w:id="272" w:name="Tc_ReEPWF3-nEy-1N2FwaStFw_4_4"/>
      <w:bookmarkStart w:id="273" w:name="Tc_Bu7X6GtyIUqHKV4_P9IDzQ_4_1"/>
      <w:bookmarkStart w:id="274" w:name="Tc_jWX1T9giKEmnLqZQLQ59PQ_4_0"/>
      <w:bookmarkStart w:id="275" w:name="Tc_INnkwwkTz0eyPM4EyQFAUQ_3_0"/>
      <w:bookmarkStart w:id="276" w:name="Tc_u5LLZeKyWEi4WkMaxJt6KQ_2_7"/>
      <w:bookmarkStart w:id="277" w:name="Tc_WdchUib2ykOrlhyESLsExg_2_4"/>
      <w:bookmarkStart w:id="278" w:name="Tc_ykuq4OuUokWKeFvbDFdDUQ_2_1"/>
      <w:bookmarkStart w:id="279" w:name="Tc_iOTO2-dG00yaAKtVTqQU4Q_1_1"/>
      <w:bookmarkStart w:id="280" w:name="_2b4acae7_a989_407c_815f_9e4734cec68d"/>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tbl>
      <w:tblPr>
        <w:tblW w:w="10205" w:type="dxa"/>
        <w:jc w:val="left"/>
        <w:tblInd w:w="0" w:type="dxa"/>
        <w:tblLayout w:type="fixed"/>
        <w:tblCellMar>
          <w:top w:w="0" w:type="dxa"/>
          <w:left w:w="0" w:type="dxa"/>
          <w:bottom w:w="0" w:type="dxa"/>
          <w:right w:w="0" w:type="dxa"/>
        </w:tblCellMar>
      </w:tblPr>
      <w:tblGrid>
        <w:gridCol w:w="4863"/>
        <w:gridCol w:w="285"/>
        <w:gridCol w:w="1406"/>
        <w:gridCol w:w="109"/>
        <w:gridCol w:w="285"/>
        <w:gridCol w:w="1406"/>
        <w:gridCol w:w="109"/>
        <w:gridCol w:w="268"/>
        <w:gridCol w:w="1474"/>
      </w:tblGrid>
      <w:tr>
        <w:trPr/>
        <w:tc>
          <w:tcPr>
            <w:tcW w:w="4863"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80975" cy="175260"/>
                      <wp:effectExtent l="0" t="0" r="0" b="0"/>
                      <wp:wrapNone/>
                      <wp:docPr id="103" name="Frame10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92810" cy="175260"/>
                      <wp:effectExtent l="0" t="0" r="0" b="0"/>
                      <wp:wrapNone/>
                      <wp:docPr id="104" name="Frame104"/>
                      <a:graphic xmlns:a="http://schemas.openxmlformats.org/drawingml/2006/main">
                        <a:graphicData uri="http://schemas.microsoft.com/office/word/2010/wordprocessingShape">
                          <wps:wsp>
                            <wps:cNvSpPr txBox="1"/>
                            <wps:spPr>
                              <a:xfrm>
                                <a:off x="0" y="0"/>
                                <a:ext cx="89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0975" cy="175260"/>
                      <wp:effectExtent l="0" t="0" r="0" b="0"/>
                      <wp:wrapNone/>
                      <wp:docPr id="106" name="Frame10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92810" cy="175260"/>
                      <wp:effectExtent l="0" t="0" r="0" b="0"/>
                      <wp:wrapNone/>
                      <wp:docPr id="107" name="Frame107"/>
                      <a:graphic xmlns:a="http://schemas.openxmlformats.org/drawingml/2006/main">
                        <a:graphicData uri="http://schemas.microsoft.com/office/word/2010/wordprocessingShape">
                          <wps:wsp>
                            <wps:cNvSpPr txBox="1"/>
                            <wps:spPr>
                              <a:xfrm>
                                <a:off x="0" y="0"/>
                                <a:ext cx="89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70180" cy="175260"/>
                      <wp:effectExtent l="0" t="0" r="0" b="0"/>
                      <wp:wrapNone/>
                      <wp:docPr id="109" name="Frame10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35990" cy="175260"/>
                      <wp:effectExtent l="0" t="0" r="0" b="0"/>
                      <wp:wrapNone/>
                      <wp:docPr id="110" name="Frame110"/>
                      <a:graphic xmlns:a="http://schemas.openxmlformats.org/drawingml/2006/main">
                        <a:graphicData uri="http://schemas.microsoft.com/office/word/2010/wordprocessingShape">
                          <wps:wsp>
                            <wps:cNvSpPr txBox="1"/>
                            <wps:spPr>
                              <a:xfrm>
                                <a:off x="0" y="0"/>
                                <a:ext cx="935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3" w:type="dxa"/>
            <w:tcBorders/>
            <w:vAlign w:val="center"/>
          </w:tcPr>
          <w:p>
            <w:pPr>
              <w:pStyle w:val="TableContents"/>
              <w:bidi w:val="0"/>
              <w:spacing w:before="0" w:after="0"/>
              <w:ind w:left="0" w:right="0" w:hanging="0"/>
              <w:jc w:val="left"/>
              <w:rPr>
                <w:color w:val="FF0000"/>
              </w:rPr>
            </w:pPr>
            <w:r>
              <w:rPr>
                <w:color w:val="FF0000"/>
              </w:rPr>
              <w:t>​</w:t>
            </w:r>
          </w:p>
        </w:tc>
        <w:tc>
          <w:tcPr>
            <w:tcW w:w="53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863" w:type="dxa"/>
            <w:tcBorders/>
            <w:vAlign w:val="center"/>
          </w:tcPr>
          <w:p>
            <w:pPr>
              <w:pStyle w:val="TableContents"/>
              <w:bidi w:val="0"/>
              <w:spacing w:before="0" w:after="0"/>
              <w:ind w:left="0" w:right="0" w:hanging="0"/>
              <w:jc w:val="left"/>
              <w:rPr/>
            </w:pPr>
            <w:r>
              <w:rPr/>
              <w:t>​</w:t>
            </w:r>
          </w:p>
        </w:tc>
        <w:tc>
          <w:tcPr>
            <w:tcW w:w="1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285" w:type="dxa"/>
            <w:tcBorders/>
            <w:shd w:fill="CCEEFF" w:val="clear"/>
            <w:vAlign w:val="center"/>
          </w:tcPr>
          <w:p>
            <w:pPr>
              <w:pStyle w:val="TableContents"/>
              <w:bidi w:val="0"/>
              <w:spacing w:before="0" w:after="0"/>
              <w:ind w:left="0" w:right="0" w:hanging="0"/>
              <w:jc w:val="center"/>
              <w:rPr/>
            </w:pPr>
            <w:r>
              <w:rPr/>
              <w:t>​</w:t>
            </w:r>
          </w:p>
        </w:tc>
        <w:tc>
          <w:tcPr>
            <w:tcW w:w="140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140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center"/>
              <w:rPr/>
            </w:pPr>
            <w:r>
              <w:rPr/>
              <w:t>​</w:t>
            </w:r>
          </w:p>
        </w:tc>
        <w:tc>
          <w:tcPr>
            <w:tcW w:w="1474" w:type="dxa"/>
            <w:tcBorders/>
            <w:shd w:fill="CCEEFF" w:val="clear"/>
            <w:vAlign w:val="center"/>
          </w:tcPr>
          <w:p>
            <w:pPr>
              <w:pStyle w:val="TableContents"/>
              <w:bidi w:val="0"/>
              <w:spacing w:before="0" w:after="0"/>
              <w:ind w:left="0" w:right="0" w:hanging="0"/>
              <w:jc w:val="center"/>
              <w:rPr/>
            </w:pPr>
            <w:r>
              <w:rPr/>
              <w:t>​</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pPr>
            <w:r>
              <w:rPr/>
              <w:t>—</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09"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52,227</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pPr>
            <w:r>
              <w:rPr/>
              <w:t>​</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pPr>
            <w:r>
              <w:rPr/>
              <w:t>—</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109"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23,564</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41,655</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41,859</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34,783</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33,801</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Extinguishment of Debt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43,482</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109"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(9,539)</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33,955</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29,720</w:t>
            </w:r>
          </w:p>
        </w:tc>
      </w:tr>
      <w:tr>
        <w:trPr/>
        <w:tc>
          <w:tcPr>
            <w:tcW w:w="4863"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pPr>
            <w:r>
              <w:rPr/>
              <w:t>​</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pPr>
            <w:r>
              <w:rPr/>
              <w:t>​</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pPr>
            <w:r>
              <w:rPr/>
              <w:t>​</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4863"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left"/>
              <w:rPr/>
            </w:pPr>
            <w:r>
              <w:rPr/>
              <w:t>​</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pPr>
            <w:r>
              <w:rPr/>
              <w:t>​</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13,858,257</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13,925,362</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11,976,001</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15,082,111</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15,560,524</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13,679,495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1" w:name="_350a6ce8_1cb8_41b4_aefb_2c443b2f5249"/>
      <w:bookmarkStart w:id="282" w:name="CONSOLIDATEDSTATEMENTSOFCOMPINCOME"/>
      <w:bookmarkEnd w:id="281"/>
      <w:bookmarkEnd w:id="282"/>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283" w:name="Tc_vrmZw1JrIE2fGgffkjGXyw_12_7"/>
      <w:bookmarkStart w:id="284" w:name="Tc_0c2aat6C_020JTp5kEhMGA_12_4"/>
      <w:bookmarkStart w:id="285" w:name="Tc_nQ-qI8FScUyJYe7_4q2C7A_12_1"/>
      <w:bookmarkStart w:id="286" w:name="Tc_QEsX-4HlOUiJWb5sFV7LKg_12_0"/>
      <w:bookmarkStart w:id="287" w:name="Tc_GQGbdbyFFE2C0_MdXBzAOQ_11_0"/>
      <w:bookmarkStart w:id="288" w:name="Tc_-qdBNRSPoE6UVSWwL-kKHA_10_0"/>
      <w:bookmarkStart w:id="289" w:name="Tc_bfMxqj-500SyFA9gvUtDqA_9_0"/>
      <w:bookmarkStart w:id="290" w:name="Tc_E2nP8PHo40-M7J2TEnjiqw_8_0"/>
      <w:bookmarkStart w:id="291" w:name="Tc_OQwdoM79WUGyZ3-AxtIfAQ_7_0"/>
      <w:bookmarkStart w:id="292" w:name="Tc_SrNwu3idpUWUKZWEax3dtg_6_0"/>
      <w:bookmarkStart w:id="293" w:name="Tc_zPoBEj2MpU683rkMyhc5JA_5_0"/>
      <w:bookmarkStart w:id="294" w:name="Tc_UTSCy2ALvUGrseZFvQYEGg_4_0"/>
      <w:bookmarkStart w:id="295" w:name="Tc_w5x44WH6KUCrpCwsbkfNsw_3_7"/>
      <w:bookmarkStart w:id="296" w:name="Tc_T_7sMmG59U6ggfc51shheA_3_4"/>
      <w:bookmarkStart w:id="297" w:name="Tc_faRB5aVhsUiIn9LVqK2FPg_3_1"/>
      <w:bookmarkStart w:id="298" w:name="Tc_Z0f_RaBrl0CJ9sGDluBHiA_3_0"/>
      <w:bookmarkStart w:id="299" w:name="Tc_yXLlPx6mSkm_7mkH2fMsfA_2_7"/>
      <w:bookmarkStart w:id="300" w:name="Tc_ADFjp06W0kCnV6-9hcxl0A_2_4"/>
      <w:bookmarkStart w:id="301" w:name="Tc_dFacNHcLkk2v15n6Sx_hkA_2_1"/>
      <w:bookmarkStart w:id="302" w:name="Tc_0hfPoKb080SKd-2LQ4B_wQ_1_1"/>
      <w:bookmarkStart w:id="303" w:name="_7102ad09_2f1a_45f8_b3a6_e09025e8de78"/>
      <w:bookmarkStart w:id="304" w:name="Tc_vrmZw1JrIE2fGgffkjGXyw_12_7"/>
      <w:bookmarkStart w:id="305" w:name="Tc_0c2aat6C_020JTp5kEhMGA_12_4"/>
      <w:bookmarkStart w:id="306" w:name="Tc_nQ-qI8FScUyJYe7_4q2C7A_12_1"/>
      <w:bookmarkStart w:id="307" w:name="Tc_QEsX-4HlOUiJWb5sFV7LKg_12_0"/>
      <w:bookmarkStart w:id="308" w:name="Tc_GQGbdbyFFE2C0_MdXBzAOQ_11_0"/>
      <w:bookmarkStart w:id="309" w:name="Tc_-qdBNRSPoE6UVSWwL-kKHA_10_0"/>
      <w:bookmarkStart w:id="310" w:name="Tc_bfMxqj-500SyFA9gvUtDqA_9_0"/>
      <w:bookmarkStart w:id="311" w:name="Tc_E2nP8PHo40-M7J2TEnjiqw_8_0"/>
      <w:bookmarkStart w:id="312" w:name="Tc_OQwdoM79WUGyZ3-AxtIfAQ_7_0"/>
      <w:bookmarkStart w:id="313" w:name="Tc_SrNwu3idpUWUKZWEax3dtg_6_0"/>
      <w:bookmarkStart w:id="314" w:name="Tc_zPoBEj2MpU683rkMyhc5JA_5_0"/>
      <w:bookmarkStart w:id="315" w:name="Tc_UTSCy2ALvUGrseZFvQYEGg_4_0"/>
      <w:bookmarkStart w:id="316" w:name="Tc_w5x44WH6KUCrpCwsbkfNsw_3_7"/>
      <w:bookmarkStart w:id="317" w:name="Tc_T_7sMmG59U6ggfc51shheA_3_4"/>
      <w:bookmarkStart w:id="318" w:name="Tc_faRB5aVhsUiIn9LVqK2FPg_3_1"/>
      <w:bookmarkStart w:id="319" w:name="Tc_Z0f_RaBrl0CJ9sGDluBHiA_3_0"/>
      <w:bookmarkStart w:id="320" w:name="Tc_yXLlPx6mSkm_7mkH2fMsfA_2_7"/>
      <w:bookmarkStart w:id="321" w:name="Tc_ADFjp06W0kCnV6-9hcxl0A_2_4"/>
      <w:bookmarkStart w:id="322" w:name="Tc_dFacNHcLkk2v15n6Sx_hkA_2_1"/>
      <w:bookmarkStart w:id="323" w:name="Tc_0hfPoKb080SKd-2LQ4B_wQ_1_1"/>
      <w:bookmarkStart w:id="324" w:name="_7102ad09_2f1a_45f8_b3a6_e09025e8de78"/>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tbl>
      <w:tblPr>
        <w:tblW w:w="10205" w:type="dxa"/>
        <w:jc w:val="left"/>
        <w:tblInd w:w="0" w:type="dxa"/>
        <w:tblLayout w:type="fixed"/>
        <w:tblCellMar>
          <w:top w:w="0" w:type="dxa"/>
          <w:left w:w="0" w:type="dxa"/>
          <w:bottom w:w="0" w:type="dxa"/>
          <w:right w:w="0" w:type="dxa"/>
        </w:tblCellMar>
      </w:tblPr>
      <w:tblGrid>
        <w:gridCol w:w="5227"/>
        <w:gridCol w:w="399"/>
        <w:gridCol w:w="1199"/>
        <w:gridCol w:w="109"/>
        <w:gridCol w:w="399"/>
        <w:gridCol w:w="1199"/>
        <w:gridCol w:w="109"/>
        <w:gridCol w:w="330"/>
        <w:gridCol w:w="1234"/>
      </w:tblGrid>
      <w:tr>
        <w:trPr/>
        <w:tc>
          <w:tcPr>
            <w:tcW w:w="5227"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53365" cy="175260"/>
                      <wp:effectExtent l="0" t="0" r="0" b="0"/>
                      <wp:wrapNone/>
                      <wp:docPr id="111" name="Frame111"/>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61365" cy="175260"/>
                      <wp:effectExtent l="0" t="0" r="0" b="0"/>
                      <wp:wrapNone/>
                      <wp:docPr id="112" name="Frame112"/>
                      <a:graphic xmlns:a="http://schemas.openxmlformats.org/drawingml/2006/main">
                        <a:graphicData uri="http://schemas.microsoft.com/office/word/2010/wordprocessingShape">
                          <wps:wsp>
                            <wps:cNvSpPr txBox="1"/>
                            <wps:spPr>
                              <a:xfrm>
                                <a:off x="0" y="0"/>
                                <a:ext cx="761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53365" cy="175260"/>
                      <wp:effectExtent l="0" t="0" r="0" b="0"/>
                      <wp:wrapNone/>
                      <wp:docPr id="114" name="Frame114"/>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61365" cy="175260"/>
                      <wp:effectExtent l="0" t="0" r="0" b="0"/>
                      <wp:wrapNone/>
                      <wp:docPr id="115" name="Frame115"/>
                      <a:graphic xmlns:a="http://schemas.openxmlformats.org/drawingml/2006/main">
                        <a:graphicData uri="http://schemas.microsoft.com/office/word/2010/wordprocessingShape">
                          <wps:wsp>
                            <wps:cNvSpPr txBox="1"/>
                            <wps:spPr>
                              <a:xfrm>
                                <a:off x="0" y="0"/>
                                <a:ext cx="761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9550" cy="175260"/>
                      <wp:effectExtent l="0" t="0" r="0" b="0"/>
                      <wp:wrapNone/>
                      <wp:docPr id="117" name="Frame117"/>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83590" cy="175260"/>
                      <wp:effectExtent l="0" t="0" r="0" b="0"/>
                      <wp:wrapNone/>
                      <wp:docPr id="118" name="Frame118"/>
                      <a:graphic xmlns:a="http://schemas.openxmlformats.org/drawingml/2006/main">
                        <a:graphicData uri="http://schemas.microsoft.com/office/word/2010/wordprocessingShape">
                          <wps:wsp>
                            <wps:cNvSpPr txBox="1"/>
                            <wps:spPr>
                              <a:xfrm>
                                <a:off x="0" y="0"/>
                                <a:ext cx="783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7" w:type="dxa"/>
            <w:tcBorders/>
            <w:vAlign w:val="center"/>
          </w:tcPr>
          <w:p>
            <w:pPr>
              <w:pStyle w:val="TableContents"/>
              <w:bidi w:val="0"/>
              <w:spacing w:before="0" w:after="0"/>
              <w:ind w:left="0" w:right="0" w:hanging="0"/>
              <w:jc w:val="left"/>
              <w:rPr>
                <w:color w:val="0000FF"/>
              </w:rPr>
            </w:pPr>
            <w:r>
              <w:rPr>
                <w:color w:val="0000FF"/>
              </w:rPr>
              <w:t>​</w:t>
            </w:r>
          </w:p>
        </w:tc>
        <w:tc>
          <w:tcPr>
            <w:tcW w:w="49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227" w:type="dxa"/>
            <w:tcBorders/>
            <w:vAlign w:val="center"/>
          </w:tcPr>
          <w:p>
            <w:pPr>
              <w:pStyle w:val="TableContents"/>
              <w:bidi w:val="0"/>
              <w:spacing w:before="0" w:after="0"/>
              <w:ind w:left="0" w:right="0" w:hanging="0"/>
              <w:jc w:val="center"/>
              <w:rPr/>
            </w:pPr>
            <w:r>
              <w:rPr/>
              <w:t>​</w:t>
            </w:r>
          </w:p>
        </w:tc>
        <w:tc>
          <w:tcPr>
            <w:tcW w:w="15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5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5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5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2,254</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3,266</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33,955</w:t>
            </w:r>
          </w:p>
        </w:tc>
      </w:tr>
      <w:tr>
        <w:trPr/>
        <w:tc>
          <w:tcPr>
            <w:tcW w:w="5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99"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pPr>
            <w:r>
              <w:rPr/>
              <w:t>​</w:t>
            </w:r>
          </w:p>
        </w:tc>
      </w:tr>
      <w:tr>
        <w:trPr/>
        <w:tc>
          <w:tcPr>
            <w:tcW w:w="5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(2,736)</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(3,778)</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12,679</w:t>
            </w:r>
          </w:p>
        </w:tc>
      </w:tr>
      <w:tr>
        <w:trPr/>
        <w:tc>
          <w:tcPr>
            <w:tcW w:w="5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(2,736)</w:t>
            </w:r>
          </w:p>
        </w:tc>
        <w:tc>
          <w:tcPr>
            <w:tcW w:w="109"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(3,778)</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12,679</w:t>
            </w:r>
          </w:p>
        </w:tc>
      </w:tr>
      <w:tr>
        <w:trPr/>
        <w:tc>
          <w:tcPr>
            <w:tcW w:w="5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(482)</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(512)</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46,634</w:t>
            </w:r>
          </w:p>
        </w:tc>
      </w:tr>
      <w:tr>
        <w:trPr/>
        <w:tc>
          <w:tcPr>
            <w:tcW w:w="5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(Income) Loss Attributable to Noncontrolling Interest</w:t>
            </w:r>
          </w:p>
        </w:tc>
        <w:tc>
          <w:tcPr>
            <w:tcW w:w="399"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left"/>
              <w:rPr/>
            </w:pPr>
            <w:r>
              <w:rPr/>
              <w:t>​</w:t>
            </w:r>
          </w:p>
        </w:tc>
      </w:tr>
      <w:tr>
        <w:trPr/>
        <w:tc>
          <w:tcPr>
            <w:tcW w:w="5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w:t>
            </w:r>
          </w:p>
        </w:tc>
        <w:tc>
          <w:tcPr>
            <w:tcW w:w="399"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(4,235)</w:t>
            </w:r>
          </w:p>
        </w:tc>
      </w:tr>
      <w:tr>
        <w:trPr/>
        <w:tc>
          <w:tcPr>
            <w:tcW w:w="522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Loss Attributable to Noncontrolling Interest </w:t>
            </w:r>
            <w:r>
              <w:rPr>
                <w:rFonts w:ascii="Times New Roman;Times;serif" w:hAnsi="Times New Roman;Times;serif"/>
                <w:sz w:val="15"/>
              </w:rPr>
              <w:t>(1)</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232</w:t>
            </w:r>
          </w:p>
        </w:tc>
        <w:tc>
          <w:tcPr>
            <w:tcW w:w="109"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(1,548)</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(1,897)</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(4,235)</w:t>
            </w:r>
          </w:p>
        </w:tc>
      </w:tr>
      <w:tr>
        <w:trPr/>
        <w:tc>
          <w:tcPr>
            <w:tcW w:w="5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Alpine Income Property Trust, Inc.</w:t>
            </w:r>
          </w:p>
        </w:tc>
        <w:tc>
          <w:tcPr>
            <w:tcW w:w="3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w:t>
            </w:r>
          </w:p>
        </w:tc>
        <w:tc>
          <w:tcPr>
            <w:tcW w:w="109" w:type="dxa"/>
            <w:tcBorders/>
            <w:vAlign w:val="center"/>
          </w:tcPr>
          <w:p>
            <w:pPr>
              <w:pStyle w:val="TableContents"/>
              <w:bidi w:val="0"/>
              <w:spacing w:before="0" w:after="0"/>
              <w:ind w:left="0" w:right="0" w:hanging="0"/>
              <w:jc w:val="left"/>
              <w:rPr/>
            </w:pPr>
            <w:r>
              <w:rPr/>
              <w:t>​</w:t>
            </w:r>
          </w:p>
        </w:tc>
        <w:tc>
          <w:tcPr>
            <w:tcW w:w="3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1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(2,409)</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3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42,399</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year ended December 31, 2023, the $1.5</w:t>
            </w:r>
            <w:r>
              <w:rPr>
                <w:caps w:val="false"/>
                <w:smallCaps w:val="false"/>
              </w:rPr>
              <w:t xml:space="preserve"> </w:t>
            </w:r>
            <w:r>
              <w:rPr>
                <w:rFonts w:ascii="Times New Roman;Times;serif" w:hAnsi="Times New Roman;Times;serif"/>
                <w:b w:val="false"/>
                <w:i w:val="false"/>
                <w:caps w:val="false"/>
                <w:smallCaps w:val="false"/>
                <w:sz w:val="16"/>
              </w:rPr>
              <w:t>million of other comprehensive income attributable to the noncontrolling interest includes approximately $1.8</w:t>
            </w:r>
            <w:r>
              <w:rPr>
                <w:caps w:val="false"/>
                <w:smallCaps w:val="false"/>
              </w:rPr>
              <w:t xml:space="preserve"> </w:t>
            </w:r>
            <w:r>
              <w:rPr>
                <w:rFonts w:ascii="Times New Roman;Times;serif" w:hAnsi="Times New Roman;Times;serif"/>
                <w:b w:val="false"/>
                <w:i w:val="false"/>
                <w:caps w:val="false"/>
                <w:smallCaps w:val="false"/>
                <w:sz w:val="16"/>
              </w:rPr>
              <w:t>million of other comprehensive income which represents the cumulative amount that should have been attributed to the noncontrolling interest through December 31, 2022.</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5" w:name="_596c835d_05c1_48a5_962c_72bdf88f6ca3"/>
      <w:bookmarkEnd w:id="325"/>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326" w:name="CONSOLIDATEDANDCOMBINEDSTATEMENTSOFEQUIT"/>
      <w:bookmarkEnd w:id="326"/>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both"/>
        <w:rPr/>
      </w:pPr>
      <w:r>
        <w:rPr/>
        <w:t>​</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327" w:name="Tc_s1SVCVq3_EGysvWFwhEagg_23_20"/>
      <w:bookmarkStart w:id="328" w:name="Tc_Ea_WyT4Lv0a9GkCt3FwcKw_23_17"/>
      <w:bookmarkStart w:id="329" w:name="Tc_dhS7B_DQQkO0-ByOpx8XEA_23_14"/>
      <w:bookmarkStart w:id="330" w:name="Tc_amZ94_vJ7kaUcJrNqnMFdQ_23_11"/>
      <w:bookmarkStart w:id="331" w:name="Tc_opIfrY_PiEGyVW8auyhR6A_23_8"/>
      <w:bookmarkStart w:id="332" w:name="Tc_1yeIBGui4USGr21ta5j9pA_23_5"/>
      <w:bookmarkStart w:id="333" w:name="Tc_SjCMWpcGj0qo79ParPtSYw_23_2"/>
      <w:bookmarkStart w:id="334" w:name="Tc_yl7IrozNX0CG66ut2lmROA_23_0"/>
      <w:bookmarkStart w:id="335" w:name="Tc_V1EV_CGHGE-5CFZXdvKjuw_22_9"/>
      <w:bookmarkStart w:id="336" w:name="Tc_TwehGn13Z0-iaXkLCDDcNg_22_6"/>
      <w:bookmarkStart w:id="337" w:name="Tc_b8QEDCqqO0OPg5YFgs4cvg_22_3"/>
      <w:bookmarkStart w:id="338" w:name="Tc_NuYHskozukG4hpWQcAmlyg_22_0"/>
      <w:bookmarkStart w:id="339" w:name="Tc_nxIPiJYgDUaDRLmqTiy6TQ_21_12"/>
      <w:bookmarkStart w:id="340" w:name="Tc_5eL-oD-jFkG_R3qYJcHTQQ_21_6"/>
      <w:bookmarkStart w:id="341" w:name="Tc_DqdHJV4dX0-4qBrY05_jSw_21_3"/>
      <w:bookmarkStart w:id="342" w:name="Tc_5tGzRavi1ESSZXFZ30PGtg_21_0"/>
      <w:bookmarkStart w:id="343" w:name="Tc_EVay7X0fV0WNJ4X17MtZgg_20_18"/>
      <w:bookmarkStart w:id="344" w:name="Tc_m_f9XURkVEi67C7G9afNZA_20_12"/>
      <w:bookmarkStart w:id="345" w:name="Tc_bIFwmIzxfEyb-ACOYJMh7w_20_9"/>
      <w:bookmarkStart w:id="346" w:name="Tc_8Y-IGky-OUO2t__9goY5LQ_20_0"/>
      <w:bookmarkStart w:id="347" w:name="Tc_l33TSE68iEyTOsyhZ1BlGw_19_18"/>
      <w:bookmarkStart w:id="348" w:name="Tc_BBfpKB3sXUyTf1pC4tbFmA_19_12"/>
      <w:bookmarkStart w:id="349" w:name="Tc_WwmzAy8OlUefXA8G3gaxtQ_19_9"/>
      <w:bookmarkStart w:id="350" w:name="Tc_u8Q4kbsVyUSyffK0KhB__Q_19_3"/>
      <w:bookmarkStart w:id="351" w:name="Tc_gFst1AoaL068Hve23LeBFA_19_0"/>
      <w:bookmarkStart w:id="352" w:name="Tc_Kt3PebQLh0SQ6_YzH4qLRw_18_18"/>
      <w:bookmarkStart w:id="353" w:name="Tc_xq8NZf3PNEasY3Lc-zfN9A_18_12"/>
      <w:bookmarkStart w:id="354" w:name="Tc_CLZkRd6GjE6aDiA3s89szw_18_9"/>
      <w:bookmarkStart w:id="355" w:name="Tc_8KJwxaisfEWagR2E3DQ3gQ_18_0"/>
      <w:bookmarkStart w:id="356" w:name="Tc_4tO_MM3x0UmoU2PQ1hydZg_17_12"/>
      <w:bookmarkStart w:id="357" w:name="Tc_qn4qf2QGkUm7qIYiwBOrog_17_6"/>
      <w:bookmarkStart w:id="358" w:name="Tc_zNW68RnOPE2VdjgegcjiAA_17_3"/>
      <w:bookmarkStart w:id="359" w:name="Tc_Qmw1bO9TbUaj9vuqcYjYCw_17_0"/>
      <w:bookmarkStart w:id="360" w:name="Tc_TQQ_NbLB9UKgcB641vvM7Q_16_0"/>
      <w:bookmarkStart w:id="361" w:name="Tc_XfZjFHmav0mU1IN3YnKRJg_15_9"/>
      <w:bookmarkStart w:id="362" w:name="Tc_pN0cYDVeEEyki2xpUQ13gA_15_6"/>
      <w:bookmarkStart w:id="363" w:name="Tc_fG3izPhvgUqJaUxycFTXug_15_3"/>
      <w:bookmarkStart w:id="364" w:name="Tc_BnAk7QGZ60CkCFTkJSlZGw_15_0"/>
      <w:bookmarkStart w:id="365" w:name="Tc_eLBwPEZmVEGyiVy6f2OcHQ_14_12"/>
      <w:bookmarkStart w:id="366" w:name="Tc_7QFAtAGgK0OSLRKgjc8ckA_14_6"/>
      <w:bookmarkStart w:id="367" w:name="Tc_DJRKeG1euUCn4SKOoBb_7w_14_3"/>
      <w:bookmarkStart w:id="368" w:name="Tc_kb82wXl7pkWd_kgfib8c4Q_14_0"/>
      <w:bookmarkStart w:id="369" w:name="Tc_AzZ1LWrqpkqZ9ns2U64y7g_13_18"/>
      <w:bookmarkStart w:id="370" w:name="Tc_e8wcbUuMyEa46eclE8X7Iw_13_12"/>
      <w:bookmarkStart w:id="371" w:name="Tc_R-I9YMN9LE6HuSMI8kt1Ew_13_9"/>
      <w:bookmarkStart w:id="372" w:name="Tc_Mx16yzG11EOg3mBwBXqfTA_13_0"/>
      <w:bookmarkStart w:id="373" w:name="Tc_Kt_zHVFJDkqASFTm0ucEnA_12_18"/>
      <w:bookmarkStart w:id="374" w:name="Tc_GN8ELp399kywEiXI8WR8Ug_12_12"/>
      <w:bookmarkStart w:id="375" w:name="Tc_ZijL4YgNj0yPdH_pHc0jaQ_12_9"/>
      <w:bookmarkStart w:id="376" w:name="Tc_Ccur_dROkEqpPy6LAhN3ZQ_12_3"/>
      <w:bookmarkStart w:id="377" w:name="Tc_n2ssV8vBUUOQBgxV9IcZvw_12_0"/>
      <w:bookmarkStart w:id="378" w:name="Tc_waNIGw-nIEm2c9RzYrL4tw_11_18"/>
      <w:bookmarkStart w:id="379" w:name="Tc_REFXAJaB5kKk2EC1AMnCzQ_11_12"/>
      <w:bookmarkStart w:id="380" w:name="Tc_aCYYXEMikEy05ZJvdG_Djg_11_9"/>
      <w:bookmarkStart w:id="381" w:name="Tc_jOqhIyR--UOv62eIyjyEEg_11_0"/>
      <w:bookmarkStart w:id="382" w:name="Tc_ytzeguWgtEGsdLb6pIVgGg_10_21"/>
      <w:bookmarkStart w:id="383" w:name="Tc_rdcID8n-AEK_EStGwQno4A_10_12"/>
      <w:bookmarkStart w:id="384" w:name="Tc_ei_xOruZL02HC33nKjYQ-w_10_9"/>
      <w:bookmarkStart w:id="385" w:name="Tc_ggFiOMlWI0GURhqa3js5bw_10_0"/>
      <w:bookmarkStart w:id="386" w:name="Tc_HEXsTkqwIUaZ-BpMvkZtiA_9_12"/>
      <w:bookmarkStart w:id="387" w:name="Tc_GJfeea3xMUmNkeZePFTiDw_9_6"/>
      <w:bookmarkStart w:id="388" w:name="Tc_QA_DjM6qzk-8PycRK8dnAQ_9_3"/>
      <w:bookmarkStart w:id="389" w:name="Tc_eYmfvsaBg0Sgg2lur6ltpA_9_0"/>
      <w:bookmarkStart w:id="390" w:name="Tc_a20l8dTMB0uTYFSRTnaYtQ_8_0"/>
      <w:bookmarkStart w:id="391" w:name="Tc_19CeSi_cgEyMg_amvEk3wg_7_18"/>
      <w:bookmarkStart w:id="392" w:name="Tc_OS6BMW_oi0uVuYBr6ClKMQ_7_9"/>
      <w:bookmarkStart w:id="393" w:name="Tc_nhF-dLqNOkKNkAKv27wKXw_7_6"/>
      <w:bookmarkStart w:id="394" w:name="Tc_KZPsPNp2IUOqcje8swbS2Q_7_3"/>
      <w:bookmarkStart w:id="395" w:name="Tc_hqL1b_V3yU6WVZbEXGTkdQ_7_0"/>
      <w:bookmarkStart w:id="396" w:name="Tc_aTXFjGUd9U2TD4hXE2n6NQ_6_12"/>
      <w:bookmarkStart w:id="397" w:name="Tc_IDrgjRl2gk26wMa3yUQbCQ_6_6"/>
      <w:bookmarkStart w:id="398" w:name="Tc_chHCuCTJ80eDSEBwC4erQg_6_3"/>
      <w:bookmarkStart w:id="399" w:name="Tc_ujEuKR21oECTGOitXoZ9mw_6_0"/>
      <w:bookmarkStart w:id="400" w:name="Tc_gGP5ulYyE0uCVJcdf81qKg_5_18"/>
      <w:bookmarkStart w:id="401" w:name="Tc_Qf01uvfYaU2_zhLQEjHhzg_5_12"/>
      <w:bookmarkStart w:id="402" w:name="Tc_Mxep3xiOAUy0cByFo0L6VQ_5_9"/>
      <w:bookmarkStart w:id="403" w:name="Tc_fk3KMQL5aE2vxLtsRtUPYg_5_0"/>
      <w:bookmarkStart w:id="404" w:name="Tc_D4BZkSCleUec-SxSpfdk5Q_4_18"/>
      <w:bookmarkStart w:id="405" w:name="Tc_R7AGjspiqEKcpPNiZzWpIg_4_12"/>
      <w:bookmarkStart w:id="406" w:name="Tc_tkQJamqeNUqyxzWoZAcyNQ_4_9"/>
      <w:bookmarkStart w:id="407" w:name="Tc_v-FGV3TOeEu_kYxGEXYDFg_4_3"/>
      <w:bookmarkStart w:id="408" w:name="Tc_WyWJ6GdbzkyS2LhSYpfo8g_4_0"/>
      <w:bookmarkStart w:id="409" w:name="Tc_Pz6HUW5WdEuDT_qrYORVsA_3_12"/>
      <w:bookmarkStart w:id="410" w:name="Tc_Ygnzvz3yw0Cf2H3JlDxsIw_3_6"/>
      <w:bookmarkStart w:id="411" w:name="Tc_sNw2MpQaG0y5KDIFidMw_g_3_3"/>
      <w:bookmarkStart w:id="412" w:name="Tc_1vACAk8zbkuF0B3GYHQf0g_3_0"/>
      <w:bookmarkStart w:id="413" w:name="Tc_PmGM6rcxykeNPJxsFWqG7w_2_20"/>
      <w:bookmarkStart w:id="414" w:name="Tc_Hssa3aTt1kiCOgKFTPhM2A_2_17"/>
      <w:bookmarkStart w:id="415" w:name="Tc_DYw2j5FDX02zAQ0Fvx-7aA_2_14"/>
      <w:bookmarkStart w:id="416" w:name="Tc_hGv04MSsCkyOVN0L0QsOnQ_2_11"/>
      <w:bookmarkStart w:id="417" w:name="Tc_zuJSIGPivEi3yZ2KTHfZRg_2_8"/>
      <w:bookmarkStart w:id="418" w:name="Tc_TumYCyQXskquhS-DpJkbTw_2_5"/>
      <w:bookmarkStart w:id="419" w:name="Tc_tSlkLaWHh0-UD2QtMGHiPQ_2_2"/>
      <w:bookmarkStart w:id="420" w:name="Tc_WARoBmYy2EOcgb5CiZ20dA_2_0"/>
      <w:bookmarkStart w:id="421" w:name="Tc_V8PgJnq9EUm-Led7H89ckg_1_20"/>
      <w:bookmarkStart w:id="422" w:name="Tc_WKz3bBodukypdoLm8Q36-w_1_17"/>
      <w:bookmarkStart w:id="423" w:name="Tc_ffCyliqky0C2rARiUOYLEQ_1_14"/>
      <w:bookmarkStart w:id="424" w:name="Tc_ApvQegmdCkWk1QCqapEJjg_1_11"/>
      <w:bookmarkStart w:id="425" w:name="Tc_kRuXGLCjC0CruIusxxUF_A_1_8"/>
      <w:bookmarkStart w:id="426" w:name="Tc_O0JQbVJxekiMAUMONWODYA_1_5"/>
      <w:bookmarkStart w:id="427" w:name="Tc_o-GtiTRB2UeXFl_qcQE1mw_1_2"/>
      <w:bookmarkStart w:id="428" w:name="_d076d58b_aef4_47d3_874f_ac66127eddf8"/>
      <w:bookmarkStart w:id="429" w:name="Tc_s1SVCVq3_EGysvWFwhEagg_23_20"/>
      <w:bookmarkStart w:id="430" w:name="Tc_Ea_WyT4Lv0a9GkCt3FwcKw_23_17"/>
      <w:bookmarkStart w:id="431" w:name="Tc_dhS7B_DQQkO0-ByOpx8XEA_23_14"/>
      <w:bookmarkStart w:id="432" w:name="Tc_amZ94_vJ7kaUcJrNqnMFdQ_23_11"/>
      <w:bookmarkStart w:id="433" w:name="Tc_opIfrY_PiEGyVW8auyhR6A_23_8"/>
      <w:bookmarkStart w:id="434" w:name="Tc_1yeIBGui4USGr21ta5j9pA_23_5"/>
      <w:bookmarkStart w:id="435" w:name="Tc_SjCMWpcGj0qo79ParPtSYw_23_2"/>
      <w:bookmarkStart w:id="436" w:name="Tc_yl7IrozNX0CG66ut2lmROA_23_0"/>
      <w:bookmarkStart w:id="437" w:name="Tc_V1EV_CGHGE-5CFZXdvKjuw_22_9"/>
      <w:bookmarkStart w:id="438" w:name="Tc_TwehGn13Z0-iaXkLCDDcNg_22_6"/>
      <w:bookmarkStart w:id="439" w:name="Tc_b8QEDCqqO0OPg5YFgs4cvg_22_3"/>
      <w:bookmarkStart w:id="440" w:name="Tc_NuYHskozukG4hpWQcAmlyg_22_0"/>
      <w:bookmarkStart w:id="441" w:name="Tc_nxIPiJYgDUaDRLmqTiy6TQ_21_12"/>
      <w:bookmarkStart w:id="442" w:name="Tc_5eL-oD-jFkG_R3qYJcHTQQ_21_6"/>
      <w:bookmarkStart w:id="443" w:name="Tc_DqdHJV4dX0-4qBrY05_jSw_21_3"/>
      <w:bookmarkStart w:id="444" w:name="Tc_5tGzRavi1ESSZXFZ30PGtg_21_0"/>
      <w:bookmarkStart w:id="445" w:name="Tc_EVay7X0fV0WNJ4X17MtZgg_20_18"/>
      <w:bookmarkStart w:id="446" w:name="Tc_m_f9XURkVEi67C7G9afNZA_20_12"/>
      <w:bookmarkStart w:id="447" w:name="Tc_bIFwmIzxfEyb-ACOYJMh7w_20_9"/>
      <w:bookmarkStart w:id="448" w:name="Tc_8Y-IGky-OUO2t__9goY5LQ_20_0"/>
      <w:bookmarkStart w:id="449" w:name="Tc_l33TSE68iEyTOsyhZ1BlGw_19_18"/>
      <w:bookmarkStart w:id="450" w:name="Tc_BBfpKB3sXUyTf1pC4tbFmA_19_12"/>
      <w:bookmarkStart w:id="451" w:name="Tc_WwmzAy8OlUefXA8G3gaxtQ_19_9"/>
      <w:bookmarkStart w:id="452" w:name="Tc_u8Q4kbsVyUSyffK0KhB__Q_19_3"/>
      <w:bookmarkStart w:id="453" w:name="Tc_gFst1AoaL068Hve23LeBFA_19_0"/>
      <w:bookmarkStart w:id="454" w:name="Tc_Kt3PebQLh0SQ6_YzH4qLRw_18_18"/>
      <w:bookmarkStart w:id="455" w:name="Tc_xq8NZf3PNEasY3Lc-zfN9A_18_12"/>
      <w:bookmarkStart w:id="456" w:name="Tc_CLZkRd6GjE6aDiA3s89szw_18_9"/>
      <w:bookmarkStart w:id="457" w:name="Tc_8KJwxaisfEWagR2E3DQ3gQ_18_0"/>
      <w:bookmarkStart w:id="458" w:name="Tc_4tO_MM3x0UmoU2PQ1hydZg_17_12"/>
      <w:bookmarkStart w:id="459" w:name="Tc_qn4qf2QGkUm7qIYiwBOrog_17_6"/>
      <w:bookmarkStart w:id="460" w:name="Tc_zNW68RnOPE2VdjgegcjiAA_17_3"/>
      <w:bookmarkStart w:id="461" w:name="Tc_Qmw1bO9TbUaj9vuqcYjYCw_17_0"/>
      <w:bookmarkStart w:id="462" w:name="Tc_TQQ_NbLB9UKgcB641vvM7Q_16_0"/>
      <w:bookmarkStart w:id="463" w:name="Tc_XfZjFHmav0mU1IN3YnKRJg_15_9"/>
      <w:bookmarkStart w:id="464" w:name="Tc_pN0cYDVeEEyki2xpUQ13gA_15_6"/>
      <w:bookmarkStart w:id="465" w:name="Tc_fG3izPhvgUqJaUxycFTXug_15_3"/>
      <w:bookmarkStart w:id="466" w:name="Tc_BnAk7QGZ60CkCFTkJSlZGw_15_0"/>
      <w:bookmarkStart w:id="467" w:name="Tc_eLBwPEZmVEGyiVy6f2OcHQ_14_12"/>
      <w:bookmarkStart w:id="468" w:name="Tc_7QFAtAGgK0OSLRKgjc8ckA_14_6"/>
      <w:bookmarkStart w:id="469" w:name="Tc_DJRKeG1euUCn4SKOoBb_7w_14_3"/>
      <w:bookmarkStart w:id="470" w:name="Tc_kb82wXl7pkWd_kgfib8c4Q_14_0"/>
      <w:bookmarkStart w:id="471" w:name="Tc_AzZ1LWrqpkqZ9ns2U64y7g_13_18"/>
      <w:bookmarkStart w:id="472" w:name="Tc_e8wcbUuMyEa46eclE8X7Iw_13_12"/>
      <w:bookmarkStart w:id="473" w:name="Tc_R-I9YMN9LE6HuSMI8kt1Ew_13_9"/>
      <w:bookmarkStart w:id="474" w:name="Tc_Mx16yzG11EOg3mBwBXqfTA_13_0"/>
      <w:bookmarkStart w:id="475" w:name="Tc_Kt_zHVFJDkqASFTm0ucEnA_12_18"/>
      <w:bookmarkStart w:id="476" w:name="Tc_GN8ELp399kywEiXI8WR8Ug_12_12"/>
      <w:bookmarkStart w:id="477" w:name="Tc_ZijL4YgNj0yPdH_pHc0jaQ_12_9"/>
      <w:bookmarkStart w:id="478" w:name="Tc_Ccur_dROkEqpPy6LAhN3ZQ_12_3"/>
      <w:bookmarkStart w:id="479" w:name="Tc_n2ssV8vBUUOQBgxV9IcZvw_12_0"/>
      <w:bookmarkStart w:id="480" w:name="Tc_waNIGw-nIEm2c9RzYrL4tw_11_18"/>
      <w:bookmarkStart w:id="481" w:name="Tc_REFXAJaB5kKk2EC1AMnCzQ_11_12"/>
      <w:bookmarkStart w:id="482" w:name="Tc_aCYYXEMikEy05ZJvdG_Djg_11_9"/>
      <w:bookmarkStart w:id="483" w:name="Tc_jOqhIyR--UOv62eIyjyEEg_11_0"/>
      <w:bookmarkStart w:id="484" w:name="Tc_ytzeguWgtEGsdLb6pIVgGg_10_21"/>
      <w:bookmarkStart w:id="485" w:name="Tc_rdcID8n-AEK_EStGwQno4A_10_12"/>
      <w:bookmarkStart w:id="486" w:name="Tc_ei_xOruZL02HC33nKjYQ-w_10_9"/>
      <w:bookmarkStart w:id="487" w:name="Tc_ggFiOMlWI0GURhqa3js5bw_10_0"/>
      <w:bookmarkStart w:id="488" w:name="Tc_HEXsTkqwIUaZ-BpMvkZtiA_9_12"/>
      <w:bookmarkStart w:id="489" w:name="Tc_GJfeea3xMUmNkeZePFTiDw_9_6"/>
      <w:bookmarkStart w:id="490" w:name="Tc_QA_DjM6qzk-8PycRK8dnAQ_9_3"/>
      <w:bookmarkStart w:id="491" w:name="Tc_eYmfvsaBg0Sgg2lur6ltpA_9_0"/>
      <w:bookmarkStart w:id="492" w:name="Tc_a20l8dTMB0uTYFSRTnaYtQ_8_0"/>
      <w:bookmarkStart w:id="493" w:name="Tc_19CeSi_cgEyMg_amvEk3wg_7_18"/>
      <w:bookmarkStart w:id="494" w:name="Tc_OS6BMW_oi0uVuYBr6ClKMQ_7_9"/>
      <w:bookmarkStart w:id="495" w:name="Tc_nhF-dLqNOkKNkAKv27wKXw_7_6"/>
      <w:bookmarkStart w:id="496" w:name="Tc_KZPsPNp2IUOqcje8swbS2Q_7_3"/>
      <w:bookmarkStart w:id="497" w:name="Tc_hqL1b_V3yU6WVZbEXGTkdQ_7_0"/>
      <w:bookmarkStart w:id="498" w:name="Tc_aTXFjGUd9U2TD4hXE2n6NQ_6_12"/>
      <w:bookmarkStart w:id="499" w:name="Tc_IDrgjRl2gk26wMa3yUQbCQ_6_6"/>
      <w:bookmarkStart w:id="500" w:name="Tc_chHCuCTJ80eDSEBwC4erQg_6_3"/>
      <w:bookmarkStart w:id="501" w:name="Tc_ujEuKR21oECTGOitXoZ9mw_6_0"/>
      <w:bookmarkStart w:id="502" w:name="Tc_gGP5ulYyE0uCVJcdf81qKg_5_18"/>
      <w:bookmarkStart w:id="503" w:name="Tc_Qf01uvfYaU2_zhLQEjHhzg_5_12"/>
      <w:bookmarkStart w:id="504" w:name="Tc_Mxep3xiOAUy0cByFo0L6VQ_5_9"/>
      <w:bookmarkStart w:id="505" w:name="Tc_fk3KMQL5aE2vxLtsRtUPYg_5_0"/>
      <w:bookmarkStart w:id="506" w:name="Tc_D4BZkSCleUec-SxSpfdk5Q_4_18"/>
      <w:bookmarkStart w:id="507" w:name="Tc_R7AGjspiqEKcpPNiZzWpIg_4_12"/>
      <w:bookmarkStart w:id="508" w:name="Tc_tkQJamqeNUqyxzWoZAcyNQ_4_9"/>
      <w:bookmarkStart w:id="509" w:name="Tc_v-FGV3TOeEu_kYxGEXYDFg_4_3"/>
      <w:bookmarkStart w:id="510" w:name="Tc_WyWJ6GdbzkyS2LhSYpfo8g_4_0"/>
      <w:bookmarkStart w:id="511" w:name="Tc_Pz6HUW5WdEuDT_qrYORVsA_3_12"/>
      <w:bookmarkStart w:id="512" w:name="Tc_Ygnzvz3yw0Cf2H3JlDxsIw_3_6"/>
      <w:bookmarkStart w:id="513" w:name="Tc_sNw2MpQaG0y5KDIFidMw_g_3_3"/>
      <w:bookmarkStart w:id="514" w:name="Tc_1vACAk8zbkuF0B3GYHQf0g_3_0"/>
      <w:bookmarkStart w:id="515" w:name="Tc_PmGM6rcxykeNPJxsFWqG7w_2_20"/>
      <w:bookmarkStart w:id="516" w:name="Tc_Hssa3aTt1kiCOgKFTPhM2A_2_17"/>
      <w:bookmarkStart w:id="517" w:name="Tc_DYw2j5FDX02zAQ0Fvx-7aA_2_14"/>
      <w:bookmarkStart w:id="518" w:name="Tc_hGv04MSsCkyOVN0L0QsOnQ_2_11"/>
      <w:bookmarkStart w:id="519" w:name="Tc_zuJSIGPivEi3yZ2KTHfZRg_2_8"/>
      <w:bookmarkStart w:id="520" w:name="Tc_TumYCyQXskquhS-DpJkbTw_2_5"/>
      <w:bookmarkStart w:id="521" w:name="Tc_tSlkLaWHh0-UD2QtMGHiPQ_2_2"/>
      <w:bookmarkStart w:id="522" w:name="Tc_WARoBmYy2EOcgb5CiZ20dA_2_0"/>
      <w:bookmarkStart w:id="523" w:name="Tc_V8PgJnq9EUm-Led7H89ckg_1_20"/>
      <w:bookmarkStart w:id="524" w:name="Tc_WKz3bBodukypdoLm8Q36-w_1_17"/>
      <w:bookmarkStart w:id="525" w:name="Tc_ffCyliqky0C2rARiUOYLEQ_1_14"/>
      <w:bookmarkStart w:id="526" w:name="Tc_ApvQegmdCkWk1QCqapEJjg_1_11"/>
      <w:bookmarkStart w:id="527" w:name="Tc_kRuXGLCjC0CruIusxxUF_A_1_8"/>
      <w:bookmarkStart w:id="528" w:name="Tc_O0JQbVJxekiMAUMONWODYA_1_5"/>
      <w:bookmarkStart w:id="529" w:name="Tc_o-GtiTRB2UeXFl_qcQE1mw_1_2"/>
      <w:bookmarkStart w:id="530" w:name="_d076d58b_aef4_47d3_874f_ac66127eddf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tbl>
      <w:tblPr>
        <w:tblW w:w="10943" w:type="dxa"/>
        <w:jc w:val="left"/>
        <w:tblInd w:w="0" w:type="dxa"/>
        <w:tblLayout w:type="fixed"/>
        <w:tblCellMar>
          <w:top w:w="0" w:type="dxa"/>
          <w:left w:w="0" w:type="dxa"/>
          <w:bottom w:w="0" w:type="dxa"/>
          <w:right w:w="0" w:type="dxa"/>
        </w:tblCellMar>
      </w:tblPr>
      <w:tblGrid>
        <w:gridCol w:w="1231"/>
        <w:gridCol w:w="326"/>
        <w:gridCol w:w="283"/>
        <w:gridCol w:w="543"/>
        <w:gridCol w:w="326"/>
        <w:gridCol w:w="205"/>
        <w:gridCol w:w="726"/>
        <w:gridCol w:w="326"/>
        <w:gridCol w:w="216"/>
        <w:gridCol w:w="730"/>
        <w:gridCol w:w="326"/>
        <w:gridCol w:w="321"/>
        <w:gridCol w:w="985"/>
        <w:gridCol w:w="326"/>
        <w:gridCol w:w="255"/>
        <w:gridCol w:w="901"/>
        <w:gridCol w:w="326"/>
        <w:gridCol w:w="310"/>
        <w:gridCol w:w="951"/>
        <w:gridCol w:w="32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81685" cy="175260"/>
                      <wp:effectExtent l="0" t="0" r="0" b="0"/>
                      <wp:wrapNone/>
                      <wp:docPr id="119" name="Frame119"/>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9705" cy="175260"/>
                      <wp:effectExtent l="0" t="0" r="0" b="0"/>
                      <wp:wrapNone/>
                      <wp:docPr id="121" name="Frame121"/>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44805" cy="175260"/>
                      <wp:effectExtent l="0" t="0" r="0" b="0"/>
                      <wp:wrapNone/>
                      <wp:docPr id="122" name="Frame122"/>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0175" cy="175260"/>
                      <wp:effectExtent l="0" t="0" r="0" b="0"/>
                      <wp:wrapNone/>
                      <wp:docPr id="124" name="Frame124"/>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61010" cy="175260"/>
                      <wp:effectExtent l="0" t="0" r="0" b="0"/>
                      <wp:wrapNone/>
                      <wp:docPr id="125" name="Frame125"/>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7160" cy="175260"/>
                      <wp:effectExtent l="0" t="0" r="0" b="0"/>
                      <wp:wrapNone/>
                      <wp:docPr id="127" name="Frame12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63550" cy="175260"/>
                      <wp:effectExtent l="0" t="0" r="0" b="0"/>
                      <wp:wrapNone/>
                      <wp:docPr id="128" name="Frame128"/>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3835" cy="175260"/>
                      <wp:effectExtent l="0" t="0" r="0" b="0"/>
                      <wp:wrapNone/>
                      <wp:docPr id="130" name="Frame13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25475" cy="175260"/>
                      <wp:effectExtent l="0" t="0" r="0" b="0"/>
                      <wp:wrapNone/>
                      <wp:docPr id="131" name="Frame131"/>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1925" cy="175260"/>
                      <wp:effectExtent l="0" t="0" r="0" b="0"/>
                      <wp:wrapNone/>
                      <wp:docPr id="133" name="Frame13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72135" cy="175260"/>
                      <wp:effectExtent l="0" t="0" r="0" b="0"/>
                      <wp:wrapNone/>
                      <wp:docPr id="134" name="Frame13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96850" cy="175260"/>
                      <wp:effectExtent l="0" t="0" r="0" b="0"/>
                      <wp:wrapNone/>
                      <wp:docPr id="136" name="Frame13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03885" cy="175260"/>
                      <wp:effectExtent l="0" t="0" r="0" b="0"/>
                      <wp:wrapNone/>
                      <wp:docPr id="137" name="Frame137"/>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9" name="Frame1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13080" cy="175260"/>
                      <wp:effectExtent l="0" t="0" r="0" b="0"/>
                      <wp:wrapNone/>
                      <wp:docPr id="140" name="Frame140"/>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 Earnings (Dividends in Excess of Net Income)</w:t>
            </w:r>
          </w:p>
        </w:tc>
        <w:tc>
          <w:tcPr>
            <w:tcW w:w="326" w:type="dxa"/>
            <w:tcBorders/>
            <w:vAlign w:val="center"/>
          </w:tcPr>
          <w:p>
            <w:pPr>
              <w:pStyle w:val="TableContents"/>
              <w:bidi w:val="0"/>
              <w:spacing w:before="0" w:after="1"/>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32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326" w:type="dxa"/>
            <w:tcBorders/>
            <w:vAlign w:val="center"/>
          </w:tcPr>
          <w:p>
            <w:pPr>
              <w:pStyle w:val="TableContents"/>
              <w:bidi w:val="0"/>
              <w:spacing w:before="0" w:after="1"/>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January 1, 2022</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200,906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(6,419)</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1,922</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196,523</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31,379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227,902</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29,720</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29,720</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33,955</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310</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35,625</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35,645</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35,645</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 ($1.090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(13,259)</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(13,259)</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(15,116)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12,679</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12,679</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12,679</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236,841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10,042</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14,601</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261,618</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295,375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2,917</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2,917</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3,266</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Partnership Unit Redemption</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9,036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9,041</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Repurchase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(14,607)</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(14,616)</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(14,616)</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12,117</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12,124</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12,124</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 ($1.100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(15,318)</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(15,318)</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(17,061)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(5,326)</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(5,326)</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(3,778)</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243,690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(2,359)</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9,275</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250,743</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275,613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2,066</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2,066</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2,254</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Repurchase</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18,598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18,609</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18,609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 ($1.110 per share)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(15,429)</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(15,429)</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(16,787)</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(2,504)</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(2,504)</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December 31, 2024</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w:t>
            </w:r>
          </w:p>
        </w:tc>
        <w:tc>
          <w:tcPr>
            <w:tcW w:w="32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261,831</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(15,722)</w:t>
            </w:r>
          </w:p>
        </w:tc>
        <w:tc>
          <w:tcPr>
            <w:tcW w:w="326" w:type="dxa"/>
            <w:tcBorders/>
            <w:vAlign w:val="center"/>
          </w:tcPr>
          <w:p>
            <w:pPr>
              <w:pStyle w:val="TableContents"/>
              <w:bidi w:val="0"/>
              <w:spacing w:before="0" w:after="1"/>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6,771</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253,027</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23,468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18"/>
              </w:rPr>
            </w:pPr>
            <w:r>
              <w:rPr>
                <w:rFonts w:ascii="Times New Roman;Times;serif" w:hAnsi="Times New Roman;Times;serif"/>
                <w:sz w:val="18"/>
              </w:rPr>
              <w:t>276,495</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31" w:name="_e8ac507a_8f70_4214_8604_c1728617f310"/>
      <w:bookmarkEnd w:id="531"/>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532" w:name="CONSOLIDATEDANDCOMBINEDSTATEMENTSOFCASHF"/>
      <w:bookmarkEnd w:id="53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33" w:name="Tc_YgqgtScIk0-h3HjHGQ3kyQ_45_7"/>
      <w:bookmarkStart w:id="534" w:name="Tc_d3URqIUL3EeVD87lo4sFCg_45_4"/>
      <w:bookmarkStart w:id="535" w:name="Tc_Ukk26EAPO0uXPUSRdDJqXw_45_1"/>
      <w:bookmarkStart w:id="536" w:name="Tc_Uo_MTVX7uEutukILzBhUuQ_45_0"/>
      <w:bookmarkStart w:id="537" w:name="Tc_9Qx3r717_k-lkuYrIzaK0w_44_0"/>
      <w:bookmarkStart w:id="538" w:name="Tc_3a4XR5nIPkqCBjx97_3JYw_43_7"/>
      <w:bookmarkStart w:id="539" w:name="Tc_dO_najK_hkGjF4RZTrZpOw_43_4"/>
      <w:bookmarkStart w:id="540" w:name="Tc_HLjhM13DwUiIj_YFBJUOJw_43_1"/>
      <w:bookmarkStart w:id="541" w:name="Tc_G0UTWAAGoUu6w2x1P2GttQ_43_0"/>
      <w:bookmarkStart w:id="542" w:name="Tc_rdQETpbQxUiroRPAYZ9g8Q_42_0"/>
      <w:bookmarkStart w:id="543" w:name="Tc__RxnycVd3kuBFq9s_7LxUA_40_7"/>
      <w:bookmarkStart w:id="544" w:name="Tc_lnxtqbSTfEuCIop0rLllJg_40_4"/>
      <w:bookmarkStart w:id="545" w:name="Tc_3-BUkdobtE2l3I7uGiyWKg_40_1"/>
      <w:bookmarkStart w:id="546" w:name="Tc_VXkB5zbS0EqIAWtzbyKaAw_40_0"/>
      <w:bookmarkStart w:id="547" w:name="Tc_Q46aifMngUCQE8fm9hHBhQ_39_0"/>
      <w:bookmarkStart w:id="548" w:name="Tc_V2_XTYyT5E2RemsBbKexWQ_38_0"/>
      <w:bookmarkStart w:id="549" w:name="Tc_bRDDByuIiEOy2EvG2fW8Bw_37_0"/>
      <w:bookmarkStart w:id="550" w:name="Tc_4YBXb1wKLkGrLeP_3UylnQ_36_0"/>
      <w:bookmarkStart w:id="551" w:name="Tc_zumuPdG_z0ypP9QolzHgVA_35_0"/>
      <w:bookmarkStart w:id="552" w:name="Tc_nIxRDDHnPEGA2R0x0zju8Q_34_8"/>
      <w:bookmarkStart w:id="553" w:name="Tc_dLXXB_l1q0mq17Fx5577aw_34_0"/>
      <w:bookmarkStart w:id="554" w:name="Tc_PgVNruTuEkqVFOpi-zRMJA_33_0"/>
      <w:bookmarkStart w:id="555" w:name="Tc_-LozPB2Sw0SrhKgLeTToFg_32_0"/>
      <w:bookmarkStart w:id="556" w:name="Tc_QO4iVKVBXEO7jsWxysmYlQ_31_0"/>
      <w:bookmarkStart w:id="557" w:name="Tc_iPiZSRJmXEaaqphZUe8bkw_30_0"/>
      <w:bookmarkStart w:id="558" w:name="Tc_nI-rD1-uQ02c72RIuGm-5w_29_0"/>
      <w:bookmarkStart w:id="559" w:name="Tc_5AxM8VU6XEmwHUdaEqU2Ww_28_8"/>
      <w:bookmarkStart w:id="560" w:name="Tc_33OLvoUwjkiRvKq-BGT4PA_28_5"/>
      <w:bookmarkStart w:id="561" w:name="Tc_qZ_0OT7zNUaYd3MIgQrtSA_28_0"/>
      <w:bookmarkStart w:id="562" w:name="Tc_cruoS8V490CX_KrO5YtItg_27_8"/>
      <w:bookmarkStart w:id="563" w:name="Tc_Ln80t4k4wU-U3ejATOAJBA_27_5"/>
      <w:bookmarkStart w:id="564" w:name="Tc_cdih7DlItEuVH8Z_QksuOA_27_0"/>
      <w:bookmarkStart w:id="565" w:name="Tc_wC1E73MaF0Gb8VKIyIQndQ_26_8"/>
      <w:bookmarkStart w:id="566" w:name="Tc_Y8VYWaB0Ck-xPCr19udoCA_26_5"/>
      <w:bookmarkStart w:id="567" w:name="Tc_bBDpmKrzVUCZ0HUSoqqHEw_26_0"/>
      <w:bookmarkStart w:id="568" w:name="Tc_u5goGcK0cUaK0BwtWPqM_w_25_8"/>
      <w:bookmarkStart w:id="569" w:name="Tc_bsRsPL8wIkSQ5K2E4HslsA_25_0"/>
      <w:bookmarkStart w:id="570" w:name="Tc_A9-gYiCEyUap-l_vAkCC1A_24_0"/>
      <w:bookmarkStart w:id="571" w:name="Tc_7ZBpbBiEBkSIPRezbrHhBg_23_0"/>
      <w:bookmarkStart w:id="572" w:name="Tc_hl9GknngD029vKEigN3mkA_22_0"/>
      <w:bookmarkStart w:id="573" w:name="Tc_MQiPuD2spEaG8M1LyWxSfQ_21_0"/>
      <w:bookmarkStart w:id="574" w:name="Tc_7JQMH0Ye1E2zijny3-UYZA_20_0"/>
      <w:bookmarkStart w:id="575" w:name="Tc_G8yd12qzekaSEPWkbqN5Yg_19_0"/>
      <w:bookmarkStart w:id="576" w:name="Tc_znazwPJ_k0ChQJFy82wyVQ_18_0"/>
      <w:bookmarkStart w:id="577" w:name="Tc_kix1UOfwJU6xqrz_oCpccQ_17_0"/>
      <w:bookmarkStart w:id="578" w:name="Tc_MUXlyMplxUqMmMBJ9E6qXw_16_5"/>
      <w:bookmarkStart w:id="579" w:name="Tc_ZEfSNN776E6XY7VLo5qVow_16_2"/>
      <w:bookmarkStart w:id="580" w:name="Tc_ljnnGKJT00uVNV4jQQ4vrw_16_0"/>
      <w:bookmarkStart w:id="581" w:name="Tc_XtxxeearsE2QYaefW1ihvA_15_0"/>
      <w:bookmarkStart w:id="582" w:name="Tc_55FCPk9rm0GlXX2Wr9RC2A_14_0"/>
      <w:bookmarkStart w:id="583" w:name="Tc_p0bP5aQrMkyn-bjoUgjA7g_13_0"/>
      <w:bookmarkStart w:id="584" w:name="Tc_iHzdO-YunE2voUKReeTqbA_12_8"/>
      <w:bookmarkStart w:id="585" w:name="Tc_ST1Q2FLsu0KAh6wYWXlYtA_12_0"/>
      <w:bookmarkStart w:id="586" w:name="Tc_TycRY-85mUKTbcG7Ui_wdg_11_0"/>
      <w:bookmarkStart w:id="587" w:name="Tc_hcR01aD8mkag-pOIEKGRfQ_10_5"/>
      <w:bookmarkStart w:id="588" w:name="Tc_oymsX-8luUCceRg0rJA6aw_10_2"/>
      <w:bookmarkStart w:id="589" w:name="Tc_2ROfgGCh9UW7TMyuymab1w_10_0"/>
      <w:bookmarkStart w:id="590" w:name="Tc_S1j-95viTUKIaP89rd0S2Q_9_8"/>
      <w:bookmarkStart w:id="591" w:name="Tc_axIRoF7M70Ot80_Z5dARzA_9_0"/>
      <w:bookmarkStart w:id="592" w:name="Tc_wGZqKpaRiky81Ns8GRx2JQ_8_0"/>
      <w:bookmarkStart w:id="593" w:name="Tc_WDWngZhcjEWlVA8GglcIHQ_7_0"/>
      <w:bookmarkStart w:id="594" w:name="Tc_fMg6E4rgRkGdCZQknOoJZQ_6_0"/>
      <w:bookmarkStart w:id="595" w:name="Tc_YxZTs96aVkynxnRi4-e--w_5_0"/>
      <w:bookmarkStart w:id="596" w:name="Tc_6bWzkY17J0-953kkOASahg_4_7"/>
      <w:bookmarkStart w:id="597" w:name="Tc_wL_4vAtjJk-xWIuJNwhcGA_4_4"/>
      <w:bookmarkStart w:id="598" w:name="Tc_u4qBfneDIUeLp2BBM0fhJA_4_1"/>
      <w:bookmarkStart w:id="599" w:name="Tc_43cfOdZwfkGR2RSx3JtSBQ_4_0"/>
      <w:bookmarkStart w:id="600" w:name="Tc_jUPUz4hP90C16YYXYAXHJA_3_0"/>
      <w:bookmarkStart w:id="601" w:name="Tc_Q6zPu13JbEOzxG-xoxM6OQ_2_7"/>
      <w:bookmarkStart w:id="602" w:name="Tc_oVfLpByMZE6j82GXwoIe-Q_2_4"/>
      <w:bookmarkStart w:id="603" w:name="Tc_MK1xU9PsPU6ekM80YdJ7FQ_2_1"/>
      <w:bookmarkStart w:id="604" w:name="Tc_Kix4S5OeHkqsAi3pi2A1IQ_1_1"/>
      <w:bookmarkStart w:id="605" w:name="_2e8ff26a_84b7_45cd_9970_f9a984ab0012"/>
      <w:bookmarkStart w:id="606" w:name="Tc_YgqgtScIk0-h3HjHGQ3kyQ_45_7"/>
      <w:bookmarkStart w:id="607" w:name="Tc_d3URqIUL3EeVD87lo4sFCg_45_4"/>
      <w:bookmarkStart w:id="608" w:name="Tc_Ukk26EAPO0uXPUSRdDJqXw_45_1"/>
      <w:bookmarkStart w:id="609" w:name="Tc_Uo_MTVX7uEutukILzBhUuQ_45_0"/>
      <w:bookmarkStart w:id="610" w:name="Tc_9Qx3r717_k-lkuYrIzaK0w_44_0"/>
      <w:bookmarkStart w:id="611" w:name="Tc_3a4XR5nIPkqCBjx97_3JYw_43_7"/>
      <w:bookmarkStart w:id="612" w:name="Tc_dO_najK_hkGjF4RZTrZpOw_43_4"/>
      <w:bookmarkStart w:id="613" w:name="Tc_HLjhM13DwUiIj_YFBJUOJw_43_1"/>
      <w:bookmarkStart w:id="614" w:name="Tc_G0UTWAAGoUu6w2x1P2GttQ_43_0"/>
      <w:bookmarkStart w:id="615" w:name="Tc_rdQETpbQxUiroRPAYZ9g8Q_42_0"/>
      <w:bookmarkStart w:id="616" w:name="Tc__RxnycVd3kuBFq9s_7LxUA_40_7"/>
      <w:bookmarkStart w:id="617" w:name="Tc_lnxtqbSTfEuCIop0rLllJg_40_4"/>
      <w:bookmarkStart w:id="618" w:name="Tc_3-BUkdobtE2l3I7uGiyWKg_40_1"/>
      <w:bookmarkStart w:id="619" w:name="Tc_VXkB5zbS0EqIAWtzbyKaAw_40_0"/>
      <w:bookmarkStart w:id="620" w:name="Tc_Q46aifMngUCQE8fm9hHBhQ_39_0"/>
      <w:bookmarkStart w:id="621" w:name="Tc_V2_XTYyT5E2RemsBbKexWQ_38_0"/>
      <w:bookmarkStart w:id="622" w:name="Tc_bRDDByuIiEOy2EvG2fW8Bw_37_0"/>
      <w:bookmarkStart w:id="623" w:name="Tc_4YBXb1wKLkGrLeP_3UylnQ_36_0"/>
      <w:bookmarkStart w:id="624" w:name="Tc_zumuPdG_z0ypP9QolzHgVA_35_0"/>
      <w:bookmarkStart w:id="625" w:name="Tc_nIxRDDHnPEGA2R0x0zju8Q_34_8"/>
      <w:bookmarkStart w:id="626" w:name="Tc_dLXXB_l1q0mq17Fx5577aw_34_0"/>
      <w:bookmarkStart w:id="627" w:name="Tc_PgVNruTuEkqVFOpi-zRMJA_33_0"/>
      <w:bookmarkStart w:id="628" w:name="Tc_-LozPB2Sw0SrhKgLeTToFg_32_0"/>
      <w:bookmarkStart w:id="629" w:name="Tc_QO4iVKVBXEO7jsWxysmYlQ_31_0"/>
      <w:bookmarkStart w:id="630" w:name="Tc_iPiZSRJmXEaaqphZUe8bkw_30_0"/>
      <w:bookmarkStart w:id="631" w:name="Tc_nI-rD1-uQ02c72RIuGm-5w_29_0"/>
      <w:bookmarkStart w:id="632" w:name="Tc_5AxM8VU6XEmwHUdaEqU2Ww_28_8"/>
      <w:bookmarkStart w:id="633" w:name="Tc_33OLvoUwjkiRvKq-BGT4PA_28_5"/>
      <w:bookmarkStart w:id="634" w:name="Tc_qZ_0OT7zNUaYd3MIgQrtSA_28_0"/>
      <w:bookmarkStart w:id="635" w:name="Tc_cruoS8V490CX_KrO5YtItg_27_8"/>
      <w:bookmarkStart w:id="636" w:name="Tc_Ln80t4k4wU-U3ejATOAJBA_27_5"/>
      <w:bookmarkStart w:id="637" w:name="Tc_cdih7DlItEuVH8Z_QksuOA_27_0"/>
      <w:bookmarkStart w:id="638" w:name="Tc_wC1E73MaF0Gb8VKIyIQndQ_26_8"/>
      <w:bookmarkStart w:id="639" w:name="Tc_Y8VYWaB0Ck-xPCr19udoCA_26_5"/>
      <w:bookmarkStart w:id="640" w:name="Tc_bBDpmKrzVUCZ0HUSoqqHEw_26_0"/>
      <w:bookmarkStart w:id="641" w:name="Tc_u5goGcK0cUaK0BwtWPqM_w_25_8"/>
      <w:bookmarkStart w:id="642" w:name="Tc_bsRsPL8wIkSQ5K2E4HslsA_25_0"/>
      <w:bookmarkStart w:id="643" w:name="Tc_A9-gYiCEyUap-l_vAkCC1A_24_0"/>
      <w:bookmarkStart w:id="644" w:name="Tc_7ZBpbBiEBkSIPRezbrHhBg_23_0"/>
      <w:bookmarkStart w:id="645" w:name="Tc_hl9GknngD029vKEigN3mkA_22_0"/>
      <w:bookmarkStart w:id="646" w:name="Tc_MQiPuD2spEaG8M1LyWxSfQ_21_0"/>
      <w:bookmarkStart w:id="647" w:name="Tc_7JQMH0Ye1E2zijny3-UYZA_20_0"/>
      <w:bookmarkStart w:id="648" w:name="Tc_G8yd12qzekaSEPWkbqN5Yg_19_0"/>
      <w:bookmarkStart w:id="649" w:name="Tc_znazwPJ_k0ChQJFy82wyVQ_18_0"/>
      <w:bookmarkStart w:id="650" w:name="Tc_kix1UOfwJU6xqrz_oCpccQ_17_0"/>
      <w:bookmarkStart w:id="651" w:name="Tc_MUXlyMplxUqMmMBJ9E6qXw_16_5"/>
      <w:bookmarkStart w:id="652" w:name="Tc_ZEfSNN776E6XY7VLo5qVow_16_2"/>
      <w:bookmarkStart w:id="653" w:name="Tc_ljnnGKJT00uVNV4jQQ4vrw_16_0"/>
      <w:bookmarkStart w:id="654" w:name="Tc_XtxxeearsE2QYaefW1ihvA_15_0"/>
      <w:bookmarkStart w:id="655" w:name="Tc_55FCPk9rm0GlXX2Wr9RC2A_14_0"/>
      <w:bookmarkStart w:id="656" w:name="Tc_p0bP5aQrMkyn-bjoUgjA7g_13_0"/>
      <w:bookmarkStart w:id="657" w:name="Tc_iHzdO-YunE2voUKReeTqbA_12_8"/>
      <w:bookmarkStart w:id="658" w:name="Tc_ST1Q2FLsu0KAh6wYWXlYtA_12_0"/>
      <w:bookmarkStart w:id="659" w:name="Tc_TycRY-85mUKTbcG7Ui_wdg_11_0"/>
      <w:bookmarkStart w:id="660" w:name="Tc_hcR01aD8mkag-pOIEKGRfQ_10_5"/>
      <w:bookmarkStart w:id="661" w:name="Tc_oymsX-8luUCceRg0rJA6aw_10_2"/>
      <w:bookmarkStart w:id="662" w:name="Tc_2ROfgGCh9UW7TMyuymab1w_10_0"/>
      <w:bookmarkStart w:id="663" w:name="Tc_S1j-95viTUKIaP89rd0S2Q_9_8"/>
      <w:bookmarkStart w:id="664" w:name="Tc_axIRoF7M70Ot80_Z5dARzA_9_0"/>
      <w:bookmarkStart w:id="665" w:name="Tc_wGZqKpaRiky81Ns8GRx2JQ_8_0"/>
      <w:bookmarkStart w:id="666" w:name="Tc_WDWngZhcjEWlVA8GglcIHQ_7_0"/>
      <w:bookmarkStart w:id="667" w:name="Tc_fMg6E4rgRkGdCZQknOoJZQ_6_0"/>
      <w:bookmarkStart w:id="668" w:name="Tc_YxZTs96aVkynxnRi4-e--w_5_0"/>
      <w:bookmarkStart w:id="669" w:name="Tc_6bWzkY17J0-953kkOASahg_4_7"/>
      <w:bookmarkStart w:id="670" w:name="Tc_wL_4vAtjJk-xWIuJNwhcGA_4_4"/>
      <w:bookmarkStart w:id="671" w:name="Tc_u4qBfneDIUeLp2BBM0fhJA_4_1"/>
      <w:bookmarkStart w:id="672" w:name="Tc_43cfOdZwfkGR2RSx3JtSBQ_4_0"/>
      <w:bookmarkStart w:id="673" w:name="Tc_jUPUz4hP90C16YYXYAXHJA_3_0"/>
      <w:bookmarkStart w:id="674" w:name="Tc_Q6zPu13JbEOzxG-xoxM6OQ_2_7"/>
      <w:bookmarkStart w:id="675" w:name="Tc_oVfLpByMZE6j82GXwoIe-Q_2_4"/>
      <w:bookmarkStart w:id="676" w:name="Tc_MK1xU9PsPU6ekM80YdJ7FQ_2_1"/>
      <w:bookmarkStart w:id="677" w:name="Tc_Kix4S5OeHkqsAi3pi2A1IQ_1_1"/>
      <w:bookmarkStart w:id="678" w:name="_2e8ff26a_84b7_45cd_9970_f9a984ab001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tbl>
      <w:tblPr>
        <w:tblW w:w="10205" w:type="dxa"/>
        <w:jc w:val="left"/>
        <w:tblInd w:w="0" w:type="dxa"/>
        <w:tblLayout w:type="fixed"/>
        <w:tblCellMar>
          <w:top w:w="0" w:type="dxa"/>
          <w:left w:w="0" w:type="dxa"/>
          <w:bottom w:w="0" w:type="dxa"/>
          <w:right w:w="0" w:type="dxa"/>
        </w:tblCellMar>
      </w:tblPr>
      <w:tblGrid>
        <w:gridCol w:w="5556"/>
        <w:gridCol w:w="323"/>
        <w:gridCol w:w="1142"/>
        <w:gridCol w:w="109"/>
        <w:gridCol w:w="323"/>
        <w:gridCol w:w="1142"/>
        <w:gridCol w:w="109"/>
        <w:gridCol w:w="280"/>
        <w:gridCol w:w="1221"/>
      </w:tblGrid>
      <w:tr>
        <w:trPr/>
        <w:tc>
          <w:tcPr>
            <w:tcW w:w="555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5105" cy="175260"/>
                      <wp:effectExtent l="0" t="0" r="0" b="0"/>
                      <wp:wrapNone/>
                      <wp:docPr id="141" name="Frame141"/>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25170" cy="175260"/>
                      <wp:effectExtent l="0" t="0" r="0" b="0"/>
                      <wp:wrapNone/>
                      <wp:docPr id="142" name="Frame142"/>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5105" cy="175260"/>
                      <wp:effectExtent l="0" t="0" r="0" b="0"/>
                      <wp:wrapNone/>
                      <wp:docPr id="144" name="Frame144"/>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25170" cy="175260"/>
                      <wp:effectExtent l="0" t="0" r="0" b="0"/>
                      <wp:wrapNone/>
                      <wp:docPr id="145" name="Frame145"/>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77800" cy="175260"/>
                      <wp:effectExtent l="0" t="0" r="0" b="0"/>
                      <wp:wrapNone/>
                      <wp:docPr id="147" name="Frame14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75335" cy="175260"/>
                      <wp:effectExtent l="0" t="0" r="0" b="0"/>
                      <wp:wrapNone/>
                      <wp:docPr id="148" name="Frame148"/>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6" w:type="dxa"/>
            <w:tcBorders/>
            <w:vAlign w:val="center"/>
          </w:tcPr>
          <w:p>
            <w:pPr>
              <w:pStyle w:val="TableContents"/>
              <w:bidi w:val="0"/>
              <w:spacing w:before="0" w:after="0"/>
              <w:ind w:left="0" w:right="0" w:hanging="0"/>
              <w:jc w:val="center"/>
              <w:rPr/>
            </w:pPr>
            <w:r>
              <w:rPr/>
              <w:t>​</w:t>
            </w:r>
          </w:p>
        </w:tc>
        <w:tc>
          <w:tcPr>
            <w:tcW w:w="464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556" w:type="dxa"/>
            <w:tcBorders/>
            <w:vAlign w:val="center"/>
          </w:tcPr>
          <w:p>
            <w:pPr>
              <w:pStyle w:val="TableContents"/>
              <w:bidi w:val="0"/>
              <w:spacing w:before="0" w:after="0"/>
              <w:ind w:left="0" w:right="0" w:hanging="0"/>
              <w:jc w:val="left"/>
              <w:rPr/>
            </w:pPr>
            <w:r>
              <w:rPr/>
              <w:t>​</w:t>
            </w:r>
          </w:p>
        </w:tc>
        <w:tc>
          <w:tcPr>
            <w:tcW w:w="14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0"/>
              <w:ind w:left="0" w:right="0" w:hanging="0"/>
              <w:jc w:val="center"/>
              <w:rPr/>
            </w:pPr>
            <w:r>
              <w:rPr/>
              <w:t>​</w:t>
            </w:r>
          </w:p>
        </w:tc>
        <w:tc>
          <w:tcPr>
            <w:tcW w:w="14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0"/>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323"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right"/>
              <w:rPr/>
            </w:pPr>
            <w:r>
              <w:rPr/>
              <w:t>​</w:t>
            </w:r>
          </w:p>
        </w:tc>
        <w:tc>
          <w:tcPr>
            <w:tcW w:w="1221" w:type="dxa"/>
            <w:tcBorders/>
            <w:shd w:fill="CCEEFF" w:val="clear"/>
            <w:vAlign w:val="center"/>
          </w:tcPr>
          <w:p>
            <w:pPr>
              <w:pStyle w:val="TableContents"/>
              <w:bidi w:val="0"/>
              <w:spacing w:before="0" w:after="0"/>
              <w:ind w:left="0" w:right="0" w:hanging="0"/>
              <w:jc w:val="left"/>
              <w:rPr/>
            </w:pPr>
            <w:r>
              <w:rPr/>
              <w:t>​</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2,254</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3,266</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33,955</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left"/>
              <w:rPr/>
            </w:pPr>
            <w:r>
              <w:rPr/>
              <w:t>​</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25,594</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25,758</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23,564</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Lease Assets and Liabilities to Lease Income</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pPr>
            <w:r>
              <w:rPr/>
              <w:t>—</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Portion of Extinguishment of Debt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Assets</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(3,443)</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(9,334)</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(33,801)</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1,693</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3,220</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Straight-Line Rent Adjustment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COVID-19 Rent Repayments</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Rent and Deferred Revenue</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1,687</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25,608</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25,644</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24,652</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Including Capitalized Expenditures</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(74,524)</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(84,465)</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(189,148)</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Assets</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60,199</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106,303</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150,370</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(57,851)</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(35,419)</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pPr>
            <w:r>
              <w:rPr/>
              <w:t>—</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2,930</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Participation Interest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13,632</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pPr>
            <w:r>
              <w:rPr/>
              <w:t>—</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Participation Obligation</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(2,230)</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(57,844)</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(13,581)</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(38,778)</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122,400</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31,750</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277,000</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(96,900)</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(23,500)</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(277,750)</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(2,106)</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(14,616)</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Stock Issuance, Net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18,609</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12,124</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35,645</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(16,787)</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(17,061)</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(15,116)</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26,456</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(11,376)</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17,673</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(5,780)</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3,547</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Beginning of Period</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13,731</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13,044</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9,497</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End of Period</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7,951</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13,731</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13,044</w:t>
            </w:r>
          </w:p>
        </w:tc>
      </w:tr>
      <w:tr>
        <w:trPr/>
        <w:tc>
          <w:tcPr>
            <w:tcW w:w="555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1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left"/>
              <w:rPr/>
            </w:pPr>
            <w:r>
              <w:rPr/>
              <w:t>​</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Reconciliation of Cash to the Consolidated Balance Sheets: </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1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left"/>
              <w:rPr/>
            </w:pPr>
            <w:r>
              <w:rPr/>
              <w:t>​</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1,578</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4,019</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9,018</w:t>
            </w:r>
          </w:p>
        </w:tc>
      </w:tr>
      <w:tr>
        <w:trPr/>
        <w:tc>
          <w:tcPr>
            <w:tcW w:w="5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6,373</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9,712</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4,026</w:t>
            </w:r>
          </w:p>
        </w:tc>
      </w:tr>
      <w:tr>
        <w:trPr/>
        <w:tc>
          <w:tcPr>
            <w:tcW w:w="5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7,951</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13,731</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13,044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79" w:name="Tc_IKQ8SZkFeE-2x3XI8rlgJA_9_5"/>
      <w:bookmarkStart w:id="680" w:name="Tc_CO2KO9k8vEKPVXEfa-uHLA_9_0"/>
      <w:bookmarkStart w:id="681" w:name="Tc_VShTZjaCA0O3d9FENlJXjQ_8_8"/>
      <w:bookmarkStart w:id="682" w:name="Tc_BvOpM0Zjc0SNA7mcjx5vrg_8_0"/>
      <w:bookmarkStart w:id="683" w:name="Tc_v7oopg9kjEKscygpA1CZ7g_7_7"/>
      <w:bookmarkStart w:id="684" w:name="Tc_OnAicK7lJ0W9bnK5X6Ou4g_7_4"/>
      <w:bookmarkStart w:id="685" w:name="Tc_RxEhNwTQzUqFkFY3JJNBpw_7_1"/>
      <w:bookmarkStart w:id="686" w:name="Tc_8MyirlbX_ka7a5_TTERxsA_6_0"/>
      <w:bookmarkStart w:id="687" w:name="Tc_iOzjdF4uzUW46RdD8DHN5w_4_7"/>
      <w:bookmarkStart w:id="688" w:name="Tc_IZgh_0W2zUe1RbJAyarnrQ_4_4"/>
      <w:bookmarkStart w:id="689" w:name="Tc_4QM1SKkIbkyQJNo1_DRHyw_4_1"/>
      <w:bookmarkStart w:id="690" w:name="Tc_krgE5oHUDkesYyqTxwF77g_4_0"/>
      <w:bookmarkStart w:id="691" w:name="Tc_HHOIVYeMZEKpJyfw2fmjWw_3_0"/>
      <w:bookmarkStart w:id="692" w:name="Tc_Vyt8XqtMB0Cd23TYbVXljA_2_7"/>
      <w:bookmarkStart w:id="693" w:name="Tc_fRg-nUFEw0GU86VGy7qssg_2_4"/>
      <w:bookmarkStart w:id="694" w:name="Tc_OxFKgBZ0IUyo_4GRmwEm7w_2_1"/>
      <w:bookmarkStart w:id="695" w:name="Tc_2il3culc_025k8BfIjfAdg_1_1"/>
      <w:bookmarkStart w:id="696" w:name="_31834aad_67d7_400f_8aca_0b33bc1a0406"/>
      <w:bookmarkStart w:id="697" w:name="Tc_IKQ8SZkFeE-2x3XI8rlgJA_9_5"/>
      <w:bookmarkStart w:id="698" w:name="Tc_CO2KO9k8vEKPVXEfa-uHLA_9_0"/>
      <w:bookmarkStart w:id="699" w:name="Tc_VShTZjaCA0O3d9FENlJXjQ_8_8"/>
      <w:bookmarkStart w:id="700" w:name="Tc_BvOpM0Zjc0SNA7mcjx5vrg_8_0"/>
      <w:bookmarkStart w:id="701" w:name="Tc_v7oopg9kjEKscygpA1CZ7g_7_7"/>
      <w:bookmarkStart w:id="702" w:name="Tc_OnAicK7lJ0W9bnK5X6Ou4g_7_4"/>
      <w:bookmarkStart w:id="703" w:name="Tc_RxEhNwTQzUqFkFY3JJNBpw_7_1"/>
      <w:bookmarkStart w:id="704" w:name="Tc_8MyirlbX_ka7a5_TTERxsA_6_0"/>
      <w:bookmarkStart w:id="705" w:name="Tc_iOzjdF4uzUW46RdD8DHN5w_4_7"/>
      <w:bookmarkStart w:id="706" w:name="Tc_IZgh_0W2zUe1RbJAyarnrQ_4_4"/>
      <w:bookmarkStart w:id="707" w:name="Tc_4QM1SKkIbkyQJNo1_DRHyw_4_1"/>
      <w:bookmarkStart w:id="708" w:name="Tc_krgE5oHUDkesYyqTxwF77g_4_0"/>
      <w:bookmarkStart w:id="709" w:name="Tc_HHOIVYeMZEKpJyfw2fmjWw_3_0"/>
      <w:bookmarkStart w:id="710" w:name="Tc_Vyt8XqtMB0Cd23TYbVXljA_2_7"/>
      <w:bookmarkStart w:id="711" w:name="Tc_fRg-nUFEw0GU86VGy7qssg_2_4"/>
      <w:bookmarkStart w:id="712" w:name="Tc_OxFKgBZ0IUyo_4GRmwEm7w_2_1"/>
      <w:bookmarkStart w:id="713" w:name="Tc_2il3culc_025k8BfIjfAdg_1_1"/>
      <w:bookmarkStart w:id="714" w:name="_31834aad_67d7_400f_8aca_0b33bc1a040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tbl>
      <w:tblPr>
        <w:tblW w:w="10029" w:type="dxa"/>
        <w:jc w:val="left"/>
        <w:tblInd w:w="0" w:type="dxa"/>
        <w:tblLayout w:type="fixed"/>
        <w:tblCellMar>
          <w:top w:w="0" w:type="dxa"/>
          <w:left w:w="0" w:type="dxa"/>
          <w:bottom w:w="0" w:type="dxa"/>
          <w:right w:w="0" w:type="dxa"/>
        </w:tblCellMar>
      </w:tblPr>
      <w:tblGrid>
        <w:gridCol w:w="5266"/>
        <w:gridCol w:w="368"/>
        <w:gridCol w:w="1132"/>
        <w:gridCol w:w="109"/>
        <w:gridCol w:w="383"/>
        <w:gridCol w:w="1117"/>
        <w:gridCol w:w="109"/>
        <w:gridCol w:w="358"/>
        <w:gridCol w:w="1187"/>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343910" cy="175260"/>
                      <wp:effectExtent l="0" t="0" r="0" b="0"/>
                      <wp:wrapNone/>
                      <wp:docPr id="149" name="Frame149"/>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33680" cy="175260"/>
                      <wp:effectExtent l="0" t="0" r="0" b="0"/>
                      <wp:wrapNone/>
                      <wp:docPr id="150" name="Frame150"/>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18820" cy="175260"/>
                      <wp:effectExtent l="0" t="0" r="0" b="0"/>
                      <wp:wrapNone/>
                      <wp:docPr id="151" name="Frame151"/>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43205" cy="175260"/>
                      <wp:effectExtent l="0" t="0" r="0" b="0"/>
                      <wp:wrapNone/>
                      <wp:docPr id="153" name="Frame15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09295" cy="175260"/>
                      <wp:effectExtent l="0" t="0" r="0" b="0"/>
                      <wp:wrapNone/>
                      <wp:docPr id="154" name="Frame154"/>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27330" cy="175260"/>
                      <wp:effectExtent l="0" t="0" r="0" b="0"/>
                      <wp:wrapNone/>
                      <wp:docPr id="156" name="Frame156"/>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53745" cy="175260"/>
                      <wp:effectExtent l="0" t="0" r="0" b="0"/>
                      <wp:wrapNone/>
                      <wp:docPr id="157" name="Frame157"/>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pPr>
            <w:r>
              <w:rPr/>
              <w:t>​</w:t>
            </w:r>
          </w:p>
        </w:tc>
        <w:tc>
          <w:tcPr>
            <w:tcW w:w="47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266"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1"/>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Cash Flow Information: </w:t>
            </w:r>
          </w:p>
        </w:tc>
        <w:tc>
          <w:tcPr>
            <w:tcW w:w="368"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pPr>
            <w:r>
              <w:rPr/>
              <w:t>​</w:t>
            </w:r>
          </w:p>
        </w:tc>
        <w:tc>
          <w:tcPr>
            <w:tcW w:w="111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pPr>
            <w:r>
              <w:rPr/>
              <w:t>​</w:t>
            </w:r>
          </w:p>
        </w:tc>
        <w:tc>
          <w:tcPr>
            <w:tcW w:w="1187"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11,969</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9,245</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7,753</w:t>
            </w:r>
          </w:p>
        </w:tc>
      </w:tr>
      <w:tr>
        <w:trPr/>
        <w:tc>
          <w:tcPr>
            <w:tcW w:w="526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113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pPr>
            <w:r>
              <w:rPr/>
              <w:t>​</w:t>
            </w:r>
          </w:p>
        </w:tc>
        <w:tc>
          <w:tcPr>
            <w:tcW w:w="11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pPr>
            <w:r>
              <w:rPr/>
              <w:t>​</w:t>
            </w:r>
          </w:p>
        </w:tc>
        <w:tc>
          <w:tcPr>
            <w:tcW w:w="1187" w:type="dxa"/>
            <w:tcBorders/>
            <w:shd w:fill="CCEEFF" w:val="clear"/>
            <w:vAlign w:val="center"/>
          </w:tcPr>
          <w:p>
            <w:pPr>
              <w:pStyle w:val="TableContents"/>
              <w:bidi w:val="0"/>
              <w:spacing w:before="0" w:after="1"/>
              <w:ind w:left="0" w:right="0" w:hanging="0"/>
              <w:jc w:val="righ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Non-Cash Investing and Financing Activities: </w:t>
            </w:r>
          </w:p>
        </w:tc>
        <w:tc>
          <w:tcPr>
            <w:tcW w:w="368" w:type="dxa"/>
            <w:tcBorders/>
            <w:vAlign w:val="center"/>
          </w:tcPr>
          <w:p>
            <w:pPr>
              <w:pStyle w:val="TableContents"/>
              <w:bidi w:val="0"/>
              <w:spacing w:before="0" w:after="1"/>
              <w:ind w:left="0" w:right="0" w:hanging="0"/>
              <w:jc w:val="right"/>
              <w:rPr/>
            </w:pPr>
            <w:r>
              <w:rPr/>
              <w:t>​</w:t>
            </w:r>
          </w:p>
        </w:tc>
        <w:tc>
          <w:tcPr>
            <w:tcW w:w="113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right"/>
              <w:rPr/>
            </w:pPr>
            <w:r>
              <w:rPr/>
              <w:t>​</w:t>
            </w:r>
          </w:p>
        </w:tc>
        <w:tc>
          <w:tcPr>
            <w:tcW w:w="111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right"/>
              <w:rPr/>
            </w:pPr>
            <w:r>
              <w:rPr/>
              <w:t>​</w:t>
            </w:r>
          </w:p>
        </w:tc>
        <w:tc>
          <w:tcPr>
            <w:tcW w:w="1187" w:type="dxa"/>
            <w:tcBorders/>
            <w:vAlign w:val="center"/>
          </w:tcPr>
          <w:p>
            <w:pPr>
              <w:pStyle w:val="TableContents"/>
              <w:bidi w:val="0"/>
              <w:spacing w:before="0" w:after="1"/>
              <w:ind w:left="0" w:right="0" w:hanging="0"/>
              <w:jc w:val="righ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Gain (Loss) on Cash Flow Hedge</w:t>
            </w:r>
          </w:p>
        </w:tc>
        <w:tc>
          <w:tcPr>
            <w:tcW w:w="3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(2,736)</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(3,778)</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12,679</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Partnership Unit Redemptions</w:t>
            </w:r>
          </w:p>
        </w:tc>
        <w:tc>
          <w:tcPr>
            <w:tcW w:w="368" w:type="dxa"/>
            <w:tcBorders/>
            <w:vAlign w:val="center"/>
          </w:tcPr>
          <w:p>
            <w:pPr>
              <w:pStyle w:val="TableContents"/>
              <w:bidi w:val="0"/>
              <w:spacing w:before="0" w:after="1"/>
              <w:ind w:left="0" w:right="0" w:hanging="0"/>
              <w:jc w:val="left"/>
              <w:rPr/>
            </w:pPr>
            <w:r>
              <w:rPr/>
              <w:t>​</w:t>
            </w:r>
          </w:p>
        </w:tc>
        <w:tc>
          <w:tcPr>
            <w:tcW w:w="11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11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9,041 </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Assets and Operating Lease Liability—See Note 9</w:t>
            </w:r>
          </w:p>
        </w:tc>
        <w:tc>
          <w:tcPr>
            <w:tcW w:w="368" w:type="dxa"/>
            <w:tcBorders/>
            <w:shd w:fill="CCEEFF" w:val="clear"/>
            <w:vAlign w:val="center"/>
          </w:tcPr>
          <w:p>
            <w:pPr>
              <w:pStyle w:val="TableContents"/>
              <w:bidi w:val="0"/>
              <w:spacing w:before="0" w:after="1"/>
              <w:ind w:left="0" w:right="0" w:hanging="0"/>
              <w:jc w:val="left"/>
              <w:rPr/>
            </w:pPr>
            <w:r>
              <w:rPr/>
              <w:t>​</w:t>
            </w:r>
          </w:p>
        </w:tc>
        <w:tc>
          <w:tcPr>
            <w:tcW w:w="11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1,987 </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11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1187"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 xml:space="preserve">1,831 </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15" w:name="_949474b3_77f3_45a6_b8f8_d528dfa8108f"/>
      <w:bookmarkEnd w:id="715"/>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716" w:name="NOTESTOCONSOLIDATEDANDCOMBINEDFINANCIALS"/>
      <w:bookmarkEnd w:id="716"/>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December 31, 2024, 2023 and 2022</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AND ORGANIZATION</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BUSINESS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Alpine Income Property Trust, Inc. (the “Company” or “PINE”) is a real estate investment trust (“REIT”) that owns and operates a high-quality portfolio of commercial net lease properties. The terms “us,” “we,” “our,” and “the Company” as used in this report refer to Alpine Income Property Trust, Inc. together with our consolidated subsidiaries.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portfolio consists of 134 net leased properties located in 35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As more fully described in Note 4, “Commercial Loans and Investments,” the three Tampa Properties (defined in Note 4 below), which were purchased during the year ended December 31, 2024 through a sale-leaseback transaction that includes a tenant repurchase option are, for GAAP purposes, accounted for as a financing arrangement. However, as the Tampa Properties constitute real estate assets for both legal and tax purposes, we include the Tampa Properties in the property portfolio when describing our property portfolio and for purposes of providing statistics related thereto.</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operates in two primary business segments: income properties and commercial loans and investments.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ORGANIZATION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December 31, 2024, we have a total ownership interest in the Operating Partnership of 92.3%, with CTO holding, directly and indirectly, an 7.7%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PRINCIPLES OF CONSOLIDATION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All significant inter-company balances and transactions have been eliminated in the consolidated financial statements.</w:t>
      </w:r>
    </w:p>
    <w:p>
      <w:pPr>
        <w:pStyle w:val="TextBody"/>
        <w:bidi w:val="0"/>
        <w:spacing w:before="24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SEGMENT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Accounting Standards Board </w:t>
      </w:r>
      <w:r>
        <w:rPr>
          <w:rFonts w:ascii="Times New Roman;Times;serif" w:hAnsi="Times New Roman;Times;serif"/>
          <w:i/>
          <w:sz w:val="20"/>
        </w:rPr>
        <w:t>Accounting Standards Codification</w:t>
      </w:r>
      <w:r>
        <w:rPr>
          <w:rFonts w:ascii="Times New Roman;Times;serif" w:hAnsi="Times New Roman;Times;serif"/>
          <w:sz w:val="20"/>
        </w:rPr>
        <w:t xml:space="preserve"> (“FASB ASC”) Topic 280, </w:t>
      </w:r>
      <w:r>
        <w:rPr>
          <w:rFonts w:ascii="Times New Roman;Times;serif" w:hAnsi="Times New Roman;Times;serif"/>
          <w:i/>
          <w:sz w:val="20"/>
        </w:rPr>
        <w:t>Segment Reporting</w:t>
      </w:r>
      <w:r>
        <w:rPr>
          <w:rFonts w:ascii="Times New Roman;Times;serif" w:hAnsi="Times New Roman;Times;serif"/>
          <w:sz w:val="20"/>
        </w:rPr>
        <w:t>, establishes standards related to the manner in which enterprises report operating segment information. The 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(“CODM”), reviews financial information on a disaggregated basis for purposes of allocating and evaluating financial performance.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USE OF ESTIMATES IN THE PREPARATION OF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primarily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years ended December 31, 2024, 2023, and 2022, was $16.9 million, $16.8 million, and $14.8 million, respectively.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LONG-LIVED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lived assets are evaluated for impairment by using an undiscounted cash flow approach, which considers future estimated capital expenditures. Impairment of long-lived assets is measured at fair value less cost to sell.</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PURCHASE ACCOUNTING FOR ACQUISITIONS OF REAL ESTATE SUBJECT TO A LEASE</w:t>
      </w:r>
    </w:p>
    <w:p>
      <w:pPr>
        <w:pStyle w:val="TextBody"/>
        <w:bidi w:val="0"/>
        <w:spacing w:before="120" w:after="0"/>
        <w:ind w:left="0" w:right="0" w:firstLine="556"/>
        <w:jc w:val="both"/>
        <w:rPr>
          <w:rFonts w:ascii="Times New Roman;Times;serif" w:hAnsi="Times New Roman;Times;serif"/>
          <w:sz w:val="20"/>
        </w:rPr>
      </w:pPr>
      <w:r>
        <w:rPr>
          <w:rFonts w:ascii="Times New Roman;Times;serif" w:hAnsi="Times New Roman;Times;serif"/>
          <w:sz w:val="20"/>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w:t>
      </w:r>
      <w:r>
        <w:rPr>
          <w:rFonts w:ascii="Times New Roman;Times;serif" w:hAnsi="Times New Roman;Times;serif"/>
          <w:i/>
          <w:sz w:val="20"/>
        </w:rPr>
        <w:t>Business Combinations (Topic 805): 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0"/>
        <w:ind w:left="0" w:right="0" w:firstLine="556"/>
        <w:jc w:val="both"/>
        <w:rPr/>
      </w:pPr>
      <w:r>
        <w:rPr/>
        <w:t>​</w:t>
      </w:r>
    </w:p>
    <w:p>
      <w:pPr>
        <w:pStyle w:val="TextBody"/>
        <w:bidi w:val="0"/>
        <w:spacing w:before="0" w:after="0"/>
        <w:ind w:left="0" w:right="0" w:firstLine="556"/>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NewRomanPS-ItalicMT" w:hAnsi="TimesNewRomanPS-ItalicMT"/>
          <w:i/>
          <w:sz w:val="20"/>
        </w:rPr>
      </w:pPr>
      <w:r>
        <w:rPr>
          <w:rFonts w:ascii="TimesNewRomanPS-ItalicMT" w:hAnsi="TimesNewRomanPS-ItalicMT"/>
          <w:i/>
          <w:sz w:val="20"/>
        </w:rPr>
        <w:t>ASSETS HELD FOR SALE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real estate which are determined to be “held for sale” pursuant to FASB Topic 360-10, </w:t>
      </w:r>
      <w:r>
        <w:rPr>
          <w:rFonts w:ascii="Times New Roman;Times;serif" w:hAnsi="Times New Roman;Times;serif"/>
          <w:i/>
          <w:sz w:val="20"/>
        </w:rPr>
        <w:t xml:space="preserve">Property, Plant, and Equipment </w:t>
      </w:r>
      <w:r>
        <w:rPr>
          <w:rFonts w:ascii="Times New Roman;Times;serif" w:hAnsi="Times New Roman;Times;serif"/>
          <w:sz w:val="20"/>
        </w:rPr>
        <w:t>are reported separately on the consolidated balance sheets at the lesser of carrying value or fair value, less costs to sell. Real estate investments classified as held for sale are not depreciated.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SALES OF REAL ESTATE</w:t>
      </w:r>
    </w:p>
    <w:p>
      <w:pPr>
        <w:pStyle w:val="TextBody"/>
        <w:bidi w:val="0"/>
        <w:spacing w:before="0" w:after="0"/>
        <w:ind w:left="0" w:right="0" w:firstLine="556"/>
        <w:jc w:val="both"/>
        <w:rPr/>
      </w:pPr>
      <w:r>
        <w:rPr/>
        <w:t>​</w:t>
      </w:r>
    </w:p>
    <w:p>
      <w:pPr>
        <w:pStyle w:val="TextBody"/>
        <w:bidi w:val="0"/>
        <w:spacing w:before="0" w:after="0"/>
        <w:ind w:left="0" w:right="0" w:firstLine="556"/>
        <w:jc w:val="both"/>
        <w:rPr>
          <w:rFonts w:ascii="Times New Roman;Times;serif" w:hAnsi="Times New Roman;Times;serif"/>
          <w:sz w:val="20"/>
        </w:rPr>
      </w:pPr>
      <w:r>
        <w:rPr>
          <w:rFonts w:ascii="Times New Roman;Times;serif" w:hAnsi="Times New Roman;Times;serif"/>
          <w:sz w:val="20"/>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PROPERTY LEASE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 revenue is estimated each period and is recognized as rental income in the period the recoverable costs are incurred and accrued.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December 31, 2024 and 2023, the Company’s allowance for doubtful accounts totaled $0.3 million and $0.4 million, respectively.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commercial loans and investments held for investment are recorded at historical cost, net of unaccreted origination costs and current expected credit losses (“CECL”) 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Sales of participations in commercial loans and investments are evaluated for achievement of the characteristics of participating interest pursuant to ASC 860, </w:t>
      </w:r>
      <w:r>
        <w:rPr>
          <w:rFonts w:ascii="Times New Roman;Times;serif" w:hAnsi="Times New Roman;Times;serif"/>
          <w:i/>
          <w:sz w:val="20"/>
        </w:rPr>
        <w:t>Transfers and Servicing</w:t>
      </w:r>
      <w:r>
        <w:rPr>
          <w:rFonts w:ascii="Times New Roman;Times;serif" w:hAnsi="Times New Roman;Times;serif"/>
          <w:sz w:val="20"/>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December 31, 2024, the Company’s participation in commercial loans and investments purchased by a third-party did not achieve sale accounting and has been presented as an Obligation under Participation Agreement within the liabilities portion of the Company’s consolidated balance sheet.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RECOGNITION OF INTEREST INCOME FROM 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OPERATING LAND LEASE EXPENSE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which leases are classified as operating leases pursuant to FASB ASC Topic 842, </w:t>
      </w:r>
      <w:r>
        <w:rPr>
          <w:rFonts w:ascii="Times New Roman;Times;serif" w:hAnsi="Times New Roman;Times;serif"/>
          <w:i/>
          <w:sz w:val="20"/>
        </w:rPr>
        <w:t>Leases</w:t>
      </w:r>
      <w:r>
        <w:rPr>
          <w:rFonts w:ascii="Times New Roman;Times;serif" w:hAnsi="Times New Roman;Times;serif"/>
          <w:sz w:val="20"/>
        </w:rPr>
        <w:t>. The corresponding lease expense is recognized on a straight-line basis over the term of the lease and is included in real estate expenses in the accompanying consolidated statements of operations.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SALES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tax collected on lease payments is recognized as a liability in the accompanying consolidated balance sheets when collected. The liability is reduced at the time payment is remitted to the applicable taxing authority.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AND CASH EQUIVALENTS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include cash on hand, bank demand accounts, and money market accounts having original maturities of 90 days or less. The Company’s bank balances as of December 31, 2024 and 2023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Restricted cash totaled $6.4 million at December 31, 2024, of which $4.0 million is being held in an escrow account to be reinvested through the like-kind exchange structure into other income properties and $2.4 million is being held in interest, real estate tax, and/ or insurance reserve accounts related to the Company’s commercial loans and investments.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DERIVATIVE FINANCIAL INSTRUMENTS AND HEDGING ACTIVITY </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FAIR VALUE OF FINANCIAL INSTRUMENTS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included in other assets, accounts payable, and accrued expenses and other liabilities at December 31, 2024 and 2023,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pStyle w:val="TextBody"/>
        <w:bidi w:val="0"/>
        <w:spacing w:before="0" w:after="0"/>
        <w:ind w:left="0" w:right="0" w:hanging="0"/>
        <w:jc w:val="left"/>
        <w:rPr/>
      </w:pPr>
      <w:r>
        <w:rPr/>
        <w:t>​</w:t>
      </w:r>
    </w:p>
    <w:p>
      <w:pPr>
        <w:pStyle w:val="TextBody"/>
        <w:bidi w:val="0"/>
        <w:spacing w:lineRule="auto" w:line="271" w:before="0" w:after="0"/>
        <w:ind w:left="0" w:right="0" w:hanging="0"/>
        <w:jc w:val="both"/>
        <w:rPr>
          <w:rFonts w:ascii="Times New Roman;Times;serif" w:hAnsi="Times New Roman;Times;serif"/>
          <w:sz w:val="20"/>
        </w:rPr>
      </w:pPr>
      <w:r>
        <w:rPr>
          <w:rFonts w:ascii="Times New Roman;Times;serif" w:hAnsi="Times New Roman;Times;serif"/>
          <w:i/>
          <w:sz w:val="20"/>
        </w:rPr>
        <w:t>FAIR VALUE MEASUREMENTS</w:t>
      </w:r>
      <w:r>
        <w:rPr>
          <w:rFonts w:ascii="Times New Roman;Times;serif" w:hAnsi="Times New Roman;Times;serif"/>
          <w:sz w:val="20"/>
        </w:rPr>
        <w:t xml:space="preserve"> </w:t>
      </w:r>
    </w:p>
    <w:p>
      <w:pPr>
        <w:pStyle w:val="TextBody"/>
        <w:bidi w:val="0"/>
        <w:spacing w:lineRule="auto" w:line="271"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pStyle w:val="TextBody"/>
        <w:bidi w:val="0"/>
        <w:spacing w:lineRule="auto" w:line="271" w:before="0" w:after="0"/>
        <w:ind w:left="0" w:right="0" w:hanging="0"/>
        <w:jc w:val="both"/>
        <w:rPr/>
      </w:pPr>
      <w:r>
        <w:rPr/>
        <w:t>​</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p>
      <w:pPr>
        <w:pStyle w:val="TextBody"/>
        <w:bidi w:val="0"/>
        <w:spacing w:lineRule="auto" w:line="271"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bidi w:val="0"/>
        <w:spacing w:lineRule="auto" w:line="271"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 Valuation is generated from model-based techniques that use at least one significant assumption not observable in the market. These unobservable assumptions reflect estimates of assumptions that market </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would use in pricing the asset or liability. Valuation techniques include option pricing models, discounted cash flow models, and similar techniques.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EARNINGS PER COMMON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 per common share is computed by dividing net income attributable to the Company for the period by the weighted average number of shares outstanding for the period. Diluted earnings per common share is based on the assumption that the OP Units issued are redeemed for shares of our common stock on a one-for-one basis.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individual tenants in the Company’s portfolio of properties accounted for more than 10% of lease income from the Company’s income properties during the years ended December 31, 2024 and 2023. No individual tenant accounted for more than 10% of lease income from the Company’s income properties during the year ended December 31, 2022.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each of the years ended December 31, 2024 and 2023, Walgreens represented 11% of lease income from the Company’s income properties.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11% of the Company’s </w:t>
      </w:r>
      <w:r>
        <w:rPr>
          <w:rFonts w:ascii="Times New Roman;Times;serif" w:hAnsi="Times New Roman;Times;serif"/>
          <w:b w:val="false"/>
          <w:i w:val="false"/>
          <w:caps w:val="false"/>
          <w:smallCaps w:val="false"/>
          <w:sz w:val="20"/>
        </w:rPr>
        <w:t>income</w:t>
      </w:r>
      <w:r>
        <w:rPr>
          <w:rFonts w:ascii="Times New Roman;Times;serif" w:hAnsi="Times New Roman;Times;serif"/>
          <w:sz w:val="20"/>
        </w:rPr>
        <w:t xml:space="preserve"> property portfolio, based on square footage, was located in each of the states of New Jersey and Michigan. As of December 31, 2023, 13%, 11%, and 11% of the Company’s income property portfolio, based on square footage, was located in the states of Texas, New Jersey, and Michigan, respectively. </w:t>
      </w:r>
    </w:p>
    <w:p>
      <w:pPr>
        <w:pStyle w:val="TextBody"/>
        <w:bidi w:val="0"/>
        <w:spacing w:before="0" w:after="0"/>
        <w:ind w:left="0" w:right="0" w:hanging="0"/>
        <w:jc w:val="left"/>
        <w:rPr>
          <w:rFonts w:ascii="TimesNewRomanPS-ItalicMT" w:hAnsi="TimesNewRomanPS-ItalicMT"/>
          <w:i/>
          <w:sz w:val="20"/>
        </w:rPr>
      </w:pPr>
      <w:r>
        <w:rPr>
          <w:rFonts w:ascii="TimesNewRomanPS-ItalicMT" w:hAnsi="TimesNewRomanPS-ItalicMT"/>
          <w:i/>
          <w:sz w:val="20"/>
        </w:rPr>
        <w:t>RECLASSIFICATIONS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Certain items in the prior period’s consolidated balance sheet have been reclassified to conform to the presentation for the year ended December 31, 2024. Specifically, tax, insurance, and capital expenditure reserve accounts related to the Company’s commercial loans and investments were previously included within prepaid rent and deferred revenue and are now included within accounts payable, accrued expenses, and other liabilities on the accompanying consolidated balance sheets. There was no impact to retained earnings as a result of the reclassifications.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 xml:space="preserve">RECENTLY ISSUED ACCOUNTING STANDARDS ADOPTED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Segment Reporting</w:t>
      </w:r>
      <w:r>
        <w:rPr>
          <w:rFonts w:ascii="Times New Roman;Times;serif" w:hAnsi="Times New Roman;Times;serif"/>
          <w:sz w:val="20"/>
        </w:rPr>
        <w:t xml:space="preserve">. In November 2023, the FASB issued ASU 2023-07 which enhances segment disclosure requirements for entities required to report segment information in accordance with FASB ASC 280, </w:t>
      </w:r>
      <w:r>
        <w:rPr>
          <w:rFonts w:ascii="Times New Roman;Times;serif" w:hAnsi="Times New Roman;Times;serif"/>
          <w:i/>
          <w:sz w:val="20"/>
        </w:rPr>
        <w:t>Segment Reporting</w:t>
      </w:r>
      <w:r>
        <w:rPr>
          <w:rFonts w:ascii="Times New Roman;Times;serif" w:hAnsi="Times New Roman;Times;serif"/>
          <w:sz w:val="20"/>
        </w:rPr>
        <w:t xml:space="preserve">. The update focuses on improving disclosures regarding segment expenses by requiring that public entities (i) disclose significant segment expenses that are regularly provided to the CODM and included within each reported measure of segment profit or loss, (ii) include all annual disclosures about a reportable segment's profits or loss and assets in interim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periods, (iii) disclose the title and position of the CODM and an explanation of how the CODM uses the reported measure of segment profit or loss in assessing segment performance and deciding how to allocate resources, and (iv) disclose the composition of other segment items by reportable segment that are not included in significant expenses. The update is effective for fiscal years beginning after December 31, 2023 and interim periods within years beginning after December 31, 2024. The guidance was effective for the Company beginning on January 1, 2024 and the adoption of this standard had no material impact on the Company’s consolidated financial statements or related disclosures.</w:t>
      </w:r>
    </w:p>
    <w:p>
      <w:pPr>
        <w:pStyle w:val="TextBody"/>
        <w:bidi w:val="0"/>
        <w:spacing w:before="0" w:after="240"/>
        <w:ind w:left="0" w:right="0" w:firstLine="360"/>
        <w:jc w:val="both"/>
        <w:rPr/>
      </w:pPr>
      <w:r>
        <w:rPr/>
        <w:t>​</w:t>
      </w:r>
    </w:p>
    <w:p>
      <w:pPr>
        <w:pStyle w:val="TextBody"/>
        <w:bidi w:val="0"/>
        <w:spacing w:before="0" w:after="0"/>
        <w:ind w:left="72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17" w:name="Tc_aY0yrNV0X0eBJPJO0nysow_8_2"/>
      <w:bookmarkStart w:id="718" w:name="Tc_Iq28_cJ5ik-KI2CBrUhLkg_8_0"/>
      <w:bookmarkStart w:id="719" w:name="Tc_ZY9V-NvM30mHe6_yNDLSRg_7_0"/>
      <w:bookmarkStart w:id="720" w:name="Tc_oWXgnZCj_EOkZiJ-Rk6Psg_6_0"/>
      <w:bookmarkStart w:id="721" w:name="Tc_c9TZ39sWnUS_RzQYoo2j6Q_5_0"/>
      <w:bookmarkStart w:id="722" w:name="Tc_ZOcw4jKNd0uQ2nXwbntmvg_4_0"/>
      <w:bookmarkStart w:id="723" w:name="Tc_rmDOklmDjUSbuluyQy1Ebw_3_0"/>
      <w:bookmarkStart w:id="724" w:name="Tc_mLwGhJubYkGxAxUjNkRPDA_2_2"/>
      <w:bookmarkStart w:id="725" w:name="Tc_MIBdCjIhaUuVXQnKfGxeuw_2_0"/>
      <w:bookmarkStart w:id="726" w:name="Tc__Fc9ZDOTTkSKQM8IgyGC5g_1_2"/>
      <w:bookmarkStart w:id="727" w:name="Tc_k7pzrrV0MkeVyNKutNgx4Q_1_0"/>
      <w:bookmarkStart w:id="728" w:name="_f09406f7_2fe0_4253_8a62_5e41e50f8d44"/>
      <w:bookmarkStart w:id="729" w:name="Tc_KhYt6vhPUEuI17QuLHvxOw_6_8"/>
      <w:bookmarkStart w:id="730" w:name="Tc_p7P9S2Qsd06ejOgVG-vBaA_6_5"/>
      <w:bookmarkStart w:id="731" w:name="Tc_8okD8mnhfEiCdLeVwH7zqA_6_2"/>
      <w:bookmarkStart w:id="732" w:name="Tc_NEaRrFvk1E2Rb3USV4Jyow_6_0"/>
      <w:bookmarkStart w:id="733" w:name="Tc_iyhM1NdH00abkm_da6Fnfw_5_0"/>
      <w:bookmarkStart w:id="734" w:name="Tc_Gth2sA9MRkWB9UfMka6OtQ_4_8"/>
      <w:bookmarkStart w:id="735" w:name="Tc_VuPSo2WyyEeH1jOuakkQHg_4_5"/>
      <w:bookmarkStart w:id="736" w:name="Tc_2yOlCIPmL0O2Br7dYTGH5g_4_2"/>
      <w:bookmarkStart w:id="737" w:name="Tc_dzKi4nD32E67M0ddjpnusQ_4_0"/>
      <w:bookmarkStart w:id="738" w:name="Tc_ZNloS9I2mEuwWEEAJqd5hg_3_0"/>
      <w:bookmarkStart w:id="739" w:name="Tc_7XGK2iIOKkWZtfk_HGRdKw_2_8"/>
      <w:bookmarkStart w:id="740" w:name="Tc_YFI_c4T7EUmpQBGCag83tw_2_5"/>
      <w:bookmarkStart w:id="741" w:name="Tc_ahntD7RAR0uLQzPk11qT-w_2_2"/>
      <w:bookmarkStart w:id="742" w:name="Tc_Zh6aSH3UV0ulvpi4NXRUqg_1_2"/>
      <w:bookmarkStart w:id="743" w:name="_70dc6884_fa9c_4dd9_8f68_02cbedf8e600"/>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Pr>
          <w:rFonts w:ascii="Times New Roman;Times;serif" w:hAnsi="Times New Roman;Times;serif"/>
          <w:b/>
          <w:sz w:val="20"/>
        </w:rPr>
        <w:t>NOTE 3.      PROPERTY PORTFOLIO</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2024, the Company’s property portfolio consisted of 134 properties with total square footage of 3.9 million.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firstLine="360"/>
        <w:jc w:val="both"/>
        <w:rPr/>
      </w:pPr>
      <w:r>
        <w:rPr/>
        <w:t>​</w:t>
      </w:r>
    </w:p>
    <w:tbl>
      <w:tblPr>
        <w:tblW w:w="7693" w:type="dxa"/>
        <w:jc w:val="left"/>
        <w:tblInd w:w="0" w:type="dxa"/>
        <w:tblLayout w:type="fixed"/>
        <w:tblCellMar>
          <w:top w:w="0" w:type="dxa"/>
          <w:left w:w="0" w:type="dxa"/>
          <w:bottom w:w="0" w:type="dxa"/>
          <w:right w:w="0" w:type="dxa"/>
        </w:tblCellMar>
      </w:tblPr>
      <w:tblGrid>
        <w:gridCol w:w="2146"/>
        <w:gridCol w:w="109"/>
        <w:gridCol w:w="409"/>
        <w:gridCol w:w="1316"/>
        <w:gridCol w:w="109"/>
        <w:gridCol w:w="409"/>
        <w:gridCol w:w="1316"/>
        <w:gridCol w:w="109"/>
        <w:gridCol w:w="374"/>
        <w:gridCol w:w="139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62710" cy="175260"/>
                      <wp:effectExtent l="0" t="0" r="0" b="0"/>
                      <wp:wrapNone/>
                      <wp:docPr id="158" name="Frame15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59715" cy="175260"/>
                      <wp:effectExtent l="0" t="0" r="0" b="0"/>
                      <wp:wrapNone/>
                      <wp:docPr id="160" name="Frame160"/>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35660" cy="175260"/>
                      <wp:effectExtent l="0" t="0" r="0" b="0"/>
                      <wp:wrapNone/>
                      <wp:docPr id="161" name="Frame161"/>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59715" cy="175260"/>
                      <wp:effectExtent l="0" t="0" r="0" b="0"/>
                      <wp:wrapNone/>
                      <wp:docPr id="163" name="Frame163"/>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35660" cy="175260"/>
                      <wp:effectExtent l="0" t="0" r="0" b="0"/>
                      <wp:wrapNone/>
                      <wp:docPr id="164" name="Frame164"/>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37490" cy="175260"/>
                      <wp:effectExtent l="0" t="0" r="0" b="0"/>
                      <wp:wrapNone/>
                      <wp:docPr id="166" name="Frame166"/>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886460" cy="175260"/>
                      <wp:effectExtent l="0" t="0" r="0" b="0"/>
                      <wp:wrapNone/>
                      <wp:docPr id="167" name="Frame167"/>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39,570</w:t>
            </w:r>
          </w:p>
        </w:tc>
        <w:tc>
          <w:tcPr>
            <w:tcW w:w="109"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40,141</w:t>
            </w:r>
          </w:p>
        </w:tc>
        <w:tc>
          <w:tcPr>
            <w:tcW w:w="109"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40,190</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6,435</w:t>
            </w:r>
          </w:p>
        </w:tc>
        <w:tc>
          <w:tcPr>
            <w:tcW w:w="109" w:type="dxa"/>
            <w:tcBorders/>
            <w:shd w:fill="CCEEFF" w:val="clear"/>
            <w:vAlign w:val="center"/>
          </w:tcPr>
          <w:p>
            <w:pPr>
              <w:pStyle w:val="TableContents"/>
              <w:bidi w:val="0"/>
              <w:spacing w:before="0" w:after="0"/>
              <w:ind w:left="0" w:right="0" w:hanging="0"/>
              <w:jc w:val="righ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w:t>
            </w:r>
          </w:p>
        </w:tc>
        <w:tc>
          <w:tcPr>
            <w:tcW w:w="109" w:type="dxa"/>
            <w:tcBorders/>
            <w:shd w:fill="CCEEFF" w:val="clear"/>
            <w:vAlign w:val="center"/>
          </w:tcPr>
          <w:p>
            <w:pPr>
              <w:pStyle w:val="TableContents"/>
              <w:bidi w:val="0"/>
              <w:spacing w:before="0" w:after="0"/>
              <w:ind w:left="0" w:right="0" w:hanging="0"/>
              <w:jc w:val="righ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Income</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c>
          <w:tcPr>
            <w:tcW w:w="109" w:type="dxa"/>
            <w:tcBorders/>
            <w:vAlign w:val="center"/>
          </w:tcPr>
          <w:p>
            <w:pPr>
              <w:pStyle w:val="TableContents"/>
              <w:bidi w:val="0"/>
              <w:spacing w:before="0" w:after="0"/>
              <w:ind w:left="0" w:right="0" w:hanging="0"/>
              <w:jc w:val="righ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0"/>
              <w:ind w:left="0" w:right="0" w:hanging="0"/>
              <w:jc w:val="right"/>
              <w:rPr/>
            </w:pPr>
            <w:r>
              <w:rPr/>
              <w:t>​</w:t>
            </w:r>
          </w:p>
        </w:tc>
        <w:tc>
          <w:tcPr>
            <w:tcW w:w="3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45,191</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Minimum Future Rental Receipts.</w:t>
      </w:r>
      <w:r>
        <w:rPr>
          <w:rFonts w:ascii="Times New Roman;Times;serif" w:hAnsi="Times New Roman;Times;serif"/>
          <w:sz w:val="20"/>
        </w:rPr>
        <w:t xml:space="preserve"> Minimum future rental receipts under non-cancelable operating leases, excluding percentage rent and other lease payments that are not fixed and determinable, having remaining terms in excess of one year subsequent to December 31, 2024, are summarized as follows (in thousands). Certain of our operating leases have options to extend, which option periods are not included within minimum future rental receipts.   </w:t>
      </w:r>
    </w:p>
    <w:p>
      <w:pPr>
        <w:pStyle w:val="TextBody"/>
        <w:bidi w:val="0"/>
        <w:spacing w:before="0" w:after="0"/>
        <w:ind w:left="0" w:right="0" w:hanging="0"/>
        <w:jc w:val="left"/>
        <w:rPr/>
      </w:pPr>
      <w:r>
        <w:rPr/>
        <w:t>​</w:t>
      </w:r>
    </w:p>
    <w:tbl>
      <w:tblPr>
        <w:tblW w:w="4304" w:type="dxa"/>
        <w:jc w:val="left"/>
        <w:tblInd w:w="0" w:type="dxa"/>
        <w:tblLayout w:type="fixed"/>
        <w:tblCellMar>
          <w:top w:w="0" w:type="dxa"/>
          <w:left w:w="0" w:type="dxa"/>
          <w:bottom w:w="0" w:type="dxa"/>
          <w:right w:w="0" w:type="dxa"/>
        </w:tblCellMar>
      </w:tblPr>
      <w:tblGrid>
        <w:gridCol w:w="2881"/>
        <w:gridCol w:w="326"/>
        <w:gridCol w:w="211"/>
        <w:gridCol w:w="886"/>
      </w:tblGrid>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62610" cy="175260"/>
                      <wp:effectExtent l="0" t="0" r="0" b="0"/>
                      <wp:wrapNone/>
                      <wp:docPr id="168" name="Frame1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40,018</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39,589</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36,221</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26,602</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 (Cumulative)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92,745</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266,631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2024 Activity.</w:t>
      </w:r>
      <w:r>
        <w:rPr>
          <w:rFonts w:ascii="Times New Roman;Times;serif" w:hAnsi="Times New Roman;Times;serif"/>
          <w:sz w:val="20"/>
        </w:rPr>
        <w:t xml:space="preserve"> During the year ended December 31, 2024, the Company acquired 12 properties for a combined purchase price of $103.6 million, or a total cost of $104.1 million including capitalized acquisition costs. Of the total acquisitions, nine acquired properties for a combined purchase price of $72.2 million, or total cost of $72.7 million were subject to purchase accounting for acquisitions subject to a lease, of which $23.5 million was allocated to land, $42.7 million was allocated to buildings and improvements, $8.0 million was allocated to intangible assets pertaining to the in-place lease value, leasing fees, and above market lease value, and $1.5 million was allocated to intangible liabilities for the below market lease value. The weighted average amortization period for the intangible assets and liabilities was 7.6 years at acquisition. The remaining $31.4 million of acquisition costs is attributable to the three Tampa Properties (defined in Note 4 below), which were purchased during the year ended December 31, 2024 through a sale-leaseback transaction that includes a tenant repurchase option. Due to the existence of the tenant repurchase option, and pursuant to FASB ASC Topic 842, </w:t>
      </w:r>
      <w:r>
        <w:rPr>
          <w:rFonts w:ascii="Times New Roman;Times;serif" w:hAnsi="Times New Roman;Times;serif"/>
          <w:i/>
          <w:sz w:val="20"/>
        </w:rPr>
        <w:t>Leases</w:t>
      </w:r>
      <w:r>
        <w:rPr>
          <w:rFonts w:ascii="Times New Roman;Times;serif" w:hAnsi="Times New Roman;Times;serif"/>
          <w:sz w:val="20"/>
        </w:rPr>
        <w:t xml:space="preserve">, GAAP requires that the $31.4 million investment be accounted for as a financing arrangement, and accordingly the related assets and corresponding revenue are included in the Company’s commercial loans and investments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accompanying consolidated balance sheets and consolidated statement of operations. However, as the Tampa Properties constitute real estate assets for both legal and tax purposes, we include the Tampa Properties in the property portfolio when describing our property portfolio and for purposes of providing statistics related thereto.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2024, the Company sold 15 properties for an aggregate sales price of $62.0 million, generating aggregate gains on sale of $3.4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xml:space="preserve"> During the year ended December 31, 2023, the Company acquired 14 properties for a combined purchase price of $82.9 million, or a total cost of $84.2 million including capitalized acquisition costs. Of the total acquisition cost, $21.5 million was allocated to land, $55.2 million was allocated to buildings and improvements, $8.4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9.6 years at acquisition.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sold 24 properties for an aggregate sales price of $108.3 million, generating aggregate gains on sale of $9.3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2022 Activity.</w:t>
      </w:r>
      <w:r>
        <w:rPr>
          <w:rFonts w:ascii="Times New Roman;Times;serif" w:hAnsi="Times New Roman;Times;serif"/>
          <w:sz w:val="20"/>
        </w:rPr>
        <w:t xml:space="preserve"> During the year ended December 31, 2022, the Company acquired 51 properties for a combined purchase price of $187.4 million, or a total cost of $189.0 million including capitalized acquisition costs. The properties are located in 21 states, leased to 18 different tenants, and had a weighted average remaining lease term of 8.7 years at the time of acquisition. Of the total acquisition cost, $44.5 million was allocated to land, $123.0 million was allocated to buildings and improvements, $23.7 million was allocated to intangible assets pertaining to the in-place lease value, leasing fees, and above market lease value, and $2.2 million was allocated to intangible liabilities for the below market lease value. The weighted average amortization period for the intangible assets and liabilities was 8.9 years at acquisition.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2022, the Company sold 16 properties for an aggregate sales price of $154.6 million, generating aggregate gains on sale of $33.8 million. </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2024 Activity. </w:t>
      </w:r>
      <w:r>
        <w:rPr>
          <w:rFonts w:ascii="Times New Roman;Times;serif" w:hAnsi="Times New Roman;Times;serif"/>
          <w:sz w:val="20"/>
        </w:rPr>
        <w:t>On January 30, 2024, the Company originated a construction loan secured by the property and improvements to be constructed thereon for six retail outparcels in Lawrenceville, Georgia for $7.2 million. The construction loan matures on January 30, 2026, bears a fixed interest rate of 11.25% and requires interest-only payments prior to maturity. Funding of the loan will occur as the borrower completes the underlying construction. As of December 31, 2024, the Company has disbursed $6.6 million to the borrower, leaving a remaining commitment of $0.6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May 31, 2024, the Company sold a $13.6 million A-1 participation interest (the “Loan Participation Sale”) in its $23.4 million Mortgage Note (hereinafter defined) originated in 2023. The senior participation of $13.6 million is entitled to an 8.0% yield on its respective portion of the outstanding principal balance and has priority preference with respect to all principal and interest payments of the Mortgage Note. After adjusting for the Loan Participation Sale, the Company’s remaining investment in the Mortgage Note is $9.7 million. This sale did not achieve sale accounting pursuant to ASC 860, </w:t>
      </w:r>
      <w:r>
        <w:rPr>
          <w:rFonts w:ascii="Times New Roman;Times;serif" w:hAnsi="Times New Roman;Times;serif"/>
          <w:i/>
          <w:sz w:val="20"/>
        </w:rPr>
        <w:t>Transfers and Servicing</w:t>
      </w:r>
      <w:r>
        <w:rPr>
          <w:rFonts w:ascii="Times New Roman;Times;serif" w:hAnsi="Times New Roman;Times;serif"/>
          <w:sz w:val="20"/>
        </w:rPr>
        <w:t>, and accordingly, is treated as a secured borrowing. See Note 12, “Obligation Under Participation Agreement” for further information.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14, 2024, the Company originated a construction loan secured by the property and improvements to be constructed thereon for a 6-acre land development project anchored by Wawa and McDonalds in Mount Carmel, Ohio for $6.1 million. The construction loan matures on September 14, 2025, bears a fixed interest rate of 11.50% and requires interest-only payments prior to maturity. Funding of the loan will occur as the borrower completes the underlying construction. As of December 31, 2024, the Company has disbursed $5.2 million to the borrower, leaving a remaining commitment of $0.9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August 1, 2024, the Company acquired three single-tenant income properties (the “Tampa Properties”) in the greater Tampa Bay, Florida area for a combined purchase price of $31.4 million. The Tampa Properties consist of three restaurants, leased to a subsidiary of Beachside Hospitality Group, located in Bradenton Beach, Florida, Longboat Key,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Florida, and Anna Maria, Florida. The acquisition was structured as a sale-leaseback transaction whereby the Company entered into three new 30-year lease agreements which include annual base rent escalations and a repurchase right by the tenant upon completion of the fifth lease year, i.e., on August 1, 2029. Pursuant to FASB ASC Topic 842, </w:t>
      </w:r>
      <w:r>
        <w:rPr>
          <w:rFonts w:ascii="Times New Roman;Times;serif" w:hAnsi="Times New Roman;Times;serif"/>
          <w:i/>
          <w:sz w:val="20"/>
        </w:rPr>
        <w:t>Leases</w:t>
      </w:r>
      <w:r>
        <w:rPr>
          <w:rFonts w:ascii="Times New Roman;Times;serif" w:hAnsi="Times New Roman;Times;serif"/>
          <w:sz w:val="20"/>
        </w:rPr>
        <w:t xml:space="preserve">, the future repurchase rights present in the lease agreements preclude the transaction from being accounted for as a real estate acquisition. Accordingly, for GAAP purposes, the acquisition of the Tampa Properties is accounted for as a financing arrangement, and the related assets and corresponding revenue are included in the Company’s commercial loans and investments on its consolidated balance sheets and consolidated statements of operations. The Company has imputed interest on the 30-year leases which is recognized as interest income from commercial loans and investments on the accompanying consolidated statement of operations.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18, 2024, the Company originated a construction loan secured by the property and improvements to be constructed thereon for an 11-acre land development project anchored by Publix in Charlotte, North Carolina for $17.8 million. The construction loan matures on September 18, 2025 and had an original fixed interest rate of 10.25% that was reduced to 9.50% upon the borrower’s satisfaction of certain conditions outlined in the loan agreement. The loan requires interest-only payments prior to maturity. Funding of the loan will occur as the borrower completes the underlying construction. As of December 31, 2024, the Company has disbursed $14.6 million to the borrower, leaving a remaining commitment of $3.2 million.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xml:space="preserve"> On July 25, 2023, the Company originated a construction loan secured by the property and improvements to be constructed thereon for a 33-acre Wawa-anchored land development project in Greenwood, Indiana for $7.8 million. The construction loan matures on July 25, 2025, bears a fixed interest rate of 8.50% that increased to 9.25% on July 25, 2024, and requires interest-only payments prior to maturity. Funding of the loan will occur as the borrower completes the underlying construction. As of December 31, 2024, the Company has disbursed $7.1 million to the borrower, leaving a remaining commitment of $0.7 million.</w:t>
      </w:r>
    </w:p>
    <w:p>
      <w:pPr>
        <w:pStyle w:val="TextBody"/>
        <w:bidi w:val="0"/>
        <w:spacing w:lineRule="auto" w:line="256"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30, 2023, the Company originated a construction loan secured by the property and improvements to be constructed thereon for a 5-acre land development project anchored by Wawa and McDonalds in Antioch, Tennessee for $6.8 million with the same borrower as the construction loan secured by the 33-acre Wawa-anchored land development project in Greenwood, Indiana. The construction loan matures on October 30, 2025, bears a fixed interest rate of 11.00% that decreased to 9.50% on October 30, 2024, and requires interest-only payments prior to maturity. Funding of the loan will occur as the borrower completes the underlying construction. As of December 31, 2024, the Company has disbursed $4.7 million to the borrower, leaving a remaining commitment of $2.1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15, 2023, the Company originated a $24.0 million first mortgage secured by a portfolio of 41 assets and related improvements (the “Mortgage Note”). The Mortgage Note matures on November 15, 2026, has two </w:t>
      </w:r>
      <w:r>
        <w:rPr>
          <w:rFonts w:ascii="Times New Roman;Times;serif" w:hAnsi="Times New Roman;Times;serif"/>
          <w:b w:val="false"/>
          <w:i w:val="false"/>
          <w:caps w:val="false"/>
          <w:smallCaps w:val="false"/>
          <w:sz w:val="20"/>
        </w:rPr>
        <w:t>one</w:t>
      </w:r>
      <w:r>
        <w:rPr>
          <w:rFonts w:ascii="Times New Roman;Times;serif" w:hAnsi="Times New Roman;Times;serif"/>
          <w:sz w:val="20"/>
        </w:rPr>
        <w:t>-year extension options, bears a fixed interest rate of 8.75% at the time of acquisition that increases by 0.25% annually during the initial term, and requires interest-only payments prior to maturity. During the year ended December 31, 2024, the Company received $2.9 million in principal repayments from the borrower.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744" w:name="Tc_mZvKB0J57EOFII2GcxJsyg_6_5"/>
      <w:bookmarkStart w:id="745" w:name="Tc_pa1Ca3AsPkSnJ_DkY2j3Tw_6_2"/>
      <w:bookmarkStart w:id="746" w:name="Tc_xAo_XU6TXUO2Nuezv79ZSw_6_0"/>
      <w:bookmarkStart w:id="747" w:name="Tc_81rJh2nMY0yPpdV4-p8KQw_5_0"/>
      <w:bookmarkStart w:id="748" w:name="Tc_8z5yNO6d7kqxZriwL44PgQ_4_0"/>
      <w:bookmarkStart w:id="749" w:name="Tc_OGNScTBlo0G35gJDlA_PlA_3_5"/>
      <w:bookmarkStart w:id="750" w:name="Tc_0oaGKZxhk02SAsID2zSidw_3_2"/>
      <w:bookmarkStart w:id="751" w:name="Tc_wsVp_0WCLkOmWr9uoO3sMA_3_0"/>
      <w:bookmarkStart w:id="752" w:name="Tc_qWtJedJguUySdyeWRqHhFg_2_5"/>
      <w:bookmarkStart w:id="753" w:name="Tc_cgFKxexKF02BaLitPhBxjg_2_2"/>
      <w:bookmarkStart w:id="754" w:name="Tc_gzIu-XsUd0CsraX9cFL2eA_1_2"/>
      <w:bookmarkStart w:id="755" w:name="_4f0f6f6d_88b0_43a7_9a55_ff61ce84d556"/>
      <w:bookmarkStart w:id="756" w:name="Tc_y_fCVmzyHkyZKKD8LDyqVQ_7_12"/>
      <w:bookmarkStart w:id="757" w:name="Tc_rlLmqzWGUk-JuFLPQG0TtA_7_0"/>
      <w:bookmarkStart w:id="758" w:name="Tc_q0c84klpQUuZk5aRy8jy7g_6_0"/>
      <w:bookmarkStart w:id="759" w:name="Tc_7sQ-qOg7AEyQuJiwePmfDA_5_12"/>
      <w:bookmarkStart w:id="760" w:name="Tc_uPrKFpqBPk2kWlHwnkc4sg_5_9"/>
      <w:bookmarkStart w:id="761" w:name="Tc_ybu8rxyJREKV2BU0mo0C0w_5_6"/>
      <w:bookmarkStart w:id="762" w:name="Tc_YwurBE9-sEOhrRmM5GZIsw_4_4"/>
      <w:bookmarkStart w:id="763" w:name="Tc_hr1_Mb7piECXYPVmfMjI9g_4_2"/>
      <w:bookmarkStart w:id="764" w:name="Tc_kbzueCZgsU-6r9pZNbReAQ_4_0"/>
      <w:bookmarkStart w:id="765" w:name="Tc_LDEvU46NC02hMOmNR2y9uQ_3_4"/>
      <w:bookmarkStart w:id="766" w:name="Tc_ThdjaPk0qkm_2lbEH-vAyg_3_2"/>
      <w:bookmarkStart w:id="767" w:name="Tc_ORY-G4rtqkO0BNF_3vTSig_3_0"/>
      <w:bookmarkStart w:id="768" w:name="Tc_2uTW3hIAyEqvyRqzWkIHtw_2_12"/>
      <w:bookmarkStart w:id="769" w:name="Tc_E58zmh5A2kK_5zAlZ5EyIw_2_9"/>
      <w:bookmarkStart w:id="770" w:name="Tc_QKAzLUE6RUGgGd8q0WDuQw_2_6"/>
      <w:bookmarkStart w:id="771" w:name="Tc_icpiL7oLMkKJkMJXSy43Rg_2_4"/>
      <w:bookmarkStart w:id="772" w:name="Tc_GJyVVbHFU0a1a6QUHM59zA_2_2"/>
      <w:bookmarkStart w:id="773" w:name="Tc_n0FMwR6VwkuSM4tNOIrj6Q_2_0"/>
      <w:bookmarkStart w:id="774" w:name="Tc_aXnSA5wMEkSjcPbrSAY2EQ_1_15"/>
      <w:bookmarkStart w:id="775" w:name="Tc_Rp8vKq5ZD0mBmcyZonVN0A_1_12"/>
      <w:bookmarkStart w:id="776" w:name="Tc_pJvn1VytC0S4hWyA3allNg_1_9"/>
      <w:bookmarkStart w:id="777" w:name="Tc_o6vBxYHyREqVm9upH9_awA_1_6"/>
      <w:bookmarkStart w:id="778" w:name="Tc_-bhUnkFmjEWFDUi69jNftg_1_4"/>
      <w:bookmarkStart w:id="779" w:name="Tc_YVrn8Vg9rUGMwXgMbe7lCw_1_2"/>
      <w:bookmarkStart w:id="780" w:name="Tc_peYyyv8WyEWbyPDqRvxqHw_1_0"/>
      <w:bookmarkStart w:id="781" w:name="_59cf2629_0d53_49fe_9053_bd3b1127ceb4"/>
      <w:bookmarkStart w:id="782" w:name="Tc_T1nzFyLwUkSSP1zXMEHkqw_13_12"/>
      <w:bookmarkStart w:id="783" w:name="Tc_WrHtKs-lhUOnUseR9LRNRQ_13_0"/>
      <w:bookmarkStart w:id="784" w:name="Tc_76LxSHKUYkSXlmJPCngP3g_12_0"/>
      <w:bookmarkStart w:id="785" w:name="Tc_dcyAQEvJW0SDUU1mH52How_11_12"/>
      <w:bookmarkStart w:id="786" w:name="Tc_PaEacL8EUky2Kgh3b5RVlw_11_9"/>
      <w:bookmarkStart w:id="787" w:name="Tc_p9CDh2W45Umso9w7FChVpA_11_6"/>
      <w:bookmarkStart w:id="788" w:name="Tc_ryJ72YDR-EihZC5emcEZbQ_10_4"/>
      <w:bookmarkStart w:id="789" w:name="Tc_xsyKUrS3gEScV_JoMKoUUw_10_2"/>
      <w:bookmarkStart w:id="790" w:name="Tc_IlbbSI5yKEWo35R7GKJy_Q_10_0"/>
      <w:bookmarkStart w:id="791" w:name="Tc_Kuls_--kW0qRCG8vB0a1bQ_9_4"/>
      <w:bookmarkStart w:id="792" w:name="Tc_DpEcoPj2TUqC3gFVsRqK4w_9_2"/>
      <w:bookmarkStart w:id="793" w:name="Tc_UIfRZ74K2UK7QmYLVFk97g_9_0"/>
      <w:bookmarkStart w:id="794" w:name="Tc_8FAVuqmaikm5_KqQLbUizw_8_4"/>
      <w:bookmarkStart w:id="795" w:name="Tc_vk4GF_XK-0yTYAfkcpWVpQ_8_2"/>
      <w:bookmarkStart w:id="796" w:name="Tc_K6D_hHgDnkCn8ipZlt4nYQ_8_0"/>
      <w:bookmarkStart w:id="797" w:name="Tc_nhPwMQ_tEE-fHdwBtbJMRg_7_4"/>
      <w:bookmarkStart w:id="798" w:name="Tc_YdFmQHEwCE2LmhMwUsueug_7_2"/>
      <w:bookmarkStart w:id="799" w:name="Tc_4HdVUvSM0Uab1adgqEtEZQ_7_0"/>
      <w:bookmarkStart w:id="800" w:name="Tc_zdHXSX_glkKemFkbQdrhsQ_6_4"/>
      <w:bookmarkStart w:id="801" w:name="Tc_UMw_6qyjikyo6EJHhB4lpA_6_2"/>
      <w:bookmarkStart w:id="802" w:name="Tc_tI1vUnANR0aLK0gMozfozA_6_0"/>
      <w:bookmarkStart w:id="803" w:name="Tc_yhwnL4dLeEeCYr35_wx79A_5_4"/>
      <w:bookmarkStart w:id="804" w:name="Tc_QuYaVSy66EmQDueWoHcpbw_5_2"/>
      <w:bookmarkStart w:id="805" w:name="Tc_s3y3f2yWdUyFvOMxVb5nOg_5_0"/>
      <w:bookmarkStart w:id="806" w:name="Tc_steXDMQ3hkWydXl-CjB48w_4_4"/>
      <w:bookmarkStart w:id="807" w:name="Tc_eUnmlsrtiUez4WPpydT-mA_4_2"/>
      <w:bookmarkStart w:id="808" w:name="Tc__M8rv5COmkOjTXn_I5r8ZQ_4_0"/>
      <w:bookmarkStart w:id="809" w:name="Tc_0bnFCXGe60qwqcAT6hEkrA_3_4"/>
      <w:bookmarkStart w:id="810" w:name="Tc_RgWx6V5Jhk6-Na4gdK9f7g_3_2"/>
      <w:bookmarkStart w:id="811" w:name="Tc_6GpoHEIP9UqohKGP_r9_EQ_3_0"/>
      <w:bookmarkStart w:id="812" w:name="Tc_qoddJEWQg0K4yejDbHQm_w_2_12"/>
      <w:bookmarkStart w:id="813" w:name="Tc_iOWhRDYhhESdw8WyhTOgpQ_2_9"/>
      <w:bookmarkStart w:id="814" w:name="Tc_DybcKVYqD0-NQH7T4b0hCg_2_6"/>
      <w:bookmarkStart w:id="815" w:name="Tc_d2C_tvZOJECK52WBYCrjEg_2_4"/>
      <w:bookmarkStart w:id="816" w:name="Tc_jwJ73M-z_0aLEnqSaZG5RQ_2_2"/>
      <w:bookmarkStart w:id="817" w:name="Tc_zqu9vE-3zkOf14Iu73wo8Q_2_0"/>
      <w:bookmarkStart w:id="818" w:name="Tc_xq-EZMyKQE6aQ-x5uuD2OA_1_15"/>
      <w:bookmarkStart w:id="819" w:name="Tc_kQBaSYtppUCADUJivMY0uA_1_12"/>
      <w:bookmarkStart w:id="820" w:name="Tc_JrkCeCOOjke_him9s58IIQ_1_9"/>
      <w:bookmarkStart w:id="821" w:name="Tc_dUgrMg2vEECvnnyzyX6udA_1_6"/>
      <w:bookmarkStart w:id="822" w:name="Tc_S1JIOohl206iIOpDYUnaag_1_4"/>
      <w:bookmarkStart w:id="823" w:name="Tc_CounWgWZ-k6EyaCxNlenJQ_1_2"/>
      <w:bookmarkStart w:id="824" w:name="Tc_UZZGjteoaUuCkvwlifxI4Q_1_0"/>
      <w:bookmarkStart w:id="825" w:name="_80d8ac6e_8adf_47a1_b423_10d918fea332"/>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Pr>
          <w:rFonts w:ascii="Times New Roman;Times;serif" w:hAnsi="Times New Roman;Times;serif"/>
          <w:sz w:val="20"/>
        </w:rPr>
        <w:t>The Company’s commercial loans and investments were comprised of the following at December 31, 2024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95"/>
        <w:gridCol w:w="326"/>
        <w:gridCol w:w="1065"/>
        <w:gridCol w:w="326"/>
        <w:gridCol w:w="954"/>
        <w:gridCol w:w="326"/>
        <w:gridCol w:w="248"/>
        <w:gridCol w:w="877"/>
        <w:gridCol w:w="326"/>
        <w:gridCol w:w="258"/>
        <w:gridCol w:w="794"/>
        <w:gridCol w:w="326"/>
        <w:gridCol w:w="226"/>
        <w:gridCol w:w="695"/>
        <w:gridCol w:w="326"/>
        <w:gridCol w:w="837"/>
      </w:tblGrid>
      <w:tr>
        <w:trPr/>
        <w:tc>
          <w:tcPr>
            <w:tcW w:w="2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76275" cy="175260"/>
                      <wp:effectExtent l="0" t="0" r="0" b="0"/>
                      <wp:wrapNone/>
                      <wp:docPr id="169" name="Frame169"/>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05790" cy="175260"/>
                      <wp:effectExtent l="0" t="0" r="0" b="0"/>
                      <wp:wrapNone/>
                      <wp:docPr id="171" name="Frame171"/>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57480" cy="175260"/>
                      <wp:effectExtent l="0" t="0" r="0" b="0"/>
                      <wp:wrapNone/>
                      <wp:docPr id="173" name="Frame17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56895" cy="175260"/>
                      <wp:effectExtent l="0" t="0" r="0" b="0"/>
                      <wp:wrapNone/>
                      <wp:docPr id="174" name="Frame174"/>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3830" cy="175260"/>
                      <wp:effectExtent l="0" t="0" r="0" b="0"/>
                      <wp:wrapNone/>
                      <wp:docPr id="176" name="Frame17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04190" cy="175260"/>
                      <wp:effectExtent l="0" t="0" r="0" b="0"/>
                      <wp:wrapNone/>
                      <wp:docPr id="177" name="Frame177"/>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3510" cy="175260"/>
                      <wp:effectExtent l="0" t="0" r="0" b="0"/>
                      <wp:wrapNone/>
                      <wp:docPr id="179" name="Frame1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41325" cy="175260"/>
                      <wp:effectExtent l="0" t="0" r="0" b="0"/>
                      <wp:wrapNone/>
                      <wp:docPr id="180" name="Frame180"/>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31495" cy="175260"/>
                      <wp:effectExtent l="0" t="0" r="0" b="0"/>
                      <wp:wrapNone/>
                      <wp:docPr id="182" name="Frame182"/>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7,149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7,138</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9.25%</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6,825</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4,694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4,673</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Portfolio</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2023</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21,140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21,066</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9.00%</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Outparcels – Lawrenceville, GA</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6,618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6,569</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11.25%</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Mount Carmel, OH</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2024</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5,196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5,162</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Bradenton Beach, FL</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9,608</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9,586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9,586</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Anna Maria, FL</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16,408</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16,371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16,371</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Long Boat Key, FL</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5,408</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5,396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5,396</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Publix Land Development – Charlotte, NC</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17,760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14,640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14,576</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r>
      <w:tr>
        <w:trPr/>
        <w:tc>
          <w:tcPr>
            <w:tcW w:w="2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101,136</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90,790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90,537</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pPr>
            <w:r>
              <w:rPr/>
              <w:t>​</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(908)</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pPr>
            <w:r>
              <w:rPr/>
              <w:t>​</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89,629</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pPr>
            <w:r>
              <w:rPr/>
              <w:t>​</w:t>
            </w:r>
          </w:p>
        </w:tc>
      </w:tr>
    </w:tbl>
    <w:tbl>
      <w:tblPr>
        <w:tblW w:w="8822" w:type="dxa"/>
        <w:jc w:val="left"/>
        <w:tblInd w:w="0" w:type="dxa"/>
        <w:tblLayout w:type="fixed"/>
        <w:tblCellMar>
          <w:top w:w="0" w:type="dxa"/>
          <w:left w:w="0" w:type="dxa"/>
          <w:bottom w:w="0" w:type="dxa"/>
          <w:right w:w="0" w:type="dxa"/>
        </w:tblCellMar>
      </w:tblPr>
      <w:tblGrid>
        <w:gridCol w:w="271"/>
        <w:gridCol w:w="855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maturity date reflects the date the tenant’s repurchase right first becomes exercisable pursuant to the lease agreement.</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commercial loans and investments were comprised of the following at December 31, 2023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30"/>
        <w:gridCol w:w="326"/>
        <w:gridCol w:w="1085"/>
        <w:gridCol w:w="326"/>
        <w:gridCol w:w="969"/>
        <w:gridCol w:w="326"/>
        <w:gridCol w:w="269"/>
        <w:gridCol w:w="825"/>
        <w:gridCol w:w="326"/>
        <w:gridCol w:w="266"/>
        <w:gridCol w:w="818"/>
        <w:gridCol w:w="326"/>
        <w:gridCol w:w="230"/>
        <w:gridCol w:w="707"/>
        <w:gridCol w:w="326"/>
        <w:gridCol w:w="850"/>
      </w:tblGrid>
      <w:tr>
        <w:trPr/>
        <w:tc>
          <w:tcPr>
            <w:tcW w:w="22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r>
      <w:tr>
        <w:trPr/>
        <w:tc>
          <w:tcPr>
            <w:tcW w:w="2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2025</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7,800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7,014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6,984</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8.50%</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6,825</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4,615</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4,568</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11.00%</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Portfolio</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2023</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23,885</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8.75%</w:t>
            </w:r>
          </w:p>
        </w:tc>
      </w:tr>
      <w:tr>
        <w:trPr/>
        <w:tc>
          <w:tcPr>
            <w:tcW w:w="22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38,625</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35,629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35,437</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35,080</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carrying value of the commercial loans and investments at December 31, 2024 and 2023 consisted of the following (in thousands):</w:t>
      </w:r>
    </w:p>
    <w:p>
      <w:pPr>
        <w:pStyle w:val="TextBody"/>
        <w:bidi w:val="0"/>
        <w:spacing w:before="0" w:after="240"/>
        <w:ind w:left="0" w:right="0" w:firstLine="432"/>
        <w:jc w:val="both"/>
        <w:rPr/>
      </w:pPr>
      <w:r>
        <w:rPr/>
        <w:t>​</w:t>
      </w:r>
    </w:p>
    <w:tbl>
      <w:tblPr>
        <w:tblW w:w="7643" w:type="dxa"/>
        <w:jc w:val="left"/>
        <w:tblInd w:w="0" w:type="dxa"/>
        <w:tblLayout w:type="fixed"/>
        <w:tblCellMar>
          <w:top w:w="0" w:type="dxa"/>
          <w:left w:w="0" w:type="dxa"/>
          <w:bottom w:w="0" w:type="dxa"/>
          <w:right w:w="0" w:type="dxa"/>
        </w:tblCellMar>
      </w:tblPr>
      <w:tblGrid>
        <w:gridCol w:w="3496"/>
        <w:gridCol w:w="326"/>
        <w:gridCol w:w="409"/>
        <w:gridCol w:w="1316"/>
        <w:gridCol w:w="326"/>
        <w:gridCol w:w="371"/>
        <w:gridCol w:w="1399"/>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90,790</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35,629</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89,629</w:t>
            </w:r>
          </w:p>
        </w:tc>
        <w:tc>
          <w:tcPr>
            <w:tcW w:w="326" w:type="dxa"/>
            <w:tcBorders/>
            <w:vAlign w:val="center"/>
          </w:tcPr>
          <w:p>
            <w:pPr>
              <w:pStyle w:val="TableContents"/>
              <w:bidi w:val="0"/>
              <w:spacing w:before="0" w:after="0"/>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35,080</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26" w:name="Tc_c44niEDBxk6KpgfSSl1y8g_10_12"/>
      <w:bookmarkStart w:id="827" w:name="Tc_eTOK5DIQME-gyAwGkqUjqA_10_11"/>
      <w:bookmarkStart w:id="828" w:name="Tc_6YoDLTogOkSXyutCwL1y2g_10_8"/>
      <w:bookmarkStart w:id="829" w:name="Tc_61nlvV9KXE2zMbL-JDPdiw_10_6"/>
      <w:bookmarkStart w:id="830" w:name="Tc_f-d1D6uxcEi7TBqAUhRwnA_10_5"/>
      <w:bookmarkStart w:id="831" w:name="Tc_7IleOyv8CE-30tjfXQBd-Q_10_2"/>
      <w:bookmarkStart w:id="832" w:name="Tc_GEStll51q0efmHZiC0DQJQ_10_0"/>
      <w:bookmarkStart w:id="833" w:name="Tc_tbhu0dvhRkmyovY0fblFUA_9_12"/>
      <w:bookmarkStart w:id="834" w:name="Tc_Vyk8tJ48wUGh4UVdU9rQUQ_9_11"/>
      <w:bookmarkStart w:id="835" w:name="Tc_mPKC7uROLkCS0ntNGGvJyA_9_8"/>
      <w:bookmarkStart w:id="836" w:name="Tc_G2PayceEeEe0RXiACBq8pA_9_6"/>
      <w:bookmarkStart w:id="837" w:name="Tc_k0MZKuY3cUmKEatU-UUgxA_9_5"/>
      <w:bookmarkStart w:id="838" w:name="Tc_AeSpG-0b8ESDNLTizfWJ7Q_9_2"/>
      <w:bookmarkStart w:id="839" w:name="Tc_8_ZK1bRzQ0-8BuiKNnNHkg_9_0"/>
      <w:bookmarkStart w:id="840" w:name="Tc_ns2U2LRMhkum5NoAcFOGgQ_8_12"/>
      <w:bookmarkStart w:id="841" w:name="Tc_gWAMsQBRQUCDzzH7Kp-6bw_8_11"/>
      <w:bookmarkStart w:id="842" w:name="Tc_kgOH19euB0Oh4YbxjqbnUw_8_8"/>
      <w:bookmarkStart w:id="843" w:name="Tc_pzlPvDgq6U69sLia7bY1ag_8_6"/>
      <w:bookmarkStart w:id="844" w:name="Tc_l8XeS8pZVk-NY22K_l1jYA_8_5"/>
      <w:bookmarkStart w:id="845" w:name="Tc_JPUinrMhxEuzBVC8Tdr7_A_8_2"/>
      <w:bookmarkStart w:id="846" w:name="Tc_YNC0TfBOW06oBcUGjXOl9w_8_0"/>
      <w:bookmarkStart w:id="847" w:name="Tc_kkbv4Vht70GQSwETGkn9uA_7_0"/>
      <w:bookmarkStart w:id="848" w:name="Tc_GIK3rScyKU-g8yI4MjnoJQ_6_12"/>
      <w:bookmarkStart w:id="849" w:name="Tc_Z3nlsfZZ0EqG-RAXjZaMlQ_6_11"/>
      <w:bookmarkStart w:id="850" w:name="Tc_vTq4O8fkbEu5FONX1CQvqA_6_8"/>
      <w:bookmarkStart w:id="851" w:name="Tc_twZ4nRXv-UW2ykcGfe1_FQ_6_6"/>
      <w:bookmarkStart w:id="852" w:name="Tc_iaG0SRjF7kSpSIgWuk-o_w_6_5"/>
      <w:bookmarkStart w:id="853" w:name="Tc_VlGyVCvfS0mkxMKuufmXXw_6_2"/>
      <w:bookmarkStart w:id="854" w:name="Tc_JSr-Hy_jDky_y20h9GZ-Jw_6_0"/>
      <w:bookmarkStart w:id="855" w:name="Tc_VVhJtkZL80yi4brPGxKdOg_5_12"/>
      <w:bookmarkStart w:id="856" w:name="Tc_UjyZ6OaO7U-XedUBDNGK-A_5_11"/>
      <w:bookmarkStart w:id="857" w:name="Tc_rDLBwv7n00ux4tkUkSW7PQ_5_8"/>
      <w:bookmarkStart w:id="858" w:name="Tc_fTM5oS9elUOw3BID2Z-noA_5_6"/>
      <w:bookmarkStart w:id="859" w:name="Tc_GaiHsmYcz0y6madt8X9B9Q_5_5"/>
      <w:bookmarkStart w:id="860" w:name="Tc_fUbpOIK6dEGx0Q-fqXEgYA_5_2"/>
      <w:bookmarkStart w:id="861" w:name="Tc_c7lFkW9rdEOPpUspMz_ELA_5_0"/>
      <w:bookmarkStart w:id="862" w:name="Tc_qVhmjwzedUmegtY39Ok1QA_4_12"/>
      <w:bookmarkStart w:id="863" w:name="Tc_5TJ68bDxLUiOY86vnVMpAg_4_11"/>
      <w:bookmarkStart w:id="864" w:name="Tc_e83vhuj7uECe-onkCfA1nQ_4_8"/>
      <w:bookmarkStart w:id="865" w:name="Tc_oeW9FeyO7EuRMbrK4ZPNVw_4_6"/>
      <w:bookmarkStart w:id="866" w:name="Tc_eBkJrpKER06VDikjRnUHIg_4_5"/>
      <w:bookmarkStart w:id="867" w:name="Tc_QFYYbIMWS0a-FFHHDIqhEA_4_2"/>
      <w:bookmarkStart w:id="868" w:name="Tc_2ZMVHas1dESNGYGRfBIBwQ_4_0"/>
      <w:bookmarkStart w:id="869" w:name="Tc_q9ageWdhrEq1SGE5o-sgUw_3_0"/>
      <w:bookmarkStart w:id="870" w:name="Tc_nodgtOhIckCK35UeJtLWqA_2_11"/>
      <w:bookmarkStart w:id="871" w:name="Tc_XePu_ghZuE64sDNSQOhGkQ_2_8"/>
      <w:bookmarkStart w:id="872" w:name="Tc_Kgy4ApWKSk-71RU6LD6DUg_2_5"/>
      <w:bookmarkStart w:id="873" w:name="Tc_oM0DzgH8gUyKvz8VH0Lvkg_2_2"/>
      <w:bookmarkStart w:id="874" w:name="Tc_xBI66FXe5EuL2O6Q_f3Hjg_1_5"/>
      <w:bookmarkStart w:id="875" w:name="_5d02db74_28ac_46b8_a644_bd4badea5501"/>
      <w:bookmarkStart w:id="876" w:name="Tc_zzpfPPGxHE6ovDLJ4PsQ-w_7_11"/>
      <w:bookmarkStart w:id="877" w:name="Tc_ghVLh17Ku0-1_z_eTdz-nQ_7_8"/>
      <w:bookmarkStart w:id="878" w:name="Tc_Fk09rMCaQUKn44uVuKKoAg_7_5"/>
      <w:bookmarkStart w:id="879" w:name="Tc_5SPzL9B5WEGAz6cgXNitUQ_7_2"/>
      <w:bookmarkStart w:id="880" w:name="Tc_uVb8SlRMxECZpfBjVqGSHw_7_0"/>
      <w:bookmarkStart w:id="881" w:name="Tc_GsgXhOjTPU2EnLM-eT9vlg_6_12"/>
      <w:bookmarkStart w:id="882" w:name="Tc_NULV4uA3nEGNB8lUF3xe3Q_6_11"/>
      <w:bookmarkStart w:id="883" w:name="Tc_iwcE5D6NCkmx5QPLJORJcA_6_9"/>
      <w:bookmarkStart w:id="884" w:name="Tc_ZdiG-NU47kSGdzcZqZx47g_6_8"/>
      <w:bookmarkStart w:id="885" w:name="Tc__m0wO3CRWEi4Lft-c_LGeg_6_5"/>
      <w:bookmarkStart w:id="886" w:name="Tc_ypEylcifvk22rK5eH919Jg_6_2"/>
      <w:bookmarkStart w:id="887" w:name="Tc_4Wqi10cgMk2rvxkuHEySgg_6_0"/>
      <w:bookmarkStart w:id="888" w:name="Tc_n_shZJQqd0yYkAIGZyEP6g_5_11"/>
      <w:bookmarkStart w:id="889" w:name="Tc_mgtP6dc2a0-rllLvP2vohg_5_8"/>
      <w:bookmarkStart w:id="890" w:name="Tc_aEoUIR5NuEOesxvtOsHLgQ_5_5"/>
      <w:bookmarkStart w:id="891" w:name="Tc_BsilzXSgW0a2kr5438YwCg_5_2"/>
      <w:bookmarkStart w:id="892" w:name="Tc_pAWhgy_0tEOGf8Cfz7M1dQ_5_0"/>
      <w:bookmarkStart w:id="893" w:name="Tc_fMUGovtOt0S5Hh6zrtySJQ_4_11"/>
      <w:bookmarkStart w:id="894" w:name="Tc_Mqm_tnCiUk-bsD46sVY6mA_4_8"/>
      <w:bookmarkStart w:id="895" w:name="Tc_ikChPRrkP0a2GSOcdErt-g_4_5"/>
      <w:bookmarkStart w:id="896" w:name="Tc_Y6JnFW0i9kCszaXs8twW8w_4_2"/>
      <w:bookmarkStart w:id="897" w:name="Tc_dHBD5YJ5K0SzF0JqU4o1BQ_4_0"/>
      <w:bookmarkStart w:id="898" w:name="Tc_sbzVQuT7h0y-lnFR7HndHQ_3_11"/>
      <w:bookmarkStart w:id="899" w:name="Tc_F7HzeONs80y7Q6zc26utrA_3_8"/>
      <w:bookmarkStart w:id="900" w:name="Tc_Aed3EzIKaUC3NU2eOiFjrQ_3_5"/>
      <w:bookmarkStart w:id="901" w:name="Tc_5ZKd4VBH0Um2Z2PUqVG5Uw_3_2"/>
      <w:bookmarkStart w:id="902" w:name="Tc_nFiaABs3wkaNY51sYv5uHw_3_0"/>
      <w:bookmarkStart w:id="903" w:name="Tc_NcBFwNQGVkiIZyZeXhqMiQ_2_11"/>
      <w:bookmarkStart w:id="904" w:name="Tc_vLQBiKKJzkWKFpnAVGApFA_2_8"/>
      <w:bookmarkStart w:id="905" w:name="Tc_356sz8v3nkOiz2GuPoOIaA_2_5"/>
      <w:bookmarkStart w:id="906" w:name="Tc__Qsmt0k3Pk2AWsc2wWHqWQ_2_2"/>
      <w:bookmarkStart w:id="907" w:name="Tc_8rHODt6bZUSGeSwWBfXWzg_1_8"/>
      <w:bookmarkStart w:id="908" w:name="Tc_eEiG5NTemE6HvUVdcapKcw_1_2"/>
      <w:bookmarkStart w:id="909" w:name="_0aac2f07_7969_4bfe_a5d3_549fb1a48890"/>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Times New Roman;Times;serif" w:hAnsi="Times New Roman;Times;serif"/>
          <w:b/>
          <w:sz w:val="20"/>
        </w:rPr>
        <w:t>NOTE 5.      FAIR VALUE OF FINANCIAL INSTRUMENTS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as of December 31, 2024 and 2023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096"/>
        <w:gridCol w:w="326"/>
        <w:gridCol w:w="274"/>
        <w:gridCol w:w="1017"/>
        <w:gridCol w:w="326"/>
        <w:gridCol w:w="338"/>
        <w:gridCol w:w="1256"/>
        <w:gridCol w:w="326"/>
        <w:gridCol w:w="274"/>
        <w:gridCol w:w="1017"/>
        <w:gridCol w:w="326"/>
        <w:gridCol w:w="312"/>
        <w:gridCol w:w="1317"/>
      </w:tblGrid>
      <w:tr>
        <w:trPr/>
        <w:tc>
          <w:tcPr>
            <w:tcW w:w="3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73990" cy="175260"/>
                      <wp:effectExtent l="0" t="0" r="0" b="0"/>
                      <wp:wrapNone/>
                      <wp:docPr id="184" name="Frame18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5795" cy="175260"/>
                      <wp:effectExtent l="0" t="0" r="0" b="0"/>
                      <wp:wrapNone/>
                      <wp:docPr id="185" name="Frame185"/>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4630" cy="175260"/>
                      <wp:effectExtent l="0" t="0" r="0" b="0"/>
                      <wp:wrapNone/>
                      <wp:docPr id="187" name="Frame187"/>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97560" cy="175260"/>
                      <wp:effectExtent l="0" t="0" r="0" b="0"/>
                      <wp:wrapNone/>
                      <wp:docPr id="188" name="Frame188"/>
                      <a:graphic xmlns:a="http://schemas.openxmlformats.org/drawingml/2006/main">
                        <a:graphicData uri="http://schemas.microsoft.com/office/word/2010/wordprocessingShape">
                          <wps:wsp>
                            <wps:cNvSpPr txBox="1"/>
                            <wps:spPr>
                              <a:xfrm>
                                <a:off x="0" y="0"/>
                                <a:ext cx="79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3990" cy="175260"/>
                      <wp:effectExtent l="0" t="0" r="0" b="0"/>
                      <wp:wrapNone/>
                      <wp:docPr id="190" name="Frame19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5795" cy="175260"/>
                      <wp:effectExtent l="0" t="0" r="0" b="0"/>
                      <wp:wrapNone/>
                      <wp:docPr id="191" name="Frame191"/>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98120" cy="175260"/>
                      <wp:effectExtent l="0" t="0" r="0" b="0"/>
                      <wp:wrapNone/>
                      <wp:docPr id="193" name="Frame193"/>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836295" cy="175260"/>
                      <wp:effectExtent l="0" t="0" r="0" b="0"/>
                      <wp:wrapNone/>
                      <wp:docPr id="194" name="Frame194"/>
                      <a:graphic xmlns:a="http://schemas.openxmlformats.org/drawingml/2006/main">
                        <a:graphicData uri="http://schemas.microsoft.com/office/word/2010/wordprocessingShape">
                          <wps:wsp>
                            <wps:cNvSpPr txBox="1"/>
                            <wps:spPr>
                              <a:xfrm>
                                <a:off x="0" y="0"/>
                                <a:ext cx="836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left"/>
              <w:rPr/>
            </w:pPr>
            <w:r>
              <w:rPr/>
              <w:t>​</w:t>
            </w:r>
          </w:p>
        </w:tc>
        <w:tc>
          <w:tcPr>
            <w:tcW w:w="32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26" w:type="dxa"/>
            <w:tcBorders/>
            <w:vAlign w:val="center"/>
          </w:tcPr>
          <w:p>
            <w:pPr>
              <w:pStyle w:val="TableContents"/>
              <w:bidi w:val="0"/>
              <w:spacing w:before="0" w:after="0"/>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Estimated Fair Value </w:t>
            </w:r>
          </w:p>
        </w:tc>
        <w:tc>
          <w:tcPr>
            <w:tcW w:w="326" w:type="dxa"/>
            <w:tcBorders/>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26" w:type="dxa"/>
            <w:tcBorders/>
            <w:vAlign w:val="center"/>
          </w:tcPr>
          <w:p>
            <w:pPr>
              <w:pStyle w:val="TableContents"/>
              <w:bidi w:val="0"/>
              <w:spacing w:before="0" w:after="0"/>
              <w:ind w:left="0" w:right="0" w:hanging="0"/>
              <w:jc w:val="left"/>
              <w:rPr/>
            </w:pPr>
            <w:r>
              <w:rPr/>
              <w:t>    </w:t>
            </w:r>
          </w:p>
        </w:tc>
        <w:tc>
          <w:tcPr>
            <w:tcW w:w="1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3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r>
      <w:tr>
        <w:trPr/>
        <w:tc>
          <w:tcPr>
            <w:tcW w:w="3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r>
      <w:tr>
        <w:trPr/>
        <w:tc>
          <w:tcPr>
            <w:tcW w:w="3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89,629</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98,830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36,288</w:t>
            </w:r>
          </w:p>
        </w:tc>
      </w:tr>
      <w:tr>
        <w:trPr/>
        <w:tc>
          <w:tcPr>
            <w:tcW w:w="3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 - Level 2</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11,403</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11,558</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vAlign w:val="center"/>
          </w:tcPr>
          <w:p>
            <w:pPr>
              <w:pStyle w:val="TableContents"/>
              <w:bidi w:val="0"/>
              <w:spacing w:before="0" w:after="0"/>
              <w:ind w:left="0" w:right="0" w:hanging="0"/>
              <w:jc w:val="right"/>
              <w:rPr/>
            </w:pPr>
            <w:r>
              <w:rPr/>
              <w:t>—</w:t>
            </w:r>
          </w:p>
        </w:tc>
      </w:tr>
      <w:tr>
        <w:trPr/>
        <w:tc>
          <w:tcPr>
            <w:tcW w:w="3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301,466</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294,808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258,613</w:t>
            </w:r>
          </w:p>
        </w:tc>
      </w:tr>
    </w:tbl>
    <w:p>
      <w:pPr>
        <w:pStyle w:val="TextBody"/>
        <w:bidi w:val="0"/>
        <w:spacing w:before="0" w:after="0"/>
        <w:ind w:left="0" w:right="0" w:hanging="0"/>
        <w:jc w:val="left"/>
        <w:rPr/>
      </w:pPr>
      <w:r>
        <w:rPr/>
        <w:t>​</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The following tables present the fair value of assets (liabilities) measured on a recurring basis by Level as of December 31, 2024 and 2023 (in thousands). See Note 14, “Interest Rate Swaps” for further disclosure related to the Company’s interest rate swaps.</w:t>
      </w:r>
    </w:p>
    <w:tbl>
      <w:tblPr>
        <w:tblW w:w="10205" w:type="dxa"/>
        <w:jc w:val="left"/>
        <w:tblInd w:w="0" w:type="dxa"/>
        <w:tblLayout w:type="fixed"/>
        <w:tblCellMar>
          <w:top w:w="0" w:type="dxa"/>
          <w:left w:w="0" w:type="dxa"/>
          <w:bottom w:w="0" w:type="dxa"/>
          <w:right w:w="0" w:type="dxa"/>
        </w:tblCellMar>
      </w:tblPr>
      <w:tblGrid>
        <w:gridCol w:w="1862"/>
        <w:gridCol w:w="326"/>
        <w:gridCol w:w="230"/>
        <w:gridCol w:w="623"/>
        <w:gridCol w:w="326"/>
        <w:gridCol w:w="827"/>
        <w:gridCol w:w="1359"/>
        <w:gridCol w:w="343"/>
        <w:gridCol w:w="522"/>
        <w:gridCol w:w="1419"/>
        <w:gridCol w:w="343"/>
        <w:gridCol w:w="631"/>
        <w:gridCol w:w="1394"/>
      </w:tblGrid>
      <w:tr>
        <w:trPr/>
        <w:tc>
          <w:tcPr>
            <w:tcW w:w="1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182370" cy="175260"/>
                      <wp:effectExtent l="0" t="0" r="0" b="0"/>
                      <wp:wrapNone/>
                      <wp:docPr id="195" name="Frame195"/>
                      <a:graphic xmlns:a="http://schemas.openxmlformats.org/drawingml/2006/main">
                        <a:graphicData uri="http://schemas.microsoft.com/office/word/2010/wordprocessingShape">
                          <wps:wsp>
                            <wps:cNvSpPr txBox="1"/>
                            <wps:spPr>
                              <a:xfrm>
                                <a:off x="0" y="0"/>
                                <a:ext cx="1182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6050" cy="175260"/>
                      <wp:effectExtent l="0" t="0" r="0" b="0"/>
                      <wp:wrapNone/>
                      <wp:docPr id="197" name="Frame19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95605" cy="175260"/>
                      <wp:effectExtent l="0" t="0" r="0" b="0"/>
                      <wp:wrapNone/>
                      <wp:docPr id="198" name="Frame198"/>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25145" cy="175260"/>
                      <wp:effectExtent l="0" t="0" r="0" b="0"/>
                      <wp:wrapNone/>
                      <wp:docPr id="200" name="Frame200"/>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62965" cy="175260"/>
                      <wp:effectExtent l="0" t="0" r="0" b="0"/>
                      <wp:wrapNone/>
                      <wp:docPr id="201" name="Frame201"/>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7805" cy="175260"/>
                      <wp:effectExtent l="0" t="0" r="0" b="0"/>
                      <wp:wrapNone/>
                      <wp:docPr id="202" name="Frame20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31470" cy="175260"/>
                      <wp:effectExtent l="0" t="0" r="0" b="0"/>
                      <wp:wrapNone/>
                      <wp:docPr id="203" name="Frame203"/>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01065" cy="175260"/>
                      <wp:effectExtent l="0" t="0" r="0" b="0"/>
                      <wp:wrapNone/>
                      <wp:docPr id="204" name="Frame204"/>
                      <a:graphic xmlns:a="http://schemas.openxmlformats.org/drawingml/2006/main">
                        <a:graphicData uri="http://schemas.microsoft.com/office/word/2010/wordprocessingShape">
                          <wps:wsp>
                            <wps:cNvSpPr txBox="1"/>
                            <wps:spPr>
                              <a:xfrm>
                                <a:off x="0" y="0"/>
                                <a:ext cx="901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7805" cy="175260"/>
                      <wp:effectExtent l="0" t="0" r="0" b="0"/>
                      <wp:wrapNone/>
                      <wp:docPr id="205" name="Frame20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00685" cy="175260"/>
                      <wp:effectExtent l="0" t="0" r="0" b="0"/>
                      <wp:wrapNone/>
                      <wp:docPr id="206" name="Frame20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885190" cy="175260"/>
                      <wp:effectExtent l="0" t="0" r="0" b="0"/>
                      <wp:wrapNone/>
                      <wp:docPr id="207" name="Frame207"/>
                      <a:graphic xmlns:a="http://schemas.openxmlformats.org/drawingml/2006/main">
                        <a:graphicData uri="http://schemas.microsoft.com/office/word/2010/wordprocessingShape">
                          <wps:wsp>
                            <wps:cNvSpPr txBox="1"/>
                            <wps:spPr>
                              <a:xfrm>
                                <a:off x="0" y="0"/>
                                <a:ext cx="885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 Reporting Date Using</w:t>
            </w:r>
          </w:p>
        </w:tc>
      </w:tr>
      <w:tr>
        <w:trPr/>
        <w:tc>
          <w:tcPr>
            <w:tcW w:w="1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0"/>
              <w:ind w:left="0" w:right="0" w:hanging="0"/>
              <w:jc w:val="left"/>
              <w:rPr/>
            </w:pPr>
            <w:r>
              <w:rPr/>
              <w:t>    </w:t>
            </w:r>
          </w:p>
        </w:tc>
        <w:tc>
          <w:tcPr>
            <w:tcW w:w="2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 Active Markets for Identical Assets (Level 1)</w:t>
            </w:r>
          </w:p>
        </w:tc>
        <w:tc>
          <w:tcPr>
            <w:tcW w:w="343" w:type="dxa"/>
            <w:tcBorders/>
            <w:vAlign w:val="center"/>
          </w:tcPr>
          <w:p>
            <w:pPr>
              <w:pStyle w:val="TableContents"/>
              <w:bidi w:val="0"/>
              <w:spacing w:before="0" w:after="0"/>
              <w:ind w:left="0" w:right="0" w:hanging="0"/>
              <w:jc w:val="left"/>
              <w:rPr/>
            </w:pPr>
            <w:r>
              <w:rPr/>
              <w:t>    </w:t>
            </w:r>
          </w:p>
        </w:tc>
        <w:tc>
          <w:tcPr>
            <w:tcW w:w="1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 Observable Inputs (Level 2)</w:t>
            </w:r>
          </w:p>
        </w:tc>
        <w:tc>
          <w:tcPr>
            <w:tcW w:w="343" w:type="dxa"/>
            <w:tcBorders/>
            <w:vAlign w:val="center"/>
          </w:tcPr>
          <w:p>
            <w:pPr>
              <w:pStyle w:val="TableContents"/>
              <w:bidi w:val="0"/>
              <w:spacing w:before="0" w:after="0"/>
              <w:ind w:left="0" w:right="0" w:hanging="0"/>
              <w:jc w:val="left"/>
              <w:rPr/>
            </w:pPr>
            <w:r>
              <w:rPr/>
              <w:t>    </w:t>
            </w:r>
          </w:p>
        </w:tc>
        <w:tc>
          <w:tcPr>
            <w:tcW w:w="2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Unobservable Inputs (Level 3)</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394" w:type="dxa"/>
            <w:tcBorders/>
            <w:shd w:fill="CCEEFF" w:val="clear"/>
            <w:vAlign w:val="center"/>
          </w:tcPr>
          <w:p>
            <w:pPr>
              <w:pStyle w:val="TableContents"/>
              <w:bidi w:val="0"/>
              <w:spacing w:before="0" w:after="0"/>
              <w:ind w:left="0" w:right="0" w:hanging="0"/>
              <w:jc w:val="righ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34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Interest Rate Swap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34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shd w:fill="CCEEFF" w:val="clear"/>
            <w:vAlign w:val="center"/>
          </w:tcPr>
          <w:p>
            <w:pPr>
              <w:pStyle w:val="TableContents"/>
              <w:bidi w:val="0"/>
              <w:spacing w:before="0" w:after="0"/>
              <w:ind w:left="0" w:right="0" w:hanging="0"/>
              <w:jc w:val="right"/>
              <w:rPr/>
            </w:pPr>
            <w:r>
              <w:rPr/>
              <w:t>—</w:t>
            </w:r>
          </w:p>
        </w:tc>
      </w:tr>
      <w:tr>
        <w:trPr/>
        <w:tc>
          <w:tcPr>
            <w:tcW w:w="18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Interest Rate Swap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4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1394" w:type="dxa"/>
            <w:tcBorders/>
            <w:shd w:fill="CCEEFF" w:val="clear"/>
            <w:vAlign w:val="center"/>
          </w:tcPr>
          <w:p>
            <w:pPr>
              <w:pStyle w:val="TableContents"/>
              <w:bidi w:val="0"/>
              <w:spacing w:before="0" w:after="0"/>
              <w:ind w:left="0" w:right="0" w:hanging="0"/>
              <w:jc w:val="left"/>
              <w:rPr/>
            </w:pPr>
            <w:r>
              <w:rPr/>
              <w:t>​</w:t>
            </w:r>
          </w:p>
        </w:tc>
      </w:tr>
      <w:tr>
        <w:trPr/>
        <w:tc>
          <w:tcPr>
            <w:tcW w:w="1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4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0" w:hanging="0"/>
              <w:jc w:val="right"/>
              <w:rPr/>
            </w:pPr>
            <w:r>
              <w:rPr/>
              <w:t>—</w:t>
            </w:r>
          </w:p>
        </w:tc>
      </w:tr>
      <w:tr>
        <w:trPr/>
        <w:tc>
          <w:tcPr>
            <w:tcW w:w="18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 Interest Rate Swap</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2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43"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shd w:fill="CCEEFF" w:val="clear"/>
            <w:vAlign w:val="center"/>
          </w:tcPr>
          <w:p>
            <w:pPr>
              <w:pStyle w:val="TableContents"/>
              <w:bidi w:val="0"/>
              <w:spacing w:before="0" w:after="0"/>
              <w:ind w:left="0" w:right="0" w:hanging="0"/>
              <w:jc w:val="right"/>
              <w:rPr/>
            </w:pPr>
            <w:r>
              <w:rPr/>
              <w:t>—</w:t>
            </w:r>
          </w:p>
        </w:tc>
      </w:tr>
      <w:tr>
        <w:trPr/>
        <w:tc>
          <w:tcPr>
            <w:tcW w:w="1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 Interest Rate Swap</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2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4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72"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w:t>
            </w:r>
            <w:r>
              <w:rPr>
                <w:caps w:val="false"/>
                <w:smallCaps w:val="false"/>
              </w:rPr>
              <w:t xml:space="preserve"> </w:t>
            </w:r>
            <w:r>
              <w:rPr>
                <w:rFonts w:ascii="Times New Roman;Times;serif" w:hAnsi="Times New Roman;Times;serif"/>
                <w:b w:val="false"/>
                <w:i w:val="false"/>
                <w:caps w:val="false"/>
                <w:smallCaps w:val="false"/>
                <w:sz w:val="16"/>
              </w:rPr>
              <w:t>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w:t>
            </w:r>
            <w:r>
              <w:rPr>
                <w:caps w:val="false"/>
                <w:smallCaps w:val="false"/>
              </w:rPr>
              <w:t xml:space="preserve"> </w:t>
            </w:r>
            <w:r>
              <w:rPr>
                <w:rFonts w:ascii="Times New Roman;Times;serif" w:hAnsi="Times New Roman;Times;serif"/>
                <w:b w:val="false"/>
                <w:i w:val="false"/>
                <w:caps w:val="false"/>
                <w:smallCaps w:val="false"/>
                <w:sz w:val="16"/>
              </w:rPr>
              <w:t>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w:t>
            </w:r>
            <w:r>
              <w:rPr>
                <w:caps w:val="false"/>
                <w:smallCaps w:val="false"/>
              </w:rPr>
              <w:t xml:space="preserve"> </w:t>
            </w:r>
            <w:r>
              <w:rPr>
                <w:rFonts w:ascii="Times New Roman;Times;serif" w:hAnsi="Times New Roman;Times;serif"/>
                <w:b w:val="false"/>
                <w:i w:val="false"/>
                <w:caps w:val="false"/>
                <w:smallCaps w:val="false"/>
                <w:sz w:val="16"/>
              </w:rPr>
              <w:t>applicable spread on $50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14, “Interest Rate Swaps” for further disclosure related to the Company's interest rate swaps.</w:t>
            </w:r>
            <w:r>
              <w:rPr>
                <w:caps w:val="false"/>
                <w:smallCaps w:val="false"/>
              </w:rPr>
              <w:t xml:space="preserve"> </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10" w:name="Tc___CGSdHWS0qdl1Qd5RQ-QA_8_8"/>
      <w:bookmarkStart w:id="911" w:name="Tc_sEWkfvy0qk2whllnPHYQvQ_8_5"/>
      <w:bookmarkStart w:id="912" w:name="Tc_dTn3g1DB30GCiree76RhqA_8_2"/>
      <w:bookmarkStart w:id="913" w:name="Tc_Ct0wEoq7W0G74G3hwLi9bg_8_0"/>
      <w:bookmarkStart w:id="914" w:name="Tc_HZKCwQWd5ka6DcnbYxMzpQ_7_0"/>
      <w:bookmarkStart w:id="915" w:name="Tc_z8nhafb2Nk2Kyby2ezeksA_6_0"/>
      <w:bookmarkStart w:id="916" w:name="Tc_8hukYXgeEEm9vVIuTiLklA_5_0"/>
      <w:bookmarkStart w:id="917" w:name="Tc_xNlqk3c8LkmwHDAqqiFNEQ_4_0"/>
      <w:bookmarkStart w:id="918" w:name="Tc_64g0jEyIYU2vRJ06BGQDyQ_3_0"/>
      <w:bookmarkStart w:id="919" w:name="Tc_gXJkrMjNJkOFCfwMKkrXqA_2_8"/>
      <w:bookmarkStart w:id="920" w:name="Tc_xr5jMNjg80q-U-Cd6ew5WQ_2_5"/>
      <w:bookmarkStart w:id="921" w:name="Tc_NCXds3ja6kySXTaGtIEqkA_2_2"/>
      <w:bookmarkStart w:id="922" w:name="Tc_suXo_p54ekaT2mJrN-vS2g_2_0"/>
      <w:bookmarkStart w:id="923" w:name="Tc_VBU_ML7x-EWjsQwd5Wfzyw_1_8"/>
      <w:bookmarkStart w:id="924" w:name="Tc_UzZyLSthO0Wdvc_xjTYD-A_1_5"/>
      <w:bookmarkStart w:id="925" w:name="Tc_NBtaQZypQkadDN-xvS_q-g_1_2"/>
      <w:bookmarkStart w:id="926" w:name="Tc_jSaLew5ccEGfhGbVZ8N9MA_1_0"/>
      <w:bookmarkStart w:id="927" w:name="_0ece7d0a_f22a_46ae_94d5_aa10595feb77"/>
      <w:bookmarkStart w:id="928" w:name="Tc_TTF-lQbo0E61Anuiz-1M7A_5_7"/>
      <w:bookmarkStart w:id="929" w:name="Tc_h2MFDnUFxUGlHsKVUOc0GA_5_4"/>
      <w:bookmarkStart w:id="930" w:name="Tc_Qc2ue-VRekyD1tQOD3EhMA_5_1"/>
      <w:bookmarkStart w:id="931" w:name="Tc_C7X6DGgALUqJVNr3sp9Kcg_5_0"/>
      <w:bookmarkStart w:id="932" w:name="Tc_81sO8QG7ZE64KiyWFrbB-A_4_0"/>
      <w:bookmarkStart w:id="933" w:name="Tc_5uJ7jF3X-UqijiqEsk6Xjw_3_7"/>
      <w:bookmarkStart w:id="934" w:name="Tc_jmGmXjwdFUecQNijupZUdQ_3_4"/>
      <w:bookmarkStart w:id="935" w:name="Tc_R3Gn0Wt16EWbbJEJJ9eRFQ_3_1"/>
      <w:bookmarkStart w:id="936" w:name="Tc_zHVS9SRsgE-Ppv6hE7ZxqQ_3_0"/>
      <w:bookmarkStart w:id="937" w:name="Tc_V0drSDj46EuVEAjlrB-g5Q_2_7"/>
      <w:bookmarkStart w:id="938" w:name="Tc_Uie0O3MjfUad-rHeDnD3_Q_2_4"/>
      <w:bookmarkStart w:id="939" w:name="Tc_GrYu7_AwO02TD3PrPzUIPg_2_1"/>
      <w:bookmarkStart w:id="940" w:name="Tc_HS-inbw7bki_ZwmGhnv4Rg_1_1"/>
      <w:bookmarkStart w:id="941" w:name="_a57162ea_3e12_4ed1_b8d3_28ca93f1b9cc"/>
      <w:bookmarkStart w:id="942" w:name="Tc_X1UoazAjokSeMSTkbFNc5g_15_5"/>
      <w:bookmarkStart w:id="943" w:name="Tc_UGm_10bK4kyYONrBGHPtww_15_2"/>
      <w:bookmarkStart w:id="944" w:name="Tc_CXEyNP1CzU67F9cTDUIYcw_15_0"/>
      <w:bookmarkStart w:id="945" w:name="Tc_ENz2A0CetE-d88-kGhlF_Q_14_0"/>
      <w:bookmarkStart w:id="946" w:name="Tc_zLaiJMv1ZEqM14P0dTLDFg_13_0"/>
      <w:bookmarkStart w:id="947" w:name="Tc_QQGRg4_rOE29CZD0HWbitg_12_0"/>
      <w:bookmarkStart w:id="948" w:name="Tc_3BOVPDy1e0amX3jvAD-uVw_11_0"/>
      <w:bookmarkStart w:id="949" w:name="Tc_1MfmqtdcgEajkQmpT3P-Nw_10_0"/>
      <w:bookmarkStart w:id="950" w:name="Tc_nYoSFnXlN0KulwAHHVJsKw_9_0"/>
      <w:bookmarkStart w:id="951" w:name="Tc_pe1cD-l8V0es5V0qFwKw4A_8_0"/>
      <w:bookmarkStart w:id="952" w:name="Tc_3LY4qfy-kUui0_Ut-Vy_aA_7_0"/>
      <w:bookmarkStart w:id="953" w:name="Tc__LMzGUTJmEWZFy5kaT9NBQ_6_0"/>
      <w:bookmarkStart w:id="954" w:name="Tc_1M6Im6sTHkmugvIi9a8yzw_5_0"/>
      <w:bookmarkStart w:id="955" w:name="Tc_ijCQTcR7LUG2N2d1-HeIKw_4_5"/>
      <w:bookmarkStart w:id="956" w:name="Tc__ST8GlQa5kqvEk-iQzz8Rg_4_2"/>
      <w:bookmarkStart w:id="957" w:name="Tc_usuXYQRGs06ISNmYdQUW1A_4_0"/>
      <w:bookmarkStart w:id="958" w:name="Tc_KMpWyjTKOUyAnyghC4l96A_3_0"/>
      <w:bookmarkStart w:id="959" w:name="Tc_IBHTb-IrD0qnBJjg449LZg_2_5"/>
      <w:bookmarkStart w:id="960" w:name="Tc_cF0lrRPWhES0Iu85VCsoRA_2_2"/>
      <w:bookmarkStart w:id="961" w:name="Tc_GsF54nRHvUahZV5bZpGzzQ_1_2"/>
      <w:bookmarkStart w:id="962" w:name="_6a0a9ce5_8aa9_4251_919c_ff846ea84cb5"/>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r>
        <w:rPr>
          <w:rFonts w:ascii="Times New Roman;Times;serif" w:hAnsi="Times New Roman;Times;serif"/>
          <w:b/>
          <w:sz w:val="20"/>
        </w:rPr>
        <w:t>NOTE 6.      INTANGIBLE ASSETS AND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and liabilities consist of the value of above market and below market leases, the value of in-place leases, and the value of leasing costs, based in each case on their fair values. Intangible assets and liabilities consisted of the following as of December 31, 2024 and 2023 (in thousands):</w:t>
      </w:r>
    </w:p>
    <w:p>
      <w:pPr>
        <w:pStyle w:val="TextBody"/>
        <w:bidi w:val="0"/>
        <w:spacing w:before="0" w:after="240"/>
        <w:ind w:left="0" w:right="0" w:hanging="0"/>
        <w:jc w:val="both"/>
        <w:rPr/>
      </w:pPr>
      <w:r>
        <w:rPr/>
        <w:t>​</w:t>
      </w:r>
    </w:p>
    <w:tbl>
      <w:tblPr>
        <w:tblW w:w="7419" w:type="dxa"/>
        <w:jc w:val="left"/>
        <w:tblInd w:w="0" w:type="dxa"/>
        <w:tblLayout w:type="fixed"/>
        <w:tblCellMar>
          <w:top w:w="0" w:type="dxa"/>
          <w:left w:w="0" w:type="dxa"/>
          <w:bottom w:w="0" w:type="dxa"/>
          <w:right w:w="0" w:type="dxa"/>
        </w:tblCellMar>
      </w:tblPr>
      <w:tblGrid>
        <w:gridCol w:w="3706"/>
        <w:gridCol w:w="109"/>
        <w:gridCol w:w="383"/>
        <w:gridCol w:w="1342"/>
        <w:gridCol w:w="109"/>
        <w:gridCol w:w="371"/>
        <w:gridCol w:w="1399"/>
      </w:tblGrid>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43205" cy="175260"/>
                      <wp:effectExtent l="0" t="0" r="0" b="0"/>
                      <wp:wrapNone/>
                      <wp:docPr id="209" name="Frame209"/>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852170" cy="175260"/>
                      <wp:effectExtent l="0" t="0" r="0" b="0"/>
                      <wp:wrapNone/>
                      <wp:docPr id="210" name="Frame210"/>
                      <a:graphic xmlns:a="http://schemas.openxmlformats.org/drawingml/2006/main">
                        <a:graphicData uri="http://schemas.microsoft.com/office/word/2010/wordprocessingShape">
                          <wps:wsp>
                            <wps:cNvSpPr txBox="1"/>
                            <wps:spPr>
                              <a:xfrm>
                                <a:off x="0" y="0"/>
                                <a:ext cx="852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35585" cy="175260"/>
                      <wp:effectExtent l="0" t="0" r="0" b="0"/>
                      <wp:wrapNone/>
                      <wp:docPr id="212" name="Frame21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888365" cy="175260"/>
                      <wp:effectExtent l="0" t="0" r="0" b="0"/>
                      <wp:wrapNone/>
                      <wp:docPr id="213" name="Frame213"/>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48,768</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19,091</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70,001</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70,074</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(26,076)</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(20,782)</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43,925</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3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(4,774)</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39,151</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44,385</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years ended December 31, 2024, 2023, and 2022 (in thousands):</w:t>
      </w:r>
    </w:p>
    <w:tbl>
      <w:tblPr>
        <w:tblW w:w="9849" w:type="dxa"/>
        <w:jc w:val="left"/>
        <w:tblInd w:w="0" w:type="dxa"/>
        <w:tblLayout w:type="fixed"/>
        <w:tblCellMar>
          <w:top w:w="0" w:type="dxa"/>
          <w:left w:w="0" w:type="dxa"/>
          <w:bottom w:w="0" w:type="dxa"/>
          <w:right w:w="0" w:type="dxa"/>
        </w:tblCellMar>
      </w:tblPr>
      <w:tblGrid>
        <w:gridCol w:w="4411"/>
        <w:gridCol w:w="465"/>
        <w:gridCol w:w="1260"/>
        <w:gridCol w:w="109"/>
        <w:gridCol w:w="465"/>
        <w:gridCol w:w="1260"/>
        <w:gridCol w:w="109"/>
        <w:gridCol w:w="420"/>
        <w:gridCol w:w="1350"/>
      </w:tblGrid>
      <w:tr>
        <w:trPr/>
        <w:tc>
          <w:tcPr>
            <w:tcW w:w="4411"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95275" cy="175260"/>
                      <wp:effectExtent l="0" t="0" r="0" b="0"/>
                      <wp:wrapNone/>
                      <wp:docPr id="214" name="Frame214"/>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00100" cy="175260"/>
                      <wp:effectExtent l="0" t="0" r="0" b="0"/>
                      <wp:wrapNone/>
                      <wp:docPr id="215" name="Frame215"/>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95275" cy="175260"/>
                      <wp:effectExtent l="0" t="0" r="0" b="0"/>
                      <wp:wrapNone/>
                      <wp:docPr id="217" name="Frame217"/>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800100" cy="175260"/>
                      <wp:effectExtent l="0" t="0" r="0" b="0"/>
                      <wp:wrapNone/>
                      <wp:docPr id="218" name="Frame218"/>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66700" cy="175260"/>
                      <wp:effectExtent l="0" t="0" r="0" b="0"/>
                      <wp:wrapNone/>
                      <wp:docPr id="220" name="Frame220"/>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857250" cy="175260"/>
                      <wp:effectExtent l="0" t="0" r="0" b="0"/>
                      <wp:wrapNone/>
                      <wp:docPr id="221" name="Frame221"/>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411"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8,727</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8,936</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Properties Revenue</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8,210</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8,473</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77"/>
        <w:gridCol w:w="109"/>
        <w:gridCol w:w="451"/>
        <w:gridCol w:w="1447"/>
        <w:gridCol w:w="109"/>
        <w:gridCol w:w="606"/>
        <w:gridCol w:w="1815"/>
        <w:gridCol w:w="109"/>
        <w:gridCol w:w="667"/>
        <w:gridCol w:w="2515"/>
      </w:tblGrid>
      <w:tr>
        <w:trPr/>
        <w:tc>
          <w:tcPr>
            <w:tcW w:w="23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18845" cy="175260"/>
                      <wp:effectExtent l="0" t="0" r="0" b="0"/>
                      <wp:wrapNone/>
                      <wp:docPr id="222" name="Frame222"/>
                      <a:graphic xmlns:a="http://schemas.openxmlformats.org/drawingml/2006/main">
                        <a:graphicData uri="http://schemas.microsoft.com/office/word/2010/wordprocessingShape">
                          <wps:wsp>
                            <wps:cNvSpPr txBox="1"/>
                            <wps:spPr>
                              <a:xfrm>
                                <a:off x="0" y="0"/>
                                <a:ext cx="918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152525" cy="175260"/>
                      <wp:effectExtent l="0" t="0" r="0" b="0"/>
                      <wp:wrapNone/>
                      <wp:docPr id="224" name="Frame224"/>
                      <a:graphic xmlns:a="http://schemas.openxmlformats.org/drawingml/2006/main">
                        <a:graphicData uri="http://schemas.microsoft.com/office/word/2010/wordprocessingShape">
                          <wps:wsp>
                            <wps:cNvSpPr txBox="1"/>
                            <wps:spPr>
                              <a:xfrm>
                                <a:off x="0" y="0"/>
                                <a:ext cx="115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597025" cy="175260"/>
                      <wp:effectExtent l="0" t="0" r="0" b="0"/>
                      <wp:wrapNone/>
                      <wp:docPr id="226" name="Frame226"/>
                      <a:graphic xmlns:a="http://schemas.openxmlformats.org/drawingml/2006/main">
                        <a:graphicData uri="http://schemas.microsoft.com/office/word/2010/wordprocessingShape">
                          <wps:wsp>
                            <wps:cNvSpPr txBox="1"/>
                            <wps:spPr>
                              <a:xfrm>
                                <a:off x="0" y="0"/>
                                <a:ext cx="159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109" w:type="dxa"/>
            <w:tcBorders/>
            <w:vAlign w:val="center"/>
          </w:tcPr>
          <w:p>
            <w:pPr>
              <w:pStyle w:val="TableContents"/>
              <w:bidi w:val="0"/>
              <w:spacing w:before="0" w:after="0"/>
              <w:ind w:left="0" w:right="0" w:hanging="0"/>
              <w:jc w:val="left"/>
              <w:rPr/>
            </w:pPr>
            <w:r>
              <w:rPr/>
              <w:t>​</w:t>
            </w:r>
          </w:p>
        </w:tc>
        <w:tc>
          <w:tcPr>
            <w:tcW w:w="2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Future Accretion to Property Revenue </w:t>
            </w:r>
          </w:p>
        </w:tc>
        <w:tc>
          <w:tcPr>
            <w:tcW w:w="109" w:type="dxa"/>
            <w:tcBorders/>
            <w:vAlign w:val="center"/>
          </w:tcPr>
          <w:p>
            <w:pPr>
              <w:pStyle w:val="TableContents"/>
              <w:bidi w:val="0"/>
              <w:spacing w:before="0" w:after="0"/>
              <w:ind w:left="0" w:right="0" w:hanging="0"/>
              <w:jc w:val="left"/>
              <w:rPr/>
            </w:pPr>
            <w:r>
              <w:rPr/>
              <w:t>​</w:t>
            </w:r>
          </w:p>
        </w:tc>
        <w:tc>
          <w:tcPr>
            <w:tcW w:w="3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Net Future Amortization of Intangible Assets and Liabilities </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8,341</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7,671</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8,032</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7,353</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6,742</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6,041</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5,185</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4,694</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w:t>
            </w:r>
          </w:p>
        </w:tc>
        <w:tc>
          <w:tcPr>
            <w:tcW w:w="109" w:type="dxa"/>
            <w:tcBorders/>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109" w:type="dxa"/>
            <w:tcBorders/>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9,322</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42,577</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1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39,151</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the weighted average amortization period of both the total intangible assets and liabilities was 8.6 years.</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PROVISION FOR IMPAIRMENT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Income Properties</w:t>
      </w:r>
      <w:r>
        <w:rPr>
          <w:rFonts w:ascii="Times New Roman;Times;serif" w:hAnsi="Times New Roman;Times;serif"/>
          <w:sz w:val="20"/>
        </w:rPr>
        <w:t xml:space="preserve">. The Company assesses the impairment of long-lived assets whenever events or changes in circumstances indicate that the carrying amount of an asset may not be recoverable. The fair value of long-lived assets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2024, the Company recorded a $1.1 million impairment charge representing the provision for losses related to certain convenience store properties within the Company’s income properties segment, which are classified as held for sale. The impairment charge of $1.1 million is equal to the estimated sales prices for these assets pursuant to letters of intent for sale executed during the year ended December 31, 2024, less the book value of the assets, less estimated costs to sell. Our estimated costs to sell include certain property improvements, which are estimated at $0.6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recorded a $2.9 million impairment charge representing the provision for losses related to seven convenience store properties within our income properties segment. These seven convenience store properties were leased to one tenant that filed for bankruptcy protection during the three months ended March 31, 2023. The seven leases underlying these seven convenience store properties were rejected as a part of the bankruptcy proceedings during August of 2023. The impairment charge of $2.9 million is equal to the estimated sales prices for these seven convenience store properties (as set forth in executed letters of intent at the time the impairment was estimated), less the book value of the assets as of December 31, 2023, less estimated costs to sell.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year ended December 31,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xml:space="preserve">. The Company evaluates the collectability of its commercial loans and investments on a quarterly basis or whenever events or changes in circumstances indicate that the carrying amount of an asset may not be recoverable. The Company accounts for provisions for expected credit losses in accordance with ASC Topic 326, </w:t>
      </w:r>
      <w:r>
        <w:rPr>
          <w:rFonts w:ascii="Times New Roman;Times;serif" w:hAnsi="Times New Roman;Times;serif"/>
          <w:i/>
          <w:sz w:val="20"/>
        </w:rPr>
        <w:t>Measurement of Credit Losses on Financial Instruments</w:t>
      </w:r>
      <w:r>
        <w:rPr>
          <w:rFonts w:ascii="Times New Roman;Times;serif" w:hAnsi="Times New Roman;Times;serif"/>
          <w:sz w:val="20"/>
        </w:rPr>
        <w:t>. Changes in the Company’s allowance for credit losses are presented within change in provision for impairment in the accompanying consolidated statements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years ended December 31, 2024 and 2023, the Company recorded impairment charges of $0.6 million and $0.3 million, respectively, representing the provision for credit losses related to our commercial loans and investments. The impairment charges were driven by the initial estimated CECL allowance based on our investment activity during the years ended December 31, 2024 and 2023, respectively.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 </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963" w:name="Tc_A5n_0S5sd0OQcEiaNNxpaQ_10_5"/>
      <w:bookmarkStart w:id="964" w:name="Tc_LxfQK-CpnEGZ1chT9w-hig_10_2"/>
      <w:bookmarkStart w:id="965" w:name="Tc_5Z6lC0LYCEyLFgB4qRtkFw_10_0"/>
      <w:bookmarkStart w:id="966" w:name="Tc_aGTc5_vy7UGlx4cmHnIE3w_9_0"/>
      <w:bookmarkStart w:id="967" w:name="Tc_Uv5ieUxGHEepZG_iJrzNTw_8_0"/>
      <w:bookmarkStart w:id="968" w:name="Tc_8Mg1z2Lnbkaqh8KePBIWpQ_7_0"/>
      <w:bookmarkStart w:id="969" w:name="Tc_AWcjUEzEFkyJAijf8U40tg_6_0"/>
      <w:bookmarkStart w:id="970" w:name="Tc_UtwF-Fz_qESZjDpRfw72WQ_5_3"/>
      <w:bookmarkStart w:id="971" w:name="Tc_YHxR3O4AhEe6qf3pGB7MWw_5_0"/>
      <w:bookmarkStart w:id="972" w:name="Tc_4ZnEaE1Lt0WUD9O2NN9IJA_4_0"/>
      <w:bookmarkStart w:id="973" w:name="Tc_d3qdfD0CfE2ijQNxLkLIRg_3_5"/>
      <w:bookmarkStart w:id="974" w:name="Tc_hrG7_6l1j0WH-U6SUfwDgQ_3_2"/>
      <w:bookmarkStart w:id="975" w:name="Tc_9GfBmV2-NkKF8MlUobInnQ_3_0"/>
      <w:bookmarkStart w:id="976" w:name="Tc_5uznUG2_rkahgO_i7NZaPA_2_5"/>
      <w:bookmarkStart w:id="977" w:name="Tc_WX7H6aHgmUe5IQ3G6fOXPQ_2_2"/>
      <w:bookmarkStart w:id="978" w:name="Tc_-1853Za7HEGXMs3Hw3JeLg_1_2"/>
      <w:bookmarkStart w:id="979" w:name="_024849bd_e7cf_43d4_9ae0_8f76c403ca41"/>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b/>
          <w:sz w:val="20"/>
        </w:rPr>
        <w:t>NOTE 8.      OTHER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assets consisted of the following (in thousands):</w:t>
      </w:r>
    </w:p>
    <w:p>
      <w:pPr>
        <w:pStyle w:val="TextBody"/>
        <w:bidi w:val="0"/>
        <w:spacing w:before="0" w:after="240"/>
        <w:ind w:left="0" w:right="0" w:firstLine="360"/>
        <w:jc w:val="both"/>
        <w:rPr/>
      </w:pPr>
      <w:r>
        <w:rPr/>
        <w:t>​</w:t>
      </w:r>
    </w:p>
    <w:tbl>
      <w:tblPr>
        <w:tblW w:w="9114" w:type="dxa"/>
        <w:jc w:val="left"/>
        <w:tblInd w:w="0" w:type="dxa"/>
        <w:tblLayout w:type="fixed"/>
        <w:tblCellMar>
          <w:top w:w="0" w:type="dxa"/>
          <w:left w:w="0" w:type="dxa"/>
          <w:bottom w:w="0" w:type="dxa"/>
          <w:right w:w="0" w:type="dxa"/>
        </w:tblCellMar>
      </w:tblPr>
      <w:tblGrid>
        <w:gridCol w:w="5401"/>
        <w:gridCol w:w="109"/>
        <w:gridCol w:w="409"/>
        <w:gridCol w:w="1316"/>
        <w:gridCol w:w="109"/>
        <w:gridCol w:w="375"/>
        <w:gridCol w:w="1395"/>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429635" cy="175260"/>
                      <wp:effectExtent l="0" t="0" r="0" b="0"/>
                      <wp:wrapNone/>
                      <wp:docPr id="227" name="Frame227"/>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59715" cy="175260"/>
                      <wp:effectExtent l="0" t="0" r="0" b="0"/>
                      <wp:wrapNone/>
                      <wp:docPr id="229" name="Frame229"/>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35660" cy="175260"/>
                      <wp:effectExtent l="0" t="0" r="0" b="0"/>
                      <wp:wrapNone/>
                      <wp:docPr id="230" name="Frame230"/>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38125" cy="175260"/>
                      <wp:effectExtent l="0" t="0" r="0" b="0"/>
                      <wp:wrapNone/>
                      <wp:docPr id="232" name="Frame23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85825" cy="175260"/>
                      <wp:effectExtent l="0" t="0" r="0" b="0"/>
                      <wp:wrapNone/>
                      <wp:docPr id="233" name="Frame233"/>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Tenant Receivables—Net of Allowance for Doubtful Accounts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Insurance </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on 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Costs—Net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8,087</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10,957</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Right-of-Use Asset </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15,734</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17,045</w:t>
            </w:r>
          </w:p>
        </w:tc>
      </w:tr>
    </w:tbl>
    <w:tbl>
      <w:tblPr>
        <w:tblW w:w="8327" w:type="dxa"/>
        <w:jc w:val="left"/>
        <w:tblInd w:w="0" w:type="dxa"/>
        <w:tblLayout w:type="fixed"/>
        <w:tblCellMar>
          <w:top w:w="0" w:type="dxa"/>
          <w:left w:w="0" w:type="dxa"/>
          <w:bottom w:w="0" w:type="dxa"/>
          <w:right w:w="0" w:type="dxa"/>
        </w:tblCellMar>
      </w:tblPr>
      <w:tblGrid>
        <w:gridCol w:w="271"/>
        <w:gridCol w:w="80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0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$0.3</w:t>
            </w:r>
            <w:r>
              <w:rPr>
                <w:caps w:val="false"/>
                <w:smallCaps w:val="false"/>
              </w:rPr>
              <w:t xml:space="preserve"> </w:t>
            </w:r>
            <w:r>
              <w:rPr>
                <w:rFonts w:ascii="Times New Roman;Times;serif" w:hAnsi="Times New Roman;Times;serif"/>
                <w:b w:val="false"/>
                <w:i w:val="false"/>
                <w:caps w:val="false"/>
                <w:smallCaps w:val="false"/>
                <w:sz w:val="16"/>
              </w:rPr>
              <w:t>and $0.4 million allowance for doubtful accounts as of December 31, 2024 and 2023, respectively.</w:t>
            </w:r>
          </w:p>
        </w:tc>
      </w:tr>
    </w:tbl>
    <w:tbl>
      <w:tblPr>
        <w:tblW w:w="9947" w:type="dxa"/>
        <w:jc w:val="left"/>
        <w:tblInd w:w="0" w:type="dxa"/>
        <w:tblLayout w:type="fixed"/>
        <w:tblCellMar>
          <w:top w:w="0" w:type="dxa"/>
          <w:left w:w="0" w:type="dxa"/>
          <w:bottom w:w="0" w:type="dxa"/>
          <w:right w:w="0" w:type="dxa"/>
        </w:tblCellMar>
      </w:tblPr>
      <w:tblGrid>
        <w:gridCol w:w="271"/>
        <w:gridCol w:w="967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right-of-use asset balance as of December 31, 2024.</w:t>
            </w:r>
          </w:p>
        </w:tc>
      </w:tr>
    </w:tbl>
    <w:p>
      <w:pPr>
        <w:pStyle w:val="TextBody"/>
        <w:bidi w:val="0"/>
        <w:spacing w:before="0" w:after="0"/>
        <w:ind w:left="0" w:right="0" w:hanging="0"/>
        <w:jc w:val="left"/>
        <w:rPr/>
      </w:pPr>
      <w:r>
        <w:rPr/>
        <w:t>​</w:t>
      </w:r>
    </w:p>
    <w:p>
      <w:pPr>
        <w:pStyle w:val="TextBody"/>
        <w:bidi w:val="0"/>
        <w:spacing w:before="0" w:after="0"/>
        <w:ind w:left="72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80" w:name="Tc_aE0G7kBxEUeViDcTa9Kq1g_10_2"/>
      <w:bookmarkStart w:id="981" w:name="Tc_IrCP3acvWEuKmFd5OTQluA_10_0"/>
      <w:bookmarkStart w:id="982" w:name="Tc_3CKm5_eirkypOKegvhWbTg_9_0"/>
      <w:bookmarkStart w:id="983" w:name="Tc_HbvyLujwtUqR6NnWupYNZg_8_2"/>
      <w:bookmarkStart w:id="984" w:name="Tc_VZIOy1i8Q0eaVwXye0xodQ_8_0"/>
      <w:bookmarkStart w:id="985" w:name="Tc_p6evEuud5EOCtckZETPdyw_7_0"/>
      <w:bookmarkStart w:id="986" w:name="Tc_QzCXJBd1F0y_686ib182qQ_6_0"/>
      <w:bookmarkStart w:id="987" w:name="Tc_BOGo8N5a1k2BmyTfbCbXmg_5_0"/>
      <w:bookmarkStart w:id="988" w:name="Tc_T1UhlExBtUGlX_UVWR3pJQ_4_0"/>
      <w:bookmarkStart w:id="989" w:name="Tc_UZi93Ie1qUmmjnUSYV3Hmw_3_0"/>
      <w:bookmarkStart w:id="990" w:name="Tc_UFzrr-p36EGvSlGOzjbilA_2_2"/>
      <w:bookmarkStart w:id="991" w:name="Tc_-iPlU9Rzt0KjYjg3KomUJQ_2_0"/>
      <w:bookmarkStart w:id="992" w:name="Tc_oZPWSy0xvUqsFrV5chm_0Q_1_0"/>
      <w:bookmarkStart w:id="993" w:name="_c8179c60_4ae9_432e_9a5a_007a2df96a32"/>
      <w:bookmarkStart w:id="994" w:name="Tc_FxLAs44imEK1IC5YM1SvYg_6_7"/>
      <w:bookmarkStart w:id="995" w:name="Tc_QvDq6CQvXUOBS_dUcHZkqw_6_4"/>
      <w:bookmarkStart w:id="996" w:name="Tc_99ofmJYcPk6lWdcgqVfogQ_6_0"/>
      <w:bookmarkStart w:id="997" w:name="Tc_fsVmzq1puU-NuzkNhGjkrg_5_0"/>
      <w:bookmarkStart w:id="998" w:name="Tc_IaKj11pxwEysdMG0SXm2kg_4_8"/>
      <w:bookmarkStart w:id="999" w:name="Tc_qY8_lNB-6E-3-rVSjm-MkQ_4_5"/>
      <w:bookmarkStart w:id="1000" w:name="Tc_2oATxmn3yke1vg1w6NSC_A_4_2"/>
      <w:bookmarkStart w:id="1001" w:name="Tc_GomLln_kNE-iFZJAxrt19Q_4_0"/>
      <w:bookmarkStart w:id="1002" w:name="Tc_nvrzFDJ5JkygJ9CrxamRBg_2_8"/>
      <w:bookmarkStart w:id="1003" w:name="Tc_5uOQKe26K06_bhoNBbm9Kw_2_5"/>
      <w:bookmarkStart w:id="1004" w:name="Tc_W3HBq-eZGkuon5dTs77lWg_2_2"/>
      <w:bookmarkStart w:id="1005" w:name="Tc_w782QNJvs0WyUjd6wQKDtg_1_2"/>
      <w:bookmarkStart w:id="1006" w:name="_572b4d77_6fc8_4a7e_ae46_cedcf227886d"/>
      <w:bookmarkStart w:id="1007" w:name="_6891b0e6_799d_406b_a75c_764299990f32_3"/>
      <w:bookmarkStart w:id="1008" w:name="_6891b0e6_799d_406b_a75c_764299990f32_2"/>
      <w:bookmarkStart w:id="1009" w:name="_6891b0e6_799d_406b_a75c_764299990f32"/>
      <w:bookmarkStart w:id="1010" w:name="_0c0ca1c1_2e63_4c36_9482_268b72fc7759_3"/>
      <w:bookmarkStart w:id="1011" w:name="_0c0ca1c1_2e63_4c36_9482_268b72fc7759_2"/>
      <w:bookmarkStart w:id="1012" w:name="_0c0ca1c1_2e63_4c36_9482_268b72fc775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r>
        <w:rPr>
          <w:rFonts w:ascii="Times New Roman;Times;serif" w:hAnsi="Times New Roman;Times;serif"/>
          <w:b/>
          <w:sz w:val="20"/>
        </w:rPr>
        <w:t>NOTE 9. OPERATING LAND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FASB ASC Topic 842, </w:t>
      </w:r>
      <w:r>
        <w:rPr>
          <w:rFonts w:ascii="Times New Roman;Times;serif" w:hAnsi="Times New Roman;Times;serif"/>
          <w:i/>
          <w:sz w:val="20"/>
        </w:rPr>
        <w:t>Leases</w:t>
      </w:r>
      <w:r>
        <w:rPr>
          <w:rFonts w:ascii="Times New Roman;Times;serif" w:hAnsi="Times New Roman;Times;serif"/>
          <w:sz w:val="20"/>
        </w:rPr>
        <w:t xml:space="preserve">, requires a lessee to recognize right-of-use assets and lease liabilities that arise from leases, whether qualifying as an operating or finance lease. As of December 31, 2024 and 2023, the Company’s right-of-use assets totaled $3.2 million and $1.4 million, respectively, and the corresponding lease liabilities totaled $3.2 million and $1.5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Amortization of right-of-use assets for operating land leases is recognized on a straight-line basis over the term of the lease and is included within real estate expenses in the consolidated statements of operations. Amortization totaled $0.2 million, $0.3 million, and $0.1 million during the years ended December 31, 2024, 2023 and 2022, respectively.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operating land leases, under which the Company is the lessee, for the years ended December 31, 2024, 2023, and 2022 (in thousands):</w:t>
      </w:r>
    </w:p>
    <w:p>
      <w:pPr>
        <w:pStyle w:val="TextBody"/>
        <w:bidi w:val="0"/>
        <w:spacing w:lineRule="auto" w:line="256" w:before="0" w:after="0"/>
        <w:ind w:left="0" w:right="0" w:hanging="0"/>
        <w:jc w:val="both"/>
        <w:rPr/>
      </w:pPr>
      <w:r>
        <w:rPr/>
        <w:t>​</w:t>
      </w:r>
    </w:p>
    <w:tbl>
      <w:tblPr>
        <w:tblW w:w="9427" w:type="dxa"/>
        <w:jc w:val="left"/>
        <w:tblInd w:w="0" w:type="dxa"/>
        <w:tblLayout w:type="fixed"/>
        <w:tblCellMar>
          <w:top w:w="0" w:type="dxa"/>
          <w:left w:w="0" w:type="dxa"/>
          <w:bottom w:w="0" w:type="dxa"/>
          <w:right w:w="0" w:type="dxa"/>
        </w:tblCellMar>
      </w:tblPr>
      <w:tblGrid>
        <w:gridCol w:w="3556"/>
        <w:gridCol w:w="109"/>
        <w:gridCol w:w="537"/>
        <w:gridCol w:w="1188"/>
        <w:gridCol w:w="271"/>
        <w:gridCol w:w="574"/>
        <w:gridCol w:w="1151"/>
        <w:gridCol w:w="271"/>
        <w:gridCol w:w="542"/>
        <w:gridCol w:w="1228"/>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258060" cy="175260"/>
                      <wp:effectExtent l="0" t="0" r="0" b="0"/>
                      <wp:wrapNone/>
                      <wp:docPr id="234" name="Frame234"/>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40995" cy="175260"/>
                      <wp:effectExtent l="0" t="0" r="0" b="0"/>
                      <wp:wrapNone/>
                      <wp:docPr id="236" name="Frame236"/>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54380" cy="175260"/>
                      <wp:effectExtent l="0" t="0" r="0" b="0"/>
                      <wp:wrapNone/>
                      <wp:docPr id="237" name="Frame237"/>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72085" cy="175260"/>
                      <wp:effectExtent l="0" t="0" r="0" b="0"/>
                      <wp:wrapNone/>
                      <wp:docPr id="238" name="Frame23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64490" cy="175260"/>
                      <wp:effectExtent l="0" t="0" r="0" b="0"/>
                      <wp:wrapNone/>
                      <wp:docPr id="239" name="Frame239"/>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30885" cy="175260"/>
                      <wp:effectExtent l="0" t="0" r="0" b="0"/>
                      <wp:wrapNone/>
                      <wp:docPr id="240" name="Frame240"/>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72085" cy="175260"/>
                      <wp:effectExtent l="0" t="0" r="0" b="0"/>
                      <wp:wrapNone/>
                      <wp:docPr id="241" name="Frame24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44170" cy="175260"/>
                      <wp:effectExtent l="0" t="0" r="0" b="0"/>
                      <wp:wrapNone/>
                      <wp:docPr id="242" name="Frame242"/>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79780" cy="175260"/>
                      <wp:effectExtent l="0" t="0" r="0" b="0"/>
                      <wp:wrapNone/>
                      <wp:docPr id="243" name="Frame243"/>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271"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271"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w:t>
            </w:r>
          </w:p>
        </w:tc>
        <w:tc>
          <w:tcPr>
            <w:tcW w:w="109"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271"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271"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09"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271"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271"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Minimum future lease payments under non-cancelable operating land leases, having remaining terms in excess of one year subsequent to December 31, 2024, are summarized as follows (in thousands):</w:t>
      </w:r>
    </w:p>
    <w:p>
      <w:pPr>
        <w:pStyle w:val="TextBody"/>
        <w:bidi w:val="0"/>
        <w:spacing w:lineRule="auto" w:line="256" w:before="0" w:after="0"/>
        <w:ind w:left="0" w:right="0" w:hanging="0"/>
        <w:jc w:val="both"/>
        <w:rPr/>
      </w:pPr>
      <w:r>
        <w:rPr/>
        <w:t>​</w:t>
      </w:r>
    </w:p>
    <w:tbl>
      <w:tblPr>
        <w:tblW w:w="3487" w:type="dxa"/>
        <w:jc w:val="left"/>
        <w:tblInd w:w="0" w:type="dxa"/>
        <w:tblLayout w:type="fixed"/>
        <w:tblCellMar>
          <w:top w:w="0" w:type="dxa"/>
          <w:left w:w="0" w:type="dxa"/>
          <w:bottom w:w="0" w:type="dxa"/>
          <w:right w:w="0" w:type="dxa"/>
        </w:tblCellMar>
      </w:tblPr>
      <w:tblGrid>
        <w:gridCol w:w="2431"/>
        <w:gridCol w:w="109"/>
        <w:gridCol w:w="211"/>
        <w:gridCol w:w="73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543685" cy="175260"/>
                      <wp:effectExtent l="0" t="0" r="0" b="0"/>
                      <wp:wrapNone/>
                      <wp:docPr id="244" name="Frame244"/>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67360" cy="175260"/>
                      <wp:effectExtent l="0" t="0" r="0" b="0"/>
                      <wp:wrapNone/>
                      <wp:docPr id="247" name="Frame24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4,109</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(2,450)</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3,230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13" w:name="Tc_GEmKBevei0K4FBHsFyumZA_10_5"/>
      <w:bookmarkStart w:id="1014" w:name="Tc_czp9Xx9jFEGO5vRytNLXjA_10_2"/>
      <w:bookmarkStart w:id="1015" w:name="Tc_NU23i5F70kyz7xATNQCJpg_10_0"/>
      <w:bookmarkStart w:id="1016" w:name="Tc_2impUbMfFEu1MDCSFX_v4w_9_0"/>
      <w:bookmarkStart w:id="1017" w:name="Tc_5otDhLgFfUiarn2YqIHT7Q_8_5"/>
      <w:bookmarkStart w:id="1018" w:name="Tc_lsvciMyuCE6CdB8uZM0k_Q_8_2"/>
      <w:bookmarkStart w:id="1019" w:name="Tc_EdQL1R_L9UqM7n_V_A2vOg_8_0"/>
      <w:bookmarkStart w:id="1020" w:name="Tc_uop4ydYQOU6yM50ogehqVQ_7_0"/>
      <w:bookmarkStart w:id="1021" w:name="Tc_JrofhenH9kmo_sDUToqU8A_6_0"/>
      <w:bookmarkStart w:id="1022" w:name="Tc_aUVtHAnLT0a9HvJS7nyh2g_5_0"/>
      <w:bookmarkStart w:id="1023" w:name="Tc_vs1y57rtbkmz8MNAFB2yBQ_4_0"/>
      <w:bookmarkStart w:id="1024" w:name="Tc_QVgdpDuWv0ia4wvkRUdUgQ_3_5"/>
      <w:bookmarkStart w:id="1025" w:name="Tc_4glixpac-Eyi-9HKM3rq3w_3_2"/>
      <w:bookmarkStart w:id="1026" w:name="Tc_Yx82ofGqpE6DzK6L2kmmNw_3_0"/>
      <w:bookmarkStart w:id="1027" w:name="Tc_Do2psVmL-k-GFfs-CWnDOg_2_5"/>
      <w:bookmarkStart w:id="1028" w:name="Tc_8kvMvk8CwUuvosZPj4Z65A_2_2"/>
      <w:bookmarkStart w:id="1029" w:name="Tc_GZqIptksY0qFlJEfROCpHA_1_2"/>
      <w:bookmarkStart w:id="1030" w:name="_75e2e0cd_8ea9_42e7_8c51_9685a3f430e7"/>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rPr>
          <w:rFonts w:ascii="Times New Roman;Times;serif" w:hAnsi="Times New Roman;Times;serif"/>
          <w:b/>
          <w:sz w:val="20"/>
        </w:rPr>
        <w:t>NOTE 10.      ASSETS HELD FOR SALE</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Assets held for sale consisted of the following (in thousands).</w:t>
      </w:r>
    </w:p>
    <w:tbl>
      <w:tblPr>
        <w:tblW w:w="7059" w:type="dxa"/>
        <w:jc w:val="left"/>
        <w:tblInd w:w="0" w:type="dxa"/>
        <w:tblLayout w:type="fixed"/>
        <w:tblCellMar>
          <w:top w:w="0" w:type="dxa"/>
          <w:left w:w="0" w:type="dxa"/>
          <w:bottom w:w="0" w:type="dxa"/>
          <w:right w:w="0" w:type="dxa"/>
        </w:tblCellMar>
      </w:tblPr>
      <w:tblGrid>
        <w:gridCol w:w="3346"/>
        <w:gridCol w:w="109"/>
        <w:gridCol w:w="431"/>
        <w:gridCol w:w="1294"/>
        <w:gridCol w:w="109"/>
        <w:gridCol w:w="414"/>
        <w:gridCol w:w="1356"/>
      </w:tblGrid>
      <w:tr>
        <w:trPr/>
        <w:tc>
          <w:tcPr>
            <w:tcW w:w="3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73685" cy="175260"/>
                      <wp:effectExtent l="0" t="0" r="0" b="0"/>
                      <wp:wrapNone/>
                      <wp:docPr id="249" name="Frame249"/>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21690" cy="175260"/>
                      <wp:effectExtent l="0" t="0" r="0" b="0"/>
                      <wp:wrapNone/>
                      <wp:docPr id="250" name="Frame250"/>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62890" cy="175260"/>
                      <wp:effectExtent l="0" t="0" r="0" b="0"/>
                      <wp:wrapNone/>
                      <wp:docPr id="252" name="Frame252"/>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861060" cy="175260"/>
                      <wp:effectExtent l="0" t="0" r="0" b="0"/>
                      <wp:wrapNone/>
                      <wp:docPr id="253" name="Frame253"/>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As of</w:t>
            </w:r>
          </w:p>
        </w:tc>
      </w:tr>
      <w:tr>
        <w:trPr/>
        <w:tc>
          <w:tcPr>
            <w:tcW w:w="3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1"/>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109" w:type="dxa"/>
            <w:tcBorders/>
            <w:shd w:fill="CCEEFF" w:val="clear"/>
            <w:vAlign w:val="center"/>
          </w:tcPr>
          <w:p>
            <w:pPr>
              <w:pStyle w:val="TableContents"/>
              <w:bidi w:val="0"/>
              <w:spacing w:before="0" w:after="1"/>
              <w:ind w:left="0" w:right="0" w:hanging="0"/>
              <w:jc w:val="left"/>
              <w:rPr/>
            </w:pPr>
            <w:r>
              <w:rPr/>
              <w:t>​</w:t>
            </w:r>
          </w:p>
        </w:tc>
        <w:tc>
          <w:tcPr>
            <w:tcW w:w="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4,068</w:t>
            </w:r>
          </w:p>
        </w:tc>
        <w:tc>
          <w:tcPr>
            <w:tcW w:w="109" w:type="dxa"/>
            <w:tcBorders/>
            <w:shd w:fill="CCEEFF" w:val="clear"/>
            <w:vAlign w:val="center"/>
          </w:tcPr>
          <w:p>
            <w:pPr>
              <w:pStyle w:val="TableContents"/>
              <w:bidi w:val="0"/>
              <w:spacing w:before="0" w:after="1"/>
              <w:ind w:left="0" w:right="0" w:hanging="0"/>
              <w:jc w:val="right"/>
              <w:rPr/>
            </w:pPr>
            <w:r>
              <w:rPr/>
              <w:t>​</w:t>
            </w:r>
          </w:p>
        </w:tc>
        <w:tc>
          <w:tcPr>
            <w:tcW w:w="4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109" w:type="dxa"/>
            <w:tcBorders/>
            <w:vAlign w:val="center"/>
          </w:tcPr>
          <w:p>
            <w:pPr>
              <w:pStyle w:val="TableContents"/>
              <w:bidi w:val="0"/>
              <w:spacing w:before="0" w:after="1"/>
              <w:ind w:left="0" w:right="0" w:hanging="0"/>
              <w:jc w:val="left"/>
              <w:rPr/>
            </w:pPr>
            <w:r>
              <w:rPr/>
              <w:t>​</w:t>
            </w:r>
          </w:p>
        </w:tc>
        <w:tc>
          <w:tcPr>
            <w:tcW w:w="431"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109" w:type="dxa"/>
            <w:tcBorders/>
            <w:vAlign w:val="center"/>
          </w:tcPr>
          <w:p>
            <w:pPr>
              <w:pStyle w:val="TableContents"/>
              <w:bidi w:val="0"/>
              <w:spacing w:before="0" w:after="1"/>
              <w:ind w:left="0" w:right="0" w:hanging="0"/>
              <w:jc w:val="right"/>
              <w:rPr/>
            </w:pPr>
            <w:r>
              <w:rPr/>
              <w:t>​</w:t>
            </w:r>
          </w:p>
        </w:tc>
        <w:tc>
          <w:tcPr>
            <w:tcW w:w="414"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109" w:type="dxa"/>
            <w:tcBorders/>
            <w:shd w:fill="CCEEFF" w:val="clear"/>
            <w:vAlign w:val="center"/>
          </w:tcPr>
          <w:p>
            <w:pPr>
              <w:pStyle w:val="TableContents"/>
              <w:bidi w:val="0"/>
              <w:spacing w:before="0" w:after="1"/>
              <w:ind w:left="0" w:right="0" w:hanging="0"/>
              <w:jc w:val="left"/>
              <w:rPr/>
            </w:pPr>
            <w:r>
              <w:rPr/>
              <w:t>​</w:t>
            </w:r>
          </w:p>
        </w:tc>
        <w:tc>
          <w:tcPr>
            <w:tcW w:w="431"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1"/>
              <w:ind w:left="0" w:right="0" w:hanging="0"/>
              <w:jc w:val="righ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1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1"/>
              <w:ind w:left="0" w:right="0" w:hanging="0"/>
              <w:jc w:val="left"/>
              <w:rPr/>
            </w:pPr>
            <w:r>
              <w:rPr/>
              <w:t>​</w:t>
            </w:r>
          </w:p>
        </w:tc>
        <w:tc>
          <w:tcPr>
            <w:tcW w:w="431"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vAlign w:val="center"/>
          </w:tcPr>
          <w:p>
            <w:pPr>
              <w:pStyle w:val="TableContents"/>
              <w:bidi w:val="0"/>
              <w:spacing w:before="0" w:after="1"/>
              <w:ind w:left="0" w:right="0" w:hanging="0"/>
              <w:jc w:val="right"/>
              <w:rPr/>
            </w:pPr>
            <w:r>
              <w:rPr/>
              <w:t>​</w:t>
            </w:r>
          </w:p>
        </w:tc>
        <w:tc>
          <w:tcPr>
            <w:tcW w:w="414"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righ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Prior to Provision for Impairment</w:t>
            </w:r>
          </w:p>
        </w:tc>
        <w:tc>
          <w:tcPr>
            <w:tcW w:w="109" w:type="dxa"/>
            <w:tcBorders/>
            <w:vAlign w:val="center"/>
          </w:tcPr>
          <w:p>
            <w:pPr>
              <w:pStyle w:val="TableContents"/>
              <w:bidi w:val="0"/>
              <w:spacing w:before="0" w:after="1"/>
              <w:ind w:left="0" w:right="0" w:hanging="0"/>
              <w:jc w:val="left"/>
              <w:rPr/>
            </w:pPr>
            <w:r>
              <w:rPr/>
              <w:t>​</w:t>
            </w:r>
          </w:p>
        </w:tc>
        <w:tc>
          <w:tcPr>
            <w:tcW w:w="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109" w:type="dxa"/>
            <w:tcBorders/>
            <w:vAlign w:val="center"/>
          </w:tcPr>
          <w:p>
            <w:pPr>
              <w:pStyle w:val="TableContents"/>
              <w:bidi w:val="0"/>
              <w:spacing w:before="0" w:after="1"/>
              <w:ind w:left="0" w:right="0" w:hanging="0"/>
              <w:jc w:val="right"/>
              <w:rPr/>
            </w:pPr>
            <w:r>
              <w:rPr/>
              <w:t>​</w:t>
            </w:r>
          </w:p>
        </w:tc>
        <w:tc>
          <w:tcPr>
            <w:tcW w:w="4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7,274</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w:t>
            </w:r>
          </w:p>
        </w:tc>
        <w:tc>
          <w:tcPr>
            <w:tcW w:w="109" w:type="dxa"/>
            <w:tcBorders/>
            <w:shd w:fill="CCEEFF" w:val="clear"/>
            <w:vAlign w:val="center"/>
          </w:tcPr>
          <w:p>
            <w:pPr>
              <w:pStyle w:val="TableContents"/>
              <w:bidi w:val="0"/>
              <w:spacing w:before="0" w:after="1"/>
              <w:ind w:left="0" w:right="0" w:hanging="0"/>
              <w:jc w:val="righ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Held for Sale</w:t>
            </w:r>
          </w:p>
        </w:tc>
        <w:tc>
          <w:tcPr>
            <w:tcW w:w="109" w:type="dxa"/>
            <w:tcBorders/>
            <w:vAlign w:val="center"/>
          </w:tcPr>
          <w:p>
            <w:pPr>
              <w:pStyle w:val="TableContents"/>
              <w:bidi w:val="0"/>
              <w:spacing w:before="0" w:after="1"/>
              <w:ind w:left="0" w:right="0" w:hanging="0"/>
              <w:jc w:val="left"/>
              <w:rPr/>
            </w:pPr>
            <w:r>
              <w:rPr/>
              <w:t>​</w:t>
            </w:r>
          </w:p>
        </w:tc>
        <w:tc>
          <w:tcPr>
            <w:tcW w:w="4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vAlign w:val="center"/>
          </w:tcPr>
          <w:p>
            <w:pPr>
              <w:pStyle w:val="TableContents"/>
              <w:bidi w:val="0"/>
              <w:spacing w:before="0" w:after="1"/>
              <w:ind w:left="0" w:right="0" w:hanging="0"/>
              <w:jc w:val="right"/>
              <w:rPr/>
            </w:pPr>
            <w:r>
              <w:rPr/>
              <w:t>​</w:t>
            </w:r>
          </w:p>
        </w:tc>
        <w:tc>
          <w:tcPr>
            <w:tcW w:w="4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4,410</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360"/>
        <w:jc w:val="both"/>
        <w:rPr/>
      </w:pPr>
      <w:r>
        <w:rPr/>
        <w:t> </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bookmarkStart w:id="1031" w:name="Tc_kYKhRTP9QE2rqYrbY7bIJg_10_5"/>
      <w:bookmarkStart w:id="1032" w:name="Tc_NGfrAnd7pUiAW9kU6hnAjA_10_2"/>
      <w:bookmarkStart w:id="1033" w:name="Tc_qrt8OJMt50qUTnBfnvIbtw_10_0"/>
      <w:bookmarkStart w:id="1034" w:name="Tc_1459mhtnuE-QnsxjuHUp7Q_9_0"/>
      <w:bookmarkStart w:id="1035" w:name="Tc_1stpGnEeJUmXpx0gDTAiHw_8_0"/>
      <w:bookmarkStart w:id="1036" w:name="Tc_W5OLWauFq0yPLtel0yjUOg_7_3"/>
      <w:bookmarkStart w:id="1037" w:name="Tc_YiYKdpiA6EmBP_0iZqv6Ag_7_0"/>
      <w:bookmarkStart w:id="1038" w:name="Tc_ge-2KkUMw0uaVOs1sMHhUQ_5_0"/>
      <w:bookmarkStart w:id="1039" w:name="Tc_dO64i2tPVEKGSTb7WD2-3A_4_0"/>
      <w:bookmarkStart w:id="1040" w:name="Tc_5DajdkxxlEaE7iXzRV2o-Q_3_5"/>
      <w:bookmarkStart w:id="1041" w:name="Tc_EeYuY6nY80eopRkZ-3NSSg_3_2"/>
      <w:bookmarkStart w:id="1042" w:name="Tc_JgR_Oupb0kKYkBU1YcO_rQ_3_0"/>
      <w:bookmarkStart w:id="1043" w:name="Tc_5zK_-ZQs3keG8TTl075Cbg_2_5"/>
      <w:bookmarkStart w:id="1044" w:name="Tc_XLES73xqZkifgzV_DDq_gg_2_2"/>
      <w:bookmarkStart w:id="1045" w:name="Tc_ODGqSpiaukKdQjnyNAWjYg_1_2"/>
      <w:bookmarkStart w:id="1046" w:name="_3cdaab75_68bf_4732_9269_489e4ea99523"/>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Pr>
          <w:rFonts w:ascii="Times New Roman;Times;serif" w:hAnsi="Times New Roman;Times;serif"/>
          <w:b/>
          <w:sz w:val="20"/>
        </w:rPr>
        <w:t>NOTE 11.      ACCOUNTS PAYABLE, ACCRUED EXPENSES, AND OTHER LIABILITIES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payable, accrued expenses and other liabilities consisted of the following (in thousands):</w:t>
      </w:r>
    </w:p>
    <w:p>
      <w:pPr>
        <w:pStyle w:val="TextBody"/>
        <w:bidi w:val="0"/>
        <w:spacing w:before="0" w:after="240"/>
        <w:ind w:left="0" w:right="0" w:firstLine="360"/>
        <w:jc w:val="both"/>
        <w:rPr/>
      </w:pPr>
      <w:r>
        <w:rPr/>
        <w:t>​</w:t>
      </w:r>
    </w:p>
    <w:tbl>
      <w:tblPr>
        <w:tblW w:w="9114" w:type="dxa"/>
        <w:jc w:val="left"/>
        <w:tblInd w:w="0" w:type="dxa"/>
        <w:tblLayout w:type="fixed"/>
        <w:tblCellMar>
          <w:top w:w="0" w:type="dxa"/>
          <w:left w:w="0" w:type="dxa"/>
          <w:bottom w:w="0" w:type="dxa"/>
          <w:right w:w="0" w:type="dxa"/>
        </w:tblCellMar>
      </w:tblPr>
      <w:tblGrid>
        <w:gridCol w:w="5401"/>
        <w:gridCol w:w="109"/>
        <w:gridCol w:w="465"/>
        <w:gridCol w:w="1260"/>
        <w:gridCol w:w="109"/>
        <w:gridCol w:w="420"/>
        <w:gridCol w:w="1350"/>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429635" cy="175260"/>
                      <wp:effectExtent l="0" t="0" r="0" b="0"/>
                      <wp:wrapNone/>
                      <wp:docPr id="254" name="Frame254"/>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95275" cy="175260"/>
                      <wp:effectExtent l="0" t="0" r="0" b="0"/>
                      <wp:wrapNone/>
                      <wp:docPr id="256" name="Frame256"/>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800100" cy="175260"/>
                      <wp:effectExtent l="0" t="0" r="0" b="0"/>
                      <wp:wrapNone/>
                      <wp:docPr id="257" name="Frame257"/>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66700" cy="175260"/>
                      <wp:effectExtent l="0" t="0" r="0" b="0"/>
                      <wp:wrapNone/>
                      <wp:docPr id="259" name="Frame25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857250" cy="175260"/>
                      <wp:effectExtent l="0" t="0" r="0" b="0"/>
                      <wp:wrapNone/>
                      <wp:docPr id="260" name="Frame260"/>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CTO</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Reserves</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Liability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8,445</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5,736</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operating land lease liability balance as of December 31, 2024 and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OBLIGATION UNDER PARTICIPATION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discussed in Note 2, “Summary of Significant Accounting Policies,” the Company follows the guidance in FASB Topic ASC 860, </w:t>
      </w:r>
      <w:r>
        <w:rPr>
          <w:rFonts w:ascii="Times New Roman;Times;serif" w:hAnsi="Times New Roman;Times;serif"/>
          <w:i/>
          <w:sz w:val="20"/>
        </w:rPr>
        <w:t>Transfers and Servicing</w:t>
      </w:r>
      <w:r>
        <w:rPr>
          <w:rFonts w:ascii="Times New Roman;Times;serif" w:hAnsi="Times New Roman;Times;serif"/>
          <w:sz w:val="20"/>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 On May 31, 2024, the Company received $13.6 million from the Loan Participation Sale. As of December 31, 2024, the Company’s obligation under participation agreement had a carrying value of $11.4 million, and the carrying value of the loan that is associated with this obligation under participation agreement was $11.3 million, net of a CECL reserve of $0.1 million. The interest rate on the obligation under participation agreement was 8.0% as of December 31, 2024. As of December 31, 2023, there were no such obligations under participation agreements.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47" w:name="Tc_Nl7TnMESr0ahJnTbPs3IRg_5_2"/>
      <w:bookmarkStart w:id="1048" w:name="Tc_GeXFWJIvAUCkCMihzYDf5Q_5_0"/>
      <w:bookmarkStart w:id="1049" w:name="Tc_ZqINnL0-GUad2CT8lp-SRA_4_9"/>
      <w:bookmarkStart w:id="1050" w:name="Tc_ZvmOCxP3ykuu49LvzuEsQw_4_5"/>
      <w:bookmarkStart w:id="1051" w:name="Tc_4r65ZH0Xvke2wrOJFai0hA_4_0"/>
      <w:bookmarkStart w:id="1052" w:name="Tc_bItyS6n_z0-BK9iO88Av7Q_3_9"/>
      <w:bookmarkStart w:id="1053" w:name="Tc_1DeBlk-oZ0yB7wg_PDHAsA_3_5"/>
      <w:bookmarkStart w:id="1054" w:name="Tc_KKqtO8Ivo02s5nDLJnOFPw_3_0"/>
      <w:bookmarkStart w:id="1055" w:name="Tc_wHLqKMPMYUixK-A4INAC-g_2_9"/>
      <w:bookmarkStart w:id="1056" w:name="Tc_4hkG3G6GSU6UE0m35icg3A_2_5"/>
      <w:bookmarkStart w:id="1057" w:name="Tc_E9qPItNcaECKoHXvMeyTgA_2_2"/>
      <w:bookmarkStart w:id="1058" w:name="Tc_9NVFztmE5EqoTJhITX8y0g_2_0"/>
      <w:bookmarkStart w:id="1059" w:name="Tc_dpPnO19FZkeX0XukofkQ_w_1_9"/>
      <w:bookmarkStart w:id="1060" w:name="Tc_JyGofShbs0O2yf3d3eKiiQ_1_7"/>
      <w:bookmarkStart w:id="1061" w:name="Tc_wxd2I8trdkmnONJvzlvJTw_1_5"/>
      <w:bookmarkStart w:id="1062" w:name="Tc_x5ff6ymHBUOWuLCsGUvTug_1_2"/>
      <w:bookmarkStart w:id="1063" w:name="_1908ecb2_a62c_40de_85f9_ba9d598264ec"/>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r>
        <w:rPr>
          <w:rFonts w:ascii="Times New Roman;Times;serif" w:hAnsi="Times New Roman;Times;serif"/>
          <w:b/>
          <w:sz w:val="20"/>
        </w:rPr>
        <w:t>NOTE 13.      LONG-TERM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the Company’s outstanding indebtedness, at face value, was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95"/>
        <w:gridCol w:w="109"/>
        <w:gridCol w:w="292"/>
        <w:gridCol w:w="1081"/>
        <w:gridCol w:w="109"/>
        <w:gridCol w:w="1535"/>
        <w:gridCol w:w="109"/>
        <w:gridCol w:w="2911"/>
        <w:gridCol w:w="109"/>
        <w:gridCol w:w="1255"/>
      </w:tblGrid>
      <w:tr>
        <w:trPr/>
        <w:tc>
          <w:tcPr>
            <w:tcW w:w="2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711325" cy="175260"/>
                      <wp:effectExtent l="0" t="0" r="0" b="0"/>
                      <wp:wrapNone/>
                      <wp:docPr id="261" name="Frame261"/>
                      <a:graphic xmlns:a="http://schemas.openxmlformats.org/drawingml/2006/main">
                        <a:graphicData uri="http://schemas.microsoft.com/office/word/2010/wordprocessingShape">
                          <wps:wsp>
                            <wps:cNvSpPr txBox="1"/>
                            <wps:spPr>
                              <a:xfrm>
                                <a:off x="0" y="0"/>
                                <a:ext cx="171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85420" cy="175260"/>
                      <wp:effectExtent l="0" t="0" r="0" b="0"/>
                      <wp:wrapNone/>
                      <wp:docPr id="263" name="Frame263"/>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86435" cy="175260"/>
                      <wp:effectExtent l="0" t="0" r="0" b="0"/>
                      <wp:wrapNone/>
                      <wp:docPr id="264" name="Frame26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974725" cy="175260"/>
                      <wp:effectExtent l="0" t="0" r="0" b="0"/>
                      <wp:wrapNone/>
                      <wp:docPr id="266" name="Frame266"/>
                      <a:graphic xmlns:a="http://schemas.openxmlformats.org/drawingml/2006/main">
                        <a:graphicData uri="http://schemas.microsoft.com/office/word/2010/wordprocessingShape">
                          <wps:wsp>
                            <wps:cNvSpPr txBox="1"/>
                            <wps:spPr>
                              <a:xfrm>
                                <a:off x="0" y="0"/>
                                <a:ext cx="974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848485" cy="175260"/>
                      <wp:effectExtent l="0" t="0" r="0" b="0"/>
                      <wp:wrapNone/>
                      <wp:docPr id="268" name="Frame268"/>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96925" cy="175260"/>
                      <wp:effectExtent l="0" t="0" r="0" b="0"/>
                      <wp:wrapNone/>
                      <wp:docPr id="270" name="Frame270"/>
                      <a:graphic xmlns:a="http://schemas.openxmlformats.org/drawingml/2006/main">
                        <a:graphicData uri="http://schemas.microsoft.com/office/word/2010/wordprocessingShape">
                          <wps:wsp>
                            <wps:cNvSpPr txBox="1"/>
                            <wps:spPr>
                              <a:xfrm>
                                <a:off x="0" y="0"/>
                                <a:ext cx="796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9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Face Value Debt</w:t>
              <w:br/>
            </w:r>
            <w:r>
              <w:rPr>
                <w:rFonts w:ascii="Times New Roman;Times;serif" w:hAnsi="Times New Roman;Times;serif"/>
                <w:sz w:val="20"/>
              </w:rPr>
              <w:t>(in thousands)</w:t>
            </w:r>
          </w:p>
        </w:tc>
        <w:tc>
          <w:tcPr>
            <w:tcW w:w="109" w:type="dxa"/>
            <w:tcBorders/>
            <w:vAlign w:val="center"/>
          </w:tcPr>
          <w:p>
            <w:pPr>
              <w:pStyle w:val="TableContents"/>
              <w:bidi w:val="0"/>
              <w:spacing w:before="0" w:after="0"/>
              <w:ind w:left="0" w:right="0" w:hanging="0"/>
              <w:jc w:val="left"/>
              <w:rPr/>
            </w:pPr>
            <w:r>
              <w:rPr/>
              <w:t>​</w:t>
            </w:r>
          </w:p>
        </w:tc>
        <w:tc>
          <w:tcPr>
            <w:tcW w:w="15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29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 as of December 31, 2024</w:t>
            </w:r>
          </w:p>
        </w:tc>
        <w:tc>
          <w:tcPr>
            <w:tcW w:w="109" w:type="dxa"/>
            <w:tcBorders/>
            <w:vAlign w:val="center"/>
          </w:tcPr>
          <w:p>
            <w:pPr>
              <w:pStyle w:val="TableContents"/>
              <w:bidi w:val="0"/>
              <w:spacing w:before="0" w:after="0"/>
              <w:ind w:left="0" w:right="0" w:hanging="0"/>
              <w:jc w:val="left"/>
              <w:rPr/>
            </w:pPr>
            <w:r>
              <w:rPr/>
              <w:t>​</w:t>
            </w:r>
          </w:p>
        </w:tc>
        <w:tc>
          <w:tcPr>
            <w:tcW w:w="12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269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102,000</w:t>
            </w:r>
          </w:p>
        </w:tc>
        <w:tc>
          <w:tcPr>
            <w:tcW w:w="109" w:type="dxa"/>
            <w:tcBorders/>
            <w:shd w:fill="CCEEFF" w:val="clear"/>
            <w:vAlign w:val="center"/>
          </w:tcPr>
          <w:p>
            <w:pPr>
              <w:pStyle w:val="TableContents"/>
              <w:bidi w:val="0"/>
              <w:spacing w:before="0" w:after="0"/>
              <w:ind w:left="0" w:right="0" w:hanging="0"/>
              <w:jc w:val="left"/>
              <w:rPr/>
            </w:pPr>
            <w:r>
              <w:rPr/>
              <w:t>​</w:t>
            </w:r>
          </w:p>
        </w:tc>
        <w:tc>
          <w:tcPr>
            <w:tcW w:w="15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29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5.31%</w:t>
            </w:r>
          </w:p>
        </w:tc>
        <w:tc>
          <w:tcPr>
            <w:tcW w:w="109"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269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5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[1.35% - 1.95%]</w:t>
            </w:r>
          </w:p>
        </w:tc>
        <w:tc>
          <w:tcPr>
            <w:tcW w:w="109"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2026</w:t>
            </w:r>
          </w:p>
        </w:tc>
      </w:tr>
      <w:tr>
        <w:trPr/>
        <w:tc>
          <w:tcPr>
            <w:tcW w:w="269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5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29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3.45%</w:t>
            </w:r>
          </w:p>
        </w:tc>
        <w:tc>
          <w:tcPr>
            <w:tcW w:w="109"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302,000</w:t>
            </w:r>
          </w:p>
        </w:tc>
        <w:tc>
          <w:tcPr>
            <w:tcW w:w="109" w:type="dxa"/>
            <w:tcBorders/>
            <w:vAlign w:val="center"/>
          </w:tcPr>
          <w:p>
            <w:pPr>
              <w:pStyle w:val="TableContents"/>
              <w:bidi w:val="0"/>
              <w:spacing w:before="0" w:after="0"/>
              <w:ind w:left="0" w:right="0" w:hanging="0"/>
              <w:jc w:val="left"/>
              <w:rPr/>
            </w:pPr>
            <w:r>
              <w:rPr/>
              <w:t>​</w:t>
            </w:r>
          </w:p>
        </w:tc>
        <w:tc>
          <w:tcPr>
            <w:tcW w:w="15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w:t>
            </w:r>
            <w:r>
              <w:rPr>
                <w:caps w:val="false"/>
                <w:smallCaps w:val="false"/>
              </w:rPr>
              <w:t xml:space="preserve"> </w:t>
            </w:r>
            <w:r>
              <w:rPr>
                <w:rFonts w:ascii="Times New Roman;Times;serif" w:hAnsi="Times New Roman;Times;serif"/>
                <w:b w:val="false"/>
                <w:i w:val="false"/>
                <w:caps w:val="false"/>
                <w:smallCaps w:val="false"/>
                <w:sz w:val="16"/>
              </w:rPr>
              <w:t>the Company utilized an interest rate swap to fix SOFR</w:t>
            </w:r>
            <w:r>
              <w:rPr>
                <w:caps w:val="false"/>
                <w:smallCaps w:val="false"/>
              </w:rPr>
              <w:t xml:space="preserve"> </w:t>
            </w:r>
            <w:r>
              <w:rPr>
                <w:rFonts w:ascii="Times New Roman;Times;serif" w:hAnsi="Times New Roman;Times;serif"/>
                <w:b w:val="false"/>
                <w:i w:val="false"/>
                <w:caps w:val="false"/>
                <w:smallCaps w:val="false"/>
                <w:sz w:val="16"/>
              </w:rPr>
              <w:t>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has utilized interest rate swaps to fix SOFR</w:t>
            </w:r>
            <w:r>
              <w:rPr>
                <w:caps w:val="false"/>
                <w:smallCaps w:val="false"/>
              </w:rPr>
              <w:t xml:space="preserve"> </w:t>
            </w:r>
            <w:r>
              <w:rPr>
                <w:rFonts w:ascii="Times New Roman;Times;serif" w:hAnsi="Times New Roman;Times;serif"/>
                <w:b w:val="false"/>
                <w:i w:val="false"/>
                <w:caps w:val="false"/>
                <w:smallCaps w:val="false"/>
                <w:sz w:val="16"/>
              </w:rPr>
              <w:t>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14, “Interest Rate Swaps” for further disclosure related to the Company’s interest rate swaps.</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Credit Facility.</w:t>
      </w:r>
      <w:r>
        <w:rPr>
          <w:rFonts w:ascii="Times New Roman;Times;serif" w:hAnsi="Times New Roman;Times;serif"/>
          <w:sz w:val="20"/>
        </w:rPr>
        <w:t xml:space="preserve"> On September 30, 2022, the Company and the Operating Partnership entered into a credit agreement (the “2022 Amended and Restated Credit Agreement”) with KeyBank National Association, as administrative agent, and certain other lenders named therein, which amended and restated the 2027 Term Loan Credit Agreement (hereinafter defined)  to include, among other things: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a new senior unsecured revolving credit facility in the amount of $250</w:t>
            </w:r>
            <w:r>
              <w:rPr>
                <w:caps w:val="false"/>
                <w:smallCaps w:val="false"/>
              </w:rPr>
              <w:t xml:space="preserve"> </w:t>
            </w:r>
            <w:r>
              <w:rPr>
                <w:rFonts w:ascii="Times New Roman;Times;serif" w:hAnsi="Times New Roman;Times;serif"/>
                <w:b w:val="false"/>
                <w:i w:val="false"/>
                <w:caps w:val="false"/>
                <w:smallCaps w:val="false"/>
                <w:sz w:val="20"/>
              </w:rPr>
              <w:t>million (the “Credit Facility”) which matures on January 31, 2027, with the option to extend for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an accordion option that allows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to request additional revolving loan commitments and additional term loan commitments, provided the aggregate amount of revolving loan commitments and term loan commitments shall not exceed $750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 of certain financial covenants;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the addition of a sustainability-linked pricing component pursuant to which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will receive interest rate reductions up to 0.025%</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based on performance against sustainability performance targets.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2022 Amended and Restated Credit Agreement, the indebtedness outstanding under the Credit Facility accrues at a rate ranging from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125 basis points to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December 31, 2024, the commitment level under the Credit Facility was $250.0 million and the Company had an outstanding balance of $102.0 million and $89.5 million available capacity.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64" w:name="Tc_pdGo5SS5i0udqTGfrVWNRQ_7_12"/>
      <w:bookmarkStart w:id="1065" w:name="Tc_ilhbqPigtEaxbW2egv37Dw_7_11"/>
      <w:bookmarkStart w:id="1066" w:name="Tc_zg_NeJ7fIEaRcr-UVal5jQ_7_8"/>
      <w:bookmarkStart w:id="1067" w:name="Tc_btXcNzmXEECyJw-09c2OAQ_7_6"/>
      <w:bookmarkStart w:id="1068" w:name="Tc_OjihZAErDEGZlBCXs-d9Tg_7_5"/>
      <w:bookmarkStart w:id="1069" w:name="Tc_tHS25oT5zUGRKaOUEu0-wQ_7_2"/>
      <w:bookmarkStart w:id="1070" w:name="Tc_AaezRW7_FkqeA7X97M_3cg_7_0"/>
      <w:bookmarkStart w:id="1071" w:name="Tc_a3b31JoT30i8eVFgpXXETQ_6_12"/>
      <w:bookmarkStart w:id="1072" w:name="Tc_jtWUu2csw0qFaQK3u7VyPg_6_6"/>
      <w:bookmarkStart w:id="1073" w:name="Tc_zKWjBLNup0OoS97I5HkK9Q_6_0"/>
      <w:bookmarkStart w:id="1074" w:name="Tc_gOigddHyxEWJTL-LnS8oGA_5_12"/>
      <w:bookmarkStart w:id="1075" w:name="Tc_8R2LUNrjgkurlN9R9L7p3g_5_6"/>
      <w:bookmarkStart w:id="1076" w:name="Tc_ONW0KZbrJ0mr27kqr3KenA_5_0"/>
      <w:bookmarkStart w:id="1077" w:name="Tc_WEEbNZfmOUaK7CPLckvdcw_4_12"/>
      <w:bookmarkStart w:id="1078" w:name="Tc_5t99c6a4Zkuf0-wu9TpvmQ_4_6"/>
      <w:bookmarkStart w:id="1079" w:name="Tc_-Nl0GtM110SozVK-1slATA_4_0"/>
      <w:bookmarkStart w:id="1080" w:name="Tc_SrA86joPdkGigPzYeZMcjw_3_12"/>
      <w:bookmarkStart w:id="1081" w:name="Tc_xO6Rtls5AEClWyOj_NYpuw_3_11"/>
      <w:bookmarkStart w:id="1082" w:name="Tc__SdA7syPY0iuH01h298sgA_3_8"/>
      <w:bookmarkStart w:id="1083" w:name="Tc_WAnKmF026USiHP4bhP0yqA_3_6"/>
      <w:bookmarkStart w:id="1084" w:name="Tc_DMd9RujjFE6_N7AfprHU1w_3_5"/>
      <w:bookmarkStart w:id="1085" w:name="Tc_iT_XSVDdtky2xLgMDf96zQ_3_2"/>
      <w:bookmarkStart w:id="1086" w:name="Tc_2GkW65q0BEqQs-FwUHkhKA_3_0"/>
      <w:bookmarkStart w:id="1087" w:name="Tc_oYwa9bYMJ02oURC4SyaxiQ_2_11"/>
      <w:bookmarkStart w:id="1088" w:name="Tc_3i5Ka0iiTEiMQRoIDThJ1w_2_8"/>
      <w:bookmarkStart w:id="1089" w:name="Tc_I_igj6ZbZU6KQBE4fGxHEQ_2_5"/>
      <w:bookmarkStart w:id="1090" w:name="Tc_C40uv3dAU0uAjfvL-lDuWg_2_2"/>
      <w:bookmarkStart w:id="1091" w:name="Tc_6sbeLjldaEeOcneTVHaDZg_1_8"/>
      <w:bookmarkStart w:id="1092" w:name="Tc_UgPFtsanSkOjp3SAOeNWZg_1_2"/>
      <w:bookmarkStart w:id="1093" w:name="_2001e434_8e25_4768_9a82_24d5c357f614"/>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r>
        <w:rPr>
          <w:rFonts w:ascii="Times New Roman;Times;serif" w:hAnsi="Times New Roman;Times;serif"/>
          <w:i/>
          <w:sz w:val="20"/>
        </w:rPr>
        <w:t xml:space="preserve">Prior Credit Facility. </w:t>
      </w:r>
      <w:r>
        <w:rPr>
          <w:rFonts w:ascii="Times New Roman;Times;serif" w:hAnsi="Times New Roman;Times;serif"/>
          <w:sz w:val="20"/>
        </w:rPr>
        <w:t xml:space="preserve">On September 30, 2022, in connection with the Company’s entry into the 2022 Amended and Restated Credit Agreement, the Company repaid all obligations outstanding under the Credit Agreement, dated as of November 26, 2019, as amended, among the Company, the Bank of Montreal, as administrative agent, and certain other lenders party thereto  (the “Prior Revolving Credit Facility”), and the Prior Revolving Credit Facility was terminated and the obligations thereunder discharged. As a result of the termination of the Prior Revolving Credit Facility, $0.3 million of unamortized deferred financing costs were written off during the three months ended September 30, 2022 and are included in the consolidated statements of operations as Loss on Extinguishment of Debt.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2026 Term Loan. </w:t>
      </w:r>
      <w:r>
        <w:rPr>
          <w:rFonts w:ascii="Times New Roman;Times;serif" w:hAnsi="Times New Roman;Times;serif"/>
          <w:sz w:val="20"/>
        </w:rPr>
        <w:t xml:space="preserve">On May 21, 2021, the Operating Partnership, the Company and certain subsidiaries of the Company 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5, 2022, the Company entered into an amendment which, among other things, amends certain financial covenants and adds a sustainability-linked pricing component consistent with what is contained in the 2022 Amended and Restated Credit Agreement (the “2026 Term Loan Second Amendment”), effective September 30, 2022.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2027 Term Loan. </w:t>
      </w:r>
      <w:r>
        <w:rPr>
          <w:rFonts w:ascii="Times New Roman;Times;serif" w:hAnsi="Times New Roman;Times;serif"/>
          <w:sz w:val="20"/>
        </w:rPr>
        <w:t xml:space="preserve">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Mortgage Notes Payable. </w:t>
      </w:r>
      <w:r>
        <w:rPr>
          <w:rFonts w:ascii="Times New Roman;Times;serif" w:hAnsi="Times New Roman;Times;serif"/>
          <w:sz w:val="20"/>
        </w:rPr>
        <w:t xml:space="preserve">On June 30, 2021, in connection with the acquisition of six net lease properties from CTO (the “CMBS Portfolio”), the Company assumed an existing $30.0 million secured mortgage, which bears interest at a fixed rate of 4.33% (the “CMBS Loan”). On December 1, 2022, the Company completed the defeasance of the CMBS Loan, unencumbering the CMBS Portfolio. The Company sold four of the six properties subsequent to the defeasance, during the year ended December 31, 2022. Additionally, on June 30, 2021, in connection with the acquisition of two net lease properties from an unrelated third party, the Company assumed mortgage notes totaling an aggregate of $1.6 million, which balance was repaid on July 1, 2021.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Long-term debt as of December 31, 2024 and 2023 consisted of the following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53"/>
        <w:gridCol w:w="109"/>
        <w:gridCol w:w="211"/>
        <w:gridCol w:w="781"/>
        <w:gridCol w:w="326"/>
        <w:gridCol w:w="663"/>
        <w:gridCol w:w="1093"/>
        <w:gridCol w:w="146"/>
        <w:gridCol w:w="211"/>
        <w:gridCol w:w="781"/>
        <w:gridCol w:w="326"/>
        <w:gridCol w:w="562"/>
        <w:gridCol w:w="1243"/>
      </w:tblGrid>
      <w:tr>
        <w:trPr/>
        <w:tc>
          <w:tcPr>
            <w:tcW w:w="3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175260"/>
                      <wp:effectExtent l="0" t="0" r="0" b="0"/>
                      <wp:wrapNone/>
                      <wp:docPr id="273" name="Frame2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21005" cy="175260"/>
                      <wp:effectExtent l="0" t="0" r="0" b="0"/>
                      <wp:wrapNone/>
                      <wp:docPr id="275" name="Frame275"/>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4055" cy="175260"/>
                      <wp:effectExtent l="0" t="0" r="0" b="0"/>
                      <wp:wrapNone/>
                      <wp:docPr id="276" name="Frame276"/>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2710" cy="175260"/>
                      <wp:effectExtent l="0" t="0" r="0" b="0"/>
                      <wp:wrapNone/>
                      <wp:docPr id="277" name="Frame2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95935" cy="175260"/>
                      <wp:effectExtent l="0" t="0" r="0" b="0"/>
                      <wp:wrapNone/>
                      <wp:docPr id="279" name="Frame2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56870" cy="175260"/>
                      <wp:effectExtent l="0" t="0" r="0" b="0"/>
                      <wp:wrapNone/>
                      <wp:docPr id="281" name="Frame281"/>
                      <a:graphic xmlns:a="http://schemas.openxmlformats.org/drawingml/2006/main">
                        <a:graphicData uri="http://schemas.microsoft.com/office/word/2010/wordprocessingShape">
                          <wps:wsp>
                            <wps:cNvSpPr txBox="1"/>
                            <wps:spPr>
                              <a:xfrm>
                                <a:off x="0" y="0"/>
                                <a:ext cx="35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89305" cy="175260"/>
                      <wp:effectExtent l="0" t="0" r="0" b="0"/>
                      <wp:wrapNone/>
                      <wp:docPr id="282" name="Frame282"/>
                      <a:graphic xmlns:a="http://schemas.openxmlformats.org/drawingml/2006/main">
                        <a:graphicData uri="http://schemas.microsoft.com/office/word/2010/wordprocessingShape">
                          <wps:wsp>
                            <wps:cNvSpPr txBox="1"/>
                            <wps:spPr>
                              <a:xfrm>
                                <a:off x="0" y="0"/>
                                <a:ext cx="789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46" w:type="dxa"/>
            <w:tcBorders/>
            <w:vAlign w:val="center"/>
          </w:tcPr>
          <w:p>
            <w:pPr>
              <w:pStyle w:val="TableContents"/>
              <w:bidi w:val="0"/>
              <w:spacing w:before="0" w:after="0"/>
              <w:ind w:left="0" w:right="0" w:hanging="0"/>
              <w:jc w:val="left"/>
              <w:rPr/>
            </w:pPr>
            <w:r>
              <w:rPr/>
              <w:t>​</w:t>
            </w:r>
          </w:p>
        </w:tc>
        <w:tc>
          <w:tcPr>
            <w:tcW w:w="3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7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c>
          <w:tcPr>
            <w:tcW w:w="326" w:type="dxa"/>
            <w:tcBorders/>
            <w:vAlign w:val="center"/>
          </w:tcPr>
          <w:p>
            <w:pPr>
              <w:pStyle w:val="TableContents"/>
              <w:bidi w:val="0"/>
              <w:spacing w:before="0" w:after="0"/>
              <w:ind w:left="0" w:right="0" w:hanging="0"/>
              <w:jc w:val="left"/>
              <w:rPr/>
            </w:pPr>
            <w:r>
              <w:rPr/>
              <w:t>    </w:t>
            </w:r>
          </w:p>
        </w:tc>
        <w:tc>
          <w:tcPr>
            <w:tcW w:w="1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102,000</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76,500</w:t>
            </w:r>
          </w:p>
        </w:tc>
        <w:tc>
          <w:tcPr>
            <w:tcW w:w="32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3" w:type="dxa"/>
            <w:tcBorders/>
            <w:shd w:fill="CCEEFF" w:val="clear"/>
            <w:vAlign w:val="center"/>
          </w:tcPr>
          <w:p>
            <w:pPr>
              <w:pStyle w:val="TableContents"/>
              <w:bidi w:val="0"/>
              <w:spacing w:before="0" w:after="0"/>
              <w:ind w:left="0" w:right="0" w:hanging="0"/>
              <w:jc w:val="right"/>
              <w:rPr/>
            </w:pPr>
            <w:r>
              <w:rPr/>
              <w:t>—</w:t>
            </w:r>
          </w:p>
        </w:tc>
      </w:tr>
      <w:tr>
        <w:trPr/>
        <w:tc>
          <w:tcPr>
            <w:tcW w:w="3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562"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pPr>
            <w:r>
              <w:rPr/>
              <w:t>—</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562"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pPr>
            <w:r>
              <w:rPr/>
              <w:t>—</w:t>
            </w:r>
          </w:p>
        </w:tc>
      </w:tr>
      <w:tr>
        <w:trPr/>
        <w:tc>
          <w:tcPr>
            <w:tcW w:w="3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26" w:type="dxa"/>
            <w:tcBorders/>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vAlign w:val="center"/>
          </w:tcPr>
          <w:p>
            <w:pPr>
              <w:pStyle w:val="TableContents"/>
              <w:bidi w:val="0"/>
              <w:spacing w:before="0" w:after="0"/>
              <w:ind w:left="0" w:right="0" w:hanging="0"/>
              <w:jc w:val="left"/>
              <w:rPr/>
            </w:pPr>
            <w:r>
              <w:rPr/>
              <w:t>​</w:t>
            </w:r>
          </w:p>
        </w:tc>
        <w:tc>
          <w:tcPr>
            <w:tcW w:w="5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301,466</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shd w:fill="CCEEFF" w:val="clear"/>
            <w:vAlign w:val="center"/>
          </w:tcPr>
          <w:p>
            <w:pPr>
              <w:pStyle w:val="TableContents"/>
              <w:bidi w:val="0"/>
              <w:spacing w:before="0" w:after="0"/>
              <w:ind w:left="0" w:right="0" w:hanging="0"/>
              <w:jc w:val="left"/>
              <w:rPr/>
            </w:pPr>
            <w:r>
              <w:rPr/>
              <w:t>​</w:t>
            </w:r>
          </w:p>
        </w:tc>
        <w:tc>
          <w:tcPr>
            <w:tcW w:w="5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94" w:name="Tc_4_2S6kcK4UynQbJ8Z7lO7A_8_8"/>
      <w:bookmarkStart w:id="1095" w:name="Tc_9HKO9XuAJE-VW82_1lGagw_8_5"/>
      <w:bookmarkStart w:id="1096" w:name="Tc_vi5bDggBSE6v_fL_F3F4mw_8_2"/>
      <w:bookmarkStart w:id="1097" w:name="Tc_Fyh4Dzd2ikOr-3OSoigQMg_8_0"/>
      <w:bookmarkStart w:id="1098" w:name="Tc_su_-AKq_PUO4Utn1-XUuHA_6_8"/>
      <w:bookmarkStart w:id="1099" w:name="Tc_6f7dxEv1O02tyIlC8-PsCw_6_5"/>
      <w:bookmarkStart w:id="1100" w:name="Tc_BeRv_vK61k6zmZPf9ql8mg_6_2"/>
      <w:bookmarkStart w:id="1101" w:name="Tc_kvmcM071Vk20Z0qzxN2HZg_6_0"/>
      <w:bookmarkStart w:id="1102" w:name="Tc_qU1mV525_UWfLM7P0dZ86w_5_0"/>
      <w:bookmarkStart w:id="1103" w:name="Tc_JRJS1wpAlke6MfZ5SfqWXg_4_9"/>
      <w:bookmarkStart w:id="1104" w:name="Tc_mBYSGM7Ck0aJNmT8SC4l5Q_4_6"/>
      <w:bookmarkStart w:id="1105" w:name="Tc_VrLbABMOUkOuQa2hEhVezg_4_0"/>
      <w:bookmarkStart w:id="1106" w:name="Tc_GIS35KvsI0mN8mpX-I5SPg_3_8"/>
      <w:bookmarkStart w:id="1107" w:name="Tc_2CxciHp5_kqGxOjfM-wgug_3_5"/>
      <w:bookmarkStart w:id="1108" w:name="Tc_ybYtiEc9o06EnIN7MM4rBA_3_2"/>
      <w:bookmarkStart w:id="1109" w:name="Tc_R2GZEt5fEkCssS_l_e1dXw_3_0"/>
      <w:bookmarkStart w:id="1110" w:name="Tc_AxbxGR3D-UG6a2H5LiCVLg_2_8"/>
      <w:bookmarkStart w:id="1111" w:name="Tc_mppePw83ekCbJSFXGoQVsQ_2_5"/>
      <w:bookmarkStart w:id="1112" w:name="Tc_XDUSidJSr0GfCDfwQESk2A_2_2"/>
      <w:bookmarkStart w:id="1113" w:name="Tc_9s_R2xBlZkmMFrpBhd3ePg_1_2"/>
      <w:bookmarkStart w:id="1114" w:name="_aac8f294_cdf9_454e_a4d2_ad25b2b3310e"/>
      <w:bookmarkStart w:id="1115" w:name="Tc_xzmd8fquMkW4CNaJ-tqGMQ_4_2"/>
      <w:bookmarkStart w:id="1116" w:name="Tc_o2hEKIBkhE2lVVaYz5XH7Q_4_0"/>
      <w:bookmarkStart w:id="1117" w:name="Tc_daBArB3ncUy-MmhxFNB-1Q_3_0"/>
      <w:bookmarkStart w:id="1118" w:name="Tc_uKYOhse-F0K5x8MGgDp_-g_2_2"/>
      <w:bookmarkStart w:id="1119" w:name="Tc_J3eMroXzc0Osxwm8LoL1Eg_2_0"/>
      <w:bookmarkStart w:id="1120" w:name="Tc_ncvfpPH3g0WMLeenia8h1g_1_2"/>
      <w:bookmarkStart w:id="1121" w:name="_f20272f6_526f_4a98_af38_7d86d693e2da"/>
      <w:bookmarkStart w:id="1122" w:name="Tc_6Sz9NYshFkyi_Qne6ilagw_8_2"/>
      <w:bookmarkStart w:id="1123" w:name="Tc_5L077IvGBkS0CP_0px3qyw_8_0"/>
      <w:bookmarkStart w:id="1124" w:name="Tc_rFFSofOEcUCVDOYoXGPnsw_7_3"/>
      <w:bookmarkStart w:id="1125" w:name="Tc_V1wuZan_tk2og-Fy8vLCOw_7_0"/>
      <w:bookmarkStart w:id="1126" w:name="Tc_lAKz9g5t00CZxtU_zyidtQ_6_3"/>
      <w:bookmarkStart w:id="1127" w:name="Tc_msKsOxG9HEuI8eW0W2LOZg_6_0"/>
      <w:bookmarkStart w:id="1128" w:name="Tc_Gv3dLzFLtUeVwnTzrbg2yw_5_3"/>
      <w:bookmarkStart w:id="1129" w:name="Tc_kdFDrusEVUeHI7X9WraBVA_5_0"/>
      <w:bookmarkStart w:id="1130" w:name="Tc_ejVrMoBET0K__poTcxk_MQ_4_0"/>
      <w:bookmarkStart w:id="1131" w:name="Tc_y73Wel2c5E-THPrGwp4_Gw_3_0"/>
      <w:bookmarkStart w:id="1132" w:name="Tc_XrICPuYbBEKOhZCfAdhNbw_2_3"/>
      <w:bookmarkStart w:id="1133" w:name="Tc_aUavIjR79UORxBwG_tSzZA_2_2"/>
      <w:bookmarkStart w:id="1134" w:name="Tc_h6_ytU0lnUW4niu88uHhdg_2_0"/>
      <w:bookmarkStart w:id="1135" w:name="Tc_Q1evJfJhkUu62sMSds33Kg_1_2"/>
      <w:bookmarkStart w:id="1136" w:name="Tc_Ehefzs9O-0GaCi9BT-Jh3g_1_0"/>
      <w:bookmarkStart w:id="1137" w:name="_4d31315e_ae90_444d_8762_851694c239ea"/>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r>
        <w:rPr>
          <w:rFonts w:ascii="Times New Roman;Times;serif" w:hAnsi="Times New Roman;Times;serif"/>
          <w:sz w:val="20"/>
        </w:rPr>
        <w:t>Payments applicable to reduction of principal amounts as of December 31, 2024 will be required as follows (in thousands):</w:t>
      </w:r>
    </w:p>
    <w:p>
      <w:pPr>
        <w:pStyle w:val="TextBody"/>
        <w:bidi w:val="0"/>
        <w:spacing w:before="0" w:after="0"/>
        <w:ind w:left="0" w:right="0" w:firstLine="360"/>
        <w:jc w:val="both"/>
        <w:rPr/>
      </w:pPr>
      <w:r>
        <w:rPr/>
        <w:t>​</w:t>
      </w:r>
    </w:p>
    <w:tbl>
      <w:tblPr>
        <w:tblW w:w="4219" w:type="dxa"/>
        <w:jc w:val="left"/>
        <w:tblInd w:w="0" w:type="dxa"/>
        <w:tblLayout w:type="fixed"/>
        <w:tblCellMar>
          <w:top w:w="0" w:type="dxa"/>
          <w:left w:w="0" w:type="dxa"/>
          <w:bottom w:w="0" w:type="dxa"/>
          <w:right w:w="0" w:type="dxa"/>
        </w:tblCellMar>
      </w:tblPr>
      <w:tblGrid>
        <w:gridCol w:w="3001"/>
        <w:gridCol w:w="109"/>
        <w:gridCol w:w="211"/>
        <w:gridCol w:w="898"/>
      </w:tblGrid>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70230" cy="175260"/>
                      <wp:effectExtent l="0" t="0" r="0" b="0"/>
                      <wp:wrapNone/>
                      <wp:docPr id="285" name="Frame28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302,000</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value of long-term debt as of December 31, 2024 consisted of the following (in thousands):</w:t>
      </w:r>
    </w:p>
    <w:p>
      <w:pPr>
        <w:pStyle w:val="TextBody"/>
        <w:bidi w:val="0"/>
        <w:spacing w:before="0" w:after="0"/>
        <w:ind w:left="0" w:right="0" w:firstLine="360"/>
        <w:jc w:val="both"/>
        <w:rPr/>
      </w:pPr>
      <w:r>
        <w:rPr/>
        <w:t>​</w:t>
      </w:r>
    </w:p>
    <w:tbl>
      <w:tblPr>
        <w:tblW w:w="5464" w:type="dxa"/>
        <w:jc w:val="left"/>
        <w:tblInd w:w="0" w:type="dxa"/>
        <w:tblLayout w:type="fixed"/>
        <w:tblCellMar>
          <w:top w:w="0" w:type="dxa"/>
          <w:left w:w="0" w:type="dxa"/>
          <w:bottom w:w="0" w:type="dxa"/>
          <w:right w:w="0" w:type="dxa"/>
        </w:tblCellMar>
      </w:tblPr>
      <w:tblGrid>
        <w:gridCol w:w="4246"/>
        <w:gridCol w:w="109"/>
        <w:gridCol w:w="211"/>
        <w:gridCol w:w="898"/>
      </w:tblGrid>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70230" cy="175260"/>
                      <wp:effectExtent l="0" t="0" r="0" b="0"/>
                      <wp:wrapNone/>
                      <wp:docPr id="288" name="Frame28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301,466</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the $0.5 million of financing costs, net of accumulated amortization included in the table above, as of December 31, 2024, the Company also had financing costs, net of accumulated amortization related to the Credit Facility of $0.9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years ended December 31, 2024, 2023, and 2022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863"/>
        <w:gridCol w:w="109"/>
        <w:gridCol w:w="395"/>
        <w:gridCol w:w="1272"/>
        <w:gridCol w:w="109"/>
        <w:gridCol w:w="395"/>
        <w:gridCol w:w="1272"/>
        <w:gridCol w:w="109"/>
        <w:gridCol w:w="393"/>
        <w:gridCol w:w="1288"/>
      </w:tblGrid>
      <w:tr>
        <w:trPr/>
        <w:tc>
          <w:tcPr>
            <w:tcW w:w="48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50825" cy="175260"/>
                      <wp:effectExtent l="0" t="0" r="0" b="0"/>
                      <wp:wrapNone/>
                      <wp:docPr id="290" name="Frame290"/>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807720" cy="175260"/>
                      <wp:effectExtent l="0" t="0" r="0" b="0"/>
                      <wp:wrapNone/>
                      <wp:docPr id="291" name="Frame291"/>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50825" cy="175260"/>
                      <wp:effectExtent l="0" t="0" r="0" b="0"/>
                      <wp:wrapNone/>
                      <wp:docPr id="293" name="Frame293"/>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807720" cy="175260"/>
                      <wp:effectExtent l="0" t="0" r="0" b="0"/>
                      <wp:wrapNone/>
                      <wp:docPr id="294" name="Frame294"/>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49555" cy="175260"/>
                      <wp:effectExtent l="0" t="0" r="0" b="0"/>
                      <wp:wrapNone/>
                      <wp:docPr id="296" name="Frame29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817880" cy="175260"/>
                      <wp:effectExtent l="0" t="0" r="0" b="0"/>
                      <wp:wrapNone/>
                      <wp:docPr id="297" name="Frame297"/>
                      <a:graphic xmlns:a="http://schemas.openxmlformats.org/drawingml/2006/main">
                        <a:graphicData uri="http://schemas.microsoft.com/office/word/2010/wordprocessingShape">
                          <wps:wsp>
                            <wps:cNvSpPr txBox="1"/>
                            <wps:spPr>
                              <a:xfrm>
                                <a:off x="0" y="0"/>
                                <a:ext cx="817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8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6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10,664</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8,940</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from Obligation Under Participation Agreement</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288" w:type="dxa"/>
            <w:tcBorders/>
            <w:vAlign w:val="center"/>
          </w:tcPr>
          <w:p>
            <w:pPr>
              <w:pStyle w:val="TableContents"/>
              <w:bidi w:val="0"/>
              <w:spacing w:before="0" w:after="0"/>
              <w:ind w:left="0" w:right="0" w:hanging="0"/>
              <w:jc w:val="right"/>
              <w:rPr/>
            </w:pPr>
            <w:r>
              <w:rPr/>
              <w:t>—</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9,539</w:t>
            </w:r>
          </w:p>
        </w:tc>
      </w:tr>
      <w:tr>
        <w:trPr/>
        <w:tc>
          <w:tcPr>
            <w:tcW w:w="48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288" w:type="dxa"/>
            <w:tcBorders/>
            <w:shd w:fill="CCEEFF" w:val="clear"/>
            <w:vAlign w:val="center"/>
          </w:tcPr>
          <w:p>
            <w:pPr>
              <w:pStyle w:val="TableContents"/>
              <w:bidi w:val="0"/>
              <w:spacing w:before="0" w:after="0"/>
              <w:ind w:left="0" w:right="0" w:hanging="0"/>
              <w:jc w:val="left"/>
              <w:rPr/>
            </w:pPr>
            <w:r>
              <w:rPr/>
              <w:t>​</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Paid</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11,969</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9,245</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7,753</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 compliance with all of its debt covenants as of December 31, 2024.</w:t>
      </w:r>
    </w:p>
    <w:p>
      <w:pPr>
        <w:pStyle w:val="TextBody"/>
        <w:bidi w:val="0"/>
        <w:spacing w:before="120" w:after="240"/>
        <w:ind w:left="0" w:right="0" w:hanging="0"/>
        <w:jc w:val="left"/>
        <w:rPr>
          <w:rFonts w:ascii="Times New Roman;Times;serif" w:hAnsi="Times New Roman;Times;serif"/>
          <w:b/>
          <w:sz w:val="20"/>
        </w:rPr>
      </w:pPr>
      <w:bookmarkStart w:id="1138" w:name="_fcb361f1_3413_4e98_a27d_30d75f9ea5ab_3"/>
      <w:bookmarkStart w:id="1139" w:name="_fcb361f1_3413_4e98_a27d_30d75f9ea5ab_2"/>
      <w:bookmarkStart w:id="1140" w:name="_fcb361f1_3413_4e98_a27d_30d75f9ea5ab"/>
      <w:bookmarkStart w:id="1141" w:name="_0f34b5d6_796b_4f86_b9da_bf98e26a56c1_3"/>
      <w:bookmarkStart w:id="1142" w:name="_0f34b5d6_796b_4f86_b9da_bf98e26a56c1_2"/>
      <w:bookmarkStart w:id="1143" w:name="_0f34b5d6_796b_4f86_b9da_bf98e26a56c1"/>
      <w:bookmarkEnd w:id="1138"/>
      <w:bookmarkEnd w:id="1139"/>
      <w:bookmarkEnd w:id="1140"/>
      <w:bookmarkEnd w:id="1141"/>
      <w:bookmarkEnd w:id="1142"/>
      <w:bookmarkEnd w:id="1143"/>
      <w:r>
        <w:rPr>
          <w:rFonts w:ascii="Times New Roman;Times;serif" w:hAnsi="Times New Roman;Times;serif"/>
          <w:b/>
          <w:sz w:val="20"/>
        </w:rPr>
        <w:t>NOTE 14. INTEREST RATE SWAPS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years ended December 31, 2024, 2023, and 2022.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144" w:name="Tc_J9kuVhKoRUK0qPtOzBqW0w_5_11"/>
      <w:bookmarkStart w:id="1145" w:name="Tc_wI6ZoSniWUiRjiHb1ezrQg_5_8"/>
      <w:bookmarkStart w:id="1146" w:name="Tc_vsum8z1kCk6_1wDGlX6F8Q_5_6"/>
      <w:bookmarkStart w:id="1147" w:name="Tc_bsBhw_7Xx0u3XOCm-anrKA_5_4"/>
      <w:bookmarkStart w:id="1148" w:name="Tc_OzmzSaT01UOkMWKJpI7E2A_5_2"/>
      <w:bookmarkStart w:id="1149" w:name="Tc_80akmV0rake9W1qXI6J3iA_5_0"/>
      <w:bookmarkStart w:id="1150" w:name="Tc_s1miLtJhV0eH4k1XJI5kuQ_4_11"/>
      <w:bookmarkStart w:id="1151" w:name="Tc_w65C_1k8JkyCrLDohozJog_4_8"/>
      <w:bookmarkStart w:id="1152" w:name="Tc_FrqqhWqVRkCu97jRBwB32A_4_6"/>
      <w:bookmarkStart w:id="1153" w:name="Tc_nRVB2sD4Akmt5mmL2NNaRA_4_4"/>
      <w:bookmarkStart w:id="1154" w:name="Tc_YG6eueyzDk-15z9u7nuDqg_4_2"/>
      <w:bookmarkStart w:id="1155" w:name="Tc_8gykUXPYEUmhxTh66AuOpQ_4_0"/>
      <w:bookmarkStart w:id="1156" w:name="Tc_9UOEooibUUCh-BxHUr3Krg_3_11"/>
      <w:bookmarkStart w:id="1157" w:name="Tc_uGJd9GMp40uDB24p5WisEg_3_8"/>
      <w:bookmarkStart w:id="1158" w:name="Tc_pfsTAo_QEU6f9vzT53ySrA_3_6"/>
      <w:bookmarkStart w:id="1159" w:name="Tc_tAr5RQtebEO8Cj8uY3I49w_3_4"/>
      <w:bookmarkStart w:id="1160" w:name="Tc_Y0L1AI6HwEiLg9hDdifSYw_3_2"/>
      <w:bookmarkStart w:id="1161" w:name="Tc_rARWz7UuWEmFZVwlXluUbA_3_0"/>
      <w:bookmarkStart w:id="1162" w:name="Tc_31cqjX4hCkOYe_50LVHnQg_2_11"/>
      <w:bookmarkStart w:id="1163" w:name="Tc_BTnVXiCno0-_ikSQV-IV5w_2_8"/>
      <w:bookmarkStart w:id="1164" w:name="Tc_knOz7TjWGEq1rCkWzlyngg_2_6"/>
      <w:bookmarkStart w:id="1165" w:name="Tc_ohrn7o7EwUyB0mMQS1LKtQ_2_4"/>
      <w:bookmarkStart w:id="1166" w:name="Tc_j_qf7brEt0qW5ea9RE2dIA_2_2"/>
      <w:bookmarkStart w:id="1167" w:name="Tc_yOzbxGPyHUeq-AR-sxZrqQ_2_0"/>
      <w:bookmarkStart w:id="1168" w:name="Tc_DJ_1WAbeAEOvMQiO_oMn6A_1_11"/>
      <w:bookmarkStart w:id="1169" w:name="Tc_GfD_hYfgwEOKRuVEcvAdyQ_1_8"/>
      <w:bookmarkStart w:id="1170" w:name="Tc_e36jKVBWXUypK_Ek6scd5A_1_6"/>
      <w:bookmarkStart w:id="1171" w:name="Tc_lK0RI4OAxki78wDIsG7aeA_1_4"/>
      <w:bookmarkStart w:id="1172" w:name="Tc_ZJAH5LtBkU6cTY7cBDSLyw_1_2"/>
      <w:bookmarkStart w:id="1173" w:name="Tc_6F3QjnjZQkuyyNFLttqlLA_1_0"/>
      <w:bookmarkStart w:id="1174" w:name="_cd864ce4_29e0_4bc7_aecb_6dfe4f0ae647"/>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r>
        <w:rPr>
          <w:rFonts w:ascii="Times New Roman;Times;serif" w:hAnsi="Times New Roman;Times;serif"/>
          <w:sz w:val="20"/>
        </w:rPr>
        <w:t xml:space="preserve">Information related to the Company’s interest rate swap agreements are noted below (in thousands): </w:t>
      </w:r>
    </w:p>
    <w:p>
      <w:pPr>
        <w:pStyle w:val="TextBody"/>
        <w:bidi w:val="0"/>
        <w:spacing w:before="0" w:after="0"/>
        <w:ind w:left="0" w:right="0" w:hanging="0"/>
        <w:jc w:val="left"/>
        <w:rPr/>
      </w:pPr>
      <w:r>
        <w:rPr/>
        <w:t>​</w:t>
      </w:r>
    </w:p>
    <w:tbl>
      <w:tblPr>
        <w:tblW w:w="9551" w:type="dxa"/>
        <w:jc w:val="left"/>
        <w:tblInd w:w="0" w:type="dxa"/>
        <w:tblLayout w:type="fixed"/>
        <w:tblCellMar>
          <w:top w:w="0" w:type="dxa"/>
          <w:left w:w="0" w:type="dxa"/>
          <w:bottom w:w="0" w:type="dxa"/>
          <w:right w:w="0" w:type="dxa"/>
        </w:tblCellMar>
      </w:tblPr>
      <w:tblGrid>
        <w:gridCol w:w="1516"/>
        <w:gridCol w:w="109"/>
        <w:gridCol w:w="1171"/>
        <w:gridCol w:w="109"/>
        <w:gridCol w:w="1201"/>
        <w:gridCol w:w="109"/>
        <w:gridCol w:w="1381"/>
        <w:gridCol w:w="109"/>
        <w:gridCol w:w="196"/>
        <w:gridCol w:w="691"/>
        <w:gridCol w:w="109"/>
        <w:gridCol w:w="687"/>
        <w:gridCol w:w="2163"/>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962660" cy="175260"/>
                      <wp:effectExtent l="0" t="0" r="0" b="0"/>
                      <wp:wrapNone/>
                      <wp:docPr id="298" name="Frame298"/>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743585" cy="175260"/>
                      <wp:effectExtent l="0" t="0" r="0" b="0"/>
                      <wp:wrapNone/>
                      <wp:docPr id="300" name="Frame30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62635" cy="175260"/>
                      <wp:effectExtent l="0" t="0" r="0" b="0"/>
                      <wp:wrapNone/>
                      <wp:docPr id="302" name="Frame30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876935" cy="175260"/>
                      <wp:effectExtent l="0" t="0" r="0" b="0"/>
                      <wp:wrapNone/>
                      <wp:docPr id="304" name="Frame304"/>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8785" cy="175260"/>
                      <wp:effectExtent l="0" t="0" r="0" b="0"/>
                      <wp:wrapNone/>
                      <wp:docPr id="307" name="Frame3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6245" cy="175260"/>
                      <wp:effectExtent l="0" t="0" r="0" b="0"/>
                      <wp:wrapNone/>
                      <wp:docPr id="309" name="Frame30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73505" cy="175260"/>
                      <wp:effectExtent l="0" t="0" r="0" b="0"/>
                      <wp:wrapNone/>
                      <wp:docPr id="310" name="Frame310"/>
                      <a:graphic xmlns:a="http://schemas.openxmlformats.org/drawingml/2006/main">
                        <a:graphicData uri="http://schemas.microsoft.com/office/word/2010/wordprocessingShape">
                          <wps:wsp>
                            <wps:cNvSpPr txBox="1"/>
                            <wps:spPr>
                              <a:xfrm>
                                <a:off x="0" y="0"/>
                                <a:ext cx="137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Hedged Item</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December 31, 2024</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2026 Term Loan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5/21/2021</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5/21/2026</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2.05%</w:t>
            </w:r>
            <w:r>
              <w:rPr>
                <w:rFonts w:ascii="Times New Roman;Times;serif" w:hAnsi="Times New Roman;Times;serif"/>
                <w:sz w:val="20"/>
              </w:rPr>
              <w:t xml:space="preserve"> </w:t>
            </w:r>
            <w:r>
              <w:rPr>
                <w:rFonts w:ascii="Times New Roman;Times;serif" w:hAnsi="Times New Roman;Times;serif"/>
                <w:sz w:val="18"/>
              </w:rPr>
              <w:t>+ 0.10%</w:t>
            </w:r>
            <w:r>
              <w:rPr>
                <w:rFonts w:ascii="Times New Roman;Times;serif" w:hAnsi="Times New Roman;Times;serif"/>
                <w:sz w:val="20"/>
              </w:rPr>
              <w:t xml:space="preserve"> </w:t>
            </w:r>
            <w:r>
              <w:rPr>
                <w:rFonts w:ascii="Times New Roman;Times;serif" w:hAnsi="Times New Roman;Times;serif"/>
                <w:sz w:val="18"/>
              </w:rPr>
              <w:t>+</w:t>
              <w:br/>
            </w:r>
            <w:r>
              <w:rPr>
                <w:rFonts w:ascii="Times New Roman;Times;serif" w:hAnsi="Times New Roman;Times;serif"/>
                <w:b w:val="false"/>
                <w:i w:val="false"/>
                <w:caps w:val="false"/>
                <w:smallCaps w:val="false"/>
                <w:sz w:val="18"/>
              </w:rP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68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2,811</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11/29/2024</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1.61%+ 0.10%</w:t>
            </w:r>
            <w:r>
              <w:rPr>
                <w:rFonts w:ascii="Times New Roman;Times;serif" w:hAnsi="Times New Roman;Times;serif"/>
                <w:sz w:val="20"/>
              </w:rPr>
              <w:t xml:space="preserve"> </w:t>
            </w:r>
            <w:r>
              <w:rPr>
                <w:rFonts w:ascii="Times New Roman;Times;serif" w:hAnsi="Times New Roman;Times;serif"/>
                <w:sz w:val="18"/>
              </w:rPr>
              <w:t>+</w:t>
              <w:br/>
            </w:r>
            <w:r>
              <w:rPr>
                <w:rFonts w:ascii="Times New Roman;Times;serif" w:hAnsi="Times New Roman;Times;serif"/>
                <w:b w:val="false"/>
                <w:i w:val="false"/>
                <w:caps w:val="false"/>
                <w:smallCaps w:val="false"/>
                <w:sz w:val="18"/>
              </w:rP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vAlign w:val="center"/>
          </w:tcPr>
          <w:p>
            <w:pPr>
              <w:pStyle w:val="TableContents"/>
              <w:bidi w:val="0"/>
              <w:spacing w:before="0" w:after="0"/>
              <w:ind w:left="0" w:right="0" w:hanging="0"/>
              <w:jc w:val="right"/>
              <w:rPr/>
            </w:pPr>
            <w:r>
              <w:rPr/>
              <w:t>​</w:t>
            </w:r>
          </w:p>
        </w:tc>
        <w:tc>
          <w:tcPr>
            <w:tcW w:w="68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4,023</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3.84%+ 0.10%</w:t>
            </w:r>
            <w:r>
              <w:rPr>
                <w:rFonts w:ascii="Times New Roman;Times;serif" w:hAnsi="Times New Roman;Times;serif"/>
                <w:sz w:val="20"/>
              </w:rPr>
              <w:t xml:space="preserve"> </w:t>
            </w:r>
            <w:r>
              <w:rPr>
                <w:rFonts w:ascii="Times New Roman;Times;serif" w:hAnsi="Times New Roman;Times;serif"/>
                <w:sz w:val="18"/>
              </w:rPr>
              <w:t>+</w:t>
              <w:br/>
            </w:r>
            <w:r>
              <w:rPr>
                <w:rFonts w:ascii="Times New Roman;Times;serif" w:hAnsi="Times New Roman;Times;serif"/>
                <w:b w:val="false"/>
                <w:i w:val="false"/>
                <w:caps w:val="false"/>
                <w:smallCaps w:val="false"/>
                <w:sz w:val="18"/>
              </w:rP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68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3/1/2023</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3/1/2028</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3.21%+ 0.10%+</w:t>
              <w:br/>
            </w:r>
            <w:r>
              <w:rPr>
                <w:rFonts w:ascii="Times New Roman;Times;serif" w:hAnsi="Times New Roman;Times;serif"/>
                <w:b w:val="false"/>
                <w:i w:val="false"/>
                <w:caps w:val="false"/>
                <w:smallCaps w:val="false"/>
                <w:sz w:val="18"/>
              </w:rP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8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63"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1,186</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the $100</w:t>
            </w:r>
            <w:r>
              <w:rPr>
                <w:caps w:val="false"/>
                <w:smallCaps w:val="false"/>
              </w:rPr>
              <w:t xml:space="preserve"> </w:t>
            </w:r>
            <w:r>
              <w:rPr>
                <w:rFonts w:ascii="Times New Roman;Times;serif" w:hAnsi="Times New Roman;Times;serif"/>
                <w:b w:val="false"/>
                <w:i w:val="false"/>
                <w:caps w:val="false"/>
                <w:smallCaps w:val="false"/>
                <w:sz w:val="16"/>
              </w:rPr>
              <w:t>million 2026 Term Loan balance. The weighted average fixed interest rate of 2.05%, is comprised of: (i) rate swaps on $60.0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May 21, 2021, as amended on April 14, 2022 in connection with the 2026 Term Loan Amendment, to fix SOFR (prior to April 14, 2022, the swap was to fix LIBOR), and (ii) a rate swap on $40.0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September 30, 2022, to fix SOFR.</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has utilized an interest rate swap to fix SOFR and achieve a weighted average fixed interest rate of 1.61%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$80.0</w:t>
            </w:r>
            <w:r>
              <w:rPr>
                <w:caps w:val="false"/>
                <w:smallCaps w:val="false"/>
              </w:rPr>
              <w:t xml:space="preserve"> </w:t>
            </w:r>
            <w:r>
              <w:rPr>
                <w:rFonts w:ascii="Times New Roman;Times;serif" w:hAnsi="Times New Roman;Times;serif"/>
                <w:b w:val="false"/>
                <w:i w:val="false"/>
                <w:caps w:val="false"/>
                <w:smallCaps w:val="false"/>
                <w:sz w:val="16"/>
              </w:rPr>
              <w:t>million of the $100</w:t>
            </w:r>
            <w:r>
              <w:rPr>
                <w:caps w:val="false"/>
                <w:smallCaps w:val="false"/>
              </w:rPr>
              <w:t xml:space="preserve"> </w:t>
            </w:r>
            <w:r>
              <w:rPr>
                <w:rFonts w:ascii="Times New Roman;Times;serif" w:hAnsi="Times New Roman;Times;serif"/>
                <w:b w:val="false"/>
                <w:i w:val="false"/>
                <w:caps w:val="false"/>
                <w:smallCaps w:val="false"/>
                <w:sz w:val="16"/>
              </w:rPr>
              <w:t>million 2027 Term Loan balance.</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has utilized an interest rate swap to fix SOFR and achieve a weighted average fixed interest rate of 3.84%</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$20.0</w:t>
            </w:r>
            <w:r>
              <w:rPr>
                <w:caps w:val="false"/>
                <w:smallCaps w:val="false"/>
              </w:rPr>
              <w:t xml:space="preserve"> </w:t>
            </w:r>
            <w:r>
              <w:rPr>
                <w:rFonts w:ascii="Times New Roman;Times;serif" w:hAnsi="Times New Roman;Times;serif"/>
                <w:b w:val="false"/>
                <w:i w:val="false"/>
                <w:caps w:val="false"/>
                <w:smallCaps w:val="false"/>
                <w:sz w:val="16"/>
              </w:rPr>
              <w:t>million of the $100</w:t>
            </w:r>
            <w:r>
              <w:rPr>
                <w:caps w:val="false"/>
                <w:smallCaps w:val="false"/>
              </w:rPr>
              <w:t xml:space="preserve"> </w:t>
            </w:r>
            <w:r>
              <w:rPr>
                <w:rFonts w:ascii="Times New Roman;Times;serif" w:hAnsi="Times New Roman;Times;serif"/>
                <w:b w:val="false"/>
                <w:i w:val="false"/>
                <w:caps w:val="false"/>
                <w:smallCaps w:val="false"/>
                <w:sz w:val="16"/>
              </w:rPr>
              <w:t>million 2027 Term Loan balance.</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9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2024, the Company has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$50</w:t>
            </w:r>
            <w:r>
              <w:rPr>
                <w:caps w:val="false"/>
                <w:smallCaps w:val="false"/>
              </w:rPr>
              <w:t xml:space="preserve"> </w:t>
            </w:r>
            <w:r>
              <w:rPr>
                <w:rFonts w:ascii="Times New Roman;Times;serif" w:hAnsi="Times New Roman;Times;serif"/>
                <w:b w:val="false"/>
                <w:i w:val="false"/>
                <w:caps w:val="false"/>
                <w:smallCaps w:val="false"/>
                <w:sz w:val="16"/>
              </w:rPr>
              <w:t xml:space="preserve">million of the outstanding balance on the Credit Facility.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December 31, 2024 and 2023, there were no events of default related to the Company's interest rate swap agreements.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EQUITY</w:t>
      </w:r>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lineRule="auto" w:line="271"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pStyle w:val="TextBody"/>
        <w:bidi w:val="0"/>
        <w:spacing w:before="0" w:after="240"/>
        <w:ind w:left="0" w:right="0" w:firstLine="36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FOLLOW-ON PUBLIC OFFERING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 As of December 31, 2024, we have $90.4 million of availability under the 2022 ATM Program.</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NONCONTROLLING INTEREST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CTO holds, directly and indirectly, an 7.7% noncontrolling ownership interest in the Operating Partnership as a result of 1,223,854 OP Units issued to CTO at the time of the Company’s IPO. On November 10, 2023, the Company redeemed the 479,640 OP Units held previously held by an unrelated third party. The 479,640 OP Units were redeemed on a one-for-one basis for shares of common stock of the Company.</w:t>
      </w:r>
    </w:p>
    <w:p>
      <w:pPr>
        <w:pStyle w:val="TextBody"/>
        <w:bidi w:val="0"/>
        <w:spacing w:before="0" w:after="0"/>
        <w:ind w:left="0" w:right="0" w:hanging="0"/>
        <w:jc w:val="left"/>
        <w:rPr/>
      </w:pPr>
      <w:r>
        <w:rPr/>
        <w:t>​</w:t>
      </w:r>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360"/>
        <w:jc w:val="left"/>
        <w:rPr/>
      </w:pPr>
      <w:r>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years ended December 31, 2024, 2023, and 2022, the Company declared and paid cash dividends on its common stock and OP Units of $1.110 per share, $1.100 per share, and $1.090 per share,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16.      COMMON STOCK AND EARNINGS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redemption of OP Units on a one-for-one basis using the treasury stock method at average market prices for the periods.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shd w:fill="FFFFFF" w:val="clear"/>
        </w:rPr>
      </w:pPr>
      <w:bookmarkStart w:id="1175" w:name="Tc_A-XK4dRhCEqZTsZ__ImkeQ_12_7"/>
      <w:bookmarkStart w:id="1176" w:name="Tc_aMsUPfc_H0Szq9ne04gToA_12_4"/>
      <w:bookmarkStart w:id="1177" w:name="Tc_czMlUJSu20WffQxaJjpWsA_12_1"/>
      <w:bookmarkStart w:id="1178" w:name="Tc_MbbyT_uGcUKKvwlIIP2O3Q_12_0"/>
      <w:bookmarkStart w:id="1179" w:name="Tc_NX-r1ciE106s7uIYf0s-AQ_11_7"/>
      <w:bookmarkStart w:id="1180" w:name="Tc_Tmi_PCKfuE-2I9PyDvLcRg_11_4"/>
      <w:bookmarkStart w:id="1181" w:name="Tc_jxwtQD-qR0qxV8HrYWZekw_11_1"/>
      <w:bookmarkStart w:id="1182" w:name="Tc_dQOFzgepK0GXj7T3B1yglQ_11_0"/>
      <w:bookmarkStart w:id="1183" w:name="Tc_FXORxfje70OyOoe4W9nkxg_10_0"/>
      <w:bookmarkStart w:id="1184" w:name="Tc_E0GBczr06E2v0MMtGUcshQ_9_0"/>
      <w:bookmarkStart w:id="1185" w:name="Tc_KDzUbwBPJE25zPACVJTOyQ_7_0"/>
      <w:bookmarkStart w:id="1186" w:name="Tc_wh-nQ5gTNESj-FWvOadfPA_6_0"/>
      <w:bookmarkStart w:id="1187" w:name="Tc_cmSV1vcnNUKfEWGfM_9uew_5_0"/>
      <w:bookmarkStart w:id="1188" w:name="Tc_7GoHRSjYWEuS44ubAGf5yg_3_7"/>
      <w:bookmarkStart w:id="1189" w:name="Tc_ZAgIVh6kEE2EAN1Gv2mcLg_3_4"/>
      <w:bookmarkStart w:id="1190" w:name="Tc_xbn3WGHmSEeC_3xkfRhQQA_3_1"/>
      <w:bookmarkStart w:id="1191" w:name="Tc_pRTWm4jXx0iLV080Ni76hw_3_0"/>
      <w:bookmarkStart w:id="1192" w:name="Tc_-P7uyRLT0UGTtrBTgetdzg_2_7"/>
      <w:bookmarkStart w:id="1193" w:name="Tc_JLDWc9XoCkaLT5NoJBu6MA_2_4"/>
      <w:bookmarkStart w:id="1194" w:name="Tc_oNu7cVfpNkCuT1oJ75Eupw_2_1"/>
      <w:bookmarkStart w:id="1195" w:name="Tc_INJ0YStrVUi-eu5bRPTA_Q_1_1"/>
      <w:bookmarkStart w:id="1196" w:name="_405adb31_c49f_4362_a233_b2663c0f5165"/>
      <w:bookmarkStart w:id="1197" w:name="_0a8aca5a_9fac_47be_bbb7_06b8ae590d30"/>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Pr>
          <w:rFonts w:ascii="Times New Roman;Times;serif" w:hAnsi="Times New Roman;Times;serif"/>
          <w:sz w:val="20"/>
          <w:shd w:fill="FFFFFF" w:val="clear"/>
        </w:rPr>
        <w:t>The following is a reconciliation of basic and diluted earnings per common share (in thousands, except share and per share data):</w:t>
      </w:r>
    </w:p>
    <w:tbl>
      <w:tblPr>
        <w:tblW w:w="10205" w:type="dxa"/>
        <w:jc w:val="left"/>
        <w:tblInd w:w="0" w:type="dxa"/>
        <w:tblLayout w:type="fixed"/>
        <w:tblCellMar>
          <w:top w:w="0" w:type="dxa"/>
          <w:left w:w="0" w:type="dxa"/>
          <w:bottom w:w="0" w:type="dxa"/>
          <w:right w:w="0" w:type="dxa"/>
        </w:tblCellMar>
      </w:tblPr>
      <w:tblGrid>
        <w:gridCol w:w="5362"/>
        <w:gridCol w:w="257"/>
        <w:gridCol w:w="1270"/>
        <w:gridCol w:w="109"/>
        <w:gridCol w:w="257"/>
        <w:gridCol w:w="1270"/>
        <w:gridCol w:w="109"/>
        <w:gridCol w:w="255"/>
        <w:gridCol w:w="1316"/>
      </w:tblGrid>
      <w:tr>
        <w:trPr/>
        <w:tc>
          <w:tcPr>
            <w:tcW w:w="536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3195" cy="175260"/>
                      <wp:effectExtent l="0" t="0" r="0" b="0"/>
                      <wp:wrapNone/>
                      <wp:docPr id="311" name="Frame31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806450" cy="175260"/>
                      <wp:effectExtent l="0" t="0" r="0" b="0"/>
                      <wp:wrapNone/>
                      <wp:docPr id="312" name="Frame312"/>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63195" cy="175260"/>
                      <wp:effectExtent l="0" t="0" r="0" b="0"/>
                      <wp:wrapNone/>
                      <wp:docPr id="314" name="Frame31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806450" cy="175260"/>
                      <wp:effectExtent l="0" t="0" r="0" b="0"/>
                      <wp:wrapNone/>
                      <wp:docPr id="315" name="Frame315"/>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61925" cy="175260"/>
                      <wp:effectExtent l="0" t="0" r="0" b="0"/>
                      <wp:wrapNone/>
                      <wp:docPr id="317" name="Frame31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835660" cy="175260"/>
                      <wp:effectExtent l="0" t="0" r="0" b="0"/>
                      <wp:wrapNone/>
                      <wp:docPr id="318" name="Frame318"/>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62" w:type="dxa"/>
            <w:tcBorders/>
            <w:vAlign w:val="center"/>
          </w:tcPr>
          <w:p>
            <w:pPr>
              <w:pStyle w:val="TableContents"/>
              <w:bidi w:val="0"/>
              <w:spacing w:before="0" w:after="0"/>
              <w:ind w:left="0" w:right="0" w:hanging="0"/>
              <w:jc w:val="left"/>
              <w:rPr>
                <w:color w:val="FF0000"/>
              </w:rPr>
            </w:pPr>
            <w:r>
              <w:rPr>
                <w:color w:val="FF0000"/>
              </w:rPr>
              <w:t>​</w:t>
            </w:r>
          </w:p>
        </w:tc>
        <w:tc>
          <w:tcPr>
            <w:tcW w:w="48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362" w:type="dxa"/>
            <w:tcBorders/>
            <w:vAlign w:val="center"/>
          </w:tcPr>
          <w:p>
            <w:pPr>
              <w:pStyle w:val="TableContents"/>
              <w:bidi w:val="0"/>
              <w:spacing w:before="0" w:after="0"/>
              <w:ind w:left="0" w:right="0" w:hanging="0"/>
              <w:jc w:val="left"/>
              <w:rPr/>
            </w:pPr>
            <w:r>
              <w:rPr/>
              <w:t>​</w:t>
            </w:r>
          </w:p>
        </w:tc>
        <w:tc>
          <w:tcPr>
            <w:tcW w:w="1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5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29,720</w:t>
            </w:r>
          </w:p>
        </w:tc>
      </w:tr>
      <w:tr>
        <w:trPr/>
        <w:tc>
          <w:tcPr>
            <w:tcW w:w="536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w:t>
            </w:r>
          </w:p>
        </w:tc>
      </w:tr>
      <w:tr>
        <w:trPr/>
        <w:tc>
          <w:tcPr>
            <w:tcW w:w="5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257"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13,858,257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13,925,362</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11,976,001</w:t>
            </w:r>
          </w:p>
        </w:tc>
      </w:tr>
      <w:tr>
        <w:trPr/>
        <w:tc>
          <w:tcPr>
            <w:tcW w:w="536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Number of Common Shares Applicable to OP Units using Treasury Stock Method </w:t>
            </w:r>
            <w:r>
              <w:rPr>
                <w:rFonts w:ascii="Times New Roman;Times;serif" w:hAnsi="Times New Roman;Times;serif"/>
                <w:sz w:val="15"/>
              </w:rPr>
              <w:t>(1)</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1,223,854</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1,635,162</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1,703,494</w:t>
            </w:r>
          </w:p>
        </w:tc>
      </w:tr>
      <w:tr>
        <w:trPr/>
        <w:tc>
          <w:tcPr>
            <w:tcW w:w="5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Applicable to Diluted Earnings per Share</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15,082,111</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15,560,524</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13,679,495</w:t>
            </w:r>
          </w:p>
        </w:tc>
      </w:tr>
      <w:tr>
        <w:trPr/>
        <w:tc>
          <w:tcPr>
            <w:tcW w:w="536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w:t>
            </w:r>
          </w:p>
        </w:tc>
      </w:tr>
      <w:tr>
        <w:trPr/>
        <w:tc>
          <w:tcPr>
            <w:tcW w:w="536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257"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pPr>
            <w:r>
              <w:rPr/>
              <w:t>​</w:t>
            </w:r>
          </w:p>
        </w:tc>
      </w:tr>
      <w:tr>
        <w:trPr/>
        <w:tc>
          <w:tcPr>
            <w:tcW w:w="5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257"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w:t>
            </w:r>
          </w:p>
        </w:tc>
      </w:tr>
      <w:tr>
        <w:trPr/>
        <w:tc>
          <w:tcPr>
            <w:tcW w:w="5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5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2.17</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Represents shares underlying OP units including (i) 1,223,854</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CTO in connection with our IPO and (ii) 479,640</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an unrelated third party in connection with the acquisition of a portfolio of properties during the year ended December 31, 2021, which OP Units were redeemed on a one-for-one basis for shares of common stock of the Company during the year ended December 31, 2023 (see Note 15, “Equity”).</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17. SHARE REPURCHASES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aggregate, the Company repurchased 899,011 shares of its common stock on the open market for a total cost of $14.6 million, or an average price per share of $16.23, during the year ended December 31, 2023.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2023 $15.0 Million Repurchase Program, the Company repurchased 45,768 shares of its common stock on the open market for a total cost of $0.8 million, or an average price per share of $16.90, during the year ended December 31, 2024, which completed the 2023 $15.0 Million Repurchase Program.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repurchases of the Company’s common stock during the year ended December 31, 2022.</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18.      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closing of the IPO, on November 26, 2019, the Company granted restricted shares of common stock to each of the Company’s initial non-employee directors under the Individual Plan. Each of the initial non-employee directors received an award of 2,000 restricted shares of common stock on November 26, 2019. The restricted shares vested in substantially equal installments on each of the first, second, and third anniversaries of the grant date. As of December 31, 2023, all increments of this award had 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one-time IPO-related grant of these 8,000 restricted shares of common stock, and the shares of common stock issued quarterly to the non-employee directors in lieu of cash retainer fees (pursuant to the directors’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98" w:name="Tc_-DaP7ge0v0q_4ukSntevBg_17_5"/>
      <w:bookmarkStart w:id="1199" w:name="Tc__Kdx1VTRakOkY8plgRWeAA_17_0"/>
      <w:bookmarkStart w:id="1200" w:name="Tc_6Yvtufb8_U-DyQNSXNC8Wg_16_0"/>
      <w:bookmarkStart w:id="1201" w:name="Tc_CiCJ3FELtEqsXTbeIReKfQ_15_0"/>
      <w:bookmarkStart w:id="1202" w:name="Tc_Z9nbsAR_4UulFG_eFVJ-XA_14_0"/>
      <w:bookmarkStart w:id="1203" w:name="Tc_h5V8BRCP00WiyUH6W8Qbqw_13_0"/>
      <w:bookmarkStart w:id="1204" w:name="Tc_a-5JzucWj0ml-BDs_RrY5w_12_5"/>
      <w:bookmarkStart w:id="1205" w:name="Tc_m8fEIjc7mkyw3F50bawd9g_12_0"/>
      <w:bookmarkStart w:id="1206" w:name="Tc_CKeP8NouD0GHYOL2T7aaSA_11_0"/>
      <w:bookmarkStart w:id="1207" w:name="Tc_1ww7pNzZcEeBdF_mGNp48g_10_0"/>
      <w:bookmarkStart w:id="1208" w:name="Tc_AAPzQCDYjE2KLY9WfARiYg_9_0"/>
      <w:bookmarkStart w:id="1209" w:name="Tc_qCdrlQ0AV0qMGGBXa04JgQ_8_0"/>
      <w:bookmarkStart w:id="1210" w:name="Tc_VPEbObT9nka1GrkEEepjPA_7_5"/>
      <w:bookmarkStart w:id="1211" w:name="Tc_VnJxmOJqnkS1G4b1dCqwWw_7_0"/>
      <w:bookmarkStart w:id="1212" w:name="Tc_RpIsQFEp6E26LY17E7jqOg_6_0"/>
      <w:bookmarkStart w:id="1213" w:name="Tc_nQxAO3x2kUGrts8PDbZTvw_5_0"/>
      <w:bookmarkStart w:id="1214" w:name="Tc_fElD31ZKUkS4WBFOIr_OwA_4_5"/>
      <w:bookmarkStart w:id="1215" w:name="Tc_UhKufQAYm0egTjh1_P2DDA_4_0"/>
      <w:bookmarkStart w:id="1216" w:name="Tc_q4EdkbD1AkCd9G8m64Il0g_3_0"/>
      <w:bookmarkStart w:id="1217" w:name="Tc_7VKQTsw9jU-jKD_ty5lG9w_2_5"/>
      <w:bookmarkStart w:id="1218" w:name="Tc_qm_pF7JEZUe2M9P1B5rTWg_2_0"/>
      <w:bookmarkStart w:id="1219" w:name="Tc_Ja30pNiMXUa59gwA7RXgtg_1_5"/>
      <w:bookmarkStart w:id="1220" w:name="Tc_agq8loy7eU6rnFlqM1kUlQ_1_3"/>
      <w:bookmarkStart w:id="1221" w:name="Tc_cEP0Ty3yeUGp8-JQRlb6Tg_1_0"/>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r>
        <w:rPr>
          <w:rFonts w:ascii="Times New Roman;Times;serif" w:hAnsi="Times New Roman;Times;serif"/>
          <w:sz w:val="20"/>
        </w:rPr>
        <w:t>election under the Company’s Non-Employee Director Compensation Policy), the Company has not made any grants under the Equity Incentive Plans. Any future grants under the Equity Incentive Plans will be approved by the compensation committee of the Board. The 2019 non-employee director share awards had an aggregate grant date fair value of $0.15 million. The Company’s determination of the grant date fair value of the three-year vest restricted stock awards was calculated by multiplying the number of shares issued by the Company’s stock price at the grant date. Compensation cost was recognized on a straight-line basis over the vesting period and is included in general and administrative expenses in the Company’s consolidated statements of operations. The Company recognized stock compensation expense totaling $0.05 million during the year ended December 31, 2022. There was no stock compensation expense during the years ended December 31, 2024, and 2023.</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summary of activity for these awards during the years ended December 31, 2024, 2023 and 2022 is presented below: </w:t>
      </w:r>
    </w:p>
    <w:p>
      <w:pPr>
        <w:pStyle w:val="TextBody"/>
        <w:bidi w:val="0"/>
        <w:spacing w:before="0" w:after="0"/>
        <w:ind w:left="0" w:right="0" w:firstLine="490"/>
        <w:jc w:val="both"/>
        <w:rPr/>
      </w:pPr>
      <w:r>
        <w:rPr/>
        <w:t>​</w:t>
      </w:r>
    </w:p>
    <w:tbl>
      <w:tblPr>
        <w:tblW w:w="6298" w:type="dxa"/>
        <w:jc w:val="left"/>
        <w:tblInd w:w="0" w:type="dxa"/>
        <w:tblLayout w:type="fixed"/>
        <w:tblCellMar>
          <w:top w:w="0" w:type="dxa"/>
          <w:left w:w="0" w:type="dxa"/>
          <w:bottom w:w="0" w:type="dxa"/>
          <w:right w:w="0" w:type="dxa"/>
        </w:tblCellMar>
      </w:tblPr>
      <w:tblGrid>
        <w:gridCol w:w="2896"/>
        <w:gridCol w:w="109"/>
        <w:gridCol w:w="326"/>
        <w:gridCol w:w="691"/>
        <w:gridCol w:w="326"/>
        <w:gridCol w:w="495"/>
        <w:gridCol w:w="1455"/>
      </w:tblGrid>
      <w:tr>
        <w:trPr/>
        <w:tc>
          <w:tcPr>
            <w:tcW w:w="2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38785" cy="175260"/>
                      <wp:effectExtent l="0" t="0" r="0" b="0"/>
                      <wp:wrapNone/>
                      <wp:docPr id="320" name="Frame3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14325" cy="175260"/>
                      <wp:effectExtent l="0" t="0" r="0" b="0"/>
                      <wp:wrapNone/>
                      <wp:docPr id="322" name="Frame322"/>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923925" cy="175260"/>
                      <wp:effectExtent l="0" t="0" r="0" b="0"/>
                      <wp:wrapNone/>
                      <wp:docPr id="323" name="Frame323"/>
                      <a:graphic xmlns:a="http://schemas.openxmlformats.org/drawingml/2006/main">
                        <a:graphicData uri="http://schemas.microsoft.com/office/word/2010/wordprocessingShape">
                          <wps:wsp>
                            <wps:cNvSpPr txBox="1"/>
                            <wps:spPr>
                              <a:xfrm>
                                <a:off x="0" y="0"/>
                                <a:ext cx="923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Restricted Shares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    </w:t>
            </w:r>
          </w:p>
        </w:tc>
        <w:tc>
          <w:tcPr>
            <w:tcW w:w="1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455"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455"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shd w:fill="CCEEFF" w:val="clear"/>
            <w:vAlign w:val="center"/>
          </w:tcPr>
          <w:p>
            <w:pPr>
              <w:pStyle w:val="TableContents"/>
              <w:bidi w:val="0"/>
              <w:spacing w:before="0" w:after="0"/>
              <w:ind w:left="0" w:right="0" w:hanging="0"/>
              <w:jc w:val="left"/>
              <w:rPr/>
            </w:pPr>
            <w:r>
              <w:rPr/>
              <w:t>​</w:t>
            </w:r>
          </w:p>
        </w:tc>
        <w:tc>
          <w:tcPr>
            <w:tcW w:w="1455"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left"/>
              <w:rPr/>
            </w:pPr>
            <w:r>
              <w:rPr/>
              <w:t>​</w:t>
            </w:r>
          </w:p>
        </w:tc>
        <w:tc>
          <w:tcPr>
            <w:tcW w:w="1455"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2024</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bottom w:val="double" w:sz="6" w:space="0" w:color="000000"/>
            </w:tcBorders>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and 2023, there was no unrecognized compensation cost related to the three-year vest restricted shares.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Each non-employee member of the Board has the option to receive his or her annual cash retainer fee in shares of Company common stock rather than cash. The number of shares issued to the directors making such election is calculated quarterly by dividing the amount of the quarterly retainer fee payment due to such director by the 20-day trailing average closing price of the Company’s common stock as of the last business day of the calendar quarter, rounded down to the nearest whole number of shares. During the year ended December 31, 2024, the expense recognized for the value of the Company’s common stock received by non-employee directors totaled $0.2 million, or 15,119 shares, of which 5,131 shares were issued on April 1, 2024, 5,168 shares were issued on July 1, 2024, 4,304 shares were issued on October 1, 2024, and 516 shares were issued on January 2, 2025. During the year ended December 31, 2023, the expense recognized for the value of the Company’s common stock received by non-employee directors totaled $0.3 million, or 19,133 shares, of which 4,776 shares were issued on April 1, 2023, 4,940 shares were issued on July 3, 2023, 4,748 shares were issued on October 2, 2023, and 4,669 shares were issued on January 2, 2024. During the year ended December 31, 2022, the expense recognized for the value of the Company’s common stock received by non-employee directors totaled $0.3 million, or 14,485 shares, of which 3,514 shares were issued on April 1, 2022, 3,689 shares were issued on July 1, 2022, 3,774 shares were issued on October 1, 2022, and 3,508 shares were issued on January 1, 2023.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22" w:name="Tc_BV_4Ob5ww0WEFN1hYGN8UA_5_7"/>
      <w:bookmarkStart w:id="1223" w:name="Tc_YLKYe_pLXEOJs905GnKI0A_5_4"/>
      <w:bookmarkStart w:id="1224" w:name="Tc_ZasDCAZ_GESjV4FjYwSMIQ_5_1"/>
      <w:bookmarkStart w:id="1225" w:name="Tc_o3BWRfZdYUemt_pHyeKw6Q_5_0"/>
      <w:bookmarkStart w:id="1226" w:name="Tc_W7RM50b2FEmcNapYgsnGVQ_4_0"/>
      <w:bookmarkStart w:id="1227" w:name="Tc_pX80ZaPxbEOzZfcovwnK2w_3_7"/>
      <w:bookmarkStart w:id="1228" w:name="Tc_1pwnXR0J5ku7vC_7VcD83Q_3_5"/>
      <w:bookmarkStart w:id="1229" w:name="Tc_wh4TitDz6kKI6nyDemM3WQ_3_4"/>
      <w:bookmarkStart w:id="1230" w:name="Tc_gnOldhSa_EOah0DfYu__FA_3_2"/>
      <w:bookmarkStart w:id="1231" w:name="Tc_JcjOC1NlaEunUtVbY0MIOQ_3_1"/>
      <w:bookmarkStart w:id="1232" w:name="Tc_exxZhjraxEiq8uJDMFuewg_3_0"/>
      <w:bookmarkStart w:id="1233" w:name="Tc_N7QEUjS4xEmPMqsy_jZJ8g_2_7"/>
      <w:bookmarkStart w:id="1234" w:name="Tc_S7YWDRjyc0ChkTrYTsCT_w_2_4"/>
      <w:bookmarkStart w:id="1235" w:name="Tc_pgmnYnu_o02uX7-vkiWGew_2_1"/>
      <w:bookmarkStart w:id="1236" w:name="Tc_DMiMa5leFEmmWRJ8kPR59Q_1_1"/>
      <w:bookmarkStart w:id="1237" w:name="_083fb275_36ca_4b16_b183_9c1c4be4fc4f"/>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Pr>
          <w:rFonts w:ascii="Times New Roman;Times;serif" w:hAnsi="Times New Roman;Times;serif"/>
          <w:sz w:val="20"/>
        </w:rPr>
        <w:t xml:space="preserve">Stock compensation expense for the years ended December 31, 2024, 2023, and 2022 is summarized as follows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936"/>
        <w:gridCol w:w="558"/>
        <w:gridCol w:w="1119"/>
        <w:gridCol w:w="109"/>
        <w:gridCol w:w="558"/>
        <w:gridCol w:w="1119"/>
        <w:gridCol w:w="109"/>
        <w:gridCol w:w="476"/>
        <w:gridCol w:w="1221"/>
      </w:tblGrid>
      <w:tr>
        <w:trPr/>
        <w:tc>
          <w:tcPr>
            <w:tcW w:w="4936"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54330" cy="175260"/>
                      <wp:effectExtent l="0" t="0" r="0" b="0"/>
                      <wp:wrapNone/>
                      <wp:docPr id="324" name="Frame324"/>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10565" cy="175260"/>
                      <wp:effectExtent l="0" t="0" r="0" b="0"/>
                      <wp:wrapNone/>
                      <wp:docPr id="325" name="Frame325"/>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54330" cy="175260"/>
                      <wp:effectExtent l="0" t="0" r="0" b="0"/>
                      <wp:wrapNone/>
                      <wp:docPr id="327" name="Frame327"/>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710565" cy="175260"/>
                      <wp:effectExtent l="0" t="0" r="0" b="0"/>
                      <wp:wrapNone/>
                      <wp:docPr id="328" name="Frame328"/>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02260" cy="175260"/>
                      <wp:effectExtent l="0" t="0" r="0" b="0"/>
                      <wp:wrapNone/>
                      <wp:docPr id="330" name="Frame330"/>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75335" cy="175260"/>
                      <wp:effectExtent l="0" t="0" r="0" b="0"/>
                      <wp:wrapNone/>
                      <wp:docPr id="331" name="Frame331"/>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526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936" w:type="dxa"/>
            <w:tcBorders/>
            <w:vAlign w:val="center"/>
          </w:tcPr>
          <w:p>
            <w:pPr>
              <w:pStyle w:val="TableContents"/>
              <w:bidi w:val="0"/>
              <w:spacing w:before="0" w:after="0"/>
              <w:ind w:left="0" w:right="0" w:hanging="0"/>
              <w:jc w:val="left"/>
              <w:rPr/>
            </w:pPr>
            <w:r>
              <w:rPr/>
              <w:t>​</w:t>
            </w:r>
          </w:p>
        </w:tc>
        <w:tc>
          <w:tcPr>
            <w:tcW w:w="1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6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 Director Restricted Stock</w:t>
            </w:r>
          </w:p>
        </w:tc>
        <w:tc>
          <w:tcPr>
            <w:tcW w:w="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 Director Retainers Paid in Stock</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vAlign w:val="center"/>
          </w:tcPr>
          <w:p>
            <w:pPr>
              <w:pStyle w:val="TableContents"/>
              <w:bidi w:val="0"/>
              <w:spacing w:before="0" w:after="0"/>
              <w:ind w:left="0" w:right="0" w:hanging="0"/>
              <w:jc w:val="righ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 Compensation Expense </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right"/>
              <w:rPr/>
            </w:pPr>
            <w:r>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310</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Director retainers are issued through additional paid in capital in arrears. Therefore, the change in additional paid in capital during the years ended December 31, 2024, 2023, and 2022 reported on the consolidated statements of stockholders’ equity does not agree to the total non-cash compensation reported on the consolidated statements of cash flows.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19. RELATED PARTY MANAGEMENT COMPANY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externally managed by the Manager, a wholly owned subsidiary of CTO. During the year ended December 31, 2024, CTO purchased 29,807 shares of PINE common stock in the open market for $0.4 million, or an average price per share of $14.97. During the year ended December 31, 2023, CTO purchased 129,271 shares of PINE common stock in the open market for $2.1 million, or an average price per share of $16.21. During the year ended December 31, 2022, CTO purchased 155,665 shares of PINE common stock in the open market for $2.7 million, or an average price per share of $17.57. As of December 31, 2024, CTO owns, in the aggregate, 1,223,854 OP Units and 1,138,621 shares of PINE common stock, inclusive of (i) 394,737 shares of common stock totaling $7.5 million issued in connection with a private placement that closed concurrently with the IPO, (ii) 421,053 shares of common stock totaling $8.0 million issued in connection with the IPO, and (iii) 322,831 shares of common stock totaling $5.4 million purchased by CTO subsequent to the IPO. The aggregate 1,223,854 OP Units and 1,138,621 shares of PINE common stock held by CTO represent an investment totaling $39.7 million, or 14.8% of PINE’s outstanding equity, as of December 31, 2024.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Management Agreement</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2024, 2023 or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the initial term will automatically renew for an unlimited number of successive one-year periods thereafter, unless the agreement is not renewed or is terminated in accordance with its terms.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independent directors review our Manager’s performance and the management fees annually and, following the initial term, the Management Agreement may be terminated annually upon the affirmative vote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our independent directors or upon a determination by the holders of a majority of the outstanding shares of our common stock, based upon (i) unsatisfactory performance by the Manager that is materially detrimental to us or (ii) a determination that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38" w:name="Tc_ZxowFJLDZUaOEpfyZSiNHA_5_5"/>
      <w:bookmarkStart w:id="1239" w:name="Tc_nAbq8AZRl0qMmXTExr794A_5_2"/>
      <w:bookmarkStart w:id="1240" w:name="Tc_qqqW7bMZMkasV51Am88sFw_5_0"/>
      <w:bookmarkStart w:id="1241" w:name="Tc_nNNambRQpk-0j9U0ARHNdQ_4_0"/>
      <w:bookmarkStart w:id="1242" w:name="Tc_7PEkcQis8E27SvB1m0pBOQ_3_5"/>
      <w:bookmarkStart w:id="1243" w:name="Tc_h-MUB7zJI0iGBmrKXGE7sg_3_2"/>
      <w:bookmarkStart w:id="1244" w:name="Tc_8vy5SpXcAkScqvcBF6bFCQ_3_0"/>
      <w:bookmarkStart w:id="1245" w:name="Tc_7NPVXB1T0k-LpLPRP4r22g_2_5"/>
      <w:bookmarkStart w:id="1246" w:name="Tc_BhH_DF3jLUmHNeHqqWzMvQ_2_2"/>
      <w:bookmarkStart w:id="1247" w:name="Tc_yCFum8AKzEOaxn_3BGub-A_2_0"/>
      <w:bookmarkStart w:id="1248" w:name="Tc_SxbFpLiG4UaDdPiTa4_KbA_1_2"/>
      <w:bookmarkStart w:id="1249" w:name="_bff1bc56_95c8_4a81_9f4b_a0820ed7a408"/>
      <w:bookmarkEnd w:id="1238"/>
      <w:bookmarkEnd w:id="1239"/>
      <w:bookmarkEnd w:id="1240"/>
      <w:bookmarkEnd w:id="1241"/>
      <w:bookmarkEnd w:id="1242"/>
      <w:bookmarkEnd w:id="1243"/>
      <w:bookmarkEnd w:id="1244"/>
      <w:bookmarkEnd w:id="1245"/>
      <w:bookmarkEnd w:id="1246"/>
      <w:bookmarkEnd w:id="1247"/>
      <w:bookmarkEnd w:id="1248"/>
      <w:bookmarkEnd w:id="1249"/>
      <w:r>
        <w:rPr>
          <w:rFonts w:ascii="Times New Roman;Times;serif" w:hAnsi="Times New Roman;Times;serif"/>
          <w:sz w:val="20"/>
        </w:rPr>
        <w:t xml:space="preserve">the management fees payable to our Manager are not fair, subject to our Manager’s right to prevent such termination due to unfair fees by accepting a reduction of management fees agreed to by </w:t>
      </w:r>
      <w:r>
        <w:rPr>
          <w:rFonts w:ascii="Times New Roman;Times;serif" w:hAnsi="Times New Roman;Times;serif"/>
          <w:b w:val="false"/>
          <w:i w:val="false"/>
          <w:caps w:val="false"/>
          <w:smallCaps w:val="false"/>
          <w:sz w:val="20"/>
        </w:rPr>
        <w:t>two</w:t>
      </w:r>
      <w:r>
        <w:rPr>
          <w:rFonts w:ascii="Times New Roman;Times;serif" w:hAnsi="Times New Roman;Times;serif"/>
          <w:sz w:val="20"/>
        </w:rPr>
        <w:t>-thirds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incurred management fee expenses totaling $4.2 million, $4.3 million, and $3.8 million during the years ended December 31, 2024, 2023, and 2022, respectively. The Company also paid dividends on the common stock and OP Units owned by affiliates of the Manager in the amount of $2.6 million, $2.5 million, and $2.3 million, for the years ended December 31, 2024, 2023, and 2022, respectively.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amounts due from the Company to CTO (in thousands):</w:t>
      </w:r>
    </w:p>
    <w:p>
      <w:pPr>
        <w:pStyle w:val="TextBody"/>
        <w:bidi w:val="0"/>
        <w:spacing w:before="0" w:after="0"/>
        <w:ind w:left="0" w:right="0" w:firstLine="360"/>
        <w:jc w:val="both"/>
        <w:rPr/>
      </w:pPr>
      <w:r>
        <w:rPr/>
        <w:t>​</w:t>
      </w:r>
    </w:p>
    <w:tbl>
      <w:tblPr>
        <w:tblW w:w="6653" w:type="dxa"/>
        <w:jc w:val="left"/>
        <w:tblInd w:w="0" w:type="dxa"/>
        <w:tblLayout w:type="fixed"/>
        <w:tblCellMar>
          <w:top w:w="0" w:type="dxa"/>
          <w:left w:w="0" w:type="dxa"/>
          <w:bottom w:w="0" w:type="dxa"/>
          <w:right w:w="0" w:type="dxa"/>
        </w:tblCellMar>
      </w:tblPr>
      <w:tblGrid>
        <w:gridCol w:w="2506"/>
        <w:gridCol w:w="326"/>
        <w:gridCol w:w="465"/>
        <w:gridCol w:w="1260"/>
        <w:gridCol w:w="326"/>
        <w:gridCol w:w="414"/>
        <w:gridCol w:w="1356"/>
      </w:tblGrid>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800100" cy="175260"/>
                      <wp:effectExtent l="0" t="0" r="0" b="0"/>
                      <wp:wrapNone/>
                      <wp:docPr id="332" name="Frame332"/>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861060" cy="175260"/>
                      <wp:effectExtent l="0" t="0" r="0" b="0"/>
                      <wp:wrapNone/>
                      <wp:docPr id="333" name="Frame333"/>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righ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due to CTO</w:t>
            </w:r>
          </w:p>
        </w:tc>
        <w:tc>
          <w:tcPr>
            <w:tcW w:w="32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326" w:type="dxa"/>
            <w:tcBorders/>
            <w:shd w:fill="CCEEFF" w:val="clear"/>
            <w:vAlign w:val="center"/>
          </w:tcPr>
          <w:p>
            <w:pPr>
              <w:pStyle w:val="TableContents"/>
              <w:bidi w:val="0"/>
              <w:spacing w:before="0" w:after="0"/>
              <w:ind w:left="0" w:right="0" w:hanging="0"/>
              <w:jc w:val="righ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righ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26" w:type="dxa"/>
            <w:tcBorders/>
            <w:shd w:fill="CCEEFF" w:val="clear"/>
            <w:vAlign w:val="center"/>
          </w:tcPr>
          <w:p>
            <w:pPr>
              <w:pStyle w:val="TableContents"/>
              <w:bidi w:val="0"/>
              <w:spacing w:before="0" w:after="0"/>
              <w:ind w:left="0" w:right="0" w:hanging="0"/>
              <w:jc w:val="righ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1,052</w:t>
            </w:r>
          </w:p>
        </w:tc>
      </w:tr>
    </w:tbl>
    <w:tbl>
      <w:tblPr>
        <w:tblW w:w="7742" w:type="dxa"/>
        <w:jc w:val="left"/>
        <w:tblInd w:w="0" w:type="dxa"/>
        <w:tblLayout w:type="fixed"/>
        <w:tblCellMar>
          <w:top w:w="0" w:type="dxa"/>
          <w:left w:w="0" w:type="dxa"/>
          <w:bottom w:w="0" w:type="dxa"/>
          <w:right w:w="0" w:type="dxa"/>
        </w:tblCellMar>
      </w:tblPr>
      <w:tblGrid>
        <w:gridCol w:w="271"/>
        <w:gridCol w:w="747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7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Included in accrued expenses, see Note 11, “Accounts Payable, Accrued Expenses, and Other Liabilities”.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hanging="0"/>
        <w:jc w:val="both"/>
        <w:rPr/>
      </w:pPr>
      <w:r>
        <w:rPr/>
        <w:t> </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April 6, 2021, the Company entered into a purchase and sale agreement with a certain subsidiary of CTO for the purchase of one net lease property for $11.5 million. The acquisition was completed on April 23, 2021.</w:t>
      </w:r>
    </w:p>
    <w:p>
      <w:pPr>
        <w:pStyle w:val="TextBody"/>
        <w:bidi w:val="0"/>
        <w:spacing w:lineRule="auto" w:line="268"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pStyle w:val="TextBody"/>
        <w:bidi w:val="0"/>
        <w:spacing w:lineRule="auto" w:line="268"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January 5, 2022, the Company entered into a purchase and sale agreement with a certain subsidiary of CTO for the purchase of one net lease property for $6.9 million. The acquisition was completed on January 7, 2022.</w:t>
      </w:r>
    </w:p>
    <w:p>
      <w:pPr>
        <w:pStyle w:val="TextBody"/>
        <w:bidi w:val="0"/>
        <w:spacing w:lineRule="auto" w:line="268"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entry into these purchase and sale agreements, and subsequent completion of the related acquisitions, are a result of the Company exercising its right to purchase the aforementioned properties under the ROFO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Conflicts of Interest </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0"/>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4" w:after="4"/>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firstLine="360"/>
        <w:jc w:val="both"/>
        <w:rPr/>
      </w:pPr>
      <w:r>
        <w:rPr/>
        <w:t> </w:t>
      </w: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Revenue Sharing Agreement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is expected to receive a share of the asset management fees, disposition management fees, leasing commissions, and other fees related to CTO’s management and administration of the portfolio (the “Revenue Sharing Agreement”). The Company’s share of the fees under the Revenue Sharing Agreement will be based on fees earned by CTO associated with the single tenant properties within the portfolio, which are earned as services are rendered. During the years ended December 31, 2024 and 2023, the Company recognized $0.5 million and less than $0.1 million of revenue pursuant to the Revenue Sharing Agreement, which is included in other revenue on the Company’s consolidated statement of operations.</w:t>
      </w:r>
    </w:p>
    <w:p>
      <w:pPr>
        <w:pStyle w:val="TextBody"/>
        <w:bidi w:val="0"/>
        <w:spacing w:before="4" w:after="4"/>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20.      COMMITMENTS AND CONTINGENCIES</w:t>
      </w:r>
    </w:p>
    <w:p>
      <w:pPr>
        <w:pStyle w:val="TextBody"/>
        <w:bidi w:val="0"/>
        <w:spacing w:before="4" w:after="4"/>
        <w:ind w:left="0" w:right="0" w:hanging="0"/>
        <w:jc w:val="both"/>
        <w:rPr>
          <w:rFonts w:ascii="Times New Roman;Times;serif" w:hAnsi="Times New Roman;Times;serif"/>
          <w:i/>
          <w:sz w:val="20"/>
        </w:rPr>
      </w:pPr>
      <w:r>
        <w:rPr>
          <w:rFonts w:ascii="Times New Roman;Times;serif" w:hAnsi="Times New Roman;Times;serif"/>
          <w:i/>
          <w:sz w:val="20"/>
        </w:rPr>
        <w:t>LEGAL PROCEEDINGS</w:t>
      </w:r>
    </w:p>
    <w:p>
      <w:pPr>
        <w:pStyle w:val="TextBody"/>
        <w:bidi w:val="0"/>
        <w:spacing w:before="4" w:after="4"/>
        <w:ind w:left="0" w:right="0" w:hanging="0"/>
        <w:jc w:val="both"/>
        <w:rPr/>
      </w:pPr>
      <w:r>
        <w:rPr/>
        <w:t> </w:t>
      </w:r>
    </w:p>
    <w:p>
      <w:pPr>
        <w:pStyle w:val="TextBody"/>
        <w:bidi w:val="0"/>
        <w:spacing w:lineRule="auto" w:line="268" w:before="4" w:after="4"/>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4" w:after="4"/>
        <w:ind w:left="0" w:right="0" w:hanging="0"/>
        <w:jc w:val="both"/>
        <w:rPr/>
      </w:pPr>
      <w:r>
        <w:rPr/>
        <w:t>​</w:t>
      </w:r>
    </w:p>
    <w:p>
      <w:pPr>
        <w:pStyle w:val="TextBody"/>
        <w:bidi w:val="0"/>
        <w:spacing w:before="4" w:after="4"/>
        <w:ind w:left="0" w:right="0" w:hanging="0"/>
        <w:jc w:val="both"/>
        <w:rPr>
          <w:rFonts w:ascii="Times New Roman;Times;serif" w:hAnsi="Times New Roman;Times;serif"/>
          <w:i/>
          <w:sz w:val="20"/>
        </w:rPr>
      </w:pPr>
      <w:r>
        <w:rPr>
          <w:rFonts w:ascii="Times New Roman;Times;serif" w:hAnsi="Times New Roman;Times;serif"/>
          <w:i/>
          <w:sz w:val="20"/>
        </w:rPr>
        <w:t>CONTRACTUAL COMMITMENTS – EXPENDITURES</w:t>
      </w:r>
    </w:p>
    <w:p>
      <w:pPr>
        <w:pStyle w:val="TextBody"/>
        <w:bidi w:val="0"/>
        <w:spacing w:before="4" w:after="4"/>
        <w:ind w:left="0" w:right="0" w:hanging="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The Company is committed to fund five construction loans as described in Note 4, “Commercial Loans and Investments”. The unfunded portion of the construction loans totaled $7.4 million as of December 31, 2024.</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Pursuant to a certain lease agreement executed during the year ended December 31, 2024, the Company is committed to funding $5.0 million in tenant improvements for a property which capital expenditure is expected to be funded within one year.</w:t>
      </w:r>
    </w:p>
    <w:p>
      <w:pPr>
        <w:pStyle w:val="TextBody"/>
        <w:bidi w:val="0"/>
        <w:spacing w:before="4" w:after="4"/>
        <w:ind w:left="0" w:right="0" w:firstLine="36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21.      BUSINESS SEGMENT DATA</w:t>
      </w:r>
    </w:p>
    <w:p>
      <w:pPr>
        <w:pStyle w:val="TextBody"/>
        <w:bidi w:val="0"/>
        <w:spacing w:before="0" w:after="200"/>
        <w:ind w:left="0" w:right="0" w:firstLine="360"/>
        <w:jc w:val="both"/>
        <w:rPr>
          <w:rFonts w:ascii="Times New Roman;Times;serif" w:hAnsi="Times New Roman;Times;serif"/>
          <w:b/>
          <w:sz w:val="20"/>
        </w:rPr>
      </w:pPr>
      <w:r>
        <w:rPr>
          <w:rFonts w:ascii="Times New Roman;Times;serif" w:hAnsi="Times New Roman;Times;serif"/>
          <w:b w:val="false"/>
          <w:sz w:val="20"/>
        </w:rPr>
        <w:t>The Company operates in two</w:t>
      </w:r>
      <w:r>
        <w:rPr>
          <w:rFonts w:ascii="Times New Roman;Times;serif" w:hAnsi="Times New Roman;Times;serif"/>
          <w:b/>
          <w:sz w:val="20"/>
        </w:rPr>
        <w:t xml:space="preserve"> </w:t>
      </w:r>
      <w:r>
        <w:rPr>
          <w:rFonts w:ascii="Times New Roman;Times;serif" w:hAnsi="Times New Roman;Times;serif"/>
          <w:b w:val="false"/>
          <w:sz w:val="20"/>
        </w:rPr>
        <w:t>primary business segments: income properties and commercial loans and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income property operations consist of lease income from income producing properties and our business plan is focused on investing in additional income-producing properties. Our income property operations accounted for 82% and 89% of our identifiable assets as of December 31, 2024 and 2023, respectively, and 88.1%, 98.5%, and 100% of our consolidated revenues for the years ended December 31, 2024, 2023, and 2022, respectively. Our commercial loans and investment operations accounted for 15% and 7% of our identifiable assets as of December 31, 2024 and 2023,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50" w:name="Tc_XrODcHSxzkij7HOfS0tVeA_26_7"/>
      <w:bookmarkStart w:id="1251" w:name="Tc_AoiaJyLteUmgBV-6xv4oig_26_0"/>
      <w:bookmarkStart w:id="1252" w:name="Tc_ZWZHnlOsN0OdQoMZm0QR9w_25_0"/>
      <w:bookmarkStart w:id="1253" w:name="Tc_Upcwar5nd0ufOTqZJVhTXg_24_0"/>
      <w:bookmarkStart w:id="1254" w:name="Tc_YhiGh0HHjkOxOIdfCkLfYw_23_0"/>
      <w:bookmarkStart w:id="1255" w:name="Tc_sCwqDdZRUEq1rrSGqAh0vQ_22_0"/>
      <w:bookmarkStart w:id="1256" w:name="Tc_enKgl174oEWyBHpDtkQZNw_21_0"/>
      <w:bookmarkStart w:id="1257" w:name="Tc_7AR5ZBRaMEmWIvYfhbGgqw_19_0"/>
      <w:bookmarkStart w:id="1258" w:name="Tc_dr4ixJsHkUm4umhFXOc8Ig_18_5"/>
      <w:bookmarkStart w:id="1259" w:name="Tc_RZkN6HbF70-rCxs6Ziwa9w_18_0"/>
      <w:bookmarkStart w:id="1260" w:name="Tc_v-8RW3Xg2kmPwS_d-OCIPg_17_0"/>
      <w:bookmarkStart w:id="1261" w:name="Tc_TB6Kaqakn0OCXDkoqMOjMA_16_5"/>
      <w:bookmarkStart w:id="1262" w:name="Tc_tDWZnEfo7kWh0BwASpYT7g_16_0"/>
      <w:bookmarkStart w:id="1263" w:name="Tc_1Ototc3IjEOIK7CTjZwPzg_15_0"/>
      <w:bookmarkStart w:id="1264" w:name="Tc_QQ5IJbcdt0WwlsF8nXXBCg_14_0"/>
      <w:bookmarkStart w:id="1265" w:name="Tc_EmXYrPfC-EGr6In1pFVRFA_13_5"/>
      <w:bookmarkStart w:id="1266" w:name="Tc_tRxeov43yUaqmKvxqHl6Tw_13_0"/>
      <w:bookmarkStart w:id="1267" w:name="Tc_VXS1IjD0PEe_w9coYQ161w_12_0"/>
      <w:bookmarkStart w:id="1268" w:name="Tc_QMQzy-0xIU-yjK0r_Tx4JQ_10_7"/>
      <w:bookmarkStart w:id="1269" w:name="Tc_N-GpyojR1UqgXqTEBmEGaA_10_0"/>
      <w:bookmarkStart w:id="1270" w:name="Tc_albZFQS0WEOTvh8vAsTSNA_9_0"/>
      <w:bookmarkStart w:id="1271" w:name="Tc_Qmew7sHWpUSzdqXD8cIpPQ_8_0"/>
      <w:bookmarkStart w:id="1272" w:name="Tc_u2FZJYVRA0OjXPRyWyDhHA_6_0"/>
      <w:bookmarkStart w:id="1273" w:name="Tc_p-60ha7sy0S_zzz0OlnQ-Q_5_2"/>
      <w:bookmarkStart w:id="1274" w:name="Tc_kPF_xw_vSUe6NJ3bb2FgsA_5_0"/>
      <w:bookmarkStart w:id="1275" w:name="Tc_svc4v9c_rEaqq35ys4CAQQ_4_7"/>
      <w:bookmarkStart w:id="1276" w:name="Tc_pB5W8dtbbE6DCPS1UjWnIA_4_5"/>
      <w:bookmarkStart w:id="1277" w:name="Tc_lTAIkvas0EuC_X4h1fF4uQ_4_4"/>
      <w:bookmarkStart w:id="1278" w:name="Tc_920cSTXvzESvhPywc7aPYA_4_1"/>
      <w:bookmarkStart w:id="1279" w:name="Tc_LQGXfG36cU2XKv226mWlKw_4_0"/>
      <w:bookmarkStart w:id="1280" w:name="Tc_Aiqk5YTSPk-M8bhYE9SfTQ_3_0"/>
      <w:bookmarkStart w:id="1281" w:name="Tc_Q64HLiRZSUW3mwNhsSQnow_2_7"/>
      <w:bookmarkStart w:id="1282" w:name="Tc_CslKKsDvzEuVJn9Qn6ilBw_2_4"/>
      <w:bookmarkStart w:id="1283" w:name="Tc_85QTv0lpPkGRYDT93aUPcA_2_1"/>
      <w:bookmarkStart w:id="1284" w:name="Tc_YK2y-ypyNUOrzysKvXgEUw_1_2"/>
      <w:bookmarkStart w:id="1285" w:name="_2b9f01ce_d996_4c0a_a0c9_1b076b5f3e8e"/>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Pr>
          <w:rFonts w:ascii="Times New Roman;Times;serif" w:hAnsi="Times New Roman;Times;serif"/>
          <w:sz w:val="20"/>
        </w:rPr>
        <w:t>respectively, and 11.0%, 1.4%, and 0.0% of our consolidated revenues for the years ended December 31, 2024, 2023, and 2022, respectively. As of December 31, 2024, our commercial loans investment portfolio consisted of nine commercial loan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CODM evaluates segment performance based on total revenues less direct costs of revenues when making decisions about allocating capital to the segments. The Company’s reportable segments are strategic business units that offer different products. They are managed separately because each segment requires different management techniques, knowledge, and skill.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Information about the Company’s operations in different segments for the year ended December 31, 2024 is as follows (in thousands):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505"/>
        <w:gridCol w:w="299"/>
        <w:gridCol w:w="1204"/>
        <w:gridCol w:w="131"/>
        <w:gridCol w:w="719"/>
        <w:gridCol w:w="1955"/>
        <w:gridCol w:w="131"/>
        <w:gridCol w:w="255"/>
        <w:gridCol w:w="1006"/>
      </w:tblGrid>
      <w:tr>
        <w:trPr/>
        <w:tc>
          <w:tcPr>
            <w:tcW w:w="4505"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89865" cy="175260"/>
                      <wp:effectExtent l="0" t="0" r="0" b="0"/>
                      <wp:wrapNone/>
                      <wp:docPr id="334" name="Frame33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64540" cy="175260"/>
                      <wp:effectExtent l="0" t="0" r="0" b="0"/>
                      <wp:wrapNone/>
                      <wp:docPr id="335" name="Frame335"/>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83185" cy="175260"/>
                      <wp:effectExtent l="0" t="0" r="0" b="0"/>
                      <wp:wrapNone/>
                      <wp:docPr id="336" name="Frame336"/>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56565" cy="175260"/>
                      <wp:effectExtent l="0" t="0" r="0" b="0"/>
                      <wp:wrapNone/>
                      <wp:docPr id="337" name="Frame337"/>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241425" cy="175260"/>
                      <wp:effectExtent l="0" t="0" r="0" b="0"/>
                      <wp:wrapNone/>
                      <wp:docPr id="338" name="Frame338"/>
                      <a:graphic xmlns:a="http://schemas.openxmlformats.org/drawingml/2006/main">
                        <a:graphicData uri="http://schemas.microsoft.com/office/word/2010/wordprocessingShape">
                          <wps:wsp>
                            <wps:cNvSpPr txBox="1"/>
                            <wps:spPr>
                              <a:xfrm>
                                <a:off x="0" y="0"/>
                                <a:ext cx="1241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83185" cy="175260"/>
                      <wp:effectExtent l="0" t="0" r="0" b="0"/>
                      <wp:wrapNone/>
                      <wp:docPr id="339" name="Frame339"/>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61925" cy="175260"/>
                      <wp:effectExtent l="0" t="0" r="0" b="0"/>
                      <wp:wrapNone/>
                      <wp:docPr id="340" name="Frame34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38810" cy="175260"/>
                      <wp:effectExtent l="0" t="0" r="0" b="0"/>
                      <wp:wrapNone/>
                      <wp:docPr id="341" name="Frame34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5" w:type="dxa"/>
            <w:tcBorders/>
            <w:vAlign w:val="center"/>
          </w:tcPr>
          <w:p>
            <w:pPr>
              <w:pStyle w:val="TableContents"/>
              <w:bidi w:val="0"/>
              <w:spacing w:before="0" w:after="0"/>
              <w:ind w:left="0" w:right="0" w:hanging="0"/>
              <w:jc w:val="left"/>
              <w:rPr>
                <w:color w:val="FF0000"/>
              </w:rPr>
            </w:pPr>
            <w:r>
              <w:rPr>
                <w:color w:val="FF0000"/>
              </w:rPr>
              <w:t>​</w:t>
            </w:r>
          </w:p>
        </w:tc>
        <w:tc>
          <w:tcPr>
            <w:tcW w:w="299" w:type="dxa"/>
            <w:tcBorders/>
            <w:vAlign w:val="center"/>
          </w:tcPr>
          <w:p>
            <w:pPr>
              <w:pStyle w:val="TableContents"/>
              <w:bidi w:val="0"/>
              <w:spacing w:before="0" w:after="0"/>
              <w:ind w:left="0" w:right="0" w:hanging="0"/>
              <w:jc w:val="center"/>
              <w:rPr/>
            </w:pPr>
            <w:r>
              <w:rPr/>
              <w:t>​</w:t>
            </w:r>
          </w:p>
        </w:tc>
        <w:tc>
          <w:tcPr>
            <w:tcW w:w="540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2024</w:t>
            </w:r>
          </w:p>
        </w:tc>
      </w:tr>
      <w:tr>
        <w:trPr/>
        <w:tc>
          <w:tcPr>
            <w:tcW w:w="4505" w:type="dxa"/>
            <w:tcBorders/>
            <w:vAlign w:val="center"/>
          </w:tcPr>
          <w:p>
            <w:pPr>
              <w:pStyle w:val="TableContents"/>
              <w:bidi w:val="0"/>
              <w:spacing w:before="0" w:after="0"/>
              <w:ind w:left="0" w:right="0" w:hanging="0"/>
              <w:jc w:val="left"/>
              <w:rPr/>
            </w:pPr>
            <w:r>
              <w:rPr/>
              <w:t>​</w:t>
            </w:r>
          </w:p>
        </w:tc>
        <w:tc>
          <w:tcPr>
            <w:tcW w:w="15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31" w:type="dxa"/>
            <w:tcBorders/>
            <w:vAlign w:val="center"/>
          </w:tcPr>
          <w:p>
            <w:pPr>
              <w:pStyle w:val="TableContents"/>
              <w:bidi w:val="0"/>
              <w:spacing w:before="0" w:after="0"/>
              <w:ind w:left="0" w:right="0" w:hanging="0"/>
              <w:jc w:val="center"/>
              <w:rPr/>
            </w:pPr>
            <w:r>
              <w:rPr/>
              <w:t>​</w:t>
            </w:r>
          </w:p>
        </w:tc>
        <w:tc>
          <w:tcPr>
            <w:tcW w:w="26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31"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center"/>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719" w:type="dxa"/>
            <w:tcBorders/>
            <w:shd w:fill="CCEEFF" w:val="clear"/>
            <w:vAlign w:val="center"/>
          </w:tcPr>
          <w:p>
            <w:pPr>
              <w:pStyle w:val="TableContents"/>
              <w:bidi w:val="0"/>
              <w:spacing w:before="0" w:after="0"/>
              <w:ind w:left="0" w:right="0" w:hanging="0"/>
              <w:jc w:val="center"/>
              <w:rPr/>
            </w:pPr>
            <w:r>
              <w:rPr/>
              <w:t>​</w:t>
            </w:r>
          </w:p>
        </w:tc>
        <w:tc>
          <w:tcPr>
            <w:tcW w:w="1955" w:type="dxa"/>
            <w:tcBorders/>
            <w:shd w:fill="CCEEFF" w:val="clear"/>
            <w:vAlign w:val="center"/>
          </w:tcPr>
          <w:p>
            <w:pPr>
              <w:pStyle w:val="TableContents"/>
              <w:bidi w:val="0"/>
              <w:spacing w:before="0" w:after="0"/>
              <w:ind w:left="0" w:right="0" w:hanging="0"/>
              <w:jc w:val="center"/>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255"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2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c>
          <w:tcPr>
            <w:tcW w:w="131" w:type="dxa"/>
            <w:tcBorders/>
            <w:vAlign w:val="center"/>
          </w:tcPr>
          <w:p>
            <w:pPr>
              <w:pStyle w:val="TableContents"/>
              <w:bidi w:val="0"/>
              <w:spacing w:before="0" w:after="0"/>
              <w:ind w:left="0" w:right="0" w:hanging="0"/>
              <w:jc w:val="right"/>
              <w:rPr/>
            </w:pPr>
            <w:r>
              <w:rPr/>
              <w:t>​</w:t>
            </w:r>
          </w:p>
        </w:tc>
        <w:tc>
          <w:tcPr>
            <w:tcW w:w="7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31" w:type="dxa"/>
            <w:tcBorders/>
            <w:shd w:fill="CCEEFF" w:val="clear"/>
            <w:vAlign w:val="center"/>
          </w:tcPr>
          <w:p>
            <w:pPr>
              <w:pStyle w:val="TableContents"/>
              <w:bidi w:val="0"/>
              <w:spacing w:before="0" w:after="0"/>
              <w:ind w:left="0" w:right="0" w:hanging="0"/>
              <w:jc w:val="righ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299" w:type="dxa"/>
            <w:tcBorders/>
            <w:vAlign w:val="center"/>
          </w:tcPr>
          <w:p>
            <w:pPr>
              <w:pStyle w:val="TableContents"/>
              <w:bidi w:val="0"/>
              <w:spacing w:before="0" w:after="0"/>
              <w:ind w:left="0" w:right="0" w:hanging="0"/>
              <w:jc w:val="center"/>
              <w:rPr/>
            </w:pPr>
            <w:r>
              <w:rPr/>
              <w:t>​</w:t>
            </w:r>
          </w:p>
        </w:tc>
        <w:tc>
          <w:tcPr>
            <w:tcW w:w="12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c>
          <w:tcPr>
            <w:tcW w:w="131" w:type="dxa"/>
            <w:tcBorders/>
            <w:vAlign w:val="center"/>
          </w:tcPr>
          <w:p>
            <w:pPr>
              <w:pStyle w:val="TableContents"/>
              <w:bidi w:val="0"/>
              <w:spacing w:before="0" w:after="0"/>
              <w:ind w:left="0" w:right="0" w:hanging="0"/>
              <w:jc w:val="right"/>
              <w:rPr/>
            </w:pPr>
            <w:r>
              <w:rPr/>
              <w:t>​</w:t>
            </w:r>
          </w:p>
        </w:tc>
        <w:tc>
          <w:tcPr>
            <w:tcW w:w="719" w:type="dxa"/>
            <w:tcBorders/>
            <w:vAlign w:val="center"/>
          </w:tcPr>
          <w:p>
            <w:pPr>
              <w:pStyle w:val="TableContents"/>
              <w:bidi w:val="0"/>
              <w:spacing w:before="0" w:after="0"/>
              <w:ind w:left="0" w:right="0" w:hanging="0"/>
              <w:jc w:val="right"/>
              <w:rPr/>
            </w:pPr>
            <w:r>
              <w:rPr/>
              <w:t>​</w:t>
            </w:r>
          </w:p>
        </w:tc>
        <w:tc>
          <w:tcPr>
            <w:tcW w:w="1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31"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51,766</w:t>
            </w:r>
          </w:p>
        </w:tc>
      </w:tr>
      <w:tr>
        <w:trPr/>
        <w:tc>
          <w:tcPr>
            <w:tcW w:w="4505"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955"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299" w:type="dxa"/>
            <w:tcBorders/>
            <w:vAlign w:val="center"/>
          </w:tcPr>
          <w:p>
            <w:pPr>
              <w:pStyle w:val="TableContents"/>
              <w:bidi w:val="0"/>
              <w:spacing w:before="0" w:after="0"/>
              <w:ind w:left="0" w:right="0" w:hanging="0"/>
              <w:jc w:val="center"/>
              <w:rPr/>
            </w:pPr>
            <w:r>
              <w:rPr/>
              <w:t>​</w:t>
            </w:r>
          </w:p>
        </w:tc>
        <w:tc>
          <w:tcPr>
            <w:tcW w:w="1204"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719" w:type="dxa"/>
            <w:tcBorders/>
            <w:vAlign w:val="center"/>
          </w:tcPr>
          <w:p>
            <w:pPr>
              <w:pStyle w:val="TableContents"/>
              <w:bidi w:val="0"/>
              <w:spacing w:before="0" w:after="0"/>
              <w:ind w:left="0" w:right="0" w:hanging="0"/>
              <w:jc w:val="right"/>
              <w:rPr/>
            </w:pPr>
            <w:r>
              <w:rPr/>
              <w:t>​</w:t>
            </w:r>
          </w:p>
        </w:tc>
        <w:tc>
          <w:tcPr>
            <w:tcW w:w="1955"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955"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299" w:type="dxa"/>
            <w:tcBorders/>
            <w:vAlign w:val="center"/>
          </w:tcPr>
          <w:p>
            <w:pPr>
              <w:pStyle w:val="TableContents"/>
              <w:bidi w:val="0"/>
              <w:spacing w:before="0" w:after="0"/>
              <w:ind w:left="0" w:right="0" w:hanging="0"/>
              <w:jc w:val="center"/>
              <w:rPr/>
            </w:pPr>
            <w:r>
              <w:rPr/>
              <w:t>​</w:t>
            </w:r>
          </w:p>
        </w:tc>
        <w:tc>
          <w:tcPr>
            <w:tcW w:w="1204"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719" w:type="dxa"/>
            <w:tcBorders/>
            <w:vAlign w:val="center"/>
          </w:tcPr>
          <w:p>
            <w:pPr>
              <w:pStyle w:val="TableContents"/>
              <w:bidi w:val="0"/>
              <w:spacing w:before="0" w:after="0"/>
              <w:ind w:left="0" w:right="0" w:hanging="0"/>
              <w:jc w:val="right"/>
              <w:rPr/>
            </w:pPr>
            <w:r>
              <w:rPr/>
              <w:t>​</w:t>
            </w:r>
          </w:p>
        </w:tc>
        <w:tc>
          <w:tcPr>
            <w:tcW w:w="1955"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52,227</w:t>
            </w:r>
          </w:p>
        </w:tc>
      </w:tr>
      <w:tr>
        <w:trPr/>
        <w:tc>
          <w:tcPr>
            <w:tcW w:w="4505"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955"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99" w:type="dxa"/>
            <w:tcBorders/>
            <w:vAlign w:val="center"/>
          </w:tcPr>
          <w:p>
            <w:pPr>
              <w:pStyle w:val="TableContents"/>
              <w:bidi w:val="0"/>
              <w:spacing w:before="0" w:after="0"/>
              <w:ind w:left="0" w:right="0" w:hanging="0"/>
              <w:jc w:val="center"/>
              <w:rPr/>
            </w:pPr>
            <w:r>
              <w:rPr/>
              <w:t>​</w:t>
            </w:r>
          </w:p>
        </w:tc>
        <w:tc>
          <w:tcPr>
            <w:tcW w:w="1204"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center"/>
              <w:rPr/>
            </w:pPr>
            <w:r>
              <w:rPr/>
              <w:t>​</w:t>
            </w:r>
          </w:p>
        </w:tc>
        <w:tc>
          <w:tcPr>
            <w:tcW w:w="1955"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c>
          <w:tcPr>
            <w:tcW w:w="131" w:type="dxa"/>
            <w:tcBorders/>
            <w:shd w:fill="CCEEFF" w:val="cle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299" w:type="dxa"/>
            <w:tcBorders/>
            <w:vAlign w:val="center"/>
          </w:tcPr>
          <w:p>
            <w:pPr>
              <w:pStyle w:val="TableContents"/>
              <w:bidi w:val="0"/>
              <w:spacing w:before="0" w:after="0"/>
              <w:ind w:left="0" w:right="0" w:hanging="0"/>
              <w:jc w:val="center"/>
              <w:rPr/>
            </w:pPr>
            <w:r>
              <w:rPr/>
              <w:t>​</w:t>
            </w:r>
          </w:p>
        </w:tc>
        <w:tc>
          <w:tcPr>
            <w:tcW w:w="12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38,212</w:t>
            </w:r>
          </w:p>
        </w:tc>
        <w:tc>
          <w:tcPr>
            <w:tcW w:w="13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center"/>
              <w:rPr/>
            </w:pPr>
            <w:r>
              <w:rPr/>
              <w:t>​</w:t>
            </w:r>
          </w:p>
        </w:tc>
        <w:tc>
          <w:tcPr>
            <w:tcW w:w="1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3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43,973</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13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center"/>
              <w:rPr/>
            </w:pPr>
            <w:r>
              <w:rPr/>
              <w:t>​</w:t>
            </w:r>
          </w:p>
        </w:tc>
        <w:tc>
          <w:tcPr>
            <w:tcW w:w="1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13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131" w:type="dxa"/>
            <w:tcBorders/>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11,477</w:t>
            </w:r>
          </w:p>
        </w:tc>
        <w:tc>
          <w:tcPr>
            <w:tcW w:w="13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center"/>
              <w:rPr/>
            </w:pPr>
            <w:r>
              <w:rPr/>
              <w:t>​</w:t>
            </w:r>
          </w:p>
        </w:tc>
        <w:tc>
          <w:tcPr>
            <w:tcW w:w="1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w:t>
            </w:r>
          </w:p>
        </w:tc>
        <w:tc>
          <w:tcPr>
            <w:tcW w:w="13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16,686</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131" w:type="dxa"/>
            <w:tcBorders/>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14,920</w:t>
            </w:r>
          </w:p>
        </w:tc>
        <w:tc>
          <w:tcPr>
            <w:tcW w:w="13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center"/>
              <w:rPr/>
            </w:pPr>
            <w:r>
              <w:rPr/>
              <w:t>​</w:t>
            </w:r>
          </w:p>
        </w:tc>
        <w:tc>
          <w:tcPr>
            <w:tcW w:w="1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w:t>
            </w:r>
          </w:p>
        </w:tc>
        <w:tc>
          <w:tcPr>
            <w:tcW w:w="13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20,129</w:t>
            </w:r>
          </w:p>
        </w:tc>
      </w:tr>
      <w:tr>
        <w:trPr/>
        <w:tc>
          <w:tcPr>
            <w:tcW w:w="4505"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center"/>
              <w:rPr/>
            </w:pPr>
            <w:r>
              <w:rPr/>
              <w:t>​</w:t>
            </w:r>
          </w:p>
        </w:tc>
        <w:tc>
          <w:tcPr>
            <w:tcW w:w="1204"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center"/>
              <w:rPr/>
            </w:pPr>
            <w:r>
              <w:rPr/>
              <w:t>​</w:t>
            </w:r>
          </w:p>
        </w:tc>
        <w:tc>
          <w:tcPr>
            <w:tcW w:w="1955"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center"/>
              <w:rPr/>
            </w:pPr>
            <w:r>
              <w:rPr/>
              <w:t>​</w:t>
            </w:r>
          </w:p>
        </w:tc>
        <w:tc>
          <w:tcPr>
            <w:tcW w:w="1955"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299" w:type="dxa"/>
            <w:tcBorders/>
            <w:vAlign w:val="center"/>
          </w:tcPr>
          <w:p>
            <w:pPr>
              <w:pStyle w:val="TableContents"/>
              <w:bidi w:val="0"/>
              <w:spacing w:before="0" w:after="0"/>
              <w:ind w:left="0" w:right="0" w:hanging="0"/>
              <w:jc w:val="center"/>
              <w:rPr/>
            </w:pPr>
            <w:r>
              <w:rPr/>
              <w:t>​</w:t>
            </w:r>
          </w:p>
        </w:tc>
        <w:tc>
          <w:tcPr>
            <w:tcW w:w="1204"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center"/>
              <w:rPr/>
            </w:pPr>
            <w:r>
              <w:rPr/>
              <w:t>​</w:t>
            </w:r>
          </w:p>
        </w:tc>
        <w:tc>
          <w:tcPr>
            <w:tcW w:w="1955"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299" w:type="dxa"/>
            <w:tcBorders/>
            <w:shd w:fill="CCEEFF" w:val="clear"/>
            <w:vAlign w:val="center"/>
          </w:tcPr>
          <w:p>
            <w:pPr>
              <w:pStyle w:val="TableContents"/>
              <w:bidi w:val="0"/>
              <w:spacing w:before="0" w:after="0"/>
              <w:ind w:left="0" w:right="0" w:hanging="0"/>
              <w:jc w:val="center"/>
              <w:rPr/>
            </w:pPr>
            <w:r>
              <w:rPr/>
              <w:t>​</w:t>
            </w:r>
          </w:p>
        </w:tc>
        <w:tc>
          <w:tcPr>
            <w:tcW w:w="1204"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955"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299"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719" w:type="dxa"/>
            <w:tcBorders/>
            <w:vAlign w:val="center"/>
          </w:tcPr>
          <w:p>
            <w:pPr>
              <w:pStyle w:val="TableContents"/>
              <w:bidi w:val="0"/>
              <w:spacing w:before="0" w:after="0"/>
              <w:ind w:left="0" w:right="0" w:hanging="0"/>
              <w:jc w:val="right"/>
              <w:rPr/>
            </w:pPr>
            <w:r>
              <w:rPr/>
              <w:t>​</w:t>
            </w:r>
          </w:p>
        </w:tc>
        <w:tc>
          <w:tcPr>
            <w:tcW w:w="1955"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99" w:type="dxa"/>
            <w:tcBorders/>
            <w:shd w:fill="CCEEFF" w:val="clear"/>
            <w:vAlign w:val="center"/>
          </w:tcPr>
          <w:p>
            <w:pPr>
              <w:pStyle w:val="TableContents"/>
              <w:bidi w:val="0"/>
              <w:spacing w:before="0" w:after="0"/>
              <w:ind w:left="0" w:right="0" w:hanging="0"/>
              <w:jc w:val="left"/>
              <w:rPr/>
            </w:pPr>
            <w:r>
              <w:rPr/>
              <w:t>​</w:t>
            </w:r>
          </w:p>
        </w:tc>
        <w:tc>
          <w:tcPr>
            <w:tcW w:w="1204"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955"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righ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299"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719" w:type="dxa"/>
            <w:tcBorders/>
            <w:vAlign w:val="center"/>
          </w:tcPr>
          <w:p>
            <w:pPr>
              <w:pStyle w:val="TableContents"/>
              <w:bidi w:val="0"/>
              <w:spacing w:before="0" w:after="0"/>
              <w:ind w:left="0" w:right="0" w:hanging="0"/>
              <w:jc w:val="right"/>
              <w:rPr/>
            </w:pPr>
            <w:r>
              <w:rPr/>
              <w:t>​</w:t>
            </w:r>
          </w:p>
        </w:tc>
        <w:tc>
          <w:tcPr>
            <w:tcW w:w="1955" w:type="dxa"/>
            <w:tcBorders/>
            <w:vAlign w:val="center"/>
          </w:tcPr>
          <w:p>
            <w:pPr>
              <w:pStyle w:val="TableContents"/>
              <w:bidi w:val="0"/>
              <w:spacing w:before="0" w:after="0"/>
              <w:ind w:left="0" w:right="0" w:hanging="0"/>
              <w:jc w:val="right"/>
              <w:rPr/>
            </w:pPr>
            <w:r>
              <w:rPr/>
              <w:t>​</w:t>
            </w:r>
          </w:p>
        </w:tc>
        <w:tc>
          <w:tcPr>
            <w:tcW w:w="131" w:type="dxa"/>
            <w:tcBorders/>
            <w:vAlign w:val="center"/>
          </w:tcPr>
          <w:p>
            <w:pPr>
              <w:pStyle w:val="TableContents"/>
              <w:bidi w:val="0"/>
              <w:spacing w:before="0" w:after="0"/>
              <w:ind w:left="0" w:right="0" w:hanging="0"/>
              <w:jc w:val="righ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286" w:name="Tc_DBJ7jTM6bUuy1IDIvA1kpQ_27_7"/>
      <w:bookmarkStart w:id="1287" w:name="Tc_c3q-4hhZmkWeFP2oGAcQMQ_27_0"/>
      <w:bookmarkStart w:id="1288" w:name="Tc_L9LxJxuTCESF1ONm1m--9Q_26_0"/>
      <w:bookmarkStart w:id="1289" w:name="Tc_JywLEVm9jkigvfFVjivACg_25_0"/>
      <w:bookmarkStart w:id="1290" w:name="Tc_iJ_F5SEoO0u4Qo7aHF-V-A_24_0"/>
      <w:bookmarkStart w:id="1291" w:name="Tc_wDrivhaWDUWdL760fgg-5g_23_0"/>
      <w:bookmarkStart w:id="1292" w:name="Tc_Nu4ys3hZa0m9zfrd2n7YOQ_22_0"/>
      <w:bookmarkStart w:id="1293" w:name="Tc_RAVD2G3SrE-HhiTGWqWMIA_21_0"/>
      <w:bookmarkStart w:id="1294" w:name="Tc__rTM8JJorkqnk8CbALJZMg_19_0"/>
      <w:bookmarkStart w:id="1295" w:name="Tc_tFImyLIc206VEQnOl_toBw_18_5"/>
      <w:bookmarkStart w:id="1296" w:name="Tc_Y2I5mH9CuUO_Ugj8xapTIg_18_0"/>
      <w:bookmarkStart w:id="1297" w:name="Tc_8kr_LE6rMkqobm-hbR-MaA_17_0"/>
      <w:bookmarkStart w:id="1298" w:name="Tc_XEURYvyPnEydIA4nGuiPZw_16_5"/>
      <w:bookmarkStart w:id="1299" w:name="Tc_N_5t7aMX10m0PWpxgc3wHA_16_0"/>
      <w:bookmarkStart w:id="1300" w:name="Tc_2_llpH8z-kiBjfMZmScS0Q_15_0"/>
      <w:bookmarkStart w:id="1301" w:name="Tc_ANil2ElzuUeUtoMumh4X4A_14_0"/>
      <w:bookmarkStart w:id="1302" w:name="Tc_6eD2xxDcXUu2G5aA21zfyA_13_5"/>
      <w:bookmarkStart w:id="1303" w:name="Tc_vDnp_ayAdku3WjQg-75dfg_13_0"/>
      <w:bookmarkStart w:id="1304" w:name="Tc_RUvzVyVnl0iB1d0-PD4mzA_12_0"/>
      <w:bookmarkStart w:id="1305" w:name="Tc__gKQ8hNSIU2hWdnwJ_K86A_10_7"/>
      <w:bookmarkStart w:id="1306" w:name="Tc_WEwdyBJyPk6TuDwyQ4ebug_10_0"/>
      <w:bookmarkStart w:id="1307" w:name="Tc_G8zFe-pvk0eu8LhcGJ0JBQ_9_0"/>
      <w:bookmarkStart w:id="1308" w:name="Tc_ml1xetJneEewmAx5dDFSkg_8_0"/>
      <w:bookmarkStart w:id="1309" w:name="Tc_jLw59ktAbEWAgdzcisMnsw_6_0"/>
      <w:bookmarkStart w:id="1310" w:name="Tc_xPp3HbZjX0aJ781O0iUCsw_5_2"/>
      <w:bookmarkStart w:id="1311" w:name="Tc_wVF1GYrHm0-ZcKUAk1HKDQ_5_0"/>
      <w:bookmarkStart w:id="1312" w:name="Tc_uHMxXh4bE0qqi0rMSldkmw_4_7"/>
      <w:bookmarkStart w:id="1313" w:name="Tc_bYVSEfrrjkiukeVFU0f4bA_4_5"/>
      <w:bookmarkStart w:id="1314" w:name="Tc_X97remOAa0mQtRSCmQSU4A_4_4"/>
      <w:bookmarkStart w:id="1315" w:name="Tc_bL_Jn7MRt0qbTcIbQUNTLw_4_1"/>
      <w:bookmarkStart w:id="1316" w:name="Tc_uxwqMudUyEuy2TgpraOEbA_4_0"/>
      <w:bookmarkStart w:id="1317" w:name="Tc_DNsGGZFhc0GC5e86HVnXEg_3_0"/>
      <w:bookmarkStart w:id="1318" w:name="Tc_fPicFIzmLEuqMdtUVXDuRg_2_7"/>
      <w:bookmarkStart w:id="1319" w:name="Tc_kp9ID2knpUyKrg2jeIYK5g_2_4"/>
      <w:bookmarkStart w:id="1320" w:name="Tc_RB946gmrY0eabILURjALVQ_2_1"/>
      <w:bookmarkStart w:id="1321" w:name="Tc_PBUGRrftMU2VyZ8vVyJ7mQ_1_1"/>
      <w:bookmarkStart w:id="1322" w:name="_76c908ff_7fed_4e47_a763_cb992673c839"/>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r>
        <w:rPr>
          <w:rFonts w:ascii="Times New Roman;Times;serif" w:hAnsi="Times New Roman;Times;serif"/>
          <w:sz w:val="20"/>
        </w:rPr>
        <w:t>Information about the Company’s operations in different segments for the year ended December 31, 2023 is as follows (in thousands):</w:t>
      </w:r>
    </w:p>
    <w:tbl>
      <w:tblPr>
        <w:tblW w:w="10205" w:type="dxa"/>
        <w:jc w:val="left"/>
        <w:tblInd w:w="0" w:type="dxa"/>
        <w:tblLayout w:type="fixed"/>
        <w:tblCellMar>
          <w:top w:w="0" w:type="dxa"/>
          <w:left w:w="0" w:type="dxa"/>
          <w:bottom w:w="0" w:type="dxa"/>
          <w:right w:w="0" w:type="dxa"/>
        </w:tblCellMar>
      </w:tblPr>
      <w:tblGrid>
        <w:gridCol w:w="4530"/>
        <w:gridCol w:w="364"/>
        <w:gridCol w:w="1139"/>
        <w:gridCol w:w="129"/>
        <w:gridCol w:w="891"/>
        <w:gridCol w:w="1785"/>
        <w:gridCol w:w="129"/>
        <w:gridCol w:w="250"/>
        <w:gridCol w:w="988"/>
      </w:tblGrid>
      <w:tr>
        <w:trPr/>
        <w:tc>
          <w:tcPr>
            <w:tcW w:w="4530"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1140" cy="175260"/>
                      <wp:effectExtent l="0" t="0" r="0" b="0"/>
                      <wp:wrapNone/>
                      <wp:docPr id="342" name="Frame34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23265" cy="175260"/>
                      <wp:effectExtent l="0" t="0" r="0" b="0"/>
                      <wp:wrapNone/>
                      <wp:docPr id="343" name="Frame343"/>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81915" cy="175260"/>
                      <wp:effectExtent l="0" t="0" r="0" b="0"/>
                      <wp:wrapNone/>
                      <wp:docPr id="344" name="Frame344"/>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65785" cy="175260"/>
                      <wp:effectExtent l="0" t="0" r="0" b="0"/>
                      <wp:wrapNone/>
                      <wp:docPr id="345" name="Frame345"/>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133475" cy="175260"/>
                      <wp:effectExtent l="0" t="0" r="0" b="0"/>
                      <wp:wrapNone/>
                      <wp:docPr id="346" name="Frame346"/>
                      <a:graphic xmlns:a="http://schemas.openxmlformats.org/drawingml/2006/main">
                        <a:graphicData uri="http://schemas.microsoft.com/office/word/2010/wordprocessingShape">
                          <wps:wsp>
                            <wps:cNvSpPr txBox="1"/>
                            <wps:spPr>
                              <a:xfrm>
                                <a:off x="0" y="0"/>
                                <a:ext cx="1133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81915" cy="175260"/>
                      <wp:effectExtent l="0" t="0" r="0" b="0"/>
                      <wp:wrapNone/>
                      <wp:docPr id="347" name="Frame347"/>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58750" cy="175260"/>
                      <wp:effectExtent l="0" t="0" r="0" b="0"/>
                      <wp:wrapNone/>
                      <wp:docPr id="348" name="Frame34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27380" cy="175260"/>
                      <wp:effectExtent l="0" t="0" r="0" b="0"/>
                      <wp:wrapNone/>
                      <wp:docPr id="349" name="Frame349"/>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0" w:type="dxa"/>
            <w:tcBorders/>
            <w:vAlign w:val="center"/>
          </w:tcPr>
          <w:p>
            <w:pPr>
              <w:pStyle w:val="TableContents"/>
              <w:bidi w:val="0"/>
              <w:spacing w:before="0" w:after="0"/>
              <w:ind w:left="0" w:right="0" w:hanging="0"/>
              <w:jc w:val="left"/>
              <w:rPr/>
            </w:pPr>
            <w:r>
              <w:rPr/>
              <w:t>​</w:t>
            </w:r>
          </w:p>
        </w:tc>
        <w:tc>
          <w:tcPr>
            <w:tcW w:w="56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2023</w:t>
            </w:r>
          </w:p>
        </w:tc>
      </w:tr>
      <w:tr>
        <w:trPr/>
        <w:tc>
          <w:tcPr>
            <w:tcW w:w="4530" w:type="dxa"/>
            <w:tcBorders/>
            <w:vAlign w:val="center"/>
          </w:tcPr>
          <w:p>
            <w:pPr>
              <w:pStyle w:val="TableContents"/>
              <w:bidi w:val="0"/>
              <w:spacing w:before="0" w:after="0"/>
              <w:ind w:left="0" w:right="0" w:hanging="0"/>
              <w:jc w:val="left"/>
              <w:rPr/>
            </w:pPr>
            <w:r>
              <w:rPr/>
              <w:t>​</w:t>
            </w:r>
          </w:p>
        </w:tc>
        <w:tc>
          <w:tcPr>
            <w:tcW w:w="15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29" w:type="dxa"/>
            <w:tcBorders/>
            <w:vAlign w:val="center"/>
          </w:tcPr>
          <w:p>
            <w:pPr>
              <w:pStyle w:val="TableContents"/>
              <w:bidi w:val="0"/>
              <w:spacing w:before="0" w:after="0"/>
              <w:ind w:left="0" w:right="0" w:hanging="0"/>
              <w:jc w:val="center"/>
              <w:rPr/>
            </w:pPr>
            <w:r>
              <w:rPr/>
              <w:t>​</w:t>
            </w:r>
          </w:p>
        </w:tc>
        <w:tc>
          <w:tcPr>
            <w:tcW w:w="2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29" w:type="dxa"/>
            <w:tcBorders/>
            <w:vAlign w:val="center"/>
          </w:tcPr>
          <w:p>
            <w:pPr>
              <w:pStyle w:val="TableContents"/>
              <w:bidi w:val="0"/>
              <w:spacing w:before="0" w:after="0"/>
              <w:ind w:left="0" w:right="0" w:hanging="0"/>
              <w:jc w:val="center"/>
              <w:rPr/>
            </w:pPr>
            <w:r>
              <w:rPr/>
              <w:t>​</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4" w:type="dxa"/>
            <w:tcBorders/>
            <w:shd w:fill="CCEEFF" w:val="clear"/>
            <w:vAlign w:val="center"/>
          </w:tcPr>
          <w:p>
            <w:pPr>
              <w:pStyle w:val="TableContents"/>
              <w:bidi w:val="0"/>
              <w:spacing w:before="0" w:after="0"/>
              <w:ind w:left="0" w:right="0" w:hanging="0"/>
              <w:jc w:val="center"/>
              <w:rPr/>
            </w:pPr>
            <w:r>
              <w:rPr/>
              <w:t>​</w:t>
            </w:r>
          </w:p>
        </w:tc>
        <w:tc>
          <w:tcPr>
            <w:tcW w:w="1139" w:type="dxa"/>
            <w:tcBorders/>
            <w:shd w:fill="CCEEFF" w:val="clear"/>
            <w:vAlign w:val="center"/>
          </w:tcPr>
          <w:p>
            <w:pPr>
              <w:pStyle w:val="TableContents"/>
              <w:bidi w:val="0"/>
              <w:spacing w:before="0" w:after="0"/>
              <w:ind w:left="0" w:right="0" w:hanging="0"/>
              <w:jc w:val="center"/>
              <w:rPr/>
            </w:pPr>
            <w:r>
              <w:rPr/>
              <w:t>​</w:t>
            </w:r>
          </w:p>
        </w:tc>
        <w:tc>
          <w:tcPr>
            <w:tcW w:w="129" w:type="dxa"/>
            <w:tcBorders/>
            <w:shd w:fill="CCEEFF" w:val="clear"/>
            <w:vAlign w:val="center"/>
          </w:tcPr>
          <w:p>
            <w:pPr>
              <w:pStyle w:val="TableContents"/>
              <w:bidi w:val="0"/>
              <w:spacing w:before="0" w:after="0"/>
              <w:ind w:left="0" w:right="0" w:hanging="0"/>
              <w:jc w:val="center"/>
              <w:rPr/>
            </w:pPr>
            <w:r>
              <w:rPr/>
              <w:t>​</w:t>
            </w:r>
          </w:p>
        </w:tc>
        <w:tc>
          <w:tcPr>
            <w:tcW w:w="891" w:type="dxa"/>
            <w:tcBorders/>
            <w:shd w:fill="CCEEFF" w:val="clear"/>
            <w:vAlign w:val="center"/>
          </w:tcPr>
          <w:p>
            <w:pPr>
              <w:pStyle w:val="TableContents"/>
              <w:bidi w:val="0"/>
              <w:spacing w:before="0" w:after="0"/>
              <w:ind w:left="0" w:right="0" w:hanging="0"/>
              <w:jc w:val="center"/>
              <w:rPr/>
            </w:pPr>
            <w:r>
              <w:rPr/>
              <w:t>​</w:t>
            </w:r>
          </w:p>
        </w:tc>
        <w:tc>
          <w:tcPr>
            <w:tcW w:w="1785" w:type="dxa"/>
            <w:tcBorders/>
            <w:shd w:fill="CCEEFF" w:val="clear"/>
            <w:vAlign w:val="center"/>
          </w:tcPr>
          <w:p>
            <w:pPr>
              <w:pStyle w:val="TableContents"/>
              <w:bidi w:val="0"/>
              <w:spacing w:before="0" w:after="0"/>
              <w:ind w:left="0" w:right="0" w:hanging="0"/>
              <w:jc w:val="center"/>
              <w:rPr/>
            </w:pPr>
            <w:r>
              <w:rPr/>
              <w:t>​</w:t>
            </w:r>
          </w:p>
        </w:tc>
        <w:tc>
          <w:tcPr>
            <w:tcW w:w="12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center"/>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29"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785"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4" w:type="dxa"/>
            <w:tcBorders/>
            <w:vAlign w:val="center"/>
          </w:tcPr>
          <w:p>
            <w:pPr>
              <w:pStyle w:val="TableContents"/>
              <w:bidi w:val="0"/>
              <w:spacing w:before="0" w:after="0"/>
              <w:ind w:left="0" w:right="0" w:hanging="0"/>
              <w:jc w:val="righ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29"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1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2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righ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45,604</w:t>
            </w:r>
          </w:p>
        </w:tc>
      </w:tr>
      <w:tr>
        <w:trPr/>
        <w:tc>
          <w:tcPr>
            <w:tcW w:w="4530"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righ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1785"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4" w:type="dxa"/>
            <w:tcBorders/>
            <w:vAlign w:val="center"/>
          </w:tcPr>
          <w:p>
            <w:pPr>
              <w:pStyle w:val="TableContents"/>
              <w:bidi w:val="0"/>
              <w:spacing w:before="0" w:after="0"/>
              <w:ind w:left="0" w:right="0" w:hanging="0"/>
              <w:jc w:val="right"/>
              <w:rPr/>
            </w:pPr>
            <w:r>
              <w:rPr/>
              <w:t>​</w:t>
            </w:r>
          </w:p>
        </w:tc>
        <w:tc>
          <w:tcPr>
            <w:tcW w:w="113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1785"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right"/>
              <w:rPr/>
            </w:pPr>
            <w:r>
              <w:rPr/>
              <w:t>​</w:t>
            </w:r>
          </w:p>
        </w:tc>
        <w:tc>
          <w:tcPr>
            <w:tcW w:w="988" w:type="dxa"/>
            <w:tcBorders/>
            <w:vAlign w:val="center"/>
          </w:tcPr>
          <w:p>
            <w:pPr>
              <w:pStyle w:val="TableContents"/>
              <w:bidi w:val="0"/>
              <w:spacing w:before="0" w:after="0"/>
              <w:ind w:left="0" w:right="0" w:hanging="0"/>
              <w:jc w:val="right"/>
              <w:rPr/>
            </w:pPr>
            <w:r>
              <w:rPr/>
              <w:t>​</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4" w:type="dxa"/>
            <w:tcBorders/>
            <w:shd w:fill="CCEEFF" w:val="clear"/>
            <w:vAlign w:val="center"/>
          </w:tcPr>
          <w:p>
            <w:pPr>
              <w:pStyle w:val="TableContents"/>
              <w:bidi w:val="0"/>
              <w:spacing w:before="0" w:after="0"/>
              <w:ind w:left="0" w:right="0" w:hanging="0"/>
              <w:jc w:val="righ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1785"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4" w:type="dxa"/>
            <w:tcBorders/>
            <w:vAlign w:val="center"/>
          </w:tcPr>
          <w:p>
            <w:pPr>
              <w:pStyle w:val="TableContents"/>
              <w:bidi w:val="0"/>
              <w:spacing w:before="0" w:after="0"/>
              <w:ind w:left="0" w:right="0" w:hanging="0"/>
              <w:jc w:val="right"/>
              <w:rPr/>
            </w:pPr>
            <w:r>
              <w:rPr/>
              <w:t>​</w:t>
            </w:r>
          </w:p>
        </w:tc>
        <w:tc>
          <w:tcPr>
            <w:tcW w:w="113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1785"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45,644</w:t>
            </w:r>
          </w:p>
        </w:tc>
      </w:tr>
      <w:tr>
        <w:trPr/>
        <w:tc>
          <w:tcPr>
            <w:tcW w:w="4530"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righ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1785"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4" w:type="dxa"/>
            <w:tcBorders/>
            <w:vAlign w:val="center"/>
          </w:tcPr>
          <w:p>
            <w:pPr>
              <w:pStyle w:val="TableContents"/>
              <w:bidi w:val="0"/>
              <w:spacing w:before="0" w:after="0"/>
              <w:ind w:left="0" w:right="0" w:hanging="0"/>
              <w:jc w:val="center"/>
              <w:rPr/>
            </w:pPr>
            <w:r>
              <w:rPr/>
              <w:t>​</w:t>
            </w:r>
          </w:p>
        </w:tc>
        <w:tc>
          <w:tcPr>
            <w:tcW w:w="113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center"/>
              <w:rPr/>
            </w:pPr>
            <w:r>
              <w:rPr/>
              <w:t>​</w:t>
            </w:r>
          </w:p>
        </w:tc>
        <w:tc>
          <w:tcPr>
            <w:tcW w:w="1785"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pPr>
            <w:r>
              <w:rPr/>
              <w:t>​</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c>
          <w:tcPr>
            <w:tcW w:w="129" w:type="dxa"/>
            <w:tcBorders/>
            <w:shd w:fill="CCEEFF" w:val="clear"/>
            <w:vAlign w:val="center"/>
          </w:tcPr>
          <w:p>
            <w:pPr>
              <w:pStyle w:val="TableContents"/>
              <w:bidi w:val="0"/>
              <w:spacing w:before="0" w:after="0"/>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4" w:type="dxa"/>
            <w:tcBorders/>
            <w:vAlign w:val="center"/>
          </w:tcPr>
          <w:p>
            <w:pPr>
              <w:pStyle w:val="TableContents"/>
              <w:bidi w:val="0"/>
              <w:spacing w:before="0" w:after="0"/>
              <w:ind w:left="0" w:right="0" w:hanging="0"/>
              <w:jc w:val="center"/>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38,387</w:t>
            </w:r>
          </w:p>
        </w:tc>
        <w:tc>
          <w:tcPr>
            <w:tcW w:w="129"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center"/>
              <w:rPr/>
            </w:pPr>
            <w:r>
              <w:rPr/>
              <w:t>​</w:t>
            </w:r>
          </w:p>
        </w:tc>
        <w:tc>
          <w:tcPr>
            <w:tcW w:w="1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39,024</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64" w:type="dxa"/>
            <w:tcBorders/>
            <w:shd w:fill="CCEEFF" w:val="clear"/>
            <w:vAlign w:val="center"/>
          </w:tcPr>
          <w:p>
            <w:pPr>
              <w:pStyle w:val="TableContents"/>
              <w:bidi w:val="0"/>
              <w:spacing w:before="0" w:after="0"/>
              <w:ind w:left="0" w:right="0" w:hanging="0"/>
              <w:jc w:val="center"/>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w:t>
            </w:r>
          </w:p>
        </w:tc>
        <w:tc>
          <w:tcPr>
            <w:tcW w:w="129"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center"/>
              <w:rPr/>
            </w:pPr>
            <w:r>
              <w:rPr/>
              <w:t>​</w:t>
            </w:r>
          </w:p>
        </w:tc>
        <w:tc>
          <w:tcPr>
            <w:tcW w:w="1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c>
          <w:tcPr>
            <w:tcW w:w="129" w:type="dxa"/>
            <w:tcBorders/>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7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4" w:type="dxa"/>
            <w:tcBorders/>
            <w:shd w:fill="CCEEFF" w:val="clear"/>
            <w:vAlign w:val="center"/>
          </w:tcPr>
          <w:p>
            <w:pPr>
              <w:pStyle w:val="TableContents"/>
              <w:bidi w:val="0"/>
              <w:spacing w:before="0" w:after="0"/>
              <w:ind w:left="0" w:right="0" w:hanging="0"/>
              <w:jc w:val="center"/>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9,765</w:t>
            </w:r>
          </w:p>
        </w:tc>
        <w:tc>
          <w:tcPr>
            <w:tcW w:w="129"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center"/>
              <w:rPr/>
            </w:pPr>
            <w:r>
              <w:rPr/>
              <w:t>​</w:t>
            </w:r>
          </w:p>
        </w:tc>
        <w:tc>
          <w:tcPr>
            <w:tcW w:w="1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10,046</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w:t>
            </w:r>
          </w:p>
        </w:tc>
        <w:tc>
          <w:tcPr>
            <w:tcW w:w="129" w:type="dxa"/>
            <w:tcBorders/>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7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4" w:type="dxa"/>
            <w:tcBorders/>
            <w:shd w:fill="CCEEFF" w:val="clear"/>
            <w:vAlign w:val="center"/>
          </w:tcPr>
          <w:p>
            <w:pPr>
              <w:pStyle w:val="TableContents"/>
              <w:bidi w:val="0"/>
              <w:spacing w:before="0" w:after="0"/>
              <w:ind w:left="0" w:right="0" w:hanging="0"/>
              <w:jc w:val="center"/>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19,099</w:t>
            </w:r>
          </w:p>
        </w:tc>
        <w:tc>
          <w:tcPr>
            <w:tcW w:w="129"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center"/>
              <w:rPr/>
            </w:pPr>
            <w:r>
              <w:rPr/>
              <w:t>​</w:t>
            </w:r>
          </w:p>
        </w:tc>
        <w:tc>
          <w:tcPr>
            <w:tcW w:w="1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19,380</w:t>
            </w:r>
          </w:p>
        </w:tc>
      </w:tr>
      <w:tr>
        <w:trPr/>
        <w:tc>
          <w:tcPr>
            <w:tcW w:w="4530"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center"/>
              <w:rPr/>
            </w:pPr>
            <w:r>
              <w:rPr/>
              <w:t>​</w:t>
            </w:r>
          </w:p>
        </w:tc>
        <w:tc>
          <w:tcPr>
            <w:tcW w:w="113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center"/>
              <w:rPr/>
            </w:pPr>
            <w:r>
              <w:rPr/>
              <w:t>​</w:t>
            </w:r>
          </w:p>
        </w:tc>
        <w:tc>
          <w:tcPr>
            <w:tcW w:w="1785"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pPr>
            <w:r>
              <w:rPr/>
              <w:t>​</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64" w:type="dxa"/>
            <w:tcBorders/>
            <w:shd w:fill="CCEEFF" w:val="clear"/>
            <w:vAlign w:val="center"/>
          </w:tcPr>
          <w:p>
            <w:pPr>
              <w:pStyle w:val="TableContents"/>
              <w:bidi w:val="0"/>
              <w:spacing w:before="0" w:after="0"/>
              <w:ind w:left="0" w:right="0" w:hanging="0"/>
              <w:jc w:val="center"/>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center"/>
              <w:rPr/>
            </w:pPr>
            <w:r>
              <w:rPr/>
              <w:t>​</w:t>
            </w:r>
          </w:p>
        </w:tc>
        <w:tc>
          <w:tcPr>
            <w:tcW w:w="1785"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4" w:type="dxa"/>
            <w:tcBorders/>
            <w:vAlign w:val="center"/>
          </w:tcPr>
          <w:p>
            <w:pPr>
              <w:pStyle w:val="TableContents"/>
              <w:bidi w:val="0"/>
              <w:spacing w:before="0" w:after="0"/>
              <w:ind w:left="0" w:right="0" w:hanging="0"/>
              <w:jc w:val="center"/>
              <w:rPr/>
            </w:pPr>
            <w:r>
              <w:rPr/>
              <w:t>​</w:t>
            </w:r>
          </w:p>
        </w:tc>
        <w:tc>
          <w:tcPr>
            <w:tcW w:w="113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center"/>
              <w:rPr/>
            </w:pPr>
            <w:r>
              <w:rPr/>
              <w:t>​</w:t>
            </w:r>
          </w:p>
        </w:tc>
        <w:tc>
          <w:tcPr>
            <w:tcW w:w="1785"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4" w:type="dxa"/>
            <w:tcBorders/>
            <w:shd w:fill="CCEEFF" w:val="clear"/>
            <w:vAlign w:val="center"/>
          </w:tcPr>
          <w:p>
            <w:pPr>
              <w:pStyle w:val="TableContents"/>
              <w:bidi w:val="0"/>
              <w:spacing w:before="0" w:after="0"/>
              <w:ind w:left="0" w:right="0" w:hanging="0"/>
              <w:jc w:val="righ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1785"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364" w:type="dxa"/>
            <w:tcBorders/>
            <w:vAlign w:val="center"/>
          </w:tcPr>
          <w:p>
            <w:pPr>
              <w:pStyle w:val="TableContents"/>
              <w:bidi w:val="0"/>
              <w:spacing w:before="0" w:after="0"/>
              <w:ind w:left="0" w:right="0" w:hanging="0"/>
              <w:jc w:val="right"/>
              <w:rPr/>
            </w:pPr>
            <w:r>
              <w:rPr/>
              <w:t>​</w:t>
            </w:r>
          </w:p>
        </w:tc>
        <w:tc>
          <w:tcPr>
            <w:tcW w:w="113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1785"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250" w:type="dxa"/>
            <w:tcBorders/>
            <w:vAlign w:val="center"/>
          </w:tcPr>
          <w:p>
            <w:pPr>
              <w:pStyle w:val="TableContents"/>
              <w:bidi w:val="0"/>
              <w:spacing w:before="0" w:after="0"/>
              <w:ind w:left="0" w:right="0" w:hanging="0"/>
              <w:jc w:val="right"/>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4" w:type="dxa"/>
            <w:tcBorders/>
            <w:shd w:fill="CCEEFF" w:val="clear"/>
            <w:vAlign w:val="center"/>
          </w:tcPr>
          <w:p>
            <w:pPr>
              <w:pStyle w:val="TableContents"/>
              <w:bidi w:val="0"/>
              <w:spacing w:before="0" w:after="0"/>
              <w:ind w:left="0" w:right="0" w:hanging="0"/>
              <w:jc w:val="righ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1785"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4" w:type="dxa"/>
            <w:tcBorders/>
            <w:vAlign w:val="center"/>
          </w:tcPr>
          <w:p>
            <w:pPr>
              <w:pStyle w:val="TableContents"/>
              <w:bidi w:val="0"/>
              <w:spacing w:before="0" w:after="0"/>
              <w:ind w:left="0" w:right="0" w:hanging="0"/>
              <w:jc w:val="right"/>
              <w:rPr/>
            </w:pPr>
            <w:r>
              <w:rPr/>
              <w:t>​</w:t>
            </w:r>
          </w:p>
        </w:tc>
        <w:tc>
          <w:tcPr>
            <w:tcW w:w="1139"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1785"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righ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64" w:type="dxa"/>
            <w:tcBorders/>
            <w:shd w:fill="CCEEFF" w:val="clear"/>
            <w:vAlign w:val="center"/>
          </w:tcPr>
          <w:p>
            <w:pPr>
              <w:pStyle w:val="TableContents"/>
              <w:bidi w:val="0"/>
              <w:spacing w:before="0" w:after="0"/>
              <w:ind w:left="0" w:right="0" w:hanging="0"/>
              <w:jc w:val="righ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1785"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323" w:name="Tc_G2SxHdDOf0m_257s46QyYg_6_7"/>
      <w:bookmarkStart w:id="1324" w:name="Tc_YiRfoHchgUKVxAQCkEJHog_6_4"/>
      <w:bookmarkStart w:id="1325" w:name="Tc_bSeuYdhMC0e9n3A5GDzsuQ_6_1"/>
      <w:bookmarkStart w:id="1326" w:name="Tc_edj9rf6rJka_kQ4PwnfVmA_6_0"/>
      <w:bookmarkStart w:id="1327" w:name="Tc_8KHU06J3A0K7GBr0DyQoZQ_5_8"/>
      <w:bookmarkStart w:id="1328" w:name="Tc_Tw92z7q_DUCK7RbFeSbC8Q_5_0"/>
      <w:bookmarkStart w:id="1329" w:name="Tc_NeE_QcttI0a5RtmvW54PdA_4_7"/>
      <w:bookmarkStart w:id="1330" w:name="Tc_Ta3_r6LnyUKGP5BmNaxzGw_4_4"/>
      <w:bookmarkStart w:id="1331" w:name="Tc_GjoZbe7Wr06vSYdV3d897A_4_1"/>
      <w:bookmarkStart w:id="1332" w:name="Tc_4OEMFy8xz0WSEhL4cXeVYw_4_0"/>
      <w:bookmarkStart w:id="1333" w:name="Tc_Mt_kXefXekmPjwD1VqOQ7A_3_0"/>
      <w:bookmarkStart w:id="1334" w:name="Tc_S_w0vb5EqESY7fv9uk8pIw_2_7"/>
      <w:bookmarkStart w:id="1335" w:name="Tc_6YLR0VUcFEKzpFbTtnAuow_2_4"/>
      <w:bookmarkStart w:id="1336" w:name="Tc_PDZuGlsxgUGpYI5LGEa2IA_2_1"/>
      <w:bookmarkStart w:id="1337" w:name="Tc_o4m7KL3uyE-6eubogfPEDg_1_1"/>
      <w:bookmarkStart w:id="1338" w:name="_48f58780_8ee7_4f36_a46a_e48461c68959"/>
      <w:bookmarkStart w:id="1339" w:name="Tc_DUa1-O0oYkOWy2phng4WBQ_26_7"/>
      <w:bookmarkStart w:id="1340" w:name="Tc_rpXvAqN41kmM71RlSHzjGA_26_0"/>
      <w:bookmarkStart w:id="1341" w:name="Tc_jPJ0kdH-3E2zRX83_Y6oAQ_25_0"/>
      <w:bookmarkStart w:id="1342" w:name="Tc_ry48Hxibik6xce1yzhv-3w_24_0"/>
      <w:bookmarkStart w:id="1343" w:name="Tc_49kX5Yhh5UiAB3ZEvYlXTQ_23_0"/>
      <w:bookmarkStart w:id="1344" w:name="Tc_lYkU3Q5X-U6SsEBZLN5vYQ_22_0"/>
      <w:bookmarkStart w:id="1345" w:name="Tc_0aD6gGp4MkucaPURXGXS_g_21_0"/>
      <w:bookmarkStart w:id="1346" w:name="Tc_qeEYWhvyME-ahMW-hrWqDQ_19_5"/>
      <w:bookmarkStart w:id="1347" w:name="Tc_oSjJ8w0xYUivi-UP3Y5nVA_19_0"/>
      <w:bookmarkStart w:id="1348" w:name="Tc_l4bgWyrWKkKpwtjMwq-j8Q_18_5"/>
      <w:bookmarkStart w:id="1349" w:name="Tc_JZDdUDIlTUKGCO90yu6v5g_18_0"/>
      <w:bookmarkStart w:id="1350" w:name="Tc_I3EDssc8gkWUbWMTToukBA_17_5"/>
      <w:bookmarkStart w:id="1351" w:name="Tc_wxNgYIj6a0G-1Tz0mEd_Jg_17_0"/>
      <w:bookmarkStart w:id="1352" w:name="Tc_8ANmt4VMcEuzUhY3T5-CxQ_16_5"/>
      <w:bookmarkStart w:id="1353" w:name="Tc_rBxaWJ_kVkyQbPiW-g1GBQ_16_0"/>
      <w:bookmarkStart w:id="1354" w:name="Tc_CwIST6n0_0mF7IAV1eidJw_15_8"/>
      <w:bookmarkStart w:id="1355" w:name="Tc_EFimnwvbIkOnx2LnnY3JcA_15_5"/>
      <w:bookmarkStart w:id="1356" w:name="Tc_dyKn9Jnc7Eu7qik8MHMPug_15_2"/>
      <w:bookmarkStart w:id="1357" w:name="Tc_1hs32sHEu0G8z0gtygMa3w_15_0"/>
      <w:bookmarkStart w:id="1358" w:name="Tc_5Juzi-yyeEKcVQAhHcfiew_14_5"/>
      <w:bookmarkStart w:id="1359" w:name="Tc_bjHjdPnY602IdW-hlnALgQ_14_0"/>
      <w:bookmarkStart w:id="1360" w:name="Tc_-vdpAO-VLU-msXJiImGh4A_13_5"/>
      <w:bookmarkStart w:id="1361" w:name="Tc_pzcRasC2QUWfd3PU9Ob1rw_13_0"/>
      <w:bookmarkStart w:id="1362" w:name="Tc_G1ZCx7Qj4Ee-lcBrzBlmLA_12_0"/>
      <w:bookmarkStart w:id="1363" w:name="Tc_qtcr3z1gE0uaL6Dj4ZoVXQ_10_7"/>
      <w:bookmarkStart w:id="1364" w:name="Tc_sWd2lLdbD02vILtvCP0zew_10_0"/>
      <w:bookmarkStart w:id="1365" w:name="Tc_-_HdlPadqEKuB_yDAc6wuA_9_8"/>
      <w:bookmarkStart w:id="1366" w:name="Tc_Vn8tig1Wr0GQ0JgvoO4eOQ_9_0"/>
      <w:bookmarkStart w:id="1367" w:name="Tc_eXloWYofsUSCUQSC08K8wQ_8_0"/>
      <w:bookmarkStart w:id="1368" w:name="Tc_shVnV-39fE6apQHJ7hk6XQ_6_5"/>
      <w:bookmarkStart w:id="1369" w:name="Tc_ecTA3mfWr0yUB0Y-FsiPwA_6_0"/>
      <w:bookmarkStart w:id="1370" w:name="Tc_p9wsN0QOg0SDiE501_BuOQ_5_8"/>
      <w:bookmarkStart w:id="1371" w:name="Tc_0CXW8BAjBUevZdsm0k1_ZA_5_5"/>
      <w:bookmarkStart w:id="1372" w:name="Tc_HRPIFkX14USDfjQSD8F5DQ_5_2"/>
      <w:bookmarkStart w:id="1373" w:name="Tc_6d4afQKv1kG4PAO47LjlrQ_5_0"/>
      <w:bookmarkStart w:id="1374" w:name="Tc_gsLMgUVrEUiSgOv92k8D0Q_4_7"/>
      <w:bookmarkStart w:id="1375" w:name="Tc_SAkt5OkCRESBbJl5lU5lqw_4_5"/>
      <w:bookmarkStart w:id="1376" w:name="Tc_dN0DNU3OoEakGOehXflTPw_4_4"/>
      <w:bookmarkStart w:id="1377" w:name="Tc_9HbtREPqxESymuWEG6cYXg_4_1"/>
      <w:bookmarkStart w:id="1378" w:name="Tc_0nnts664IEeEjIlPD2r8cg_4_0"/>
      <w:bookmarkStart w:id="1379" w:name="Tc_YF1hm2pmikeMGRE7c__mMw_3_0"/>
      <w:bookmarkStart w:id="1380" w:name="Tc_WXjUHaNY9kypfp0-flFyHQ_2_7"/>
      <w:bookmarkStart w:id="1381" w:name="Tc_hrOVBVu6PUieNsL9anVs9g_2_4"/>
      <w:bookmarkStart w:id="1382" w:name="Tc_HQSBur_zh0W-KllJqWlFFQ_2_1"/>
      <w:bookmarkStart w:id="1383" w:name="Tc_hdB8zGSiDEibTKEBQfWBUA_1_1"/>
      <w:bookmarkStart w:id="1384" w:name="_aebe70f9_3326_4b60_b92d_93a095f77df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Pr>
          <w:rFonts w:ascii="Times New Roman;Times;serif" w:hAnsi="Times New Roman;Times;serif"/>
          <w:sz w:val="20"/>
        </w:rPr>
        <w:t>Information about the Company’s operations in different segments for the year ended December 31, 2022 is as follows (in thousands):</w:t>
      </w:r>
    </w:p>
    <w:tbl>
      <w:tblPr>
        <w:tblW w:w="10205" w:type="dxa"/>
        <w:jc w:val="left"/>
        <w:tblInd w:w="0" w:type="dxa"/>
        <w:tblLayout w:type="fixed"/>
        <w:tblCellMar>
          <w:top w:w="0" w:type="dxa"/>
          <w:left w:w="0" w:type="dxa"/>
          <w:bottom w:w="0" w:type="dxa"/>
          <w:right w:w="0" w:type="dxa"/>
        </w:tblCellMar>
      </w:tblPr>
      <w:tblGrid>
        <w:gridCol w:w="4530"/>
        <w:gridCol w:w="366"/>
        <w:gridCol w:w="1137"/>
        <w:gridCol w:w="134"/>
        <w:gridCol w:w="1012"/>
        <w:gridCol w:w="1663"/>
        <w:gridCol w:w="134"/>
        <w:gridCol w:w="260"/>
        <w:gridCol w:w="969"/>
      </w:tblGrid>
      <w:tr>
        <w:trPr/>
        <w:tc>
          <w:tcPr>
            <w:tcW w:w="4530"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32410" cy="175260"/>
                      <wp:effectExtent l="0" t="0" r="0" b="0"/>
                      <wp:wrapNone/>
                      <wp:docPr id="350" name="Frame350"/>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21995" cy="175260"/>
                      <wp:effectExtent l="0" t="0" r="0" b="0"/>
                      <wp:wrapNone/>
                      <wp:docPr id="351" name="Frame351"/>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5090" cy="175260"/>
                      <wp:effectExtent l="0" t="0" r="0" b="0"/>
                      <wp:wrapNone/>
                      <wp:docPr id="352" name="Frame352"/>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2620" cy="175260"/>
                      <wp:effectExtent l="0" t="0" r="0" b="0"/>
                      <wp:wrapNone/>
                      <wp:docPr id="353" name="Frame353"/>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056005" cy="175260"/>
                      <wp:effectExtent l="0" t="0" r="0" b="0"/>
                      <wp:wrapNone/>
                      <wp:docPr id="354" name="Frame354"/>
                      <a:graphic xmlns:a="http://schemas.openxmlformats.org/drawingml/2006/main">
                        <a:graphicData uri="http://schemas.microsoft.com/office/word/2010/wordprocessingShape">
                          <wps:wsp>
                            <wps:cNvSpPr txBox="1"/>
                            <wps:spPr>
                              <a:xfrm>
                                <a:off x="0" y="0"/>
                                <a:ext cx="1056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85090" cy="175260"/>
                      <wp:effectExtent l="0" t="0" r="0" b="0"/>
                      <wp:wrapNone/>
                      <wp:docPr id="355" name="Frame355"/>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65100" cy="175260"/>
                      <wp:effectExtent l="0" t="0" r="0" b="0"/>
                      <wp:wrapNone/>
                      <wp:docPr id="356" name="Frame35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15315" cy="175260"/>
                      <wp:effectExtent l="0" t="0" r="0" b="0"/>
                      <wp:wrapNone/>
                      <wp:docPr id="357" name="Frame357"/>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0" w:type="dxa"/>
            <w:tcBorders/>
            <w:vAlign w:val="center"/>
          </w:tcPr>
          <w:p>
            <w:pPr>
              <w:pStyle w:val="TableContents"/>
              <w:bidi w:val="0"/>
              <w:spacing w:before="0" w:after="0"/>
              <w:ind w:left="0" w:right="0" w:hanging="0"/>
              <w:jc w:val="left"/>
              <w:rPr/>
            </w:pPr>
            <w:r>
              <w:rPr/>
              <w:t>​</w:t>
            </w:r>
          </w:p>
        </w:tc>
        <w:tc>
          <w:tcPr>
            <w:tcW w:w="56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2022</w:t>
            </w:r>
          </w:p>
        </w:tc>
      </w:tr>
      <w:tr>
        <w:trPr/>
        <w:tc>
          <w:tcPr>
            <w:tcW w:w="4530" w:type="dxa"/>
            <w:tcBorders/>
            <w:vAlign w:val="center"/>
          </w:tcPr>
          <w:p>
            <w:pPr>
              <w:pStyle w:val="TableContents"/>
              <w:bidi w:val="0"/>
              <w:spacing w:before="0" w:after="0"/>
              <w:ind w:left="0" w:right="0" w:hanging="0"/>
              <w:jc w:val="left"/>
              <w:rPr/>
            </w:pPr>
            <w:r>
              <w:rPr/>
              <w:t>​</w:t>
            </w:r>
          </w:p>
        </w:tc>
        <w:tc>
          <w:tcPr>
            <w:tcW w:w="15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34" w:type="dxa"/>
            <w:tcBorders/>
            <w:vAlign w:val="center"/>
          </w:tcPr>
          <w:p>
            <w:pPr>
              <w:pStyle w:val="TableContents"/>
              <w:bidi w:val="0"/>
              <w:spacing w:before="0" w:after="0"/>
              <w:ind w:left="0" w:right="0" w:hanging="0"/>
              <w:jc w:val="center"/>
              <w:rPr/>
            </w:pPr>
            <w:r>
              <w:rPr/>
              <w:t>​</w:t>
            </w:r>
          </w:p>
        </w:tc>
        <w:tc>
          <w:tcPr>
            <w:tcW w:w="26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34" w:type="dxa"/>
            <w:tcBorders/>
            <w:vAlign w:val="center"/>
          </w:tcPr>
          <w:p>
            <w:pPr>
              <w:pStyle w:val="TableContents"/>
              <w:bidi w:val="0"/>
              <w:spacing w:before="0" w:after="0"/>
              <w:ind w:left="0" w:right="0" w:hanging="0"/>
              <w:jc w:val="center"/>
              <w:rPr/>
            </w:pPr>
            <w:r>
              <w:rPr/>
              <w:t>​</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6"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pPr>
            <w:r>
              <w:rPr/>
              <w:t>​</w:t>
            </w:r>
          </w:p>
        </w:tc>
        <w:tc>
          <w:tcPr>
            <w:tcW w:w="134" w:type="dxa"/>
            <w:tcBorders/>
            <w:shd w:fill="CCEEFF" w:val="clear"/>
            <w:vAlign w:val="center"/>
          </w:tcPr>
          <w:p>
            <w:pPr>
              <w:pStyle w:val="TableContents"/>
              <w:bidi w:val="0"/>
              <w:spacing w:before="0" w:after="0"/>
              <w:ind w:left="0" w:right="0" w:hanging="0"/>
              <w:jc w:val="center"/>
              <w:rPr/>
            </w:pPr>
            <w:r>
              <w:rPr/>
              <w:t>​</w:t>
            </w:r>
          </w:p>
        </w:tc>
        <w:tc>
          <w:tcPr>
            <w:tcW w:w="1012" w:type="dxa"/>
            <w:tcBorders/>
            <w:shd w:fill="CCEEFF" w:val="clear"/>
            <w:vAlign w:val="center"/>
          </w:tcPr>
          <w:p>
            <w:pPr>
              <w:pStyle w:val="TableContents"/>
              <w:bidi w:val="0"/>
              <w:spacing w:before="0" w:after="0"/>
              <w:ind w:left="0" w:right="0" w:hanging="0"/>
              <w:jc w:val="center"/>
              <w:rPr/>
            </w:pPr>
            <w:r>
              <w:rPr/>
              <w:t>​</w:t>
            </w:r>
          </w:p>
        </w:tc>
        <w:tc>
          <w:tcPr>
            <w:tcW w:w="1663" w:type="dxa"/>
            <w:tcBorders/>
            <w:shd w:fill="CCEEFF" w:val="clear"/>
            <w:vAlign w:val="center"/>
          </w:tcPr>
          <w:p>
            <w:pPr>
              <w:pStyle w:val="TableContents"/>
              <w:bidi w:val="0"/>
              <w:spacing w:before="0" w:after="0"/>
              <w:ind w:left="0" w:right="0" w:hanging="0"/>
              <w:jc w:val="center"/>
              <w:rPr/>
            </w:pPr>
            <w:r>
              <w:rPr/>
              <w:t>​</w:t>
            </w:r>
          </w:p>
        </w:tc>
        <w:tc>
          <w:tcPr>
            <w:tcW w:w="134"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969" w:type="dxa"/>
            <w:tcBorders/>
            <w:shd w:fill="CCEEFF" w:val="clear"/>
            <w:vAlign w:val="center"/>
          </w:tcPr>
          <w:p>
            <w:pPr>
              <w:pStyle w:val="TableContents"/>
              <w:bidi w:val="0"/>
              <w:spacing w:before="0" w:after="0"/>
              <w:ind w:left="0" w:right="0" w:hanging="0"/>
              <w:jc w:val="center"/>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c>
          <w:tcPr>
            <w:tcW w:w="134"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6" w:type="dxa"/>
            <w:tcBorders/>
            <w:vAlign w:val="center"/>
          </w:tcPr>
          <w:p>
            <w:pPr>
              <w:pStyle w:val="TableContents"/>
              <w:bidi w:val="0"/>
              <w:spacing w:before="0" w:after="0"/>
              <w:ind w:left="0" w:right="0" w:hanging="0"/>
              <w:jc w:val="righ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c>
          <w:tcPr>
            <w:tcW w:w="134"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r>
      <w:tr>
        <w:trPr/>
        <w:tc>
          <w:tcPr>
            <w:tcW w:w="4530"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1012" w:type="dxa"/>
            <w:tcBorders/>
            <w:shd w:fill="CCEEFF" w:val="clear"/>
            <w:vAlign w:val="center"/>
          </w:tcPr>
          <w:p>
            <w:pPr>
              <w:pStyle w:val="TableContents"/>
              <w:bidi w:val="0"/>
              <w:spacing w:before="0" w:after="0"/>
              <w:ind w:left="0" w:right="0" w:hanging="0"/>
              <w:jc w:val="right"/>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6" w:type="dxa"/>
            <w:tcBorders/>
            <w:vAlign w:val="center"/>
          </w:tcPr>
          <w:p>
            <w:pPr>
              <w:pStyle w:val="TableContents"/>
              <w:bidi w:val="0"/>
              <w:spacing w:before="0" w:after="0"/>
              <w:ind w:left="0" w:right="0" w:hanging="0"/>
              <w:jc w:val="right"/>
              <w:rPr/>
            </w:pPr>
            <w:r>
              <w:rPr/>
              <w:t>​</w:t>
            </w:r>
          </w:p>
        </w:tc>
        <w:tc>
          <w:tcPr>
            <w:tcW w:w="1137"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6" w:type="dxa"/>
            <w:tcBorders/>
            <w:shd w:fill="CCEEFF" w:val="clear"/>
            <w:vAlign w:val="center"/>
          </w:tcPr>
          <w:p>
            <w:pPr>
              <w:pStyle w:val="TableContents"/>
              <w:bidi w:val="0"/>
              <w:spacing w:before="0" w:after="0"/>
              <w:ind w:left="0" w:right="0" w:hanging="0"/>
              <w:jc w:val="right"/>
              <w:rPr/>
            </w:pPr>
            <w:r>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1012" w:type="dxa"/>
            <w:tcBorders/>
            <w:shd w:fill="CCEEFF" w:val="clear"/>
            <w:vAlign w:val="center"/>
          </w:tcPr>
          <w:p>
            <w:pPr>
              <w:pStyle w:val="TableContents"/>
              <w:bidi w:val="0"/>
              <w:spacing w:before="0" w:after="0"/>
              <w:ind w:left="0" w:right="0" w:hanging="0"/>
              <w:jc w:val="right"/>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6" w:type="dxa"/>
            <w:tcBorders/>
            <w:vAlign w:val="center"/>
          </w:tcPr>
          <w:p>
            <w:pPr>
              <w:pStyle w:val="TableContents"/>
              <w:bidi w:val="0"/>
              <w:spacing w:before="0" w:after="0"/>
              <w:ind w:left="0" w:right="0" w:hanging="0"/>
              <w:jc w:val="right"/>
              <w:rPr/>
            </w:pPr>
            <w:r>
              <w:rPr/>
              <w:t>​</w:t>
            </w:r>
          </w:p>
        </w:tc>
        <w:tc>
          <w:tcPr>
            <w:tcW w:w="1137"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45,191</w:t>
            </w:r>
          </w:p>
        </w:tc>
      </w:tr>
      <w:tr>
        <w:trPr/>
        <w:tc>
          <w:tcPr>
            <w:tcW w:w="4530"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1012" w:type="dxa"/>
            <w:tcBorders/>
            <w:shd w:fill="CCEEFF" w:val="clear"/>
            <w:vAlign w:val="center"/>
          </w:tcPr>
          <w:p>
            <w:pPr>
              <w:pStyle w:val="TableContents"/>
              <w:bidi w:val="0"/>
              <w:spacing w:before="0" w:after="0"/>
              <w:ind w:left="0" w:right="0" w:hanging="0"/>
              <w:jc w:val="right"/>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6"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left"/>
              <w:rPr/>
            </w:pPr>
            <w:r>
              <w:rPr/>
              <w:t>​</w:t>
            </w:r>
          </w:p>
        </w:tc>
        <w:tc>
          <w:tcPr>
            <w:tcW w:w="134"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center"/>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right"/>
              <w:rPr/>
            </w:pPr>
            <w:r>
              <w:rPr/>
              <w:t>​</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w:t>
            </w:r>
          </w:p>
        </w:tc>
        <w:tc>
          <w:tcPr>
            <w:tcW w:w="134" w:type="dxa"/>
            <w:tcBorders/>
            <w:shd w:fill="CCEEFF" w:val="clear"/>
            <w:vAlign w:val="center"/>
          </w:tcPr>
          <w:p>
            <w:pPr>
              <w:pStyle w:val="TableContents"/>
              <w:bidi w:val="0"/>
              <w:spacing w:before="0" w:after="0"/>
              <w:ind w:left="0" w:right="0" w:hanging="0"/>
              <w:jc w:val="left"/>
              <w:rPr/>
            </w:pPr>
            <w:r>
              <w:rPr/>
              <w:t>​</w:t>
            </w:r>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6"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39,756</w:t>
            </w:r>
          </w:p>
        </w:tc>
        <w:tc>
          <w:tcPr>
            <w:tcW w:w="134"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center"/>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39,756</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66"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12" w:type="dxa"/>
            <w:tcBorders/>
            <w:shd w:fill="CCEEFF" w:val="clear"/>
            <w:vAlign w:val="center"/>
          </w:tcPr>
          <w:p>
            <w:pPr>
              <w:pStyle w:val="TableContents"/>
              <w:bidi w:val="0"/>
              <w:spacing w:before="0" w:after="0"/>
              <w:ind w:left="0" w:right="0" w:hanging="0"/>
              <w:jc w:val="center"/>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969" w:type="dxa"/>
            <w:tcBorders/>
            <w:shd w:fill="CCEEFF" w:val="cle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23,564</w:t>
            </w:r>
          </w:p>
        </w:tc>
        <w:tc>
          <w:tcPr>
            <w:tcW w:w="134" w:type="dxa"/>
            <w:tcBorders/>
            <w:vAlign w:val="center"/>
          </w:tcPr>
          <w:p>
            <w:pPr>
              <w:pStyle w:val="TableContents"/>
              <w:bidi w:val="0"/>
              <w:spacing w:before="0" w:after="0"/>
              <w:ind w:left="0" w:right="0" w:hanging="0"/>
              <w:jc w:val="left"/>
              <w:rPr/>
            </w:pPr>
            <w:r>
              <w:rPr/>
              <w:t>​</w:t>
            </w:r>
          </w:p>
        </w:tc>
        <w:tc>
          <w:tcPr>
            <w:tcW w:w="101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23,564</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6"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16,192</w:t>
            </w:r>
          </w:p>
        </w:tc>
        <w:tc>
          <w:tcPr>
            <w:tcW w:w="134" w:type="dxa"/>
            <w:tcBorders/>
            <w:shd w:fill="CCEEFF" w:val="clear"/>
            <w:vAlign w:val="center"/>
          </w:tcPr>
          <w:p>
            <w:pPr>
              <w:pStyle w:val="TableContents"/>
              <w:bidi w:val="0"/>
              <w:spacing w:before="0" w:after="0"/>
              <w:ind w:left="0" w:right="0" w:hanging="0"/>
              <w:jc w:val="left"/>
              <w:rPr/>
            </w:pPr>
            <w:r>
              <w:rPr/>
              <w:t>​</w:t>
            </w:r>
          </w:p>
        </w:tc>
        <w:tc>
          <w:tcPr>
            <w:tcW w:w="1012" w:type="dxa"/>
            <w:tcBorders/>
            <w:shd w:fill="CCEEFF" w:val="clear"/>
            <w:vAlign w:val="center"/>
          </w:tcPr>
          <w:p>
            <w:pPr>
              <w:pStyle w:val="TableContents"/>
              <w:bidi w:val="0"/>
              <w:spacing w:before="0" w:after="0"/>
              <w:ind w:left="0" w:right="0" w:hanging="0"/>
              <w:jc w:val="center"/>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16,192</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33,801</w:t>
            </w:r>
          </w:p>
        </w:tc>
        <w:tc>
          <w:tcPr>
            <w:tcW w:w="134" w:type="dxa"/>
            <w:tcBorders/>
            <w:vAlign w:val="center"/>
          </w:tcPr>
          <w:p>
            <w:pPr>
              <w:pStyle w:val="TableContents"/>
              <w:bidi w:val="0"/>
              <w:spacing w:before="0" w:after="0"/>
              <w:ind w:left="0" w:right="0" w:hanging="0"/>
              <w:jc w:val="left"/>
              <w:rPr/>
            </w:pPr>
            <w:r>
              <w:rPr/>
              <w:t>​</w:t>
            </w:r>
          </w:p>
        </w:tc>
        <w:tc>
          <w:tcPr>
            <w:tcW w:w="101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33,801</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6"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49,993</w:t>
            </w:r>
          </w:p>
        </w:tc>
        <w:tc>
          <w:tcPr>
            <w:tcW w:w="134" w:type="dxa"/>
            <w:tcBorders/>
            <w:shd w:fill="CCEEFF" w:val="clear"/>
            <w:vAlign w:val="center"/>
          </w:tcPr>
          <w:p>
            <w:pPr>
              <w:pStyle w:val="TableContents"/>
              <w:bidi w:val="0"/>
              <w:spacing w:before="0" w:after="0"/>
              <w:ind w:left="0" w:right="0" w:hanging="0"/>
              <w:jc w:val="left"/>
              <w:rPr/>
            </w:pPr>
            <w:r>
              <w:rPr/>
              <w:t>​</w:t>
            </w:r>
          </w:p>
        </w:tc>
        <w:tc>
          <w:tcPr>
            <w:tcW w:w="1012" w:type="dxa"/>
            <w:tcBorders/>
            <w:shd w:fill="CCEEFF" w:val="clear"/>
            <w:vAlign w:val="center"/>
          </w:tcPr>
          <w:p>
            <w:pPr>
              <w:pStyle w:val="TableContents"/>
              <w:bidi w:val="0"/>
              <w:spacing w:before="0" w:after="0"/>
              <w:ind w:left="0" w:right="0" w:hanging="0"/>
              <w:jc w:val="center"/>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49,993</w:t>
            </w:r>
          </w:p>
        </w:tc>
      </w:tr>
      <w:tr>
        <w:trPr/>
        <w:tc>
          <w:tcPr>
            <w:tcW w:w="4530"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center"/>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right"/>
              <w:rPr/>
            </w:pPr>
            <w:r>
              <w:rPr/>
              <w:t>​</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66"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12" w:type="dxa"/>
            <w:tcBorders/>
            <w:shd w:fill="CCEEFF" w:val="clear"/>
            <w:vAlign w:val="center"/>
          </w:tcPr>
          <w:p>
            <w:pPr>
              <w:pStyle w:val="TableContents"/>
              <w:bidi w:val="0"/>
              <w:spacing w:before="0" w:after="0"/>
              <w:ind w:left="0" w:right="0" w:hanging="0"/>
              <w:jc w:val="center"/>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969" w:type="dxa"/>
            <w:tcBorders/>
            <w:shd w:fill="CCEEFF" w:val="clear"/>
            <w:vAlign w:val="center"/>
          </w:tcPr>
          <w:p>
            <w:pPr>
              <w:pStyle w:val="TableContents"/>
              <w:bidi w:val="0"/>
              <w:spacing w:before="0" w:after="0"/>
              <w:ind w:left="0" w:right="0" w:hanging="0"/>
              <w:jc w:val="right"/>
              <w:rPr/>
            </w:pPr>
            <w:r>
              <w:rPr/>
              <w:t>​</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6" w:type="dxa"/>
            <w:tcBorders/>
            <w:vAlign w:val="center"/>
          </w:tcPr>
          <w:p>
            <w:pPr>
              <w:pStyle w:val="TableContents"/>
              <w:bidi w:val="0"/>
              <w:spacing w:before="0" w:after="0"/>
              <w:ind w:left="0" w:right="0" w:hanging="0"/>
              <w:jc w:val="right"/>
              <w:rPr/>
            </w:pPr>
            <w:r>
              <w:rPr/>
              <w:t>​</w:t>
            </w:r>
          </w:p>
        </w:tc>
        <w:tc>
          <w:tcPr>
            <w:tcW w:w="1137"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66" w:type="dxa"/>
            <w:tcBorders/>
            <w:shd w:fill="CCEEFF" w:val="clear"/>
            <w:vAlign w:val="center"/>
          </w:tcPr>
          <w:p>
            <w:pPr>
              <w:pStyle w:val="TableContents"/>
              <w:bidi w:val="0"/>
              <w:spacing w:before="0" w:after="0"/>
              <w:ind w:left="0" w:right="0" w:hanging="0"/>
              <w:jc w:val="right"/>
              <w:rPr/>
            </w:pPr>
            <w:r>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1012" w:type="dxa"/>
            <w:tcBorders/>
            <w:shd w:fill="CCEEFF" w:val="clear"/>
            <w:vAlign w:val="center"/>
          </w:tcPr>
          <w:p>
            <w:pPr>
              <w:pStyle w:val="TableContents"/>
              <w:bidi w:val="0"/>
              <w:spacing w:before="0" w:after="0"/>
              <w:ind w:left="0" w:right="0" w:hanging="0"/>
              <w:jc w:val="right"/>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6" w:type="dxa"/>
            <w:tcBorders/>
            <w:vAlign w:val="center"/>
          </w:tcPr>
          <w:p>
            <w:pPr>
              <w:pStyle w:val="TableContents"/>
              <w:bidi w:val="0"/>
              <w:spacing w:before="0" w:after="0"/>
              <w:ind w:left="0" w:right="0" w:hanging="0"/>
              <w:jc w:val="right"/>
              <w:rPr/>
            </w:pPr>
            <w:r>
              <w:rPr/>
              <w:t>​</w:t>
            </w:r>
          </w:p>
        </w:tc>
        <w:tc>
          <w:tcPr>
            <w:tcW w:w="1137"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6" w:type="dxa"/>
            <w:tcBorders/>
            <w:shd w:fill="CCEEFF" w:val="clear"/>
            <w:vAlign w:val="center"/>
          </w:tcPr>
          <w:p>
            <w:pPr>
              <w:pStyle w:val="TableContents"/>
              <w:bidi w:val="0"/>
              <w:spacing w:before="0" w:after="0"/>
              <w:ind w:left="0" w:right="0" w:hanging="0"/>
              <w:jc w:val="right"/>
              <w:rPr/>
            </w:pPr>
            <w:r>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1012" w:type="dxa"/>
            <w:tcBorders/>
            <w:shd w:fill="CCEEFF" w:val="clear"/>
            <w:vAlign w:val="center"/>
          </w:tcPr>
          <w:p>
            <w:pPr>
              <w:pStyle w:val="TableContents"/>
              <w:bidi w:val="0"/>
              <w:spacing w:before="0" w:after="0"/>
              <w:ind w:left="0" w:right="0" w:hanging="0"/>
              <w:jc w:val="right"/>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34" w:type="dxa"/>
            <w:tcBorders/>
            <w:shd w:fill="CCEEFF" w:val="clear"/>
            <w:vAlign w:val="center"/>
          </w:tcPr>
          <w:p>
            <w:pPr>
              <w:pStyle w:val="TableContents"/>
              <w:bidi w:val="0"/>
              <w:spacing w:before="0" w:after="0"/>
              <w:ind w:left="0" w:right="0" w:hanging="0"/>
              <w:jc w:val="righ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(9,539)</w:t>
            </w:r>
          </w:p>
        </w:tc>
      </w:tr>
      <w:tr>
        <w:trPr/>
        <w:tc>
          <w:tcPr>
            <w:tcW w:w="4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66" w:type="dxa"/>
            <w:tcBorders/>
            <w:vAlign w:val="center"/>
          </w:tcPr>
          <w:p>
            <w:pPr>
              <w:pStyle w:val="TableContents"/>
              <w:bidi w:val="0"/>
              <w:spacing w:before="0" w:after="0"/>
              <w:ind w:left="0" w:right="0" w:hanging="0"/>
              <w:jc w:val="right"/>
              <w:rPr/>
            </w:pPr>
            <w:r>
              <w:rPr/>
              <w:t>​</w:t>
            </w:r>
          </w:p>
        </w:tc>
        <w:tc>
          <w:tcPr>
            <w:tcW w:w="1137"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1012" w:type="dxa"/>
            <w:tcBorders/>
            <w:vAlign w:val="center"/>
          </w:tcPr>
          <w:p>
            <w:pPr>
              <w:pStyle w:val="TableContents"/>
              <w:bidi w:val="0"/>
              <w:spacing w:before="0" w:after="0"/>
              <w:ind w:left="0" w:right="0" w:hanging="0"/>
              <w:jc w:val="right"/>
              <w:rPr/>
            </w:pPr>
            <w:r>
              <w:rPr/>
              <w:t>​</w:t>
            </w:r>
          </w:p>
        </w:tc>
        <w:tc>
          <w:tcPr>
            <w:tcW w:w="1663"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righ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33,955</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Capital expenditures of each segment as of December 31, 2024, 2023, and 2022 are as follows (in thousands):</w:t>
      </w:r>
    </w:p>
    <w:p>
      <w:pPr>
        <w:pStyle w:val="TextBody"/>
        <w:bidi w:val="0"/>
        <w:spacing w:before="0" w:after="0"/>
        <w:ind w:left="0" w:right="0" w:hanging="0"/>
        <w:jc w:val="left"/>
        <w:rPr/>
      </w:pPr>
      <w:r>
        <w:rPr/>
        <w:t>​</w:t>
      </w:r>
    </w:p>
    <w:tbl>
      <w:tblPr>
        <w:tblW w:w="8454" w:type="dxa"/>
        <w:jc w:val="left"/>
        <w:tblInd w:w="0" w:type="dxa"/>
        <w:tblLayout w:type="fixed"/>
        <w:tblCellMar>
          <w:top w:w="0" w:type="dxa"/>
          <w:left w:w="0" w:type="dxa"/>
          <w:bottom w:w="0" w:type="dxa"/>
          <w:right w:w="0" w:type="dxa"/>
        </w:tblCellMar>
      </w:tblPr>
      <w:tblGrid>
        <w:gridCol w:w="3016"/>
        <w:gridCol w:w="366"/>
        <w:gridCol w:w="1359"/>
        <w:gridCol w:w="109"/>
        <w:gridCol w:w="366"/>
        <w:gridCol w:w="1359"/>
        <w:gridCol w:w="109"/>
        <w:gridCol w:w="340"/>
        <w:gridCol w:w="1430"/>
      </w:tblGrid>
      <w:tr>
        <w:trPr/>
        <w:tc>
          <w:tcPr>
            <w:tcW w:w="301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32410" cy="175260"/>
                      <wp:effectExtent l="0" t="0" r="0" b="0"/>
                      <wp:wrapNone/>
                      <wp:docPr id="358" name="Frame35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862965" cy="175260"/>
                      <wp:effectExtent l="0" t="0" r="0" b="0"/>
                      <wp:wrapNone/>
                      <wp:docPr id="359" name="Frame359"/>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32410" cy="175260"/>
                      <wp:effectExtent l="0" t="0" r="0" b="0"/>
                      <wp:wrapNone/>
                      <wp:docPr id="361" name="Frame36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862965" cy="175260"/>
                      <wp:effectExtent l="0" t="0" r="0" b="0"/>
                      <wp:wrapNone/>
                      <wp:docPr id="362" name="Frame362"/>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5900" cy="175260"/>
                      <wp:effectExtent l="0" t="0" r="0" b="0"/>
                      <wp:wrapNone/>
                      <wp:docPr id="364" name="Frame364"/>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908050" cy="175260"/>
                      <wp:effectExtent l="0" t="0" r="0" b="0"/>
                      <wp:wrapNone/>
                      <wp:docPr id="365" name="Frame365"/>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3016"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74,524</w:t>
            </w:r>
          </w:p>
        </w:tc>
        <w:tc>
          <w:tcPr>
            <w:tcW w:w="109"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84,465</w:t>
            </w:r>
          </w:p>
        </w:tc>
        <w:tc>
          <w:tcPr>
            <w:tcW w:w="109" w:type="dxa"/>
            <w:tcBorders/>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189,148</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57,851</w:t>
            </w:r>
          </w:p>
        </w:tc>
        <w:tc>
          <w:tcPr>
            <w:tcW w:w="109" w:type="dxa"/>
            <w:tcBorders/>
            <w:shd w:fill="CCEEFF" w:val="clear"/>
            <w:vAlign w:val="center"/>
          </w:tcPr>
          <w:p>
            <w:pPr>
              <w:pStyle w:val="TableContents"/>
              <w:bidi w:val="0"/>
              <w:spacing w:before="0" w:after="0"/>
              <w:ind w:left="0" w:right="0" w:hanging="0"/>
              <w:jc w:val="righ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35,419</w:t>
            </w:r>
          </w:p>
        </w:tc>
        <w:tc>
          <w:tcPr>
            <w:tcW w:w="109" w:type="dxa"/>
            <w:tcBorders/>
            <w:shd w:fill="CCEEFF" w:val="clear"/>
            <w:vAlign w:val="center"/>
          </w:tcPr>
          <w:p>
            <w:pPr>
              <w:pStyle w:val="TableContents"/>
              <w:bidi w:val="0"/>
              <w:spacing w:before="0" w:after="0"/>
              <w:ind w:left="0" w:right="0" w:hanging="0"/>
              <w:jc w:val="righ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132,375</w:t>
            </w:r>
          </w:p>
        </w:tc>
        <w:tc>
          <w:tcPr>
            <w:tcW w:w="109" w:type="dxa"/>
            <w:tcBorders/>
            <w:vAlign w:val="center"/>
          </w:tcPr>
          <w:p>
            <w:pPr>
              <w:pStyle w:val="TableContents"/>
              <w:bidi w:val="0"/>
              <w:spacing w:before="0" w:after="0"/>
              <w:ind w:left="0" w:right="0" w:hanging="0"/>
              <w:jc w:val="right"/>
              <w:rPr/>
            </w:pPr>
            <w:r>
              <w:rPr/>
              <w:t>​</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119,884</w:t>
            </w:r>
          </w:p>
        </w:tc>
        <w:tc>
          <w:tcPr>
            <w:tcW w:w="109" w:type="dxa"/>
            <w:tcBorders/>
            <w:vAlign w:val="center"/>
          </w:tcPr>
          <w:p>
            <w:pPr>
              <w:pStyle w:val="TableContents"/>
              <w:bidi w:val="0"/>
              <w:spacing w:before="0" w:after="0"/>
              <w:ind w:left="0" w:right="0" w:hanging="0"/>
              <w:jc w:val="righ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189,148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385" w:name="Tc_j15wEfIu8E6TZTREvUEl_g_8_5"/>
      <w:bookmarkStart w:id="1386" w:name="Tc_Llf-MLBaIkmzpYTezO7abw_8_2"/>
      <w:bookmarkStart w:id="1387" w:name="Tc_sNzp6oNaykyQPBBds1GFEQ_8_0"/>
      <w:bookmarkStart w:id="1388" w:name="Tc_Lp8_S1i6HU2gQqr9kvsQwQ_7_0"/>
      <w:bookmarkStart w:id="1389" w:name="Tc_UUoes67bLkSfjt33fGVtdw_6_6"/>
      <w:bookmarkStart w:id="1390" w:name="Tc_2wFyg5L5b0mGSkz6phyrIg_6_0"/>
      <w:bookmarkStart w:id="1391" w:name="Tc_3_DqEA7cA0eEl8IqCqgwFw_5_0"/>
      <w:bookmarkStart w:id="1392" w:name="Tc_FmiVqB_8cEWXRX0xtsGJ5w_4_5"/>
      <w:bookmarkStart w:id="1393" w:name="Tc_eFwB57VrQ064dl3egAeytw_4_2"/>
      <w:bookmarkStart w:id="1394" w:name="Tc_Tn8UgkZjTUm4MuaPoUvW_A_4_0"/>
      <w:bookmarkStart w:id="1395" w:name="Tc_Yvi1QMN9iEGyqluF4n12Qw_3_0"/>
      <w:bookmarkStart w:id="1396" w:name="Tc_nMPCw0_5xkCt17NdYve-tw_2_5"/>
      <w:bookmarkStart w:id="1397" w:name="Tc_YhveJtIcc0mcLajOCJUG8A_2_2"/>
      <w:bookmarkStart w:id="1398" w:name="Tc_KKLA6WnrZk6JVc8LSL22UA_1_2"/>
      <w:bookmarkStart w:id="1399" w:name="_ed6989de_f692_47e0_8c29_bfb63b2275f5"/>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r>
        <w:rPr>
          <w:rFonts w:ascii="Times New Roman;Times;serif" w:hAnsi="Times New Roman;Times;serif"/>
          <w:sz w:val="20"/>
        </w:rPr>
        <w:t>Identifiable assets of each segment as of December 31, 2024 and 2023 are as follows (in thousands):</w:t>
      </w:r>
    </w:p>
    <w:tbl>
      <w:tblPr>
        <w:tblW w:w="6729" w:type="dxa"/>
        <w:jc w:val="left"/>
        <w:tblInd w:w="0" w:type="dxa"/>
        <w:tblLayout w:type="fixed"/>
        <w:tblCellMar>
          <w:top w:w="0" w:type="dxa"/>
          <w:left w:w="0" w:type="dxa"/>
          <w:bottom w:w="0" w:type="dxa"/>
          <w:right w:w="0" w:type="dxa"/>
        </w:tblCellMar>
      </w:tblPr>
      <w:tblGrid>
        <w:gridCol w:w="3016"/>
        <w:gridCol w:w="109"/>
        <w:gridCol w:w="366"/>
        <w:gridCol w:w="1359"/>
        <w:gridCol w:w="109"/>
        <w:gridCol w:w="336"/>
        <w:gridCol w:w="1434"/>
      </w:tblGrid>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32410" cy="175260"/>
                      <wp:effectExtent l="0" t="0" r="0" b="0"/>
                      <wp:wrapNone/>
                      <wp:docPr id="366" name="Frame366"/>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862965" cy="175260"/>
                      <wp:effectExtent l="0" t="0" r="0" b="0"/>
                      <wp:wrapNone/>
                      <wp:docPr id="367" name="Frame367"/>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3360" cy="175260"/>
                      <wp:effectExtent l="0" t="0" r="0" b="0"/>
                      <wp:wrapNone/>
                      <wp:docPr id="369" name="Frame36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10590" cy="175260"/>
                      <wp:effectExtent l="0" t="0" r="0" b="0"/>
                      <wp:wrapNone/>
                      <wp:docPr id="370" name="Frame370"/>
                      <a:graphic xmlns:a="http://schemas.openxmlformats.org/drawingml/2006/main">
                        <a:graphicData uri="http://schemas.microsoft.com/office/word/2010/wordprocessingShape">
                          <wps:wsp>
                            <wps:cNvSpPr txBox="1"/>
                            <wps:spPr>
                              <a:xfrm>
                                <a:off x="0" y="0"/>
                                <a:ext cx="910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1"/>
              <w:ind w:left="0" w:right="0" w:hanging="0"/>
              <w:jc w:val="righ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35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434"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497,765</w:t>
            </w:r>
          </w:p>
        </w:tc>
        <w:tc>
          <w:tcPr>
            <w:tcW w:w="109"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503,151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3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92,358</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4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37,384</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3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1434" w:type="dxa"/>
            <w:tcBorders/>
            <w:vAlign w:val="center"/>
          </w:tcPr>
          <w:p>
            <w:pPr>
              <w:pStyle w:val="TableContents"/>
              <w:bidi w:val="0"/>
              <w:spacing w:before="0" w:after="1"/>
              <w:ind w:left="0" w:right="0" w:hanging="0"/>
              <w:jc w:val="righ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14,855</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24,025</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1"/>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604,995</w:t>
            </w:r>
          </w:p>
        </w:tc>
        <w:tc>
          <w:tcPr>
            <w:tcW w:w="109" w:type="dxa"/>
            <w:tcBorders/>
            <w:vAlign w:val="center"/>
          </w:tcPr>
          <w:p>
            <w:pPr>
              <w:pStyle w:val="TableContents"/>
              <w:bidi w:val="0"/>
              <w:spacing w:before="0" w:after="1"/>
              <w:ind w:left="0" w:right="0" w:hanging="0"/>
              <w:jc w:val="righ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4"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564,560</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Identifiable assets by segment are those assets that are used in the Company’s operations in each segment. Corporate and other assets consist primarily of cash and restricted cash as well as the interest rate swaps.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22.      SUBSEQUENT EVENTS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Subsequent events and transactions were evaluated through February 6, 2025, the date the consolidated financial statements were issued. There were no reportable subsequent events or transactions.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f-39</w:t>
      </w:r>
    </w:p>
    <w:p>
      <w:pPr>
        <w:pStyle w:val="TextBody"/>
        <w:bidi w:val="0"/>
        <w:spacing w:before="0" w:after="240"/>
        <w:ind w:left="0" w:right="0" w:hanging="0"/>
        <w:jc w:val="right"/>
        <w:rPr>
          <w:rFonts w:ascii="Times New Roman;Times;serif" w:hAnsi="Times New Roman;Times;serif"/>
          <w:b/>
          <w:sz w:val="24"/>
        </w:rPr>
      </w:pPr>
      <w:bookmarkStart w:id="1400" w:name="pine-20241231xex10d22.htm"/>
      <w:bookmarkStart w:id="1401" w:name="kspine20241231xex10d22"/>
      <w:bookmarkEnd w:id="1400"/>
      <w:bookmarkEnd w:id="1401"/>
      <w:r>
        <w:rPr>
          <w:rFonts w:ascii="Times New Roman;Times;serif" w:hAnsi="Times New Roman;Times;serif"/>
          <w:b/>
          <w:sz w:val="24"/>
        </w:rPr>
        <w:t>Exhibit 10.22</w:t>
      </w:r>
      <w:r>
        <w:br w:type="page"/>
      </w:r>
    </w:p>
    <w:p>
      <w:pPr>
        <w:pStyle w:val="TextBody"/>
        <w:bidi w:val="0"/>
        <w:spacing w:before="0" w:after="200"/>
        <w:ind w:left="0" w:right="0" w:hanging="0"/>
        <w:jc w:val="center"/>
        <w:rPr>
          <w:rFonts w:ascii="Times New Roman;Times;serif" w:hAnsi="Times New Roman;Times;serif"/>
          <w:sz w:val="24"/>
        </w:rPr>
      </w:pPr>
      <w:r>
        <w:rPr>
          <w:rFonts w:ascii="Times New Roman;Times;serif" w:hAnsi="Times New Roman;Times;serif"/>
          <w:b/>
          <w:sz w:val="24"/>
        </w:rPr>
        <w:t xml:space="preserve">FIRST AMENDMENT TO AMENDED AND RESTATED </w:t>
      </w:r>
      <w:r>
        <w:rPr>
          <w:rFonts w:ascii="Times New Roman;Times;serif" w:hAnsi="Times New Roman;Times;serif"/>
          <w:b/>
          <w:caps/>
          <w:sz w:val="24"/>
        </w:rPr>
        <w:t>Credit Agreement</w:t>
      </w:r>
    </w:p>
    <w:p>
      <w:pPr>
        <w:pStyle w:val="TextBody"/>
        <w:bidi w:val="0"/>
        <w:spacing w:before="0" w:after="200"/>
        <w:ind w:left="0" w:right="0" w:firstLine="720"/>
        <w:jc w:val="both"/>
        <w:rPr>
          <w:rFonts w:ascii="Times New Roman;Times;serif" w:hAnsi="Times New Roman;Times;serif"/>
          <w:sz w:val="24"/>
        </w:rPr>
      </w:pPr>
      <w:r>
        <w:rPr>
          <w:rFonts w:ascii="Times New Roman;Times;serif" w:hAnsi="Times New Roman;Times;serif"/>
          <w:sz w:val="24"/>
        </w:rPr>
        <w:t xml:space="preserve">This FIRST </w:t>
      </w:r>
      <w:r>
        <w:rPr>
          <w:rFonts w:ascii="Times New Roman;Times;serif" w:hAnsi="Times New Roman;Times;serif"/>
          <w:caps/>
          <w:sz w:val="24"/>
        </w:rPr>
        <w:t xml:space="preserve">Amendment TO AMENDED AND RESTATED Credit Agreement </w:t>
      </w:r>
      <w:r>
        <w:rPr>
          <w:rFonts w:ascii="Times New Roman;Times;serif" w:hAnsi="Times New Roman;Times;serif"/>
          <w:sz w:val="24"/>
        </w:rPr>
        <w:t>(this “</w:t>
      </w:r>
      <w:r>
        <w:rPr>
          <w:rFonts w:ascii="Times New Roman;Times;serif" w:hAnsi="Times New Roman;Times;serif"/>
          <w:b/>
          <w:i/>
          <w:sz w:val="24"/>
        </w:rPr>
        <w:t>Amendment</w:t>
      </w:r>
      <w:r>
        <w:rPr>
          <w:rFonts w:ascii="Times New Roman;Times;serif" w:hAnsi="Times New Roman;Times;serif"/>
          <w:sz w:val="24"/>
        </w:rPr>
        <w:t>”) is made as of December 20, 2024, by and among ALPINE INCOME PROPERTY OP, LP, a Delaware limited partnership (the “</w:t>
      </w:r>
      <w:r>
        <w:rPr>
          <w:rFonts w:ascii="Times New Roman;Times;serif" w:hAnsi="Times New Roman;Times;serif"/>
          <w:b/>
          <w:i/>
          <w:sz w:val="24"/>
        </w:rPr>
        <w:t>Borrower</w:t>
      </w:r>
      <w:r>
        <w:rPr>
          <w:rFonts w:ascii="Times New Roman;Times;serif" w:hAnsi="Times New Roman;Times;serif"/>
          <w:sz w:val="24"/>
        </w:rPr>
        <w:t>”), ALPINE INCOME PROPERTY TRUST, INC., a Maryland corporation (“</w:t>
      </w:r>
      <w:r>
        <w:rPr>
          <w:rFonts w:ascii="Times New Roman;Times;serif" w:hAnsi="Times New Roman;Times;serif"/>
          <w:b/>
          <w:i/>
          <w:sz w:val="24"/>
        </w:rPr>
        <w:t>Parent Guarantor</w:t>
      </w:r>
      <w:r>
        <w:rPr>
          <w:rFonts w:ascii="Times New Roman;Times;serif" w:hAnsi="Times New Roman;Times;serif"/>
          <w:sz w:val="24"/>
        </w:rPr>
        <w:t>” and together with the other Guarantors from time to time party hereto, both individually and collectively, the “</w:t>
      </w:r>
      <w:r>
        <w:rPr>
          <w:rFonts w:ascii="Times New Roman;Times;serif" w:hAnsi="Times New Roman;Times;serif"/>
          <w:b/>
          <w:i/>
          <w:sz w:val="24"/>
        </w:rPr>
        <w:t>Guarantor(s)</w:t>
      </w:r>
      <w:r>
        <w:rPr>
          <w:rFonts w:ascii="Times New Roman;Times;serif" w:hAnsi="Times New Roman;Times;serif"/>
          <w:sz w:val="24"/>
        </w:rPr>
        <w:t>”), KEYBANK NATIONAL ASSOCIATION, as administrative agent (together with any successor administrative agent, the “</w:t>
      </w:r>
      <w:r>
        <w:rPr>
          <w:rFonts w:ascii="Times New Roman;Times;serif" w:hAnsi="Times New Roman;Times;serif"/>
          <w:b/>
          <w:i/>
          <w:sz w:val="24"/>
        </w:rPr>
        <w:t>Administrative Agent</w:t>
      </w:r>
      <w:r>
        <w:rPr>
          <w:rFonts w:ascii="Times New Roman;Times;serif" w:hAnsi="Times New Roman;Times;serif"/>
          <w:sz w:val="24"/>
        </w:rPr>
        <w:t>”) for the Lenders, and the banks, financial institutions and other institutional lenders listed on the signature pages hereof as the lenders (individually and collectively, the “</w:t>
      </w:r>
      <w:r>
        <w:rPr>
          <w:rFonts w:ascii="Times New Roman;Times;serif" w:hAnsi="Times New Roman;Times;serif"/>
          <w:b/>
          <w:i/>
          <w:sz w:val="24"/>
        </w:rPr>
        <w:t>Lender</w:t>
      </w:r>
      <w:r>
        <w:rPr>
          <w:rFonts w:ascii="Times New Roman;Times;serif" w:hAnsi="Times New Roman;Times;serif"/>
          <w:sz w:val="24"/>
        </w:rPr>
        <w:t>” or “</w:t>
      </w:r>
      <w:r>
        <w:rPr>
          <w:rFonts w:ascii="Times New Roman;Times;serif" w:hAnsi="Times New Roman;Times;serif"/>
          <w:b/>
          <w:i/>
          <w:sz w:val="24"/>
        </w:rPr>
        <w:t>Lenders</w:t>
      </w:r>
      <w:r>
        <w:rPr>
          <w:rFonts w:ascii="Times New Roman;Times;serif" w:hAnsi="Times New Roman;Times;serif"/>
          <w:sz w:val="24"/>
        </w:rPr>
        <w:t>”).  Unless otherwise defined herein, terms defined in the Credit Agreement set forth below shall have the same meaning herein.</w:t>
      </w:r>
    </w:p>
    <w:p>
      <w:pPr>
        <w:pStyle w:val="TextBody"/>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W I T N E S S E T H:</w:t>
      </w:r>
    </w:p>
    <w:p>
      <w:pPr>
        <w:pStyle w:val="TextBody"/>
        <w:bidi w:val="0"/>
        <w:spacing w:before="0" w:after="200"/>
        <w:ind w:left="0" w:right="0" w:firstLine="720"/>
        <w:jc w:val="both"/>
        <w:rPr>
          <w:rFonts w:ascii="Times New Roman;Times;serif" w:hAnsi="Times New Roman;Times;serif"/>
          <w:sz w:val="24"/>
        </w:rPr>
      </w:pPr>
      <w:r>
        <w:rPr>
          <w:rFonts w:ascii="Times New Roman;Times;serif" w:hAnsi="Times New Roman;Times;serif"/>
          <w:sz w:val="24"/>
        </w:rPr>
        <w:t>WHEREAS, the Borrower, the Guarantors, the Administrative Agent and certain Lenders have entered into a certain Amended and Restated Credit Agreement dated as of September 30, 2022 (the “</w:t>
      </w:r>
      <w:r>
        <w:rPr>
          <w:rFonts w:ascii="Times New Roman;Times;serif" w:hAnsi="Times New Roman;Times;serif"/>
          <w:b/>
          <w:i/>
          <w:sz w:val="24"/>
        </w:rPr>
        <w:t>Existing Credit Agreement</w:t>
      </w:r>
      <w:r>
        <w:rPr>
          <w:rFonts w:ascii="Times New Roman;Times;serif" w:hAnsi="Times New Roman;Times;serif"/>
          <w:sz w:val="24"/>
        </w:rPr>
        <w:t>”; and the Existing Credit Agreement, as amended by this Amendment and as may be amended, restated, supplemented, or otherwise modified from time to time, the “</w:t>
      </w:r>
      <w:r>
        <w:rPr>
          <w:rFonts w:ascii="Times New Roman;Times;serif" w:hAnsi="Times New Roman;Times;serif"/>
          <w:b/>
          <w:i/>
          <w:sz w:val="24"/>
        </w:rPr>
        <w:t>Credit Agreement</w:t>
      </w:r>
      <w:r>
        <w:rPr>
          <w:rFonts w:ascii="Times New Roman;Times;serif" w:hAnsi="Times New Roman;Times;serif"/>
          <w:sz w:val="24"/>
        </w:rPr>
        <w:t>”);</w:t>
      </w:r>
    </w:p>
    <w:p>
      <w:pPr>
        <w:pStyle w:val="TextBody"/>
        <w:bidi w:val="0"/>
        <w:spacing w:before="0" w:after="200"/>
        <w:ind w:left="0" w:right="0" w:firstLine="720"/>
        <w:jc w:val="both"/>
        <w:rPr>
          <w:rFonts w:ascii="Times New Roman;Times;serif" w:hAnsi="Times New Roman;Times;serif"/>
          <w:sz w:val="24"/>
        </w:rPr>
      </w:pPr>
      <w:r>
        <w:rPr>
          <w:rFonts w:ascii="Times New Roman;Times;serif" w:hAnsi="Times New Roman;Times;serif"/>
          <w:sz w:val="24"/>
        </w:rPr>
        <w:t>WHEREAS, the Borrower has notified Administrative Agent of certain reporting inconsistencies with respect to Restricted Payments that may have resulted in a breach of Section 8.25 of the Credit Agreement for the Fiscal Quarters ending September 30, 2023 and December 31, 2023, which may have resulted in a Default or Event of Default under Section 9.1(b) of the Credit Agreement (the “</w:t>
      </w:r>
      <w:r>
        <w:rPr>
          <w:rFonts w:ascii="Times New Roman;Times;serif" w:hAnsi="Times New Roman;Times;serif"/>
          <w:b/>
          <w:i/>
          <w:sz w:val="24"/>
        </w:rPr>
        <w:t>Reporting Inconsistencies</w:t>
      </w:r>
      <w:r>
        <w:rPr>
          <w:rFonts w:ascii="Times New Roman;Times;serif" w:hAnsi="Times New Roman;Times;serif"/>
          <w:sz w:val="24"/>
        </w:rPr>
        <w:t>”);</w:t>
      </w:r>
    </w:p>
    <w:p>
      <w:pPr>
        <w:pStyle w:val="TextBody"/>
        <w:bidi w:val="0"/>
        <w:spacing w:before="0" w:after="200"/>
        <w:ind w:left="0" w:right="0" w:firstLine="720"/>
        <w:jc w:val="both"/>
        <w:rPr>
          <w:rFonts w:ascii="Times New Roman;Times;serif" w:hAnsi="Times New Roman;Times;serif"/>
          <w:sz w:val="24"/>
        </w:rPr>
      </w:pPr>
      <w:r>
        <w:rPr>
          <w:rFonts w:ascii="Times New Roman;Times;serif" w:hAnsi="Times New Roman;Times;serif"/>
          <w:sz w:val="24"/>
        </w:rPr>
        <w:t>WHEREAS, the Borrower has requested that Administrative Agent and the Lenders agree to waive any Default or Event of Default resulting from the Reporting Inconsistencies; and</w:t>
      </w:r>
    </w:p>
    <w:p>
      <w:pPr>
        <w:pStyle w:val="TextBody"/>
        <w:bidi w:val="0"/>
        <w:spacing w:before="0" w:after="200"/>
        <w:ind w:left="0" w:right="0" w:firstLine="720"/>
        <w:jc w:val="both"/>
        <w:rPr>
          <w:rFonts w:ascii="Times New Roman;Times;serif" w:hAnsi="Times New Roman;Times;serif"/>
          <w:sz w:val="24"/>
        </w:rPr>
      </w:pPr>
      <w:bookmarkStart w:id="1402" w:name="_cp_change_20"/>
      <w:bookmarkEnd w:id="1402"/>
      <w:r>
        <w:rPr>
          <w:rFonts w:ascii="Times New Roman;Times;serif" w:hAnsi="Times New Roman;Times;serif"/>
          <w:sz w:val="24"/>
        </w:rPr>
        <w:t>WHEREAS, the Borrower, Administrative Agent, and the Lenders have agreed to amend the Credit Agreement as provided herein.</w:t>
      </w:r>
    </w:p>
    <w:p>
      <w:pPr>
        <w:pStyle w:val="TextBody"/>
        <w:bidi w:val="0"/>
        <w:spacing w:before="0" w:after="20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promises and agreements herein contained, the parties hereto hereby agree as follows:</w:t>
      </w:r>
    </w:p>
    <w:p>
      <w:pPr>
        <w:pStyle w:val="TextBody"/>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Waiver</w:t>
      </w:r>
      <w:r>
        <w:rPr>
          <w:rFonts w:ascii="Times New Roman;Times;serif" w:hAnsi="Times New Roman;Times;serif"/>
          <w:sz w:val="24"/>
        </w:rPr>
        <w:t xml:space="preserve">.  Subject to satisfaction of the conditions set forth in Section 3 below, the Administrative Agent and the Lenders hereby waive any Default or Event of Default that may have resulted from the Reporting Inconsistencies.  The waiver specified herein is a one-time waiver only, relates only to the Reporting Inconsistencies and shall not be deemed to constitute a modification or waiver of (a) Section 8.25 or Section 9.1(b) of the Credit Agreement, or (b) any other provisions of the Credit Agreement or other Loan Documents.  The Borrower hereby acknowledges and agrees that, except as specifically provided herein with respect to the Reporting Inconsistencies, nothing in this section or anywhere in this Amendment shall be deemed or otherwise construed as a waiver by the Administrative Agent or the Lenders of any representation, covenant, or other obligation of the Borrower or the Guarantors under the Loan Documents or any of the Administrative Agent’s or the Lenders’ rights and remedies pursuant to the Loan </w:t>
      </w:r>
    </w:p>
    <w:p>
      <w:pPr>
        <w:pStyle w:val="TextBody"/>
        <w:bidi w:val="0"/>
        <w:spacing w:before="0" w:after="0"/>
        <w:ind w:left="0" w:right="0" w:hanging="0"/>
        <w:jc w:val="left"/>
        <w:rPr>
          <w:rFonts w:ascii="Times New Roman;Times;serif" w:hAnsi="Times New Roman;Times;serif"/>
          <w:sz w:val="16"/>
        </w:rPr>
      </w:pPr>
      <w:bookmarkStart w:id="1403" w:name="_iDocIDFieldd11b7481-584c-4bf6-9b96-1bdb"/>
      <w:bookmarkEnd w:id="1403"/>
      <w:r>
        <w:rPr>
          <w:rFonts w:ascii="Times New Roman;Times;serif" w:hAnsi="Times New Roman;Times;serif"/>
          <w:sz w:val="16"/>
        </w:rPr>
        <w:t>4153612.10</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Documents, applicable law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Amendment to Credit Agreement</w:t>
      </w:r>
      <w:r>
        <w:rPr>
          <w:rFonts w:ascii="Times New Roman;Times;serif" w:hAnsi="Times New Roman;Times;serif"/>
          <w:sz w:val="24"/>
        </w:rPr>
        <w:t>.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(a)The Existing Credit Agreement (not including the Exhibits and Schedules thereto) is hereby amended to delete the stricken text (indicated textually in the same manner as the following example: </w:t>
      </w:r>
      <w:r>
        <w:rPr>
          <w:rFonts w:ascii="Times New Roman;Times;serif" w:hAnsi="Times New Roman;Times;serif"/>
          <w:color w:val="FF0000"/>
          <w:sz w:val="24"/>
        </w:rPr>
        <w:t>stricken text</w:t>
      </w:r>
      <w:r>
        <w:rPr>
          <w:rFonts w:ascii="Times New Roman;Times;serif" w:hAnsi="Times New Roman;Times;serif"/>
          <w:sz w:val="24"/>
        </w:rPr>
        <w:t xml:space="preserve"> or </w:t>
      </w:r>
      <w:r>
        <w:rPr>
          <w:rFonts w:ascii="Times New Roman;Times;serif" w:hAnsi="Times New Roman;Times;serif"/>
          <w:color w:val="70AD47"/>
          <w:sz w:val="24"/>
        </w:rPr>
        <w:t>stricken text</w:t>
      </w:r>
      <w:r>
        <w:rPr>
          <w:rFonts w:ascii="Times New Roman;Times;serif" w:hAnsi="Times New Roman;Times;serif"/>
          <w:sz w:val="24"/>
        </w:rPr>
        <w:t xml:space="preserve">) and to add the double-underlined text (indicated textually in the same manner as the following example: </w:t>
      </w:r>
      <w:r>
        <w:rPr>
          <w:rFonts w:ascii="Times New Roman;Times;serif" w:hAnsi="Times New Roman;Times;serif"/>
          <w:color w:val="4472C4"/>
          <w:sz w:val="24"/>
          <w:u w:val="single"/>
        </w:rPr>
        <w:t>double-underlined text</w:t>
      </w:r>
      <w:r>
        <w:rPr>
          <w:rFonts w:ascii="Times New Roman;Times;serif" w:hAnsi="Times New Roman;Times;serif"/>
          <w:sz w:val="24"/>
        </w:rPr>
        <w:t xml:space="preserve"> or </w:t>
      </w:r>
      <w:r>
        <w:rPr>
          <w:rFonts w:ascii="Times New Roman;Times;serif" w:hAnsi="Times New Roman;Times;serif"/>
          <w:color w:val="70AD47"/>
          <w:sz w:val="24"/>
          <w:u w:val="single"/>
        </w:rPr>
        <w:t>double-underlined text</w:t>
      </w:r>
      <w:r>
        <w:rPr>
          <w:rFonts w:ascii="Times New Roman;Times;serif" w:hAnsi="Times New Roman;Times;serif"/>
          <w:sz w:val="24"/>
        </w:rPr>
        <w:t xml:space="preserve">) as set forth on the pages of the Credit Agreement attached hereto as </w:t>
      </w:r>
      <w:r>
        <w:rPr>
          <w:rFonts w:ascii="Times New Roman;Times;serif" w:hAnsi="Times New Roman;Times;serif"/>
          <w:sz w:val="24"/>
          <w:u w:val="single"/>
        </w:rPr>
        <w:t>Annex A</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(b)Exhibit C to the Existing Credit Agreement is hereby amended and restated in its entirety as set forth on </w:t>
      </w:r>
      <w:r>
        <w:rPr>
          <w:rFonts w:ascii="Times New Roman;Times;serif" w:hAnsi="Times New Roman;Times;serif"/>
          <w:sz w:val="24"/>
          <w:u w:val="single"/>
        </w:rPr>
        <w:t>Annex B</w:t>
      </w:r>
      <w:r>
        <w:rPr>
          <w:rFonts w:ascii="Times New Roman;Times;serif" w:hAnsi="Times New Roman;Times;serif"/>
          <w:sz w:val="24"/>
        </w:rPr>
        <w:t xml:space="preserve"> attached hereto.</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(c)Schedule 1.1 of the Existing Credit Agreement is hereby amended and restated in its entirety as set forth on </w:t>
      </w:r>
      <w:r>
        <w:rPr>
          <w:rFonts w:ascii="Times New Roman;Times;serif" w:hAnsi="Times New Roman;Times;serif"/>
          <w:sz w:val="24"/>
          <w:u w:val="single"/>
        </w:rPr>
        <w:t>Annex C</w:t>
      </w:r>
      <w:r>
        <w:rPr>
          <w:rFonts w:ascii="Times New Roman;Times;serif" w:hAnsi="Times New Roman;Times;serif"/>
          <w:sz w:val="24"/>
        </w:rPr>
        <w:t xml:space="preserve"> attached hereto.</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(d)Schedule 6.2 of the Existing Credit Agreement is hereby amended and restated in its entirety as set forth on </w:t>
      </w:r>
      <w:r>
        <w:rPr>
          <w:rFonts w:ascii="Times New Roman;Times;serif" w:hAnsi="Times New Roman;Times;serif"/>
          <w:sz w:val="24"/>
          <w:u w:val="single"/>
        </w:rPr>
        <w:t>Annex D</w:t>
      </w:r>
      <w:r>
        <w:rPr>
          <w:rFonts w:ascii="Times New Roman;Times;serif" w:hAnsi="Times New Roman;Times;serif"/>
          <w:sz w:val="24"/>
        </w:rPr>
        <w:t xml:space="preserve"> attached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Conditions to Effectiveness</w:t>
      </w:r>
      <w:r>
        <w:rPr>
          <w:rFonts w:ascii="Times New Roman;Times;serif" w:hAnsi="Times New Roman;Times;serif"/>
          <w:sz w:val="24"/>
        </w:rPr>
        <w:t>.  This Amendment shall not be effective until the date (the “</w:t>
      </w:r>
      <w:r>
        <w:rPr>
          <w:rFonts w:ascii="Times New Roman;Times;serif" w:hAnsi="Times New Roman;Times;serif"/>
          <w:b/>
          <w:i/>
          <w:sz w:val="24"/>
        </w:rPr>
        <w:t>Amendment Effective Date</w:t>
      </w:r>
      <w:r>
        <w:rPr>
          <w:rFonts w:ascii="Times New Roman;Times;serif" w:hAnsi="Times New Roman;Times;serif"/>
          <w:sz w:val="24"/>
        </w:rPr>
        <w:t>”) on which each of the following conditions precedent has been fulfilled to the reasonable satisfaction of the Administrative Agent on or prior to the date of this Amendment: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(a)This Amendment shall have been duly executed and delivered by the Borrower, the Guarantors, Administrative Agent and Lenders constituting the Required Lenders;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(b)All action on the part of the Borrower and the Guarantors necessary for the valid execution, delivery and performance by the Borrower and the Guarantors of this Amendment shall have been duly and effectively taken.  The Lenders shall have received such customary corporate resolutions, certificates and other customary corporate documents as the Administrative Agent shall reasonably request;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(c)The Administrative Agent shall have received a Compliance Certificate dated as of the Amendment Effective Date which shall evidence compliance with the covenants set forth in Sections 8.20, 8.21 and 8.25 after giving effect to this Amendment;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(d)After giving effect to this Amendment, no Default or Event of Default shall have occurred and be continuing;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(e)The Borrower shall have paid to the Administrative Agent, for its own use and benefit and for the benefit of the Lenders, as applicable, the fees agreed to between the Administrative Agent and the Borrower in writing between them and all other amounts due and payable under the Credit Agreement, including reimbursement or payment of all out-of-pocket expenses required to be reimbursed or paid by the Borrower.</w:t>
      </w:r>
    </w:p>
    <w:p>
      <w:pPr>
        <w:pStyle w:val="TextBody"/>
        <w:bidi w:val="0"/>
        <w:spacing w:before="0" w:after="0"/>
        <w:ind w:left="0" w:right="0" w:hanging="0"/>
        <w:jc w:val="left"/>
        <w:rPr/>
      </w:pPr>
      <w:bookmarkStart w:id="1404" w:name="_iDocIDField79857bee-6aa2-45f6-b522-af44"/>
      <w:bookmarkEnd w:id="1404"/>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Post-Closing Joinder of Guarantors</w:t>
      </w:r>
      <w:r>
        <w:rPr>
          <w:rFonts w:ascii="Times New Roman;Times;serif" w:hAnsi="Times New Roman;Times;serif"/>
          <w:sz w:val="24"/>
        </w:rPr>
        <w:t xml:space="preserve">.  Within thirty (30) days of the Amendment Effective Date, Borrower shall cause those certain Material Subsidiaries listed on </w:t>
      </w:r>
      <w:r>
        <w:rPr>
          <w:rFonts w:ascii="Times New Roman;Times;serif" w:hAnsi="Times New Roman;Times;serif"/>
          <w:sz w:val="24"/>
          <w:u w:val="single"/>
        </w:rPr>
        <w:t>Annex E</w:t>
      </w:r>
      <w:r>
        <w:rPr>
          <w:rFonts w:ascii="Times New Roman;Times;serif" w:hAnsi="Times New Roman;Times;serif"/>
          <w:sz w:val="24"/>
        </w:rPr>
        <w:t xml:space="preserve"> attached hereto to become Guarantors under the Credit Agreement pursuant to Section 4.2 of the Credit Agreement.  The Borrower shall deliver to Administrative Agent all documents, certificates, and resolutions required pursuant to Section 7.2 of the Credit Agreement within ten (10) days of the Amendment Effective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5.The Borrower hereby certifies that, before and after giving effect to this Amendment, (A) the representations and warranties contained in Section 6 of the Credit Agreement and the other Loan Documents are true and correct in all material respects on, and as of, the Amendment Effective Date, except to the extent that such representations and warranties (i) specifically refer to an earlier date, in which case they are true and correct in all material respects as of such earlier date, or (ii) have been modified to reflect events occurring after the date of the Credit Agreement, as the same have been disclosed publicly or in writing to the Administrative Agent on or prior to the date hereof or are permitted or not prohibited under the Loan Documents, and (B) no Default or Event of Default exists as of the Amendment Effective Date after giving effect to this Amendment.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6.Except as otherwise modified by this Amendment, the parties hereto hereby ratify, confirm, and reaffirm all of the terms and conditions of the Existing Credit Agreement.  The parties hereto further acknowledge and agree that all of the terms and conditions of the Existing Credit Agreement and the other Loan Documents, including as to each Guarantor, its Guaranty, shall remain in full force and effect, except as expressly provided in this Amendment.  This Amendment constitutes a Loan Document for all purposes.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7.This Amendment, which may be executed in multiple counterparts, constitutes the entire agreement of the parties regarding the matters contained herein and shall not be modified by any prior oral or written discussions.  Delivery of an executed counterpart of a signature page of this Amendment by telecopy or other electronic imaging transmission (e.g. PDF by email) shall be effective as delivery of a manually executed counterpart of this Amendment.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8.Any determination that any provision of this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Amendment.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9.This Amendment shall be governed by and construed in accordance with the laws of the State of New York, including Section 5-1401 of the General Obligations Law of the State of New York.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[SIGNATURES ON FOLLOWING PAGE]</w:t>
      </w:r>
    </w:p>
    <w:p>
      <w:pPr>
        <w:pStyle w:val="TextBody"/>
        <w:bidi w:val="0"/>
        <w:spacing w:before="0" w:after="240"/>
        <w:ind w:left="0" w:right="0" w:hanging="0"/>
        <w:jc w:val="both"/>
        <w:rPr/>
      </w:pPr>
      <w:r>
        <w:rPr/>
        <w:t>​</w:t>
      </w:r>
    </w:p>
    <w:p>
      <w:pPr>
        <w:pStyle w:val="TextBody"/>
        <w:bidi w:val="0"/>
        <w:spacing w:before="0" w:after="0"/>
        <w:ind w:left="0" w:right="0" w:hanging="0"/>
        <w:jc w:val="left"/>
        <w:rPr/>
      </w:pPr>
      <w:bookmarkStart w:id="1405" w:name="_iDocIDField79857bee-6aa2-45f6-b522-af44"/>
      <w:bookmarkEnd w:id="1405"/>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IN WITNESS WHEREOF</w:t>
      </w:r>
      <w:r>
        <w:rPr>
          <w:rFonts w:ascii="Times New Roman;Times;serif" w:hAnsi="Times New Roman;Times;serif"/>
          <w:sz w:val="24"/>
        </w:rPr>
        <w:t>, each of the undersigned have caused this Amendment to be executed by its duly authorized representative as of the date first set forth above.</w:t>
      </w:r>
    </w:p>
    <w:tbl>
      <w:tblPr>
        <w:tblW w:w="10205" w:type="dxa"/>
        <w:jc w:val="center"/>
        <w:tblInd w:w="0" w:type="dxa"/>
        <w:tblLayout w:type="fixed"/>
        <w:tblCellMar>
          <w:top w:w="0" w:type="dxa"/>
          <w:left w:w="0" w:type="dxa"/>
          <w:bottom w:w="0" w:type="dxa"/>
          <w:right w:w="0" w:type="dxa"/>
        </w:tblCellMar>
      </w:tblPr>
      <w:tblGrid>
        <w:gridCol w:w="124"/>
        <w:gridCol w:w="23"/>
        <w:gridCol w:w="795"/>
        <w:gridCol w:w="1931"/>
        <w:gridCol w:w="3340"/>
        <w:gridCol w:w="530"/>
        <w:gridCol w:w="3462"/>
      </w:tblGrid>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346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6"/>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BORROWER:</w:t>
            </w:r>
          </w:p>
        </w:tc>
      </w:tr>
      <w:tr>
        <w:trPr/>
        <w:tc>
          <w:tcPr>
            <w:tcW w:w="147" w:type="dxa"/>
            <w:gridSpan w:val="2"/>
            <w:tcBorders/>
            <w:vAlign w:val="center"/>
          </w:tcPr>
          <w:p>
            <w:pPr>
              <w:pStyle w:val="TableContents"/>
              <w:bidi w:val="0"/>
              <w:spacing w:before="0" w:after="0"/>
              <w:ind w:left="0" w:right="0" w:hanging="0"/>
              <w:jc w:val="left"/>
              <w:rPr/>
            </w:pPr>
            <w:r>
              <w:rPr/>
              <w:t>​</w:t>
            </w:r>
          </w:p>
        </w:tc>
        <w:tc>
          <w:tcPr>
            <w:tcW w:w="10058" w:type="dxa"/>
            <w:gridSpan w:val="5"/>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10058"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ALPINE INCOME PROPERTY OP, LP, </w:t>
              <w:br/>
              <w:t>a Delaware limited partnership</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3462"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6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3462"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32"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Alpine Income Property Trust, Inc., </w:t>
              <w:br/>
              <w:t>a Maryland corporation, its sole member</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3462"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3462"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34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9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34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399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Philip Mays</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34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99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3462"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931"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3462"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5760" w:right="0" w:hanging="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794"/>
        <w:gridCol w:w="450"/>
        <w:gridCol w:w="561"/>
        <w:gridCol w:w="991"/>
        <w:gridCol w:w="728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78740" cy="175260"/>
                      <wp:effectExtent l="0" t="0" r="0" b="0"/>
                      <wp:wrapNone/>
                      <wp:docPr id="371" name="Frame37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29285" cy="29210"/>
                      <wp:effectExtent l="0" t="0" r="0" b="0"/>
                      <wp:wrapNone/>
                      <wp:docPr id="372" name="Frame372"/>
                      <a:graphic xmlns:a="http://schemas.openxmlformats.org/drawingml/2006/main">
                        <a:graphicData uri="http://schemas.microsoft.com/office/word/2010/wordprocessingShape">
                          <wps:wsp>
                            <wps:cNvSpPr txBox="1"/>
                            <wps:spPr>
                              <a:xfrm>
                                <a:off x="0" y="0"/>
                                <a:ext cx="629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625975" cy="175260"/>
                      <wp:effectExtent l="0" t="0" r="0" b="0"/>
                      <wp:wrapNone/>
                      <wp:docPr id="373" name="Frame373"/>
                      <a:graphic xmlns:a="http://schemas.openxmlformats.org/drawingml/2006/main">
                        <a:graphicData uri="http://schemas.microsoft.com/office/word/2010/wordprocessingShape">
                          <wps:wsp>
                            <wps:cNvSpPr txBox="1"/>
                            <wps:spPr>
                              <a:xfrm>
                                <a:off x="0" y="0"/>
                                <a:ext cx="462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GUARANTORS”</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PARENT”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Alpine Income Property Trust, Inc.</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Maryland corporation</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87" w:type="dxa"/>
            <w:gridSpan w:val="4"/>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9287" w:type="dxa"/>
            <w:gridSpan w:val="4"/>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2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Material Subsidiaries”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aps/>
                <w:sz w:val="24"/>
              </w:rPr>
              <w:t>Indigo Henry</w:t>
            </w:r>
            <w:r>
              <w:rPr>
                <w:rFonts w:ascii="Times New Roman;Times;serif" w:hAnsi="Times New Roman;Times;serif"/>
                <w:smallCaps/>
                <w:sz w:val="24"/>
              </w:rPr>
              <w:t xml:space="preserve"> LLC</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br/>
              <w:t>a Delaware limited partnership, its member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837"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883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276"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8276"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8276"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28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2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0" w:type="dxa"/>
        <w:jc w:val="center"/>
        <w:tblInd w:w="0" w:type="dxa"/>
        <w:tblLayout w:type="fixed"/>
        <w:tblCellMar>
          <w:top w:w="0" w:type="dxa"/>
          <w:left w:w="0" w:type="dxa"/>
          <w:bottom w:w="0" w:type="dxa"/>
          <w:right w:w="0" w:type="dxa"/>
        </w:tblCellMar>
      </w:tblPr>
      <w:tblGrid>
        <w:gridCol w:w="124"/>
        <w:gridCol w:w="451"/>
        <w:gridCol w:w="451"/>
        <w:gridCol w:w="564"/>
        <w:gridCol w:w="996"/>
        <w:gridCol w:w="736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78740" cy="175260"/>
                      <wp:effectExtent l="0" t="0" r="0" b="0"/>
                      <wp:wrapNone/>
                      <wp:docPr id="374" name="Frame37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32460" cy="29210"/>
                      <wp:effectExtent l="0" t="0" r="0" b="0"/>
                      <wp:wrapNone/>
                      <wp:docPr id="375" name="Frame375"/>
                      <a:graphic xmlns:a="http://schemas.openxmlformats.org/drawingml/2006/main">
                        <a:graphicData uri="http://schemas.microsoft.com/office/word/2010/wordprocessingShape">
                          <wps:wsp>
                            <wps:cNvSpPr txBox="1"/>
                            <wps:spPr>
                              <a:xfrm>
                                <a:off x="0" y="0"/>
                                <a:ext cx="632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676775" cy="175260"/>
                      <wp:effectExtent l="0" t="0" r="0" b="0"/>
                      <wp:wrapNone/>
                      <wp:docPr id="376" name="Frame376"/>
                      <a:graphic xmlns:a="http://schemas.openxmlformats.org/drawingml/2006/main">
                        <a:graphicData uri="http://schemas.microsoft.com/office/word/2010/wordprocessingShape">
                          <wps:wsp>
                            <wps:cNvSpPr txBox="1"/>
                            <wps:spPr>
                              <a:xfrm>
                                <a:off x="0" y="0"/>
                                <a:ext cx="467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TROY WI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ALBANY GA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BLANDING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TYN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BARKER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BINGHAM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CHAZY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HAMMOND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HARRISVILLE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HEUVELTON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HOWELL MI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LIMESTONE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MILFORD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NEWTONSVILLE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ODESSA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5"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5"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83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83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36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0" w:type="dxa"/>
        <w:jc w:val="center"/>
        <w:tblInd w:w="0" w:type="dxa"/>
        <w:tblLayout w:type="fixed"/>
        <w:tblCellMar>
          <w:top w:w="0" w:type="dxa"/>
          <w:left w:w="0" w:type="dxa"/>
          <w:bottom w:w="0" w:type="dxa"/>
          <w:right w:w="0" w:type="dxa"/>
        </w:tblCellMar>
      </w:tblPr>
      <w:tblGrid>
        <w:gridCol w:w="124"/>
        <w:gridCol w:w="451"/>
        <w:gridCol w:w="451"/>
        <w:gridCol w:w="564"/>
        <w:gridCol w:w="996"/>
        <w:gridCol w:w="736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8740" cy="175260"/>
                      <wp:effectExtent l="0" t="0" r="0" b="0"/>
                      <wp:wrapNone/>
                      <wp:docPr id="377" name="Frame3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32460" cy="29210"/>
                      <wp:effectExtent l="0" t="0" r="0" b="0"/>
                      <wp:wrapNone/>
                      <wp:docPr id="378" name="Frame378"/>
                      <a:graphic xmlns:a="http://schemas.openxmlformats.org/drawingml/2006/main">
                        <a:graphicData uri="http://schemas.microsoft.com/office/word/2010/wordprocessingShape">
                          <wps:wsp>
                            <wps:cNvSpPr txBox="1"/>
                            <wps:spPr>
                              <a:xfrm>
                                <a:off x="0" y="0"/>
                                <a:ext cx="632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676775" cy="175260"/>
                      <wp:effectExtent l="0" t="0" r="0" b="0"/>
                      <wp:wrapNone/>
                      <wp:docPr id="379" name="Frame379"/>
                      <a:graphic xmlns:a="http://schemas.openxmlformats.org/drawingml/2006/main">
                        <a:graphicData uri="http://schemas.microsoft.com/office/word/2010/wordprocessingShape">
                          <wps:wsp>
                            <wps:cNvSpPr txBox="1"/>
                            <wps:spPr>
                              <a:xfrm>
                                <a:off x="0" y="0"/>
                                <a:ext cx="467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CTO16 RENO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CTLC18 LYNN MA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BIRMINGHAM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PINE19 ALPHARETTA GA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SALEM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SEVERN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SOMERVILLE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WILLIS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WINTHROP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KERMIT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TACOMA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CUT &amp; SHOOT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DEL RIO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SEGUIN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II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III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VIII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X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OH,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2 OH,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MAPLE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WASH MO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DOWNERS GROVE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5"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5"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83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83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36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240"/>
        <w:ind w:left="0" w:right="0" w:hanging="0"/>
        <w:jc w:val="both"/>
        <w:rPr>
          <w:caps/>
        </w:rPr>
      </w:pPr>
      <w:r>
        <w:rPr>
          <w:caps/>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79" w:type="dxa"/>
        <w:jc w:val="center"/>
        <w:tblInd w:w="0" w:type="dxa"/>
        <w:tblLayout w:type="fixed"/>
        <w:tblCellMar>
          <w:top w:w="0" w:type="dxa"/>
          <w:left w:w="0" w:type="dxa"/>
          <w:bottom w:w="0" w:type="dxa"/>
          <w:right w:w="0" w:type="dxa"/>
        </w:tblCellMar>
      </w:tblPr>
      <w:tblGrid>
        <w:gridCol w:w="124"/>
        <w:gridCol w:w="1169"/>
        <w:gridCol w:w="328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78740" cy="175260"/>
                      <wp:effectExtent l="0" t="0" r="0" b="0"/>
                      <wp:wrapNone/>
                      <wp:docPr id="380" name="Frame38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bookmarkStart w:id="1406" w:name="_Hlk189647156"/>
                                  <w:bookmarkEnd w:id="1406"/>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bookmarkStart w:id="1407" w:name="_Hlk189647156"/>
                            <w:bookmarkEnd w:id="1407"/>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742315" cy="29210"/>
                      <wp:effectExtent l="0" t="0" r="0" b="0"/>
                      <wp:wrapNone/>
                      <wp:docPr id="381" name="Frame381"/>
                      <a:graphic xmlns:a="http://schemas.openxmlformats.org/drawingml/2006/main">
                        <a:graphicData uri="http://schemas.microsoft.com/office/word/2010/wordprocessingShape">
                          <wps:wsp>
                            <wps:cNvSpPr txBox="1"/>
                            <wps:spPr>
                              <a:xfrm>
                                <a:off x="0" y="0"/>
                                <a:ext cx="7423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86610" cy="175260"/>
                      <wp:effectExtent l="0" t="0" r="0" b="0"/>
                      <wp:wrapNone/>
                      <wp:docPr id="382" name="Frame382"/>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 Bold" w:hAnsi="Times New Roman Bold"/>
                <w:b/>
                <w:caps/>
                <w:sz w:val="24"/>
              </w:rPr>
              <w:t>Administrative Agent</w:t>
            </w:r>
            <w:r>
              <w:rPr>
                <w:rFonts w:ascii="Times New Roman;Times;serif" w:hAnsi="Times New Roman;Times;serif"/>
                <w:b/>
                <w:sz w:val="24"/>
              </w:rPr>
              <w:t>:</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KEYBANK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Administrative Agent</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Thomas Z. Schmitt</w:t>
            </w:r>
          </w:p>
        </w:tc>
      </w:tr>
      <w:tr>
        <w:trPr/>
        <w:tc>
          <w:tcPr>
            <w:tcW w:w="124"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2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Z. Schmitt</w:t>
            </w:r>
          </w:p>
        </w:tc>
      </w:tr>
      <w:tr>
        <w:trPr/>
        <w:tc>
          <w:tcPr>
            <w:tcW w:w="124"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2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0" w:right="0" w:hanging="0"/>
        <w:jc w:val="left"/>
        <w:rPr/>
      </w:pPr>
      <w:r>
        <w:rPr/>
        <w:t>​</w:t>
      </w:r>
    </w:p>
    <w:tbl>
      <w:tblPr>
        <w:tblW w:w="4579" w:type="dxa"/>
        <w:jc w:val="center"/>
        <w:tblInd w:w="0" w:type="dxa"/>
        <w:tblLayout w:type="fixed"/>
        <w:tblCellMar>
          <w:top w:w="0" w:type="dxa"/>
          <w:left w:w="0" w:type="dxa"/>
          <w:bottom w:w="0" w:type="dxa"/>
          <w:right w:w="0" w:type="dxa"/>
        </w:tblCellMar>
      </w:tblPr>
      <w:tblGrid>
        <w:gridCol w:w="124"/>
        <w:gridCol w:w="1169"/>
        <w:gridCol w:w="328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8740" cy="175260"/>
                      <wp:effectExtent l="0" t="0" r="0" b="0"/>
                      <wp:wrapNone/>
                      <wp:docPr id="383" name="Frame38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742315" cy="29210"/>
                      <wp:effectExtent l="0" t="0" r="0" b="0"/>
                      <wp:wrapNone/>
                      <wp:docPr id="384" name="Frame384"/>
                      <a:graphic xmlns:a="http://schemas.openxmlformats.org/drawingml/2006/main">
                        <a:graphicData uri="http://schemas.microsoft.com/office/word/2010/wordprocessingShape">
                          <wps:wsp>
                            <wps:cNvSpPr txBox="1"/>
                            <wps:spPr>
                              <a:xfrm>
                                <a:off x="0" y="0"/>
                                <a:ext cx="7423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86610" cy="175260"/>
                      <wp:effectExtent l="0" t="0" r="0" b="0"/>
                      <wp:wrapNone/>
                      <wp:docPr id="385" name="Frame385"/>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rFonts w:ascii="Times New Roman Bold" w:hAnsi="Times New Roman Bold"/>
                <w:b/>
                <w:caps/>
                <w:sz w:val="24"/>
              </w:rPr>
            </w:pPr>
            <w:r>
              <w:rPr>
                <w:rFonts w:ascii="Times New Roman Bold" w:hAnsi="Times New Roman Bold"/>
                <w:b/>
                <w:caps/>
                <w:sz w:val="24"/>
              </w:rPr>
              <w:t>Lenders:</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KEYBANK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Thomas Z. Schmitt</w:t>
            </w:r>
          </w:p>
        </w:tc>
      </w:tr>
      <w:tr>
        <w:trPr/>
        <w:tc>
          <w:tcPr>
            <w:tcW w:w="124"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2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Z. Schmitt</w:t>
            </w:r>
          </w:p>
        </w:tc>
      </w:tr>
      <w:tr>
        <w:trPr/>
        <w:tc>
          <w:tcPr>
            <w:tcW w:w="124"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2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0" w:right="0" w:hanging="0"/>
        <w:jc w:val="left"/>
        <w:rPr/>
      </w:pPr>
      <w:r>
        <w:rPr/>
        <w:t>​</w:t>
      </w:r>
    </w:p>
    <w:p>
      <w:pPr>
        <w:pStyle w:val="TextBody"/>
        <w:bidi w:val="0"/>
        <w:spacing w:before="0" w:after="0"/>
        <w:ind w:left="4320" w:right="0" w:hanging="0"/>
        <w:jc w:val="both"/>
        <w:rPr>
          <w:caps/>
        </w:rPr>
      </w:pPr>
      <w:r>
        <w:rPr>
          <w:caps/>
        </w:rPr>
        <w:t>​</w:t>
      </w:r>
    </w:p>
    <w:p>
      <w:pPr>
        <w:pStyle w:val="TextBody"/>
        <w:bidi w:val="0"/>
        <w:spacing w:before="0" w:after="0"/>
        <w:ind w:left="4320" w:right="0" w:hanging="0"/>
        <w:jc w:val="both"/>
        <w:rPr>
          <w:caps/>
        </w:rPr>
      </w:pPr>
      <w:r>
        <w:rPr>
          <w:caps/>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09" w:type="dxa"/>
        <w:jc w:val="center"/>
        <w:tblInd w:w="0" w:type="dxa"/>
        <w:tblLayout w:type="fixed"/>
        <w:tblCellMar>
          <w:top w:w="0" w:type="dxa"/>
          <w:left w:w="0" w:type="dxa"/>
          <w:bottom w:w="0" w:type="dxa"/>
          <w:right w:w="0" w:type="dxa"/>
        </w:tblCellMar>
      </w:tblPr>
      <w:tblGrid>
        <w:gridCol w:w="124"/>
        <w:gridCol w:w="1122"/>
        <w:gridCol w:w="3363"/>
      </w:tblGrid>
      <w:tr>
        <w:trPr/>
        <w:tc>
          <w:tcPr>
            <w:tcW w:w="12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283"/>
              <w:ind w:left="0" w:right="0" w:hanging="0"/>
              <w:jc w:val="left"/>
              <w:rPr>
                <w:sz w:val="4"/>
                <w:szCs w:val="4"/>
              </w:rPr>
            </w:pPr>
            <w:r>
              <w:rPr>
                <w:sz w:val="4"/>
                <w:szCs w:val="4"/>
              </w:rPr>
            </w:r>
          </w:p>
        </w:tc>
        <w:tc>
          <w:tcPr>
            <w:tcW w:w="3363"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HUNTINGTON NATIONAL BANK,</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36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Joe White</w:t>
            </w:r>
          </w:p>
        </w:tc>
      </w:tr>
      <w:tr>
        <w:trPr/>
        <w:tc>
          <w:tcPr>
            <w:tcW w:w="12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336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Joe White</w:t>
            </w:r>
          </w:p>
        </w:tc>
      </w:tr>
      <w:tr>
        <w:trPr/>
        <w:tc>
          <w:tcPr>
            <w:tcW w:w="124"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36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066" w:type="dxa"/>
        <w:jc w:val="center"/>
        <w:tblInd w:w="0" w:type="dxa"/>
        <w:tblLayout w:type="fixed"/>
        <w:tblCellMar>
          <w:top w:w="0" w:type="dxa"/>
          <w:left w:w="0" w:type="dxa"/>
          <w:bottom w:w="0" w:type="dxa"/>
          <w:right w:w="0" w:type="dxa"/>
        </w:tblCellMar>
      </w:tblPr>
      <w:tblGrid>
        <w:gridCol w:w="124"/>
        <w:gridCol w:w="736"/>
        <w:gridCol w:w="2206"/>
      </w:tblGrid>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220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94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REGIONS BANK, </w:t>
            </w:r>
          </w:p>
        </w:tc>
      </w:tr>
      <w:tr>
        <w:trPr/>
        <w:tc>
          <w:tcPr>
            <w:tcW w:w="124" w:type="dxa"/>
            <w:tcBorders/>
            <w:vAlign w:val="center"/>
          </w:tcPr>
          <w:p>
            <w:pPr>
              <w:pStyle w:val="TableContents"/>
              <w:bidi w:val="0"/>
              <w:spacing w:before="0" w:after="0"/>
              <w:ind w:left="0" w:right="0" w:hanging="0"/>
              <w:jc w:val="left"/>
              <w:rPr/>
            </w:pPr>
            <w:r>
              <w:rPr/>
              <w:t>​</w:t>
            </w:r>
          </w:p>
        </w:tc>
        <w:tc>
          <w:tcPr>
            <w:tcW w:w="294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29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Ghi S. Gavin</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2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Ghi S. Gavin</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99" w:type="dxa"/>
        <w:jc w:val="center"/>
        <w:tblInd w:w="0" w:type="dxa"/>
        <w:tblLayout w:type="fixed"/>
        <w:tblCellMar>
          <w:top w:w="0" w:type="dxa"/>
          <w:left w:w="0" w:type="dxa"/>
          <w:bottom w:w="0" w:type="dxa"/>
          <w:right w:w="0" w:type="dxa"/>
        </w:tblCellMar>
      </w:tblPr>
      <w:tblGrid>
        <w:gridCol w:w="124"/>
        <w:gridCol w:w="819"/>
        <w:gridCol w:w="2256"/>
      </w:tblGrid>
      <w:tr>
        <w:trPr/>
        <w:tc>
          <w:tcPr>
            <w:tcW w:w="124"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283"/>
              <w:ind w:left="0" w:right="0" w:hanging="0"/>
              <w:jc w:val="left"/>
              <w:rPr>
                <w:sz w:val="4"/>
                <w:szCs w:val="4"/>
              </w:rPr>
            </w:pPr>
            <w:r>
              <w:rPr>
                <w:sz w:val="4"/>
                <w:szCs w:val="4"/>
              </w:rPr>
            </w:r>
          </w:p>
        </w:tc>
        <w:tc>
          <w:tcPr>
            <w:tcW w:w="22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0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RAYMOND JAMES BANK,</w:t>
            </w:r>
          </w:p>
        </w:tc>
      </w:tr>
      <w:tr>
        <w:trPr/>
        <w:tc>
          <w:tcPr>
            <w:tcW w:w="124" w:type="dxa"/>
            <w:tcBorders/>
            <w:vAlign w:val="center"/>
          </w:tcPr>
          <w:p>
            <w:pPr>
              <w:pStyle w:val="TableContents"/>
              <w:bidi w:val="0"/>
              <w:spacing w:before="0" w:after="0"/>
              <w:ind w:left="0" w:right="0" w:hanging="0"/>
              <w:jc w:val="left"/>
              <w:rPr/>
            </w:pPr>
            <w:r>
              <w:rPr/>
              <w:t>​</w:t>
            </w:r>
          </w:p>
        </w:tc>
        <w:tc>
          <w:tcPr>
            <w:tcW w:w="30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30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Alexander Sierra</w:t>
            </w:r>
          </w:p>
        </w:tc>
      </w:tr>
      <w:tr>
        <w:trPr/>
        <w:tc>
          <w:tcPr>
            <w:tcW w:w="124"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Alexander Sierra</w:t>
            </w:r>
          </w:p>
        </w:tc>
      </w:tr>
      <w:tr>
        <w:trPr/>
        <w:tc>
          <w:tcPr>
            <w:tcW w:w="124"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2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SVP</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839" w:type="dxa"/>
        <w:jc w:val="center"/>
        <w:tblInd w:w="0" w:type="dxa"/>
        <w:tblLayout w:type="fixed"/>
        <w:tblCellMar>
          <w:top w:w="0" w:type="dxa"/>
          <w:left w:w="0" w:type="dxa"/>
          <w:bottom w:w="0" w:type="dxa"/>
          <w:right w:w="0" w:type="dxa"/>
        </w:tblCellMar>
      </w:tblPr>
      <w:tblGrid>
        <w:gridCol w:w="124"/>
        <w:gridCol w:w="739"/>
        <w:gridCol w:w="1976"/>
      </w:tblGrid>
      <w:tr>
        <w:trPr/>
        <w:tc>
          <w:tcPr>
            <w:tcW w:w="124"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283"/>
              <w:ind w:left="0" w:right="0" w:hanging="0"/>
              <w:jc w:val="left"/>
              <w:rPr>
                <w:sz w:val="4"/>
                <w:szCs w:val="4"/>
              </w:rPr>
            </w:pPr>
            <w:r>
              <w:rPr>
                <w:sz w:val="4"/>
                <w:szCs w:val="4"/>
              </w:rPr>
            </w:r>
          </w:p>
        </w:tc>
        <w:tc>
          <w:tcPr>
            <w:tcW w:w="19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7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BANK OF MONTREAL,</w:t>
            </w:r>
          </w:p>
        </w:tc>
      </w:tr>
      <w:tr>
        <w:trPr/>
        <w:tc>
          <w:tcPr>
            <w:tcW w:w="124" w:type="dxa"/>
            <w:tcBorders/>
            <w:vAlign w:val="center"/>
          </w:tcPr>
          <w:p>
            <w:pPr>
              <w:pStyle w:val="TableContents"/>
              <w:bidi w:val="0"/>
              <w:spacing w:before="0" w:after="0"/>
              <w:ind w:left="0" w:right="0" w:hanging="0"/>
              <w:jc w:val="left"/>
              <w:rPr/>
            </w:pPr>
            <w:r>
              <w:rPr/>
              <w:t>​</w:t>
            </w:r>
          </w:p>
        </w:tc>
        <w:tc>
          <w:tcPr>
            <w:tcW w:w="27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27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Darin Mainquist</w:t>
            </w:r>
          </w:p>
        </w:tc>
      </w:tr>
      <w:tr>
        <w:trPr/>
        <w:tc>
          <w:tcPr>
            <w:tcW w:w="124"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9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Darin Mainquist</w:t>
            </w:r>
          </w:p>
        </w:tc>
      </w:tr>
      <w:tr>
        <w:trPr/>
        <w:tc>
          <w:tcPr>
            <w:tcW w:w="124"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9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69" w:type="dxa"/>
        <w:jc w:val="center"/>
        <w:tblInd w:w="0" w:type="dxa"/>
        <w:tblLayout w:type="fixed"/>
        <w:tblCellMar>
          <w:top w:w="0" w:type="dxa"/>
          <w:left w:w="0" w:type="dxa"/>
          <w:bottom w:w="0" w:type="dxa"/>
          <w:right w:w="0" w:type="dxa"/>
        </w:tblCellMar>
      </w:tblPr>
      <w:tblGrid>
        <w:gridCol w:w="124"/>
        <w:gridCol w:w="1137"/>
        <w:gridCol w:w="3408"/>
      </w:tblGrid>
      <w:tr>
        <w:trPr/>
        <w:tc>
          <w:tcPr>
            <w:tcW w:w="124"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283"/>
              <w:ind w:left="0" w:right="0" w:hanging="0"/>
              <w:jc w:val="left"/>
              <w:rPr>
                <w:sz w:val="4"/>
                <w:szCs w:val="4"/>
              </w:rPr>
            </w:pPr>
            <w:r>
              <w:rPr>
                <w:sz w:val="4"/>
                <w:szCs w:val="4"/>
              </w:rPr>
            </w:r>
          </w:p>
        </w:tc>
        <w:tc>
          <w:tcPr>
            <w:tcW w:w="3408"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PNC BANK, NATIONAL ASSOCIATION</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Andrew T. White</w:t>
            </w:r>
          </w:p>
        </w:tc>
      </w:tr>
      <w:tr>
        <w:trPr/>
        <w:tc>
          <w:tcPr>
            <w:tcW w:w="124"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340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Andrew T. White</w:t>
            </w:r>
          </w:p>
        </w:tc>
      </w:tr>
      <w:tr>
        <w:trPr/>
        <w:tc>
          <w:tcPr>
            <w:tcW w:w="124"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571" w:type="dxa"/>
        <w:jc w:val="center"/>
        <w:tblInd w:w="0" w:type="dxa"/>
        <w:tblLayout w:type="fixed"/>
        <w:tblCellMar>
          <w:top w:w="0" w:type="dxa"/>
          <w:left w:w="0" w:type="dxa"/>
          <w:bottom w:w="0" w:type="dxa"/>
          <w:right w:w="0" w:type="dxa"/>
        </w:tblCellMar>
      </w:tblPr>
      <w:tblGrid>
        <w:gridCol w:w="124"/>
        <w:gridCol w:w="736"/>
        <w:gridCol w:w="1711"/>
      </w:tblGrid>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7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44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TRUIST BANK</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244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24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/s/Ryan Almond</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Ryan Almond</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06" w:type="dxa"/>
        <w:jc w:val="center"/>
        <w:tblInd w:w="0" w:type="dxa"/>
        <w:tblLayout w:type="fixed"/>
        <w:tblCellMar>
          <w:top w:w="0" w:type="dxa"/>
          <w:left w:w="0" w:type="dxa"/>
          <w:bottom w:w="0" w:type="dxa"/>
          <w:right w:w="0" w:type="dxa"/>
        </w:tblCellMar>
      </w:tblPr>
      <w:tblGrid>
        <w:gridCol w:w="124"/>
        <w:gridCol w:w="736"/>
        <w:gridCol w:w="1846"/>
      </w:tblGrid>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184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58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SYNOVUS BANK</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258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258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8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Zachary Braun</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8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Zachary Braun</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First Amendment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See attached. </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4"/>
        </w:rPr>
      </w:pPr>
      <w:bookmarkStart w:id="1408" w:name="_cp_change_297"/>
      <w:bookmarkEnd w:id="1408"/>
      <w:r>
        <w:rPr>
          <w:rFonts w:ascii="Times New Roman;Times;serif" w:hAnsi="Times New Roman;Times;serif"/>
          <w:b/>
          <w:i/>
          <w:color w:val="FF0000"/>
          <w:sz w:val="24"/>
        </w:rPr>
        <w:t>Execution Version</w:t>
      </w:r>
      <w:bookmarkStart w:id="1409" w:name="_cp_change_298"/>
      <w:bookmarkEnd w:id="1409"/>
      <w:r>
        <w:rPr>
          <w:rFonts w:ascii="Times New Roman;Times;serif" w:hAnsi="Times New Roman;Times;serif"/>
          <w:b/>
          <w:i/>
          <w:color w:val="0000FF"/>
          <w:sz w:val="24"/>
          <w:u w:val="single"/>
        </w:rPr>
        <w:t>CONFORMED THROUGH FIRST AMENDMENT</w:t>
      </w:r>
    </w:p>
    <w:p>
      <w:pPr>
        <w:pStyle w:val="TextBody"/>
        <w:pBdr>
          <w:bottom w:val="double" w:sz="6" w:space="1" w:color="000000"/>
        </w:pBdr>
        <w:bidi w:val="0"/>
        <w:spacing w:before="0" w:after="0"/>
        <w:ind w:left="0" w:right="0" w:hanging="0"/>
        <w:jc w:val="both"/>
        <w:rPr/>
      </w:pPr>
      <w:r>
        <w:rPr/>
        <w:t>​</w:t>
      </w:r>
    </w:p>
    <w:p>
      <w:pPr>
        <w:pStyle w:val="TextBody"/>
        <w:bidi w:val="0"/>
        <w:spacing w:before="360" w:after="240"/>
        <w:ind w:left="0" w:right="0" w:hanging="0"/>
        <w:jc w:val="center"/>
        <w:rPr>
          <w:rFonts w:ascii="Times New Roman;Times;serif" w:hAnsi="Times New Roman;Times;serif"/>
          <w:smallCaps/>
          <w:sz w:val="24"/>
        </w:rPr>
      </w:pPr>
      <w:r>
        <w:rPr>
          <w:rFonts w:ascii="Times New Roman;Times;serif" w:hAnsi="Times New Roman;Times;serif"/>
          <w:smallCaps/>
          <w:sz w:val="24"/>
        </w:rPr>
        <w:t>Amended and restated Credit Agreement</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Dated as of September 30, 2022</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among</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Alpine Income Property Trust, Inc., as Guarantor</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The Other Guarantors From Time to Time Parties Hereto,</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the Lenders from time to time parties hereto,</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KeyBank National Association</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as Administrative Agent,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 xml:space="preserve">KeyBank Capital Markets Inc., Raymond James Bank, </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 xml:space="preserve">The Huntington National Bank and Regions Capital Markets </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as Joint Lead Arrangers for the Revolving Facility,</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 xml:space="preserve">KeyBank Capital Markets Inc., Regions Capital Markets, </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and U.S. Bank National Association</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as Joint Lead Arrangers for the 2027 Term Facility,</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KeyBank National Association</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as Sustainability Structuring Agent,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 xml:space="preserve">Raymond James Bank, </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The Huntington National Bank and Regions Bank</w:t>
        <w:br/>
        <w:t>as Co-Syndication Agents for the Revolving Facility</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 xml:space="preserve">Regions Bank </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and U.S. Bank National Association</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as Co-Syndication Agents for the 2027 Term Facility</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KeyBanc Capital Markets Inc.</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as Sole Book Runner</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color w:val="FF0000"/>
          <w:sz w:val="16"/>
        </w:rPr>
      </w:pPr>
      <w:bookmarkStart w:id="1410" w:name="_iDocIDField6af80f45-7437-4858-9ca2-cf1d"/>
      <w:bookmarkStart w:id="1411" w:name="_cp_change_301"/>
      <w:bookmarkEnd w:id="1410"/>
      <w:bookmarkEnd w:id="1411"/>
      <w:r>
        <w:rPr>
          <w:rFonts w:ascii="Times New Roman;Times;serif" w:hAnsi="Times New Roman;Times;serif"/>
          <w:color w:val="FF0000"/>
          <w:sz w:val="16"/>
        </w:rPr>
        <w:t>3357068.13</w:t>
      </w:r>
      <w:bookmarkStart w:id="1412" w:name="_cp_change_304"/>
      <w:bookmarkStart w:id="1413" w:name="_cp_change_303"/>
      <w:bookmarkStart w:id="1414" w:name="_cp_change_302"/>
      <w:bookmarkEnd w:id="1412"/>
      <w:bookmarkEnd w:id="1413"/>
      <w:bookmarkEnd w:id="1414"/>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Table of Contents</w:t>
      </w:r>
    </w:p>
    <w:tbl>
      <w:tblPr>
        <w:tblW w:w="10205" w:type="dxa"/>
        <w:jc w:val="left"/>
        <w:tblInd w:w="0" w:type="dxa"/>
        <w:tblLayout w:type="fixed"/>
        <w:tblCellMar>
          <w:top w:w="0" w:type="dxa"/>
          <w:left w:w="0" w:type="dxa"/>
          <w:bottom w:w="0" w:type="dxa"/>
          <w:right w:w="0" w:type="dxa"/>
        </w:tblCellMar>
      </w:tblPr>
      <w:tblGrid>
        <w:gridCol w:w="1390"/>
        <w:gridCol w:w="8138"/>
        <w:gridCol w:w="677"/>
      </w:tblGrid>
      <w:tr>
        <w:trPr/>
        <w:tc>
          <w:tcPr>
            <w:tcW w:w="1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882650" cy="175260"/>
                      <wp:effectExtent l="0" t="0" r="0" b="0"/>
                      <wp:wrapNone/>
                      <wp:docPr id="386" name="Frame386"/>
                      <a:graphic xmlns:a="http://schemas.openxmlformats.org/drawingml/2006/main">
                        <a:graphicData uri="http://schemas.microsoft.com/office/word/2010/wordprocessingShape">
                          <wps:wsp>
                            <wps:cNvSpPr txBox="1"/>
                            <wps:spPr>
                              <a:xfrm>
                                <a:off x="0" y="0"/>
                                <a:ext cx="882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167630" cy="175260"/>
                      <wp:effectExtent l="0" t="0" r="0" b="0"/>
                      <wp:wrapNone/>
                      <wp:docPr id="387" name="Frame387"/>
                      <a:graphic xmlns:a="http://schemas.openxmlformats.org/drawingml/2006/main">
                        <a:graphicData uri="http://schemas.microsoft.com/office/word/2010/wordprocessingShape">
                          <wps:wsp>
                            <wps:cNvSpPr txBox="1"/>
                            <wps:spPr>
                              <a:xfrm>
                                <a:off x="0" y="0"/>
                                <a:ext cx="5167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29895" cy="29210"/>
                      <wp:effectExtent l="0" t="0" r="0" b="0"/>
                      <wp:wrapNone/>
                      <wp:docPr id="388" name="Frame388"/>
                      <a:graphic xmlns:a="http://schemas.openxmlformats.org/drawingml/2006/main">
                        <a:graphicData uri="http://schemas.microsoft.com/office/word/2010/wordprocessingShape">
                          <wps:wsp>
                            <wps:cNvSpPr txBox="1"/>
                            <wps:spPr>
                              <a:xfrm>
                                <a:off x="0" y="0"/>
                                <a:ext cx="4298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90" w:type="dxa"/>
            <w:tcBorders/>
            <w:vAlign w:val="center"/>
          </w:tcPr>
          <w:p>
            <w:pPr>
              <w:pStyle w:val="TableContents"/>
              <w:bidi w:val="0"/>
              <w:spacing w:before="0" w:after="0"/>
              <w:ind w:left="0" w:right="0" w:hanging="0"/>
              <w:jc w:val="left"/>
              <w:rPr/>
            </w:pPr>
            <w:r>
              <w:rPr/>
              <w:t>​</w:t>
            </w:r>
          </w:p>
        </w:tc>
        <w:tc>
          <w:tcPr>
            <w:tcW w:w="8138"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left"/>
              <w:rPr>
                <w:rFonts w:ascii="Times" w:hAnsi="Times"/>
                <w:smallCaps/>
                <w:sz w:val="24"/>
              </w:rPr>
            </w:pPr>
            <w:r>
              <w:rPr>
                <w:rFonts w:ascii="Times" w:hAnsi="Times"/>
                <w:smallCaps/>
                <w:sz w:val="24"/>
              </w:rPr>
              <w:t>Page</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The Credit Facility</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Revolving Credit Commitments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Term Loan</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Letters of Credit</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1.4.</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Applicable Interest Rates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6</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1.5.</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Minimum Borrowing Amounts; Maximum Term SOFR Loans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7</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1.6.</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Manner of Borrowing Loans and Designating Applicable Interest Rates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7</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1.7.</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Maturity of Loans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9</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1.8.</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Prepayments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9</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1.9.</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Default Rate</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1.10.</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Evidence of Indebtedness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1.11.</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Funding Indemnity</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12</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1.12.</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Commitment Terminations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12</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1.13.</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Substitution of Lenders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13</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1.14.</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Defaulting Lenders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13</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1.15.</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Increase in Revolving Credit Commitments and Incremental Term Loan Commitments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17</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1.16.</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Extension of Revolving Credit Termination Date</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19</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1.17.</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Swing Loans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19</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1.18.</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ESG Adjustments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21</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2.</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Fees.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21</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2.1.</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Fees.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21</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3.</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Place and Application of Payments.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22</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3.1.</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Place and Application of Payments.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22</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4.</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Guaranties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24</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4.1.</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Guaranties.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24</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4.2.</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Further Assurances.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24</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5.</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Definitions; Interpretation.</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24</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5.1.</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Definitions.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24</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5.2.</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Interpretation.</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57</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5.3.</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Change in Accounting Principles.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58</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5.4.</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Rates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58</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5.5.</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Divisions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59</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Representations and Warranties.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59</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Organization and Qualification; Limited Operations.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59</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Subsidiaries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59</w:t>
            </w:r>
          </w:p>
        </w:tc>
      </w:tr>
      <w:tr>
        <w:trPr/>
        <w:tc>
          <w:tcPr>
            <w:tcW w:w="1390"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6.3.</w:t>
            </w:r>
          </w:p>
        </w:tc>
        <w:tc>
          <w:tcPr>
            <w:tcW w:w="8138" w:type="dxa"/>
            <w:tcBorders/>
            <w:vAlign w:val="center"/>
          </w:tcPr>
          <w:p>
            <w:pPr>
              <w:pStyle w:val="TableContents"/>
              <w:bidi w:val="0"/>
              <w:spacing w:before="0" w:after="0"/>
              <w:ind w:left="0" w:right="0" w:hanging="0"/>
              <w:jc w:val="left"/>
              <w:rPr>
                <w:rFonts w:ascii="Times" w:hAnsi="Times"/>
                <w:sz w:val="24"/>
              </w:rPr>
            </w:pPr>
            <w:r>
              <w:rPr>
                <w:rFonts w:ascii="Times" w:hAnsi="Times"/>
                <w:sz w:val="24"/>
              </w:rPr>
              <w:t>Authority and Validity of Obligations</w:t>
            </w:r>
          </w:p>
        </w:tc>
        <w:tc>
          <w:tcPr>
            <w:tcW w:w="677" w:type="dxa"/>
            <w:tcBorders/>
            <w:vAlign w:val="center"/>
          </w:tcPr>
          <w:p>
            <w:pPr>
              <w:pStyle w:val="TableContents"/>
              <w:bidi w:val="0"/>
              <w:spacing w:before="0" w:after="0"/>
              <w:ind w:left="0" w:right="0" w:hanging="0"/>
              <w:jc w:val="right"/>
              <w:rPr>
                <w:rFonts w:ascii="Times" w:hAnsi="Times"/>
                <w:sz w:val="24"/>
              </w:rPr>
            </w:pPr>
            <w:r>
              <w:rPr>
                <w:rFonts w:ascii="Times" w:hAnsi="Times"/>
                <w:sz w:val="24"/>
              </w:rPr>
              <w:t>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i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73" w:type="dxa"/>
        <w:jc w:val="left"/>
        <w:tblInd w:w="0" w:type="dxa"/>
        <w:tblLayout w:type="fixed"/>
        <w:tblCellMar>
          <w:top w:w="0" w:type="dxa"/>
          <w:left w:w="0" w:type="dxa"/>
          <w:bottom w:w="0" w:type="dxa"/>
          <w:right w:w="0" w:type="dxa"/>
        </w:tblCellMar>
      </w:tblPr>
      <w:tblGrid>
        <w:gridCol w:w="1396"/>
        <w:gridCol w:w="7186"/>
        <w:gridCol w:w="391"/>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886460" cy="29210"/>
                      <wp:effectExtent l="0" t="0" r="0" b="0"/>
                      <wp:wrapNone/>
                      <wp:docPr id="389" name="Frame389"/>
                      <a:graphic xmlns:a="http://schemas.openxmlformats.org/drawingml/2006/main">
                        <a:graphicData uri="http://schemas.microsoft.com/office/word/2010/wordprocessingShape">
                          <wps:wsp>
                            <wps:cNvSpPr txBox="1"/>
                            <wps:spPr>
                              <a:xfrm>
                                <a:off x="0" y="0"/>
                                <a:ext cx="886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563110" cy="29210"/>
                      <wp:effectExtent l="0" t="0" r="0" b="0"/>
                      <wp:wrapNone/>
                      <wp:docPr id="390" name="Frame390"/>
                      <a:graphic xmlns:a="http://schemas.openxmlformats.org/drawingml/2006/main">
                        <a:graphicData uri="http://schemas.microsoft.com/office/word/2010/wordprocessingShape">
                          <wps:wsp>
                            <wps:cNvSpPr txBox="1"/>
                            <wps:spPr>
                              <a:xfrm>
                                <a:off x="0" y="0"/>
                                <a:ext cx="4563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48285" cy="29210"/>
                      <wp:effectExtent l="0" t="0" r="0" b="0"/>
                      <wp:wrapNone/>
                      <wp:docPr id="391" name="Frame391"/>
                      <a:graphic xmlns:a="http://schemas.openxmlformats.org/drawingml/2006/main">
                        <a:graphicData uri="http://schemas.microsoft.com/office/word/2010/wordprocessingShape">
                          <wps:wsp>
                            <wps:cNvSpPr txBox="1"/>
                            <wps:spPr>
                              <a:xfrm>
                                <a:off x="0" y="0"/>
                                <a:ext cx="248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6.4.</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Use of Proceeds; Margin Stock</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60</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6.5.</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Financial Reports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60</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6.6.</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 Material Adverse Effect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61</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6.7.</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Full Disclosure</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61</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6.8.</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Trademarks, Franchises, and Licenses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61</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6.9.</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Governmental Authority and Licensing</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61</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6.10.</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Good Title</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61</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6.11.</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Litigation and Other Controversies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6.12.</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Taxes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6.13.</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Approvals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6.14.</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Affiliate Transactions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6.15.</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Investment Company</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6.16.</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ERISA</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6.17.</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Compliance with Laws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6.18.</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OFAC</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64</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6.19.</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Other Agreements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64</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6.20.</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Solvency</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64</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6.21.</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 Default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64</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6.22.</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 Broker Fees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64</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6.23.</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Condition of Property; Casualties; Condemnation</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65</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6.24.</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Legal Requirements and Zoning</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65</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6.25.</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 Defaults; Landlord is in Compliance with Leases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65</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6.26.</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Affected Financial Institution</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65</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6.27.</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REIT Status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66</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6.28.</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Covered Entities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66</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7.</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Conditions Precedent.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66</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7.1.</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All Credit Events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66</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7.2.</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Closing Date Credit Event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66</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7.3.</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Unencumbered Assets Additions and Deletions to the Unencumbered Pool</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68</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Covenants.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69</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Maintenance of Existence</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69</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Maintenance of Properties, Agreements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69</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8.3.</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Taxes and Assessments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69</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8.4.</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Insurance</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70</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8.5.</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Financial Reports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70</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8.6.</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Inspection</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8.7.</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Liens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8.8.</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Investments, Acquisitions, Loans and Advances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72</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8.9.</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Mergers, Consolidations and Sales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74</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8.10.</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Maintenance of Subsidiaries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74</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8.11.</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ERISA</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75</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8.12.</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Compliance with Laws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75</w:t>
            </w:r>
          </w:p>
        </w:tc>
      </w:tr>
      <w:tr>
        <w:trPr/>
        <w:tc>
          <w:tcPr>
            <w:tcW w:w="139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8.13.</w:t>
            </w:r>
          </w:p>
        </w:tc>
        <w:tc>
          <w:tcPr>
            <w:tcW w:w="71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Compliance with OFAC Sanctions Programs and Anti-Corruption Laws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823" w:type="dxa"/>
        <w:jc w:val="left"/>
        <w:tblInd w:w="0" w:type="dxa"/>
        <w:tblLayout w:type="fixed"/>
        <w:tblCellMar>
          <w:top w:w="0" w:type="dxa"/>
          <w:left w:w="0" w:type="dxa"/>
          <w:bottom w:w="0" w:type="dxa"/>
          <w:right w:w="0" w:type="dxa"/>
        </w:tblCellMar>
      </w:tblPr>
      <w:tblGrid>
        <w:gridCol w:w="1516"/>
        <w:gridCol w:w="6916"/>
        <w:gridCol w:w="39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962660" cy="29210"/>
                      <wp:effectExtent l="0" t="0" r="0" b="0"/>
                      <wp:wrapNone/>
                      <wp:docPr id="392" name="Frame392"/>
                      <a:graphic xmlns:a="http://schemas.openxmlformats.org/drawingml/2006/main">
                        <a:graphicData uri="http://schemas.microsoft.com/office/word/2010/wordprocessingShape">
                          <wps:wsp>
                            <wps:cNvSpPr txBox="1"/>
                            <wps:spPr>
                              <a:xfrm>
                                <a:off x="0" y="0"/>
                                <a:ext cx="962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391660" cy="29210"/>
                      <wp:effectExtent l="0" t="0" r="0" b="0"/>
                      <wp:wrapNone/>
                      <wp:docPr id="393" name="Frame393"/>
                      <a:graphic xmlns:a="http://schemas.openxmlformats.org/drawingml/2006/main">
                        <a:graphicData uri="http://schemas.microsoft.com/office/word/2010/wordprocessingShape">
                          <wps:wsp>
                            <wps:cNvSpPr txBox="1"/>
                            <wps:spPr>
                              <a:xfrm>
                                <a:off x="0" y="0"/>
                                <a:ext cx="4391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8285" cy="29210"/>
                      <wp:effectExtent l="0" t="0" r="0" b="0"/>
                      <wp:wrapNone/>
                      <wp:docPr id="394" name="Frame394"/>
                      <a:graphic xmlns:a="http://schemas.openxmlformats.org/drawingml/2006/main">
                        <a:graphicData uri="http://schemas.microsoft.com/office/word/2010/wordprocessingShape">
                          <wps:wsp>
                            <wps:cNvSpPr txBox="1"/>
                            <wps:spPr>
                              <a:xfrm>
                                <a:off x="0" y="0"/>
                                <a:ext cx="248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8.14.</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Burdensome Contracts With Affiliates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77</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8.15.</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 Changes in Fiscal Year</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77</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8.16.</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Formation of Subsidiaries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77</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8.17.</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Change in the Nature of Business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77</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8.18.</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Use of Proceeds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77</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8.19.</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 Restrictions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77</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8.20.</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Financial Covenants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78</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8.21.</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Pool Covenants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79</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8.22.</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Electronic Delivery of Certain Information</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79</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8.23.</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Reserved.</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80</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8.24.</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REIT Status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80</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8.25.</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Restricted Payments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80</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8.26.</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Other Unsecured Indebtedness Guarantees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81</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8.27.</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Post-Closing Covenant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81</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9.</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Events of Default and Remedies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82</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9.1.</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Events of Default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82</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9.2.</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Non-Bankruptcy Defaults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84</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9.3.</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Bankruptcy Defaults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84</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9.4.</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Collateral for Undrawn Letters of Credit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85</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9.5.</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Notice of Default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85</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10.</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Change in Circumstances.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85</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10.1.</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Change of Law</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86</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10.2.</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Temporary Inability to Determine Rates Alternate Rate of Interest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86</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10.3.</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Increased Cost and Reduced Return</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87</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10.4.</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Lending Offices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88</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10.5.</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Discretion of Lender as to Manner of Funding</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88</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10.6.</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Permanent Inability to Determine Rate; Benchmark Replacement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88</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The Administrative Agent.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89</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11.1.</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Appointment and Authority</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89</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11.2.</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Rights as a Lender</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90</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11.3.</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Action by Administrative Agent; Exculpatory Provisions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90</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11.4.</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Reliance by Administrative Agent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91</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11.5.</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Delegation of Duties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92</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11.6.</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Resignation of Administrative Agent; Removal of Administrative Agent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92</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11.7.</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Non-Reliance on Administrative Agent and Other Lenders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93</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11.8.</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L/C Issuer and Swing Line Lender</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93</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11.9.</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Hedging Liability and Funds Transfer and Deposit Account Liability</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94</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11.10.</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Designation of Additional Agents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95</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11.11.</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Reserved</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95</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11.12.</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Authorization to Release Guaranties</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95</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11.13.</w:t>
            </w:r>
          </w:p>
        </w:tc>
        <w:tc>
          <w:tcPr>
            <w:tcW w:w="6916" w:type="dxa"/>
            <w:tcBorders/>
            <w:vAlign w:val="center"/>
          </w:tcPr>
          <w:p>
            <w:pPr>
              <w:pStyle w:val="TableContents"/>
              <w:bidi w:val="0"/>
              <w:spacing w:before="0" w:after="0"/>
              <w:ind w:left="0" w:right="0" w:hanging="0"/>
              <w:jc w:val="left"/>
              <w:rPr>
                <w:rFonts w:ascii="Times" w:hAnsi="Times"/>
                <w:sz w:val="24"/>
              </w:rPr>
            </w:pPr>
            <w:r>
              <w:rPr>
                <w:rFonts w:ascii="Times" w:hAnsi="Times"/>
                <w:sz w:val="24"/>
              </w:rPr>
              <w:t>Authorization of Administrative Agent to File Proofs of Claim</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95</w:t>
            </w:r>
          </w:p>
        </w:tc>
      </w:tr>
      <w:tr>
        <w:trPr/>
        <w:tc>
          <w:tcPr>
            <w:tcW w:w="1516"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w:hAnsi="Times"/>
                <w:smallCaps/>
                <w:sz w:val="24"/>
              </w:rPr>
              <w:t>Miscellaneous</w:t>
            </w:r>
            <w:r>
              <w:rPr>
                <w:rFonts w:ascii="Times" w:hAnsi="Times"/>
                <w:sz w:val="24"/>
              </w:rPr>
              <w:t>.</w:t>
            </w:r>
          </w:p>
        </w:tc>
        <w:tc>
          <w:tcPr>
            <w:tcW w:w="39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723" w:type="dxa"/>
        <w:jc w:val="left"/>
        <w:tblInd w:w="0" w:type="dxa"/>
        <w:tblLayout w:type="fixed"/>
        <w:tblCellMar>
          <w:top w:w="0" w:type="dxa"/>
          <w:left w:w="0" w:type="dxa"/>
          <w:bottom w:w="0" w:type="dxa"/>
          <w:right w:w="0" w:type="dxa"/>
        </w:tblCellMar>
      </w:tblPr>
      <w:tblGrid>
        <w:gridCol w:w="1621"/>
        <w:gridCol w:w="7591"/>
        <w:gridCol w:w="511"/>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029335" cy="29210"/>
                      <wp:effectExtent l="0" t="0" r="0" b="0"/>
                      <wp:wrapNone/>
                      <wp:docPr id="395" name="Frame395"/>
                      <a:graphic xmlns:a="http://schemas.openxmlformats.org/drawingml/2006/main">
                        <a:graphicData uri="http://schemas.microsoft.com/office/word/2010/wordprocessingShape">
                          <wps:wsp>
                            <wps:cNvSpPr txBox="1"/>
                            <wps:spPr>
                              <a:xfrm>
                                <a:off x="0" y="0"/>
                                <a:ext cx="1029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820285" cy="29210"/>
                      <wp:effectExtent l="0" t="0" r="0" b="0"/>
                      <wp:wrapNone/>
                      <wp:docPr id="396" name="Frame396"/>
                      <a:graphic xmlns:a="http://schemas.openxmlformats.org/drawingml/2006/main">
                        <a:graphicData uri="http://schemas.microsoft.com/office/word/2010/wordprocessingShape">
                          <wps:wsp>
                            <wps:cNvSpPr txBox="1"/>
                            <wps:spPr>
                              <a:xfrm>
                                <a:off x="0" y="0"/>
                                <a:ext cx="4820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24485" cy="29210"/>
                      <wp:effectExtent l="0" t="0" r="0" b="0"/>
                      <wp:wrapNone/>
                      <wp:docPr id="397" name="Frame397"/>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Withholding Taxes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96</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No Waiver, Cumulative Remedies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98</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12.3.</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Non-Business Days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98</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12.4.</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Documentary Taxes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99</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12.5.</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Survival of Representations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99</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12.6.</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Survival of Indemnities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99</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12.7.</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Sharing of Set-Off</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99</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12.8.</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Notices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99</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12.9.</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Counterparts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100</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12.10.</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Successors and Assigns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101</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12.11.</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Participants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101</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12.12.</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Assignments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101</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12.13.</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Amendments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104</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12.14.</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Headings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106</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12.15.</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Costs and Expenses; Indemnification</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106</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12.16.</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Set-off</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12.17.</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Entire Agreement</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12.18.</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Governing Law</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12.19.</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Severability of Provisions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12.20.</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Excess Interest</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108</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12.21.</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Construction</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108</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12.22.</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Lender’s Obligations Several</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108</w:t>
            </w:r>
          </w:p>
        </w:tc>
      </w:tr>
      <w:tr>
        <w:trPr/>
        <w:tc>
          <w:tcPr>
            <w:tcW w:w="1621" w:type="dxa"/>
            <w:tcBorders/>
            <w:vAlign w:val="center"/>
          </w:tcPr>
          <w:p>
            <w:pPr>
              <w:pStyle w:val="TableContents"/>
              <w:bidi w:val="0"/>
              <w:spacing w:before="0" w:after="0"/>
              <w:ind w:left="0" w:right="0" w:hanging="0"/>
              <w:jc w:val="left"/>
              <w:rPr>
                <w:rFonts w:ascii="Times" w:hAnsi="Times"/>
                <w:smallCaps/>
                <w:sz w:val="24"/>
              </w:rPr>
            </w:pPr>
            <w:r>
              <w:rPr>
                <w:rFonts w:ascii="Times" w:hAnsi="Times"/>
                <w:smallCaps/>
                <w:sz w:val="24"/>
              </w:rPr>
              <w:t>Section 12.23.</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Submission to Jurisdiction; Waiver of Jury Trial</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108</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12.24.</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USA Patriot Act</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109</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12.25.</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Confidentiality</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109</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12.26.</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Limitation of Recourse</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110</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12.27.</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Other Taxes.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110</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12.28.</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Amendment and Restatement; No Novation</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110</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12.29.</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Acknowledgement and Consent to Bail-In of Affected Financial Institutions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111</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12.30.</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Acknowledgement Regarding Any Supported QFCs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111</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12.31.</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Erroneous Payment</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112</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The Guarantees.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115</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13.1.</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The Guarantees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115</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13.2.</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Guarantee Unconditional</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116</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13.3.</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Discharge Only upon Payment in Full; Reinstatement in Certain Circumstances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13.4.</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Subrogation</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13.5.</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Waivers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13.6.</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Limit on Recovery</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13.7.</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Stay of Acceleration</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117</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13.8.</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Benefit to Guarantors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118</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13.9.</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Guarantor Covenants</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118</w:t>
            </w:r>
          </w:p>
        </w:tc>
      </w:tr>
      <w:tr>
        <w:trPr/>
        <w:tc>
          <w:tcPr>
            <w:tcW w:w="1621" w:type="dxa"/>
            <w:tcBorders/>
            <w:vAlign w:val="center"/>
          </w:tcPr>
          <w:p>
            <w:pPr>
              <w:pStyle w:val="TableContents"/>
              <w:bidi w:val="0"/>
              <w:spacing w:before="0" w:after="0"/>
              <w:ind w:left="0" w:right="0" w:hanging="0"/>
              <w:jc w:val="left"/>
              <w:rPr>
                <w:rFonts w:ascii="Times" w:hAnsi="Times"/>
                <w:sz w:val="24"/>
              </w:rPr>
            </w:pPr>
            <w:r>
              <w:rPr>
                <w:rFonts w:ascii="Times" w:hAnsi="Times"/>
                <w:sz w:val="24"/>
              </w:rPr>
              <w:t>Section 13.10.</w:t>
            </w:r>
          </w:p>
        </w:tc>
        <w:tc>
          <w:tcPr>
            <w:tcW w:w="7591" w:type="dxa"/>
            <w:tcBorders/>
            <w:vAlign w:val="center"/>
          </w:tcPr>
          <w:p>
            <w:pPr>
              <w:pStyle w:val="TableContents"/>
              <w:bidi w:val="0"/>
              <w:spacing w:before="0" w:after="0"/>
              <w:ind w:left="0" w:right="0" w:hanging="0"/>
              <w:jc w:val="left"/>
              <w:rPr>
                <w:rFonts w:ascii="Times" w:hAnsi="Times"/>
                <w:sz w:val="24"/>
              </w:rPr>
            </w:pPr>
            <w:r>
              <w:rPr>
                <w:rFonts w:ascii="Times" w:hAnsi="Times"/>
                <w:sz w:val="24"/>
              </w:rPr>
              <w:t>Keepwell</w:t>
            </w:r>
          </w:p>
        </w:tc>
        <w:tc>
          <w:tcPr>
            <w:tcW w:w="511" w:type="dxa"/>
            <w:tcBorders/>
            <w:vAlign w:val="center"/>
          </w:tcPr>
          <w:p>
            <w:pPr>
              <w:pStyle w:val="TableContents"/>
              <w:bidi w:val="0"/>
              <w:spacing w:before="0" w:after="0"/>
              <w:ind w:left="0" w:right="0" w:hanging="0"/>
              <w:jc w:val="right"/>
              <w:rPr>
                <w:rFonts w:ascii="Times" w:hAnsi="Times"/>
                <w:sz w:val="24"/>
              </w:rPr>
            </w:pPr>
            <w:r>
              <w:rPr>
                <w:rFonts w:ascii="Times" w:hAnsi="Times"/>
                <w:sz w:val="24"/>
              </w:rPr>
              <w:t>118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868" w:type="dxa"/>
        <w:jc w:val="center"/>
        <w:tblInd w:w="0" w:type="dxa"/>
        <w:tblLayout w:type="fixed"/>
        <w:tblCellMar>
          <w:top w:w="0" w:type="dxa"/>
          <w:left w:w="0" w:type="dxa"/>
          <w:bottom w:w="0" w:type="dxa"/>
          <w:right w:w="0" w:type="dxa"/>
        </w:tblCellMar>
      </w:tblPr>
      <w:tblGrid>
        <w:gridCol w:w="1636"/>
        <w:gridCol w:w="346"/>
        <w:gridCol w:w="388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038860" cy="29210"/>
                      <wp:effectExtent l="0" t="0" r="0" b="0"/>
                      <wp:wrapNone/>
                      <wp:docPr id="398" name="Frame398"/>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468245" cy="29210"/>
                      <wp:effectExtent l="0" t="0" r="0" b="0"/>
                      <wp:wrapNone/>
                      <wp:docPr id="399" name="Frame399"/>
                      <a:graphic xmlns:a="http://schemas.openxmlformats.org/drawingml/2006/main">
                        <a:graphicData uri="http://schemas.microsoft.com/office/word/2010/wordprocessingShape">
                          <wps:wsp>
                            <wps:cNvSpPr txBox="1"/>
                            <wps:spPr>
                              <a:xfrm>
                                <a:off x="0" y="0"/>
                                <a:ext cx="2468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Exhibit</w:t>
            </w:r>
            <w:r>
              <w:rPr>
                <w:rFonts w:ascii="Times New Roman;Times;serif" w:hAnsi="Times New Roman;Times;serif"/>
                <w:sz w:val="24"/>
              </w:rPr>
              <w:t xml:space="preserve"> </w:t>
            </w:r>
            <w:r>
              <w:rPr>
                <w:rFonts w:ascii="Times" w:hAnsi="Times"/>
                <w:sz w:val="24"/>
              </w:rPr>
              <w:t>A</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Reserved</w:t>
            </w:r>
          </w:p>
        </w:tc>
      </w:tr>
      <w:tr>
        <w:trPr/>
        <w:tc>
          <w:tcPr>
            <w:tcW w:w="1636" w:type="dxa"/>
            <w:tcBorders/>
            <w:vAlign w:val="center"/>
          </w:tcPr>
          <w:p>
            <w:pPr>
              <w:pStyle w:val="TableContents"/>
              <w:pBdr/>
              <w:bidi w:val="0"/>
              <w:spacing w:before="0" w:after="0"/>
              <w:ind w:left="0" w:right="0" w:hanging="0"/>
              <w:jc w:val="left"/>
              <w:rPr>
                <w:rFonts w:ascii="Times" w:hAnsi="Times"/>
                <w:smallCaps/>
                <w:sz w:val="24"/>
              </w:rPr>
            </w:pPr>
            <w:r>
              <w:rPr>
                <w:rFonts w:ascii="Times" w:hAnsi="Times"/>
                <w:smallCaps/>
                <w:sz w:val="24"/>
              </w:rPr>
              <w:t>Exhibit B</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Notice of Borrowing</w:t>
            </w:r>
          </w:p>
        </w:tc>
      </w:tr>
      <w:tr>
        <w:trPr/>
        <w:tc>
          <w:tcPr>
            <w:tcW w:w="1636" w:type="dxa"/>
            <w:tcBorders/>
            <w:vAlign w:val="center"/>
          </w:tcPr>
          <w:p>
            <w:pPr>
              <w:pStyle w:val="TableContents"/>
              <w:pBdr/>
              <w:bidi w:val="0"/>
              <w:spacing w:before="0" w:after="0"/>
              <w:ind w:left="0" w:right="0" w:hanging="0"/>
              <w:jc w:val="left"/>
              <w:rPr>
                <w:rFonts w:ascii="Times" w:hAnsi="Times"/>
                <w:smallCaps/>
                <w:sz w:val="24"/>
              </w:rPr>
            </w:pPr>
            <w:r>
              <w:rPr>
                <w:rFonts w:ascii="Times" w:hAnsi="Times"/>
                <w:smallCaps/>
                <w:sz w:val="24"/>
              </w:rPr>
              <w:t>Exhibit C</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Notice of Continuation/Conversion</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Exhibit</w:t>
            </w:r>
            <w:r>
              <w:rPr>
                <w:rFonts w:ascii="Times New Roman;Times;serif" w:hAnsi="Times New Roman;Times;serif"/>
                <w:sz w:val="24"/>
              </w:rPr>
              <w:t xml:space="preserve"> </w:t>
            </w:r>
            <w:r>
              <w:rPr>
                <w:rFonts w:ascii="Times" w:hAnsi="Times"/>
                <w:sz w:val="24"/>
              </w:rPr>
              <w:t>D-1</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Revolving Note</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Exhibit</w:t>
            </w:r>
            <w:r>
              <w:rPr>
                <w:rFonts w:ascii="Times New Roman;Times;serif" w:hAnsi="Times New Roman;Times;serif"/>
                <w:sz w:val="24"/>
              </w:rPr>
              <w:t xml:space="preserve"> </w:t>
            </w:r>
            <w:r>
              <w:rPr>
                <w:rFonts w:ascii="Times" w:hAnsi="Times"/>
                <w:sz w:val="24"/>
              </w:rPr>
              <w:t>D-2</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Swing Note</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Exhibit</w:t>
            </w:r>
            <w:r>
              <w:rPr>
                <w:rFonts w:ascii="Times New Roman;Times;serif" w:hAnsi="Times New Roman;Times;serif"/>
                <w:sz w:val="24"/>
              </w:rPr>
              <w:t xml:space="preserve"> </w:t>
            </w:r>
            <w:r>
              <w:rPr>
                <w:rFonts w:ascii="Times" w:hAnsi="Times"/>
                <w:sz w:val="24"/>
              </w:rPr>
              <w:t>D-3</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Term Note</w:t>
            </w:r>
          </w:p>
        </w:tc>
      </w:tr>
      <w:tr>
        <w:trPr/>
        <w:tc>
          <w:tcPr>
            <w:tcW w:w="1636" w:type="dxa"/>
            <w:tcBorders/>
            <w:vAlign w:val="center"/>
          </w:tcPr>
          <w:p>
            <w:pPr>
              <w:pStyle w:val="TableContents"/>
              <w:pBdr/>
              <w:bidi w:val="0"/>
              <w:spacing w:before="0" w:after="0"/>
              <w:ind w:left="0" w:right="0" w:hanging="0"/>
              <w:jc w:val="left"/>
              <w:rPr>
                <w:rFonts w:ascii="Times" w:hAnsi="Times"/>
                <w:smallCaps/>
                <w:sz w:val="24"/>
              </w:rPr>
            </w:pPr>
            <w:r>
              <w:rPr>
                <w:rFonts w:ascii="Times" w:hAnsi="Times"/>
                <w:smallCaps/>
                <w:sz w:val="24"/>
              </w:rPr>
              <w:t>Exhibit D-4</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Incremental Term Note</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Exhibit</w:t>
            </w:r>
            <w:r>
              <w:rPr>
                <w:rFonts w:ascii="Times New Roman;Times;serif" w:hAnsi="Times New Roman;Times;serif"/>
                <w:sz w:val="24"/>
              </w:rPr>
              <w:t xml:space="preserve"> </w:t>
            </w:r>
            <w:r>
              <w:rPr>
                <w:rFonts w:ascii="Times" w:hAnsi="Times"/>
                <w:sz w:val="24"/>
              </w:rPr>
              <w:t>E</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Compliance Certificate</w:t>
            </w:r>
          </w:p>
        </w:tc>
      </w:tr>
      <w:tr>
        <w:trPr/>
        <w:tc>
          <w:tcPr>
            <w:tcW w:w="1636" w:type="dxa"/>
            <w:tcBorders/>
            <w:vAlign w:val="center"/>
          </w:tcPr>
          <w:p>
            <w:pPr>
              <w:pStyle w:val="TableContents"/>
              <w:pBdr/>
              <w:bidi w:val="0"/>
              <w:spacing w:before="0" w:after="0"/>
              <w:ind w:left="0" w:right="0" w:hanging="0"/>
              <w:jc w:val="left"/>
              <w:rPr>
                <w:rFonts w:ascii="Times" w:hAnsi="Times"/>
                <w:smallCaps/>
                <w:sz w:val="24"/>
              </w:rPr>
            </w:pPr>
            <w:r>
              <w:rPr>
                <w:rFonts w:ascii="Times" w:hAnsi="Times"/>
                <w:smallCaps/>
                <w:sz w:val="24"/>
              </w:rPr>
              <w:t>Exhibit F</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Assignment and Acceptance</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 xml:space="preserve">Exhibit </w:t>
            </w:r>
            <w:r>
              <w:rPr>
                <w:rFonts w:ascii="Times" w:hAnsi="Times"/>
                <w:sz w:val="24"/>
              </w:rPr>
              <w:t>G</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Additional Guarantor Supplement</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 xml:space="preserve">Exhibit </w:t>
            </w:r>
            <w:r>
              <w:rPr>
                <w:rFonts w:ascii="Times" w:hAnsi="Times"/>
                <w:sz w:val="24"/>
              </w:rPr>
              <w:t>H</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Commitment Amount Increase Request</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 xml:space="preserve">Exhibit </w:t>
            </w:r>
            <w:r>
              <w:rPr>
                <w:rFonts w:ascii="Times" w:hAnsi="Times"/>
                <w:sz w:val="24"/>
              </w:rPr>
              <w:t>I</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RESERVED</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Schedule</w:t>
            </w:r>
            <w:r>
              <w:rPr>
                <w:rFonts w:ascii="Times New Roman;Times;serif" w:hAnsi="Times New Roman;Times;serif"/>
                <w:sz w:val="24"/>
              </w:rPr>
              <w:t xml:space="preserve"> </w:t>
            </w:r>
            <w:r>
              <w:rPr>
                <w:rFonts w:ascii="Times" w:hAnsi="Times"/>
                <w:sz w:val="24"/>
              </w:rPr>
              <w:t>1</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Commitments</w:t>
            </w:r>
          </w:p>
        </w:tc>
      </w:tr>
      <w:tr>
        <w:trPr/>
        <w:tc>
          <w:tcPr>
            <w:tcW w:w="1636" w:type="dxa"/>
            <w:tcBorders/>
            <w:vAlign w:val="center"/>
          </w:tcPr>
          <w:p>
            <w:pPr>
              <w:pStyle w:val="TableContents"/>
              <w:pBdr/>
              <w:bidi w:val="0"/>
              <w:spacing w:before="0" w:after="0"/>
              <w:ind w:left="0" w:right="0" w:hanging="0"/>
              <w:jc w:val="left"/>
              <w:rPr>
                <w:rFonts w:ascii="Times" w:hAnsi="Times"/>
                <w:smallCaps/>
                <w:sz w:val="24"/>
              </w:rPr>
            </w:pPr>
            <w:r>
              <w:rPr>
                <w:rFonts w:ascii="Times" w:hAnsi="Times"/>
                <w:smallCaps/>
                <w:sz w:val="24"/>
              </w:rPr>
              <w:t>Schedule 1.1</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Initial Properties</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Schedule</w:t>
            </w:r>
            <w:r>
              <w:rPr>
                <w:rFonts w:ascii="Times New Roman;Times;serif" w:hAnsi="Times New Roman;Times;serif"/>
                <w:sz w:val="24"/>
              </w:rPr>
              <w:t xml:space="preserve"> </w:t>
            </w:r>
            <w:r>
              <w:rPr>
                <w:rFonts w:ascii="Times" w:hAnsi="Times"/>
                <w:sz w:val="24"/>
              </w:rPr>
              <w:t>6.2</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Subsidiaries</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Schedule</w:t>
            </w:r>
            <w:r>
              <w:rPr>
                <w:rFonts w:ascii="Times New Roman;Times;serif" w:hAnsi="Times New Roman;Times;serif"/>
                <w:sz w:val="24"/>
              </w:rPr>
              <w:t xml:space="preserve"> </w:t>
            </w:r>
            <w:r>
              <w:rPr>
                <w:rFonts w:ascii="Times" w:hAnsi="Times"/>
                <w:sz w:val="24"/>
              </w:rPr>
              <w:t>6.6</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Material Adverse Effect</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Schedule</w:t>
            </w:r>
            <w:r>
              <w:rPr>
                <w:rFonts w:ascii="Times New Roman;Times;serif" w:hAnsi="Times New Roman;Times;serif"/>
                <w:sz w:val="24"/>
              </w:rPr>
              <w:t xml:space="preserve"> </w:t>
            </w:r>
            <w:r>
              <w:rPr>
                <w:rFonts w:ascii="Times" w:hAnsi="Times"/>
                <w:sz w:val="24"/>
              </w:rPr>
              <w:t>6.11</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Litigation</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w:hAnsi="Times"/>
                <w:smallCaps/>
                <w:sz w:val="24"/>
              </w:rPr>
              <w:t>Schedule</w:t>
            </w:r>
            <w:r>
              <w:rPr>
                <w:rFonts w:ascii="Times New Roman;Times;serif" w:hAnsi="Times New Roman;Times;serif"/>
                <w:sz w:val="24"/>
              </w:rPr>
              <w:t xml:space="preserve"> </w:t>
            </w:r>
            <w:r>
              <w:rPr>
                <w:rFonts w:ascii="Times" w:hAnsi="Times"/>
                <w:sz w:val="24"/>
              </w:rPr>
              <w:t>6.17</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Environmental Issues</w:t>
            </w:r>
          </w:p>
        </w:tc>
      </w:tr>
      <w:tr>
        <w:trPr/>
        <w:tc>
          <w:tcPr>
            <w:tcW w:w="1636" w:type="dxa"/>
            <w:tcBorders/>
            <w:vAlign w:val="center"/>
          </w:tcPr>
          <w:p>
            <w:pPr>
              <w:pStyle w:val="TableContents"/>
              <w:pBdr/>
              <w:bidi w:val="0"/>
              <w:spacing w:before="0" w:after="0"/>
              <w:ind w:left="0" w:right="0" w:hanging="0"/>
              <w:jc w:val="left"/>
              <w:rPr>
                <w:rFonts w:ascii="Times" w:hAnsi="Times"/>
                <w:smallCaps/>
                <w:sz w:val="24"/>
              </w:rPr>
            </w:pPr>
            <w:r>
              <w:rPr>
                <w:rFonts w:ascii="Times" w:hAnsi="Times"/>
                <w:smallCaps/>
                <w:sz w:val="24"/>
              </w:rPr>
              <w:t>Schedule 8.7</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w:hAnsi="Times"/>
                <w:sz w:val="24"/>
              </w:rPr>
            </w:pPr>
            <w:r>
              <w:rPr>
                <w:rFonts w:ascii="Times" w:hAnsi="Times"/>
                <w:sz w:val="24"/>
              </w:rPr>
              <w:t>Existing Liens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Amended and Restated Credit Agreement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Amended and Restated Credit Agreement (this “</w:t>
      </w:r>
      <w:r>
        <w:rPr>
          <w:rFonts w:ascii="Times New Roman;Times;serif" w:hAnsi="Times New Roman;Times;serif"/>
          <w:b/>
          <w:i/>
          <w:sz w:val="24"/>
        </w:rPr>
        <w:t>Agreement</w:t>
      </w:r>
      <w:r>
        <w:rPr>
          <w:rFonts w:ascii="Times New Roman;Times;serif" w:hAnsi="Times New Roman;Times;serif"/>
          <w:sz w:val="24"/>
        </w:rPr>
        <w:t xml:space="preserve">”) is entered into as of September 30, 2022, by and among </w:t>
      </w:r>
      <w:r>
        <w:rPr>
          <w:rFonts w:ascii="Times New Roman;Times;serif" w:hAnsi="Times New Roman;Times;serif"/>
          <w:b/>
          <w:smallCaps/>
          <w:sz w:val="24"/>
        </w:rPr>
        <w:t>Alpine Income Property OP, LP</w:t>
      </w:r>
      <w:r>
        <w:rPr>
          <w:rFonts w:ascii="Times New Roman;Times;serif" w:hAnsi="Times New Roman;Times;serif"/>
          <w:sz w:val="24"/>
        </w:rPr>
        <w:t>, a Delaware limited partnership (the “</w:t>
      </w:r>
      <w:r>
        <w:rPr>
          <w:rFonts w:ascii="Times New Roman;Times;serif" w:hAnsi="Times New Roman;Times;serif"/>
          <w:b/>
          <w:i/>
          <w:sz w:val="24"/>
        </w:rPr>
        <w:t>Borrower</w:t>
      </w:r>
      <w:r>
        <w:rPr>
          <w:rFonts w:ascii="Times New Roman;Times;serif" w:hAnsi="Times New Roman;Times;serif"/>
          <w:sz w:val="24"/>
        </w:rPr>
        <w:t xml:space="preserve">”), </w:t>
      </w:r>
      <w:r>
        <w:rPr>
          <w:rFonts w:ascii="Times New Roman;Times;serif" w:hAnsi="Times New Roman;Times;serif"/>
          <w:b/>
          <w:smallCaps/>
          <w:sz w:val="24"/>
        </w:rPr>
        <w:t>Alpine Income Property Trust, Inc.</w:t>
      </w:r>
      <w:r>
        <w:rPr>
          <w:rFonts w:ascii="Times New Roman;Times;serif" w:hAnsi="Times New Roman;Times;serif"/>
          <w:sz w:val="24"/>
        </w:rPr>
        <w:t>, a Maryland corporation, as a Guarantor (“</w:t>
      </w:r>
      <w:r>
        <w:rPr>
          <w:rFonts w:ascii="Times New Roman;Times;serif" w:hAnsi="Times New Roman;Times;serif"/>
          <w:b/>
          <w:i/>
          <w:sz w:val="24"/>
        </w:rPr>
        <w:t>Parent</w:t>
      </w:r>
      <w:r>
        <w:rPr>
          <w:rFonts w:ascii="Times New Roman;Times;serif" w:hAnsi="Times New Roman;Times;serif"/>
          <w:sz w:val="24"/>
        </w:rPr>
        <w:t xml:space="preserve">”), and each Material Subsidiary from time to time party to this Agreement, as Guarantors, the several financial institutions from time to time party to this Agreement, as Lenders, and </w:t>
      </w:r>
      <w:r>
        <w:rPr>
          <w:rFonts w:ascii="Times New Roman;Times;serif" w:hAnsi="Times New Roman;Times;serif"/>
          <w:b/>
          <w:smallCaps/>
          <w:sz w:val="24"/>
        </w:rPr>
        <w:t>KeyBank National Association (“</w:t>
      </w:r>
      <w:r>
        <w:rPr>
          <w:rFonts w:ascii="Times New Roman;Times;serif" w:hAnsi="Times New Roman;Times;serif"/>
          <w:sz w:val="24"/>
          <w:u w:val="single"/>
        </w:rPr>
        <w:t>KeyBank</w:t>
      </w:r>
      <w:r>
        <w:rPr>
          <w:rFonts w:ascii="Times New Roman;Times;serif" w:hAnsi="Times New Roman;Times;serif"/>
          <w:sz w:val="24"/>
        </w:rPr>
        <w:t>”</w:t>
      </w:r>
      <w:r>
        <w:rPr>
          <w:rFonts w:ascii="Times New Roman;Times;serif" w:hAnsi="Times New Roman;Times;serif"/>
          <w:b/>
          <w:smallCaps/>
          <w:sz w:val="24"/>
        </w:rPr>
        <w:t>)</w:t>
      </w:r>
      <w:r>
        <w:rPr>
          <w:rFonts w:ascii="Times New Roman;Times;serif" w:hAnsi="Times New Roman;Times;serif"/>
          <w:smallCaps/>
          <w:sz w:val="24"/>
        </w:rPr>
        <w:t xml:space="preserve">, </w:t>
      </w:r>
      <w:r>
        <w:rPr>
          <w:rFonts w:ascii="Times New Roman;Times;serif" w:hAnsi="Times New Roman;Times;serif"/>
          <w:sz w:val="24"/>
        </w:rPr>
        <w:t>as Administrative Agent, and KeyBank, as Sustainability Structuring Agent as provided herein.  All capitalized terms used herein without definition shall have the same meanings herein as such terms are defined in Section 5.1 hereof.</w:t>
      </w:r>
    </w:p>
    <w:p>
      <w:pPr>
        <w:pStyle w:val="TextBody"/>
        <w:bidi w:val="0"/>
        <w:spacing w:before="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Preliminary Statement</w:t>
      </w:r>
    </w:p>
    <w:p>
      <w:pPr>
        <w:pStyle w:val="TextBody"/>
        <w:bidi w:val="0"/>
        <w:spacing w:before="0" w:after="240"/>
        <w:ind w:left="0" w:right="0" w:firstLine="720"/>
        <w:jc w:val="both"/>
        <w:rPr>
          <w:rFonts w:ascii="Times" w:hAnsi="Times"/>
          <w:sz w:val="24"/>
        </w:rPr>
      </w:pPr>
      <w:r>
        <w:rPr>
          <w:rFonts w:ascii="Times" w:hAnsi="Times"/>
          <w:sz w:val="24"/>
        </w:rPr>
        <w:t>The Borrower has requested, and the Lenders have agreed to extend, certain credit facilities on the terms and conditions of this Agreement.</w:t>
      </w:r>
    </w:p>
    <w:p>
      <w:pPr>
        <w:pStyle w:val="TextBody"/>
        <w:bidi w:val="0"/>
        <w:spacing w:before="0" w:after="240"/>
        <w:ind w:left="0" w:right="0" w:firstLine="720"/>
        <w:jc w:val="both"/>
        <w:rPr>
          <w:rFonts w:ascii="Times New Roman;Times;serif" w:hAnsi="Times New Roman;Times;serif"/>
          <w:sz w:val="24"/>
        </w:rPr>
      </w:pPr>
      <w:r>
        <w:rPr>
          <w:rFonts w:ascii="Times" w:hAnsi="Times"/>
          <w:smallCaps/>
          <w:sz w:val="24"/>
        </w:rPr>
        <w:t>Whereas</w:t>
      </w:r>
      <w:r>
        <w:rPr>
          <w:rFonts w:ascii="Times" w:hAnsi="Times"/>
          <w:sz w:val="24"/>
        </w:rPr>
        <w:t xml:space="preserve">, the Borrower and certain Material Subsidiaries of the Borrower, as Guarantors, the financial institutions party thereto as “Lenders” and KeyBank, as Administrative Agent, previously entered into a Credit Agreement dated as of September 30, 2021 (as heretofore extended, renewed, amended, modified, amended and restated or supplemented, the </w:t>
      </w:r>
      <w:r>
        <w:rPr>
          <w:rFonts w:ascii="Times New Roman;Times;serif" w:hAnsi="Times New Roman;Times;serif"/>
          <w:sz w:val="24"/>
        </w:rPr>
        <w:t>“</w:t>
      </w:r>
      <w:r>
        <w:rPr>
          <w:rFonts w:ascii="Times" w:hAnsi="Times"/>
          <w:i/>
          <w:sz w:val="24"/>
        </w:rPr>
        <w:t>Original Credit Agreement”</w:t>
      </w:r>
      <w:r>
        <w:rPr>
          <w:rFonts w:ascii="Times" w:hAnsi="Times"/>
          <w:sz w:val="24"/>
        </w:rPr>
        <w:t>).</w:t>
      </w:r>
    </w:p>
    <w:p>
      <w:pPr>
        <w:pStyle w:val="TextBody"/>
        <w:bidi w:val="0"/>
        <w:spacing w:before="0" w:after="240"/>
        <w:ind w:left="0" w:right="0" w:firstLine="720"/>
        <w:jc w:val="both"/>
        <w:rPr>
          <w:rFonts w:ascii="Times New Roman;Times;serif" w:hAnsi="Times New Roman;Times;serif"/>
          <w:sz w:val="24"/>
        </w:rPr>
      </w:pPr>
      <w:r>
        <w:rPr>
          <w:rFonts w:ascii="Times" w:hAnsi="Times"/>
          <w:smallCaps/>
          <w:sz w:val="24"/>
        </w:rPr>
        <w:t>Now, Therefore,</w:t>
      </w:r>
      <w:r>
        <w:rPr>
          <w:rFonts w:ascii="Times New Roman;Times;serif" w:hAnsi="Times New Roman;Times;serif"/>
          <w:sz w:val="24"/>
        </w:rPr>
        <w:t xml:space="preserve"> </w:t>
      </w:r>
      <w:r>
        <w:rPr>
          <w:rFonts w:ascii="Times" w:hAnsi="Times"/>
          <w:sz w:val="24"/>
        </w:rPr>
        <w:t>in consideration of the mutual agreements contained herein, and other good and valuable consideration, the receipt and sufficiency of which are hereby acknowledged, the parties hereto hereby agree to amend and restate the Original Credit Agreement in its entirety as follows:</w:t>
      </w:r>
    </w:p>
    <w:p>
      <w:pPr>
        <w:pStyle w:val="TextBody"/>
        <w:bidi w:val="0"/>
        <w:spacing w:before="0" w:after="240"/>
        <w:ind w:left="720" w:right="0" w:hanging="0"/>
        <w:jc w:val="both"/>
        <w:rPr/>
      </w:pPr>
      <w:r>
        <w:rPr>
          <w:caps/>
        </w:rPr>
        <w:t>●</w:t>
      </w:r>
      <w:bookmarkStart w:id="1415" w:name="_Toc115421225"/>
      <w:bookmarkEnd w:id="1415"/>
      <w:r>
        <w:rPr>
          <w:rFonts w:ascii="Times New Roman;Times;serif" w:hAnsi="Times New Roman;Times;serif"/>
          <w:caps/>
          <w:sz w:val="24"/>
        </w:rPr>
        <w:t>The Credit Facility</w:t>
      </w:r>
    </w:p>
    <w:p>
      <w:pPr>
        <w:pStyle w:val="TextBody"/>
        <w:bidi w:val="0"/>
        <w:spacing w:before="0" w:after="240"/>
        <w:ind w:left="0" w:right="0" w:hanging="0"/>
        <w:jc w:val="both"/>
        <w:rPr/>
      </w:pPr>
      <w:r>
        <w:rPr/>
        <w:t>●</w:t>
      </w:r>
      <w:bookmarkStart w:id="1416" w:name="_Toc115421226"/>
      <w:bookmarkEnd w:id="1416"/>
      <w:r>
        <w:rPr>
          <w:rFonts w:ascii="Times New Roman;Times;serif" w:hAnsi="Times New Roman;Times;serif"/>
          <w:sz w:val="24"/>
          <w:u w:val="single"/>
        </w:rPr>
        <w:t>Revolving Credit Commitments</w:t>
      </w:r>
      <w:r>
        <w:rPr>
          <w:rFonts w:ascii="Times New Roman;Times;serif" w:hAnsi="Times New Roman;Times;serif"/>
          <w:sz w:val="24"/>
        </w:rPr>
        <w:t>.  Subject to the terms and conditions hereof, each Revolving Lender, by its acceptance hereof, severally agrees to make a loan or loans (individually a “</w:t>
      </w:r>
      <w:r>
        <w:rPr>
          <w:rFonts w:ascii="Times New Roman;Times;serif" w:hAnsi="Times New Roman;Times;serif"/>
          <w:sz w:val="24"/>
          <w:u w:val="single"/>
        </w:rPr>
        <w:t>Revolving Loan</w:t>
      </w:r>
      <w:r>
        <w:rPr>
          <w:rFonts w:ascii="Times New Roman;Times;serif" w:hAnsi="Times New Roman;Times;serif"/>
          <w:sz w:val="24"/>
        </w:rPr>
        <w:t>” and collectively for all the Revolving Lenders the “</w:t>
      </w:r>
      <w:r>
        <w:rPr>
          <w:rFonts w:ascii="Times New Roman;Times;serif" w:hAnsi="Times New Roman;Times;serif"/>
          <w:sz w:val="24"/>
          <w:u w:val="single"/>
        </w:rPr>
        <w:t>Revolving Loans</w:t>
      </w:r>
      <w:r>
        <w:rPr>
          <w:rFonts w:ascii="Times New Roman;Times;serif" w:hAnsi="Times New Roman;Times;serif"/>
          <w:sz w:val="24"/>
        </w:rPr>
        <w:t>”) in U.S. Dollars to the Borrower from time to time on a revolving basis up to the amount of such Revolving Lender’s Revolving Credit Commitment, subject to any reductions thereof pursuant to the terms hereof, before the Revolving Credit Termination Date.  The sum of the aggregate principal amount of Revolving Loans, Swing Loans and L/C Obligations at any time outstanding, (x) may at no time exceed the Revolving Credit Commitments and (y) when taken together with the aggregate principal amount of Term Loans then outstanding, shall not exceed the Adjusted Availability as then determined and computed.  Each Borrowing of Revolving Loans shall be made ratably by the Revolving Lenders in proportion to their respective Applicable Percentages.  As provided in Section 1.6(a) hereof, the Borrower may elect that each Borrowing of Revolving Loans be either Base Rate Loans or SOFR Loans.  Revolving Loans may be repaid and the principal amount thereof reborrowed before the Revolving Credit Termination Date, subject to the terms and conditions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1417" w:name="_Toc115421227"/>
      <w:bookmarkEnd w:id="1417"/>
      <w:r>
        <w:rPr>
          <w:rFonts w:ascii="Times New Roman;Times;serif" w:hAnsi="Times New Roman;Times;serif"/>
          <w:sz w:val="24"/>
          <w:u w:val="single"/>
        </w:rPr>
        <w:t>Term Loan</w:t>
      </w:r>
      <w:r>
        <w:rPr>
          <w:rFonts w:ascii="Times New Roman;Times;serif" w:hAnsi="Times New Roman;Times;serif"/>
          <w:sz w:val="24"/>
        </w:rPr>
        <w:t>.  The 2027 Term Loans were advanced in full as “Term Loans” under and as defined in the Original Credit Agreement and are subject to the provisions of Section 12.28.  As provided in Section 1.6(a) hereof, the Borrower may elect that the 2027 Term Loans be outstanding as Base Rate Loans or SOFR Loans.  No amount repaid or prepaid on the Term Loan may be borrowed again.</w:t>
      </w:r>
    </w:p>
    <w:p>
      <w:pPr>
        <w:pStyle w:val="TextBody"/>
        <w:bidi w:val="0"/>
        <w:spacing w:before="0" w:after="240"/>
        <w:ind w:left="0" w:right="0" w:hanging="0"/>
        <w:jc w:val="both"/>
        <w:rPr/>
      </w:pPr>
      <w:r>
        <w:rPr/>
        <w:t>●</w:t>
      </w:r>
      <w:bookmarkStart w:id="1418" w:name="_Toc115421228"/>
      <w:bookmarkEnd w:id="1418"/>
      <w:r>
        <w:rPr>
          <w:rFonts w:ascii="Times New Roman;Times;serif" w:hAnsi="Times New Roman;Times;serif"/>
          <w:sz w:val="24"/>
          <w:u w:val="single"/>
        </w:rPr>
        <w:t>Letters of Credit</w:t>
      </w:r>
      <w:r>
        <w:rPr>
          <w:rFonts w:ascii="Times New Roman;Times;serif" w:hAnsi="Times New Roman;Times;serif"/>
          <w:sz w:val="24"/>
        </w:rPr>
        <w:t>.</w:t>
      </w:r>
    </w:p>
    <w:p>
      <w:pPr>
        <w:pStyle w:val="TextBody"/>
        <w:bidi w:val="0"/>
        <w:spacing w:before="0" w:after="240"/>
        <w:ind w:left="0" w:right="0" w:hanging="0"/>
        <w:jc w:val="both"/>
        <w:rPr/>
      </w:pPr>
      <w:r>
        <w:rPr>
          <w:caps w:val="false"/>
          <w:smallCaps w:val="false"/>
        </w:rPr>
        <w:t>●</w:t>
      </w:r>
      <w:r>
        <w:rPr>
          <w:rFonts w:ascii="Times New Roman;Times;serif" w:hAnsi="Times New Roman;Times;serif"/>
          <w:b w:val="false"/>
          <w:i w:val="false"/>
          <w:caps w:val="false"/>
          <w:smallCaps w:val="false"/>
          <w:sz w:val="24"/>
          <w:u w:val="single"/>
        </w:rPr>
        <w:t>General Terms</w:t>
      </w:r>
      <w:r>
        <w:rPr>
          <w:rFonts w:ascii="Times New Roman;Times;serif" w:hAnsi="Times New Roman;Times;serif"/>
          <w:b w:val="false"/>
          <w:i/>
          <w:sz w:val="24"/>
        </w:rPr>
        <w:t>.</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 xml:space="preserve">Subject to the terms and conditions hereof, as part of the Revolving Facility, the L/C Issuer shall issue standby and commercial letters of credit (each a </w:t>
      </w:r>
      <w:r>
        <w:rPr>
          <w:rFonts w:ascii="Times New Roman;Times;serif" w:hAnsi="Times New Roman;Times;serif"/>
          <w:sz w:val="24"/>
        </w:rPr>
        <w:t>“</w:t>
      </w:r>
      <w:r>
        <w:rPr>
          <w:rFonts w:ascii="Times New Roman;Times;serif" w:hAnsi="Times New Roman;Times;serif"/>
          <w:b w:val="false"/>
          <w:i/>
          <w:sz w:val="24"/>
        </w:rPr>
        <w:t>Letter of Credit”</w:t>
      </w:r>
      <w:r>
        <w:rPr>
          <w:rFonts w:ascii="Times New Roman;Times;serif" w:hAnsi="Times New Roman;Times;serif"/>
          <w:b w:val="false"/>
          <w:i w:val="false"/>
          <w:caps w:val="false"/>
          <w:smallCaps w:val="false"/>
          <w:sz w:val="24"/>
        </w:rPr>
        <w:t>) or amend or extend Letters of Credit issued by it for the account of the Borrower or for the account of the Borrower and one or more of its Subsidiaries in an aggregate undrawn face amount up to the L/C Sublimit.  Each Letter of Credit shall be issued by the L/C Issuer, but each Revolving Lender shall be obligated to reimburse the L/C Issuer for such Revolving Lender’s Applicable Percentage of the amount of each drawing thereunder and, accordingly, each Letter of Credit shall constitute usage of the Revolving Credit Commitment of each Revolving Lender pro rata in an amount equal to its Applicable Percentage of the L/C Obligations then outstanding.</w:t>
      </w:r>
    </w:p>
    <w:p>
      <w:pPr>
        <w:pStyle w:val="TextBody"/>
        <w:bidi w:val="0"/>
        <w:spacing w:before="0" w:after="240"/>
        <w:ind w:left="0" w:right="0" w:hanging="0"/>
        <w:jc w:val="both"/>
        <w:rPr/>
      </w:pPr>
      <w:r>
        <w:rPr>
          <w:caps w:val="false"/>
          <w:smallCaps w:val="false"/>
        </w:rPr>
        <w:t>●</w:t>
      </w:r>
      <w:r>
        <w:rPr>
          <w:rFonts w:ascii="Times New Roman;Times;serif" w:hAnsi="Times New Roman;Times;serif"/>
          <w:b w:val="false"/>
          <w:i w:val="false"/>
          <w:caps w:val="false"/>
          <w:smallCaps w:val="false"/>
          <w:sz w:val="24"/>
          <w:u w:val="single"/>
        </w:rPr>
        <w:t>Applications</w:t>
      </w:r>
      <w:r>
        <w:rPr>
          <w:rFonts w:ascii="Times New Roman;Times;serif" w:hAnsi="Times New Roman;Times;serif"/>
          <w:b w:val="false"/>
          <w:i w:val="false"/>
          <w:caps w:val="false"/>
          <w:smallCaps w:val="false"/>
          <w:sz w:val="24"/>
        </w:rPr>
        <w:t xml:space="preserve">.  At any time before the Revolving Credit Termination Date, the L/C Issuer shall, at the request of the Borrower, issue one or more Letters of Credit in U.S. Dollars, in a form satisfactory to the L/C Issuer, with expiration dates no later than the earlier of 12 months from the date of issuance (or which are cancelable not later than 12 months from the date of issuance and each renewal) or thirty (30) days prior to the Revolving Credit Termination Date (provided that such expiration date may extend up to 12 months beyond the Revolving Credit Termination Date if any such Letter of Credit is cash collateralized at one hundred three percent (103%) of its face amount (to cash collateralize fees and interest as well as the amount of the Letter of Credit) in the manner set forth in Section 9.4 no less than thirty (30) days prior to the Revolving Credit Termination Date), in an aggregate face amount as set forth above, upon the receipt of an application duly executed by the Borrower and, if such Letter of Credit is for the account of one of its Subsidiaries, such Subsidiary for the relevant Letter of Credit, in the form then customarily prescribed by the L/C Issuer for the Letter of Credit requested (each an “Application”).  Notwithstanding anything contained in any Application to the contrary:  (i) the Borrower shall pay fees in connection with each Letter of Credit as set forth in Section 2.1(b) hereof, (ii) except as otherwise provided in Section 1.8(b) or Section 1.14 hereof, unless an Event of Default exists, the L/C Issuer will not call for the funding by the Borrower of any amount under a Letter of Credit before being presented with a drawing thereunder, and (iii) if the L/C Issuer is not timely reimbursed for the amount of any drawing under a Letter of Credit on the date such drawing is paid, the Borrower’s obligation to reimburse the L/C Issuer for the amount of such drawing shall bear interest (which the Borrower hereby promises to pay) from and after the date such drawing is paid at a rate per annum equal to the sum of the Applicable Margin for Revolving Loans plus the Base Rate from time to time in effect (computed on the basis of a year of 365 or 366 days, as the case may be, and the actual number of days elapsed).  If the L/C Issuer issues any Letter of Credit with an expiration date that is automatically extended unless the L/C Issuer gives notice that the expiration date will not so extend beyond its then scheduled expiration date, then the L/C Issuer will give such notice of non renewal before the time necessary to prevent such automatic extension if before such required notice date:  (i) the expiration date of such Letter of Credit if so extended would be after the date that is thirty (30) days prior to the Revolving Credit Termination Date (provided that such expiration date may extend up to 12 months beyond the Revolving Credit Termination Date if any such Letter of Credit is cash collateralized at one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hundred three percent (103%) of its face amount (to cash collateralize fees and interest as well as the amount of the Letter of Credit) in the manner set forth in Section 9.4 no less than thirty (30) days prior to the Revolving Credit Termination Date), (ii) the Revolving Credit Commitments have been terminated, or (iii) a Default or an Event of Default exists and either the Administrative Agent or the Required Lenders (with notice to the Administrative Agent) have given the L/C Issuer instructions to not permit the extension of the expiration date of such Letter of Credit.  The L/C Issuer agrees to issue amendments to the Letter(s) of Credit increasing the amount, or extending the expiration date, thereof at the request of the Borrower subject to the conditions of Section 7 hereof and the other terms of this Section 1.3.  Notwithstanding anything contained herein to the contrary, if a default of any Revolving Lender’s obligations to fund under Section 1.3(c) exists or any Revolving Lender is at such time a Defaulting Lender hereunder, the L/C Issuer shall be under no obligation to issue, extend or amend any Letter of Credit unless the L/C Issuer has entered into arrangements with Borrower (including for cash collateralization as set forth above) or such Revolving Lender satisfactory to the L/C Issuer to eliminate the L/C Issuer’s risk with respect to such Revolving Lender.</w:t>
      </w:r>
    </w:p>
    <w:p>
      <w:pPr>
        <w:pStyle w:val="TextBody"/>
        <w:bidi w:val="0"/>
        <w:spacing w:before="0" w:after="240"/>
        <w:ind w:left="0" w:right="0" w:hanging="0"/>
        <w:jc w:val="both"/>
        <w:rPr/>
      </w:pPr>
      <w:r>
        <w:rPr/>
        <w:t>●</w:t>
      </w:r>
      <w:r>
        <w:rPr>
          <w:rFonts w:ascii="Times New Roman;Times;serif" w:hAnsi="Times New Roman;Times;serif"/>
          <w:sz w:val="24"/>
          <w:u w:val="single"/>
        </w:rPr>
        <w:t>The Reimbursement Obligations</w:t>
      </w:r>
      <w:r>
        <w:rPr>
          <w:rFonts w:ascii="Times New Roman;Times;serif" w:hAnsi="Times New Roman;Times;serif"/>
          <w:sz w:val="24"/>
        </w:rPr>
        <w:t>.  Upon receipt from the beneficiary of any Letter of Credit of any notice of a drawing under such Letter of Credit, the L/C Issuer shall promptly notify the Borrower and the Administrative Agent thereof.  Subject to Section 1.3(b) hereof, the obligation of the Borrower to reimburse the L/C Issuer for all drawings under a Letter of Credit (a “Reimbursement Obligation”) shall be governed by the Application related to such Letter of Credit, except that reimbursement shall be made by no later than 1:00 p.m. (New York time) on the date when each drawing is to be paid if the Borrower has been informed of such drawing by the L/C Issuer on or before 11:00 a.m. (New York time) on the date when such drawing is to be paid or, if notice of such drawing is given to the Borrower after 11:00 a.m. (New York time) on the date when such drawing is to be paid, by no later than 12:00 Noon (New York time) on the following Business Day, in immediately available funds at the Administrative Agent’s principal office in Cleveland, Ohio or such other office as the Administrative Agent may designate in writing to the Borrower (who shall thereafter cause to be distributed to the L/C Issuer such amount(s) in like funds).  If the Borrower does not make any such reimbursement payment on the date due and the Participating Lenders fund their participations therein in the manner set forth in Section 1.3(e) below, then all payments thereafter received by the Administrative Agent in discharge of any of the relevant Reimbursement Obligations shall be distributed in accordance with Section 1.3(e) below; provided, however, if the Borrower does not make any such reimbursement payment on the due date, the Borrower shall be deemed to have requested a Borrowing of Base Rate Loans under the Revolving Facility and, subject to satisfaction of the conditions set forth in Section 7.1 except for 7.1(c) hereof, a Revolving Loan shall be made on such date in the amount of the Reimbursement Obligations then due which Revolving Loan proceeds shall be applied to pay the Reimbursement Obligations then due.</w:t>
      </w:r>
    </w:p>
    <w:p>
      <w:pPr>
        <w:pStyle w:val="TextBody"/>
        <w:bidi w:val="0"/>
        <w:spacing w:before="0" w:after="240"/>
        <w:ind w:left="0" w:right="0" w:hanging="0"/>
        <w:jc w:val="both"/>
        <w:rPr/>
      </w:pPr>
      <w:r>
        <w:rPr/>
        <w:t>●</w:t>
      </w:r>
      <w:r>
        <w:rPr>
          <w:rFonts w:ascii="Times New Roman;Times;serif" w:hAnsi="Times New Roman;Times;serif"/>
          <w:sz w:val="24"/>
          <w:u w:val="single"/>
        </w:rPr>
        <w:t>Obligations Absolute</w:t>
      </w:r>
      <w:r>
        <w:rPr>
          <w:rFonts w:ascii="Times New Roman;Times;serif" w:hAnsi="Times New Roman;Times;serif"/>
          <w:sz w:val="24"/>
        </w:rPr>
        <w:t xml:space="preserve">.  The Borrower's obligation to reimburse L/C Obligations as provided in subsection (c) of this Section shall be absolute, unconditional and irrevocable, and shall be performed strictly in accordance with the terms of this Agreement and the relevant Application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1.3, constitute a legal or equitable discharge of, or provide a right of setoff against, the Borrower's obligations hereunder, except for events or circumstances arising from the willful misconduct or gross negligence on behalf of the L/C Issuer. None of the Administrative Agent, the Revolving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provided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(i) failure to exercise care when determining whether drafts and other documents presented under a Letter of Credit comply with the terms thereof or (ii) willful misconduct or gross negligence.  The parties hereto expressly agree that, in the absence of gross negligence or willful misconduct on the part of the L/C Issuer (as finally determined by a court of competent jurisdiction),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good faith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0" w:after="240"/>
        <w:ind w:left="0" w:right="0" w:hanging="0"/>
        <w:jc w:val="both"/>
        <w:rPr/>
      </w:pPr>
      <w:r>
        <w:rPr/>
        <w:t>●</w:t>
      </w:r>
      <w:r>
        <w:rPr>
          <w:rFonts w:ascii="Times New Roman;Times;serif" w:hAnsi="Times New Roman;Times;serif"/>
          <w:sz w:val="24"/>
          <w:u w:val="single"/>
        </w:rPr>
        <w:t>The Participating Interests</w:t>
      </w:r>
      <w:r>
        <w:rPr>
          <w:rFonts w:ascii="Times New Roman;Times;serif" w:hAnsi="Times New Roman;Times;serif"/>
          <w:sz w:val="24"/>
        </w:rPr>
        <w:t xml:space="preserve">.  Each Revolving Lender (other than the Revolving Lender acting as L/C Issuer in issuing the relevant Letter of Credit), by its acceptance hereof, severally agrees to purchase from the L/C Issuer, and the L/C Issuer hereby agrees to sell to each such Revolving Lender (a “Participating Lender”), an undivided percentage participating interest (a “Participating Interest”), to the extent of its Applicable Percentage, in each Letter of Credit issued by, and each Reimbursement Obligation owed to, the L/C Issuer.  Upon any failure by the Borrower to pay any Reimbursement Obligation at the time required on the date the related drawing is to be paid, as set forth in Section 1.3(c) above, or if the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Exhibit A hereto from the L/C Issuer (with a copy to the Administrative Agent) to such effect, if such certificate is received before 1:00 p.m. (New York time), or not later than 1:00 p.m. (New York time) the following Business Day, if such certificate is received after such time, pay to the Administrative Agent for the account of the L/C Issuer an amount equal to such Participating Lender’s Applicable Percentage of such unpaid or recaptured Reimbursement Obligation together with interest on such amount accrued from the date the related payment was made by the L/C Issuer to the date of such payment by such Participating Lender at a rate per annum equal to:  (i) from the date the related payment was made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by the L/C Issuer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thereafter be entitled to receive its Applicable Percentage of each payment received in respect of the relevant Reimbursement Obligation and of interest paid thereon, with the L/C Issuer retaining its Applicable Percentage thereof as a Revolving Lender hereunder.  The several obligations of the Participating Lenders to the L/C Issuer under this Section 1.3 shall be absolute, irrevocable, and unconditional under any and all circumstances whatsoever and shall not be subject to any set off, counterclaim or defense to payment which any Participating Lender may have or have had against the Borrower, the L/C Issuer, the Administrative Agent, any Revolving Lender or any other Person whatsoever.  Without limiting the generality of the foregoing, such obligations shall not be affected by any Default or Event of Default or by any reduction or termination of any Revolving Credit Commitment of any Revolving Lender, and each payment by a Participating Lender under this Section 1.3 shall be made without any offset, abatement, withholding or reduction whatsoever.  </w:t>
      </w:r>
    </w:p>
    <w:p>
      <w:pPr>
        <w:pStyle w:val="TextBody"/>
        <w:bidi w:val="0"/>
        <w:spacing w:before="0" w:after="240"/>
        <w:ind w:left="0" w:right="0" w:hanging="0"/>
        <w:jc w:val="both"/>
        <w:rPr/>
      </w:pPr>
      <w:r>
        <w:rPr/>
        <w:t>●</w:t>
      </w:r>
      <w:r>
        <w:rPr>
          <w:rFonts w:ascii="Times New Roman;Times;serif" w:hAnsi="Times New Roman;Times;serif"/>
          <w:sz w:val="24"/>
          <w:u w:val="single"/>
        </w:rPr>
        <w:t>Indemnification</w:t>
      </w:r>
      <w:r>
        <w:rPr>
          <w:rFonts w:ascii="Times New Roman;Times;serif" w:hAnsi="Times New Roman;Times;serif"/>
          <w:sz w:val="24"/>
        </w:rPr>
        <w:t>.  The Participating Lenders shall, to the extent of their respective Applicable Percentages, indemnify the L/C Issuer (to the extent not reimbursed by the Borrower) against any cost, expense (including reasonable counsel fees and disbursements), claim, demand, action, loss or liability (except such as result from such L/C Issuer’s gross negligence or willful misconduct) that the L/C Issuer may suffer or incur in connection with any Letter of Credit issued by it.  The obligations of the Participating Lenders under this Section 1.3(f) and all other parts of this Section 1.3 shall survive termination of this Agreement and of all Applications, Letters of Credit, and all drafts and other documents presented in connection with drawings thereunder.</w:t>
      </w:r>
    </w:p>
    <w:p>
      <w:pPr>
        <w:pStyle w:val="TextBody"/>
        <w:bidi w:val="0"/>
        <w:spacing w:before="0" w:after="240"/>
        <w:ind w:left="0" w:right="0" w:hanging="0"/>
        <w:jc w:val="both"/>
        <w:rPr/>
      </w:pPr>
      <w:r>
        <w:rPr/>
        <w:t>●</w:t>
      </w:r>
      <w:r>
        <w:rPr>
          <w:rFonts w:ascii="Times New Roman;Times;serif" w:hAnsi="Times New Roman;Times;serif"/>
          <w:sz w:val="24"/>
          <w:u w:val="single"/>
        </w:rPr>
        <w:t>Manner of Requesting a Letter of Credit</w:t>
      </w:r>
      <w:r>
        <w:rPr>
          <w:rFonts w:ascii="Times New Roman;Times;serif" w:hAnsi="Times New Roman;Times;serif"/>
          <w:sz w:val="24"/>
        </w:rPr>
        <w:t>.  The Borrower shall provide at least five (5) Business Days’ advance written notice to the Administrative Agent of each request for the issuance of a Letter of Credit, such notice in each case to be accompanied by an Application for such Letter of Credit properly completed and executed by the Borrower and, in the case of an extension or amendment or an increase in the amount of a Letter of Credit, a written request therefor, in a form acceptable to the Administrative Agent and the L/C Issuer, in each case, together with the fees called for by this Agreement.  The Administrative Agent shall promptly notify the L/C Issuer of the Administrative Agent’s receipt of each such notice (and the L/C Issuer shall be entitled to assume that the conditions precedent to any such issuance, extension, amendment or increase have been satisfied unless notified to the contrary by the Administrative Agent or the Required Revolving Lenders) and the L/C Issuer shall promptly notify the Administrative Agent and the Revolving Lenders of the issuance of the Letter of Credit so requested.</w:t>
      </w:r>
    </w:p>
    <w:p>
      <w:pPr>
        <w:pStyle w:val="TextBody"/>
        <w:bidi w:val="0"/>
        <w:ind w:left="0" w:right="0" w:hanging="0"/>
        <w:jc w:val="both"/>
        <w:rPr/>
      </w:pPr>
      <w:r>
        <w:rPr/>
        <w:t>●</w:t>
      </w:r>
      <w:r>
        <w:rPr>
          <w:rFonts w:ascii="Times New Roman;Times;serif" w:hAnsi="Times New Roman;Times;serif"/>
          <w:sz w:val="24"/>
          <w:u w:val="single"/>
        </w:rPr>
        <w:t>Replacement of the L/C Issuer</w:t>
      </w:r>
      <w:r>
        <w:rPr>
          <w:rFonts w:ascii="Times New Roman;Times;serif" w:hAnsi="Times New Roman;Times;serif"/>
          <w:sz w:val="24"/>
        </w:rPr>
        <w:t xml:space="preserve">.  The L/C Issuer may be replaced at any time by written agreement among the Borrower, the Administrative Agent, the replaced L/C Issuer and the successor L/C Issuer.  The Administrative Agent shall notify the Revolving Lenders of any such replacement of the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 (ii) references herein to the term “L/C Issuer” shall be deemed to refer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such successor or to any previous L/C Issuer, or to such successor and all previous L/C Issuers, as the context shall require.  After the replacement of a L/C Issuer hereunder, the replaced L/C Issuer shall remain a party hereto and shall continue to have all the rights and obligations of a L/C Issuer under this Agreement with respect to Letters of Credit issued by it prior to such replacement, but shall not be required to issue additional Letters of Credit.</w:t>
      </w:r>
    </w:p>
    <w:p>
      <w:pPr>
        <w:pStyle w:val="TextBody"/>
        <w:bidi w:val="0"/>
        <w:spacing w:before="0" w:after="240"/>
        <w:ind w:left="0" w:right="0" w:hanging="0"/>
        <w:jc w:val="both"/>
        <w:rPr/>
      </w:pPr>
      <w:r>
        <w:rPr/>
        <w:t>●</w:t>
      </w:r>
      <w:bookmarkStart w:id="1419" w:name="_Toc115421229"/>
      <w:bookmarkStart w:id="1420" w:name="_Ref99960901"/>
      <w:bookmarkEnd w:id="1419"/>
      <w:bookmarkEnd w:id="1420"/>
      <w:r>
        <w:rPr>
          <w:rFonts w:ascii="Times New Roman;Times;serif" w:hAnsi="Times New Roman;Times;serif"/>
          <w:sz w:val="24"/>
          <w:u w:val="single"/>
        </w:rPr>
        <w:t>Applicable Interest Rates</w:t>
      </w:r>
      <w:r>
        <w:rPr>
          <w:rFonts w:ascii="Times New Roman;Times;serif" w:hAnsi="Times New Roman;Times;serif"/>
          <w:sz w:val="24"/>
        </w:rPr>
        <w:t>.</w:t>
      </w:r>
      <w:r>
        <w:rPr>
          <w:rFonts w:ascii="Times New Roman;Times;serif" w:hAnsi="Times New Roman;Times;serif"/>
          <w:sz w:val="24"/>
          <w:u w:val="single"/>
        </w:rPr>
        <w:t>Base Rate Loans</w:t>
      </w:r>
      <w:r>
        <w:rPr>
          <w:rFonts w:ascii="Times New Roman;Times;serif" w:hAnsi="Times New Roman;Times;serif"/>
          <w:i/>
          <w:sz w:val="24"/>
        </w:rPr>
        <w:t>.</w:t>
      </w:r>
      <w:r>
        <w:rPr>
          <w:rFonts w:ascii="Times New Roman;Times;serif" w:hAnsi="Times New Roman;Times;serif"/>
          <w:sz w:val="24"/>
        </w:rPr>
        <w:t xml:space="preserve">  Each Base Rate Loan of each Class made or maintained by a Lender shall bear interest (computed on the basis of a year of 365 or 366 days, as the case may be, and the actual days elapsed) on the unpaid principal amount thereof from the date such Loan is advanced, or created by conversion from a Term SOFR Loan or Daily Simple SOFR Loan, until maturity (whether by acceleration or otherwise) at a rate per annum equal to the sum of the Applicable Margin for the applicable Class plus the Base Rate from time to time in effect, payable by the Borrower on each Interest Payment Date and at maturity (whether by acceleration or otherwise).</w:t>
      </w:r>
    </w:p>
    <w:p>
      <w:pPr>
        <w:pStyle w:val="TextBody"/>
        <w:bidi w:val="0"/>
        <w:spacing w:before="0" w:after="240"/>
        <w:ind w:left="0" w:right="0" w:firstLine="720"/>
        <w:jc w:val="both"/>
        <w:rPr/>
      </w:pPr>
      <w:r>
        <w:rPr/>
        <w:t>“</w:t>
      </w:r>
      <w:r>
        <w:rPr>
          <w:rFonts w:ascii="Times" w:hAnsi="Times"/>
          <w:i/>
          <w:sz w:val="24"/>
        </w:rPr>
        <w:t>Base Rate”</w:t>
      </w:r>
      <w:r>
        <w:rPr>
          <w:rFonts w:ascii="Times New Roman;Times;serif" w:hAnsi="Times New Roman;Times;serif"/>
          <w:sz w:val="24"/>
        </w:rPr>
        <w:t xml:space="preserve"> </w:t>
      </w:r>
      <w:r>
        <w:rPr>
          <w:rFonts w:ascii="Times" w:hAnsi="Times"/>
          <w:sz w:val="24"/>
        </w:rPr>
        <w:t xml:space="preserve">means, for any day, the rate per annum equal to the greatest of:  (a) the rate of interest 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Times" w:hAnsi="Times"/>
          <w:i/>
          <w:sz w:val="24"/>
        </w:rPr>
        <w:t>plus</w:t>
      </w:r>
      <w:r>
        <w:rPr>
          <w:rFonts w:ascii="Times New Roman;Times;serif" w:hAnsi="Times New Roman;Times;serif"/>
          <w:sz w:val="24"/>
        </w:rPr>
        <w:t xml:space="preserve"> </w:t>
      </w:r>
      <w:r>
        <w:rPr>
          <w:rFonts w:ascii="Times" w:hAnsi="Times"/>
          <w:sz w:val="24"/>
        </w:rPr>
        <w:t xml:space="preserve">(ii) 1/2 of 1%, and (c) Adjusted Term SOFR for an interest Period of one month for such day </w:t>
      </w:r>
      <w:r>
        <w:rPr>
          <w:rFonts w:ascii="Times" w:hAnsi="Times"/>
          <w:i/>
          <w:sz w:val="24"/>
        </w:rPr>
        <w:t>plus</w:t>
      </w:r>
      <w:r>
        <w:rPr>
          <w:rFonts w:ascii="Times New Roman;Times;serif" w:hAnsi="Times New Roman;Times;serif"/>
          <w:sz w:val="24"/>
        </w:rPr>
        <w:t xml:space="preserve"> </w:t>
      </w:r>
      <w:r>
        <w:rPr>
          <w:rFonts w:ascii="Times" w:hAnsi="Times"/>
          <w:sz w:val="24"/>
        </w:rPr>
        <w:t>1.00%.  If the Base Rate is being used as an alternate rate of interest pursuant to Section 10.6 hereof, then the Base Rate shall be the greater of clauses (a) and (b) above and shall be determined without reference to clause (c) above.</w:t>
      </w:r>
    </w:p>
    <w:p>
      <w:pPr>
        <w:pStyle w:val="TextBody"/>
        <w:bidi w:val="0"/>
        <w:spacing w:before="0" w:after="240"/>
        <w:ind w:left="0" w:right="0" w:firstLine="720"/>
        <w:jc w:val="both"/>
        <w:rPr/>
      </w:pPr>
      <w:r>
        <w:rPr/>
        <w:t>“</w:t>
      </w:r>
      <w:r>
        <w:rPr>
          <w:rFonts w:ascii="Times" w:hAnsi="Times"/>
          <w:i/>
          <w:sz w:val="24"/>
        </w:rPr>
        <w:t>Federal Funds Rate”</w:t>
      </w:r>
      <w:r>
        <w:rPr>
          <w:rFonts w:ascii="Times New Roman;Times;serif" w:hAnsi="Times New Roman;Times;serif"/>
          <w:sz w:val="24"/>
        </w:rPr>
        <w:t xml:space="preserve"> </w:t>
      </w:r>
      <w:r>
        <w:rPr>
          <w:rFonts w:ascii="Times" w:hAnsi="Times"/>
          <w:sz w:val="24"/>
        </w:rPr>
        <w:t xml:space="preserve">means, for any day, the rate per annum (rounded upward to the nearest one one-hundredth of one percent (1/100 of 1%)) announced by the Federal Reserve Bank of Cleveland on such day as being the weighted average of the rates on  overnight federal  funds  transactions arranged by federal funds brokers on the previous trading day; </w:t>
      </w:r>
      <w:r>
        <w:rPr>
          <w:rFonts w:ascii="Times" w:hAnsi="Times"/>
          <w:i/>
          <w:sz w:val="24"/>
        </w:rPr>
        <w:t>provided</w:t>
      </w:r>
      <w:r>
        <w:rPr>
          <w:rFonts w:ascii="Times New Roman;Times;serif" w:hAnsi="Times New Roman;Times;serif"/>
          <w:sz w:val="24"/>
        </w:rPr>
        <w:t xml:space="preserve"> </w:t>
      </w:r>
      <w:r>
        <w:rPr>
          <w:rFonts w:ascii="Times" w:hAnsi="Times"/>
          <w:sz w:val="24"/>
        </w:rPr>
        <w:t xml:space="preserve">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w:hAnsi="Times"/>
          <w:i/>
          <w:sz w:val="24"/>
        </w:rPr>
        <w:t>provided</w:t>
      </w:r>
      <w:r>
        <w:rPr>
          <w:rFonts w:ascii="Times New Roman;Times;serif" w:hAnsi="Times New Roman;Times;serif"/>
          <w:sz w:val="24"/>
        </w:rPr>
        <w:t xml:space="preserve"> </w:t>
      </w:r>
      <w:r>
        <w:rPr>
          <w:rFonts w:ascii="Times" w:hAnsi="Times"/>
          <w:sz w:val="24"/>
        </w:rPr>
        <w:t>that in no event shall the Federal Funds Rate be less than 0.00%.</w:t>
      </w:r>
    </w:p>
    <w:p>
      <w:pPr>
        <w:pStyle w:val="TextBody"/>
        <w:bidi w:val="0"/>
        <w:spacing w:before="0" w:after="200"/>
        <w:ind w:left="0" w:right="0" w:hanging="0"/>
        <w:jc w:val="both"/>
        <w:rPr/>
      </w:pPr>
      <w:r>
        <w:rPr/>
        <w:t>●</w:t>
      </w:r>
      <w:r>
        <w:rPr>
          <w:rFonts w:ascii="Times New Roman;Times;serif" w:hAnsi="Times New Roman;Times;serif"/>
          <w:i/>
          <w:sz w:val="24"/>
        </w:rPr>
        <w:t>Term SOFR Loans.</w:t>
      </w:r>
      <w:r>
        <w:rPr>
          <w:rFonts w:ascii="Times New Roman;Times;serif" w:hAnsi="Times New Roman;Times;serif"/>
          <w:sz w:val="24"/>
        </w:rPr>
        <w:t xml:space="preserve">  Each Term SOFR Loan of each Class made or maintained by a Lender shall bear interest during each Interest Period it is outstanding (computed on the basis of a year of 360 days and actual days elapsed) on the unpaid principal amount thereof from the date such Loan is advanced or continued, or created by conversion from a Base Rate Loan or Daily Simple SOFR Loan, until maturity (whether by acceleration or otherwise) at a rate per annum equal to the sum of the Applicable Margin for the applicable Class plus the Adjusted Term SOFR applicable for such Interest Period, payable by the Borrower on each Interest Payment Date and at maturity (whether by acceleration or otherwise).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pPr>
      <w:r>
        <w:rPr/>
        <w:t>●</w:t>
      </w:r>
      <w:r>
        <w:rPr>
          <w:rFonts w:ascii="Times New Roman;Times;serif" w:hAnsi="Times New Roman;Times;serif"/>
          <w:sz w:val="24"/>
          <w:u w:val="single"/>
        </w:rPr>
        <w:t>Daily Simple SOFR Loans</w:t>
      </w:r>
      <w:r>
        <w:rPr>
          <w:rFonts w:ascii="Times New Roman;Times;serif" w:hAnsi="Times New Roman;Times;serif"/>
          <w:i/>
          <w:sz w:val="24"/>
        </w:rPr>
        <w:t>.</w:t>
      </w:r>
      <w:r>
        <w:rPr>
          <w:rFonts w:ascii="Times New Roman;Times;serif" w:hAnsi="Times New Roman;Times;serif"/>
          <w:sz w:val="24"/>
        </w:rPr>
        <w:t xml:space="preserve">  Each Daily Simple SOFR Loan of each Class made or maintained by a Lender shall bear interest (computed on the basis of a year of 365 or 366 days, as the case may be, and the actual days elapsed) on the unpaid principal amount thereof from the date such Loan is advanced, or created by conversion from a Term SOFR Loan or Base Rate Loan, until maturity (whether by acceleration or otherwise) at a rate per annum equal to the sum of the Applicable Margin for the applicable Class plus the Adjusted Daily Simple SOFR from time to time in effect, payable by the Borrower on each Interest Payment Date and at maturity (whether by acceleration or otherwise).</w:t>
      </w:r>
    </w:p>
    <w:p>
      <w:pPr>
        <w:pStyle w:val="TextBody"/>
        <w:bidi w:val="0"/>
        <w:spacing w:before="0" w:after="0"/>
        <w:ind w:left="0" w:right="0" w:hanging="0"/>
        <w:jc w:val="both"/>
        <w:rPr/>
      </w:pPr>
      <w:r>
        <w:rPr/>
        <w:t>●</w:t>
      </w:r>
      <w:r>
        <w:rPr>
          <w:rFonts w:ascii="Times New Roman;Times;serif" w:hAnsi="Times New Roman;Times;serif"/>
          <w:sz w:val="24"/>
          <w:u w:val="single"/>
        </w:rPr>
        <w:t>Rate Determinations</w:t>
      </w:r>
      <w:r>
        <w:rPr>
          <w:rFonts w:ascii="Times New Roman;Times;serif" w:hAnsi="Times New Roman;Times;serif"/>
          <w:i/>
          <w:sz w:val="24"/>
        </w:rPr>
        <w:t xml:space="preserve">. </w:t>
      </w:r>
      <w:r>
        <w:rPr>
          <w:rFonts w:ascii="Times New Roman;Times;serif" w:hAnsi="Times New Roman;Times;serif"/>
          <w:sz w:val="24"/>
        </w:rPr>
        <w:t>The Administrative Agent shall determine each interest rate applicable to the Loans of any Class and the Reimbursement Obligations hereunder, and its determination thereof shall be conclusive and binding except in the case of manifest error.  </w:t>
      </w:r>
    </w:p>
    <w:p>
      <w:pPr>
        <w:pStyle w:val="TextBody"/>
        <w:bidi w:val="0"/>
        <w:spacing w:before="0" w:after="240"/>
        <w:ind w:left="0" w:right="0" w:hanging="0"/>
        <w:jc w:val="both"/>
        <w:rPr/>
      </w:pPr>
      <w:r>
        <w:rPr/>
        <w:t>●</w:t>
      </w:r>
      <w:bookmarkStart w:id="1421" w:name="_Toc115421230"/>
      <w:bookmarkStart w:id="1422" w:name="_Ref70340760"/>
      <w:bookmarkStart w:id="1423" w:name="_Ref70340601"/>
      <w:bookmarkEnd w:id="1421"/>
      <w:bookmarkEnd w:id="1422"/>
      <w:bookmarkEnd w:id="1423"/>
      <w:r>
        <w:rPr>
          <w:rFonts w:ascii="Times New Roman;Times;serif" w:hAnsi="Times New Roman;Times;serif"/>
          <w:sz w:val="24"/>
          <w:u w:val="single"/>
        </w:rPr>
        <w:t>Minimum Borrowing Amounts; Maximum Term SOFR Loans</w:t>
      </w:r>
      <w:r>
        <w:rPr>
          <w:rFonts w:ascii="Times New Roman;Times;serif" w:hAnsi="Times New Roman;Times;serif"/>
          <w:i/>
          <w:sz w:val="24"/>
        </w:rPr>
        <w:t>.  </w:t>
      </w:r>
      <w:r>
        <w:rPr>
          <w:rFonts w:ascii="Times New Roman;Times;serif" w:hAnsi="Times New Roman;Times;serif"/>
          <w:sz w:val="24"/>
        </w:rPr>
        <w:t xml:space="preserve"> Each Borrowing of Loans shall be in an amount not less than $100,000.   Without the Administrative Agent’s consent, there shall not be more than eight (8) Borrowings of Term SOFR Loans outstanding hereunder.  </w:t>
      </w:r>
    </w:p>
    <w:p>
      <w:pPr>
        <w:pStyle w:val="TextBody"/>
        <w:bidi w:val="0"/>
        <w:spacing w:before="0" w:after="240"/>
        <w:ind w:left="0" w:right="0" w:hanging="0"/>
        <w:jc w:val="both"/>
        <w:rPr/>
      </w:pPr>
      <w:r>
        <w:rPr/>
        <w:t>●</w:t>
      </w:r>
      <w:bookmarkStart w:id="1424" w:name="_Toc115421231"/>
      <w:bookmarkEnd w:id="1424"/>
      <w:r>
        <w:rPr>
          <w:rFonts w:ascii="Times New Roman;Times;serif" w:hAnsi="Times New Roman;Times;serif"/>
          <w:sz w:val="24"/>
          <w:u w:val="single"/>
        </w:rPr>
        <w:t>Manner of Borrowing Loans and Designating Applicable Interest Rates</w:t>
      </w:r>
      <w:r>
        <w:rPr>
          <w:rFonts w:ascii="Times New Roman;Times;serif" w:hAnsi="Times New Roman;Times;serif"/>
          <w:sz w:val="24"/>
        </w:rPr>
        <w:t>.</w:t>
      </w:r>
      <w:bookmarkStart w:id="1425" w:name="_Ref70340620"/>
      <w:bookmarkEnd w:id="1425"/>
      <w:r>
        <w:rPr>
          <w:rFonts w:ascii="Times New Roman;Times;serif" w:hAnsi="Times New Roman;Times;serif"/>
          <w:sz w:val="24"/>
          <w:u w:val="single"/>
        </w:rPr>
        <w:t>Notice to the Administrative Agent</w:t>
      </w:r>
      <w:r>
        <w:rPr>
          <w:rFonts w:ascii="Times New Roman;Times;serif" w:hAnsi="Times New Roman;Times;serif"/>
          <w:i/>
          <w:sz w:val="24"/>
        </w:rPr>
        <w:t>.</w:t>
      </w:r>
      <w:r>
        <w:rPr>
          <w:rFonts w:ascii="Times New Roman;Times;serif" w:hAnsi="Times New Roman;Times;serif"/>
          <w:sz w:val="24"/>
        </w:rPr>
        <w:t xml:space="preserve">  The Borrower shall give notice to the Administrative Agent by no later than 10:00 a.m. (New York time):  (i) at least three (3) Business Days before the date on which the Borrower requests the Lenders to advance a Borrowing of Term SOFR Loans of any Class and (ii) on the date the Borrower requests the Lenders to advance a Borrowing of Base Rate Loans or Daily Simple SOFR Loans of any Class.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Loans, on the last day of the Interest Period applicable thereto, the Borrower may continue part or all of such Borrowing as Term SOFR Loans or convert part or all of such Borrowing into Base Rate Loans or Daily Simple SOFR Loans, or (ii) if such Borrowing is of Base Rate Loans or Daily Simple SOFR Loans, on any Business Day, the Borrower may convert all or part of such Borrowing into Term SOFR Loans for an Interest Period or Interest Periods specified by the Borrower.  The Borrower shall give all such notices requesting an advance, continuation or conversion of a Borrowing of any Class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Term SOFR Loans for an additional Interest Period or of the conversion of part or all of a Borrowing of Base Rate Loans or Daily Simple SOFR Loans into Term SOFR Loans must be given by no later than 10:00 a.m. (New York time) at least three (3) Business Days before the date of the requested continuation or conversion.  All such notices concerning an advance, continuation or conversion of a Borrowing shall specify, as applicable, the date of the continuation or conversion of a Borrowing (which shall be a Business Day), the amount of requested Borrowing to be advanced, continued or converted, the type of Loans to comprise such continued or converted Borrowing and, if such Borrowing is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be comprised of Term SOFR Loans, the Interest Period applicable thereto.  No Borrowing of Term SOFR Loans or Daily Simple SOFR Loans of any Class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pStyle w:val="TextBody"/>
        <w:bidi w:val="0"/>
        <w:spacing w:before="0" w:after="240"/>
        <w:ind w:left="0" w:right="0" w:hanging="0"/>
        <w:jc w:val="both"/>
        <w:rPr/>
      </w:pPr>
      <w:r>
        <w:rPr/>
        <w:t>●</w:t>
      </w:r>
      <w:r>
        <w:rPr>
          <w:rFonts w:ascii="Times New Roman;Times;serif" w:hAnsi="Times New Roman;Times;serif"/>
          <w:sz w:val="24"/>
          <w:u w:val="single"/>
        </w:rPr>
        <w:t>Notice to the Lenders</w:t>
      </w:r>
      <w:r>
        <w:rPr>
          <w:rFonts w:ascii="Times New Roman;Times;serif" w:hAnsi="Times New Roman;Times;serif"/>
          <w:sz w:val="24"/>
        </w:rPr>
        <w:t>.  The Administrative Agent shall give prompt telephonic, telecopy or other telecommunication notice to each Lender of any notice from the Borrower received pursuant to Section 1.6(a) above and, if such notice requests the Lenders to make Term SOFR Loans, the Administrative Agent shall give notice to the Borrower and each Lender by like means of the interest rate applicable thereto promptly after the Administrative Agent has made such determination.</w:t>
      </w:r>
    </w:p>
    <w:p>
      <w:pPr>
        <w:pStyle w:val="TextBody"/>
        <w:bidi w:val="0"/>
        <w:spacing w:before="0" w:after="240"/>
        <w:ind w:left="0" w:right="0" w:hanging="0"/>
        <w:jc w:val="both"/>
        <w:rPr/>
      </w:pPr>
      <w:r>
        <w:rPr/>
        <w:t>●</w:t>
      </w:r>
      <w:r>
        <w:rPr>
          <w:rFonts w:ascii="Times New Roman;Times;serif" w:hAnsi="Times New Roman;Times;serif"/>
          <w:sz w:val="24"/>
          <w:u w:val="single"/>
        </w:rPr>
        <w:t>Borrower’s Failure to Notify</w:t>
      </w:r>
      <w:r>
        <w:rPr>
          <w:rFonts w:ascii="Times New Roman;Times;serif" w:hAnsi="Times New Roman;Times;serif"/>
          <w:sz w:val="24"/>
        </w:rPr>
        <w:t xml:space="preserve">.  If the Borrower fails to give notice pursuant to Section 1.6(a) above of the continuation or conversion of any outstanding principal amount of a Borrowing of Term SOFR Loans of any Class before the last day of its then current Interest Period within the period required by Section 1.6(a) and such Borrowing is not prepaid in accordance with Section 1.8, the Borrower shall be deemed to have given the notice three (3) Business Days prior to the end of the then current Interest Period and such Borrowing shall automatically be continued as a Borrowing of a Term SOFR Loan of the same Class with a one (1) month Interest Period; </w:t>
      </w:r>
      <w:r>
        <w:rPr>
          <w:rFonts w:ascii="Times New Roman;Times;serif" w:hAnsi="Times New Roman;Times;serif"/>
          <w:i/>
          <w:sz w:val="24"/>
        </w:rPr>
        <w:t xml:space="preserve">provided </w:t>
      </w:r>
      <w:r>
        <w:rPr>
          <w:rFonts w:ascii="Times New Roman;Times;serif" w:hAnsi="Times New Roman;Times;serif"/>
          <w:sz w:val="24"/>
        </w:rPr>
        <w:t>that all Lenders are able to accommodate such one (1) month Interest Period and such Term SOFR Loan shall be subject to the funding indemnity set forth in Section 1.11 hereof in the event it is prepaid prior to the end of the Interest Period.</w:t>
      </w:r>
    </w:p>
    <w:p>
      <w:pPr>
        <w:pStyle w:val="TextBody"/>
        <w:bidi w:val="0"/>
        <w:spacing w:before="0" w:after="240"/>
        <w:ind w:left="0" w:right="0" w:hanging="0"/>
        <w:jc w:val="both"/>
        <w:rPr/>
      </w:pPr>
      <w:r>
        <w:rPr/>
        <w:t>●</w:t>
      </w:r>
      <w:r>
        <w:rPr>
          <w:rFonts w:ascii="Times New Roman;Times;serif" w:hAnsi="Times New Roman;Times;serif"/>
          <w:sz w:val="24"/>
          <w:u w:val="single"/>
        </w:rPr>
        <w:t>Disbursement of Loans</w:t>
      </w:r>
      <w:r>
        <w:rPr>
          <w:rFonts w:ascii="Times New Roman;Times;serif" w:hAnsi="Times New Roman;Times;serif"/>
          <w:sz w:val="24"/>
        </w:rPr>
        <w:t>.  Not later than 1:00 p.m. (New York time) on the date of any requested advance of a new Borrowing of any Class, subject to Section 7 hereof, each applicable Lender shall make available its Loan of such Class comprising its Applicable Percentage of such Borrowing in funds immediately available at the principal office of the Administrative Agent in New York, New York (or at such other location as the Administrative Agent shall designate).  The Administrative Agent shall make the proceeds of each new Borrowing available to the Borrower no later than 2:00 p.m. (New York time) on the date of such Borrowing as instructed by the Borrower.</w:t>
      </w:r>
    </w:p>
    <w:p>
      <w:pPr>
        <w:pStyle w:val="TextBody"/>
        <w:bidi w:val="0"/>
        <w:ind w:left="0" w:right="0" w:hanging="0"/>
        <w:jc w:val="both"/>
        <w:rPr/>
      </w:pPr>
      <w:r>
        <w:rPr/>
        <w:t>●</w:t>
      </w:r>
      <w:r>
        <w:rPr>
          <w:rFonts w:ascii="Times New Roman;Times;serif" w:hAnsi="Times New Roman;Times;serif"/>
          <w:sz w:val="24"/>
          <w:u w:val="single"/>
        </w:rPr>
        <w:t>Administrative Agent Reliance on Lender Funding</w:t>
      </w:r>
      <w:r>
        <w:rPr>
          <w:rFonts w:ascii="Times New Roman;Times;serif" w:hAnsi="Times New Roman;Times;serif"/>
          <w:i/>
          <w:sz w:val="24"/>
        </w:rPr>
        <w:t>.</w:t>
      </w:r>
      <w:r>
        <w:rPr>
          <w:rFonts w:ascii="Times New Roman;Times;serif" w:hAnsi="Times New Roman;Times;serif"/>
          <w:sz w:val="24"/>
        </w:rPr>
        <w:t xml:space="preserve">  Unless the Administrative Agent shall have been notified by a Lender prior to (or, in the case of a Borrowing of Base Rate Loans or Daily Simple SOFR Loans, by 1:00 p.m. (New York time) on) the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or Daily Simple SOFR, as applicable,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(New York time) on the date that is two (2) Business Days following such demand, repay to the Administrative Agent the proceeds of the Loan attributable to such Lender with interest thereon at a rate per annum equal to the interest rate applicable to the relevant Loan, which payment may be in the form of a Base Rate Loan or Daily Simple SOFR Loan under this Agreement, but without such payment being considered a payment or prepayment of a Loan under Section 1.11 hereof so that the Borrower will have no liability under such Section with respect to such payment.</w:t>
      </w:r>
    </w:p>
    <w:p>
      <w:pPr>
        <w:pStyle w:val="TextBody"/>
        <w:bidi w:val="0"/>
        <w:spacing w:before="0" w:after="240"/>
        <w:ind w:left="0" w:right="0" w:hanging="0"/>
        <w:jc w:val="both"/>
        <w:rPr/>
      </w:pPr>
      <w:r>
        <w:rPr/>
        <w:t>●</w:t>
      </w:r>
      <w:bookmarkStart w:id="1426" w:name="_Toc115421232"/>
      <w:bookmarkEnd w:id="1426"/>
      <w:r>
        <w:rPr>
          <w:rFonts w:ascii="Times New Roman;Times;serif" w:hAnsi="Times New Roman;Times;serif"/>
          <w:sz w:val="24"/>
          <w:u w:val="single"/>
        </w:rPr>
        <w:t>Maturity of Loans</w:t>
      </w:r>
      <w:r>
        <w:rPr>
          <w:rFonts w:ascii="Times New Roman;Times;serif" w:hAnsi="Times New Roman;Times;serif"/>
          <w:sz w:val="24"/>
        </w:rPr>
        <w:t>.</w:t>
      </w:r>
      <w:r>
        <w:rPr>
          <w:rFonts w:ascii="Times New Roman;Times;serif" w:hAnsi="Times New Roman;Times;serif"/>
          <w:sz w:val="24"/>
          <w:u w:val="single"/>
        </w:rPr>
        <w:t>Revolving Loans and Swing Loans</w:t>
      </w:r>
      <w:r>
        <w:rPr>
          <w:rFonts w:ascii="Times New Roman;Times;serif" w:hAnsi="Times New Roman;Times;serif"/>
          <w:sz w:val="24"/>
        </w:rPr>
        <w:t>.  Each Revolving Loan and Swing Loan, both for principal and interest not sooner paid or accelerated after the occurrence of an Event of Default, shall mature and be due and payable by the Borrower on the Revolving Credit Termination Date.</w:t>
      </w:r>
    </w:p>
    <w:p>
      <w:pPr>
        <w:pStyle w:val="TextBody"/>
        <w:bidi w:val="0"/>
        <w:spacing w:before="0" w:after="240"/>
        <w:ind w:left="0" w:right="0" w:hanging="0"/>
        <w:jc w:val="both"/>
        <w:rPr/>
      </w:pPr>
      <w:r>
        <w:rPr/>
        <w:t>●</w:t>
      </w:r>
      <w:r>
        <w:rPr>
          <w:rFonts w:ascii="Times New Roman;Times;serif" w:hAnsi="Times New Roman;Times;serif"/>
          <w:sz w:val="24"/>
          <w:u w:val="single"/>
        </w:rPr>
        <w:t>2027 Term Loans</w:t>
      </w:r>
      <w:r>
        <w:rPr>
          <w:rFonts w:ascii="Times New Roman;Times;serif" w:hAnsi="Times New Roman;Times;serif"/>
          <w:sz w:val="24"/>
        </w:rPr>
        <w:t>. Borrower shall repay to the 2027 Term Lenders on the Term Loan Maturity Date for the 2027 Term Facility the aggregate principal amount of all 2027 Term Loans outstanding on such date.</w:t>
      </w:r>
    </w:p>
    <w:p>
      <w:pPr>
        <w:pStyle w:val="TextBody"/>
        <w:bidi w:val="0"/>
        <w:spacing w:before="0" w:after="0"/>
        <w:ind w:left="0" w:right="0" w:hanging="0"/>
        <w:jc w:val="both"/>
        <w:rPr/>
      </w:pPr>
      <w:r>
        <w:rPr/>
        <w:t>●</w:t>
      </w:r>
      <w:r>
        <w:rPr>
          <w:rFonts w:ascii="Times New Roman;Times;serif" w:hAnsi="Times New Roman;Times;serif"/>
          <w:sz w:val="24"/>
          <w:u w:val="single"/>
        </w:rPr>
        <w:t>Incremental Loans</w:t>
      </w:r>
      <w:r>
        <w:rPr>
          <w:rFonts w:ascii="Times New Roman;Times;serif" w:hAnsi="Times New Roman;Times;serif"/>
          <w:sz w:val="24"/>
        </w:rPr>
        <w:t>.  Borrower shall repay to the applicable Incremental Term Lenders on the applicable Term Loan Maturity Date for the Incremental Term Loan Facility, the aggregate principal amount of all Incremental Term Loans of the applicable tranche outstanding under such Incremental Term Loan Facility on such date.</w:t>
      </w:r>
    </w:p>
    <w:p>
      <w:pPr>
        <w:pStyle w:val="TextBody"/>
        <w:bidi w:val="0"/>
        <w:spacing w:before="0" w:after="240"/>
        <w:ind w:left="0" w:right="0" w:hanging="0"/>
        <w:jc w:val="both"/>
        <w:rPr/>
      </w:pPr>
      <w:r>
        <w:rPr/>
        <w:t>●</w:t>
      </w:r>
      <w:bookmarkStart w:id="1427" w:name="_Toc115421233"/>
      <w:bookmarkStart w:id="1428" w:name="_Ref70340671"/>
      <w:bookmarkEnd w:id="1427"/>
      <w:bookmarkEnd w:id="1428"/>
      <w:r>
        <w:rPr>
          <w:rFonts w:ascii="Times New Roman;Times;serif" w:hAnsi="Times New Roman;Times;serif"/>
          <w:sz w:val="24"/>
          <w:u w:val="single"/>
        </w:rPr>
        <w:t>Prepayments</w:t>
      </w:r>
      <w:r>
        <w:rPr>
          <w:rFonts w:ascii="Times New Roman;Times;serif" w:hAnsi="Times New Roman;Times;serif"/>
          <w:sz w:val="24"/>
        </w:rPr>
        <w:t>.</w:t>
      </w:r>
      <w:r>
        <w:rPr>
          <w:rFonts w:ascii="Times New Roman;Times;serif" w:hAnsi="Times New Roman;Times;serif"/>
          <w:sz w:val="24"/>
          <w:u w:val="single"/>
        </w:rPr>
        <w:t>Optional</w:t>
      </w:r>
      <w:r>
        <w:rPr>
          <w:rFonts w:ascii="Times New Roman;Times;serif" w:hAnsi="Times New Roman;Times;serif"/>
          <w:sz w:val="24"/>
        </w:rPr>
        <w:t>.  The Borrower may prepay in whole or in part (but, if in part, then:  (i) if such Borrowing is of Base Rate Loans, in an amount not less than $100,000, (ii) if such Borrowing is of Term SOFR Loans or Daily Simple SOFR Loans, in an amount not less than $100,000, and (iii) in each case, in an amount such that the minimum amount required for a Borrowing pursuant to Section 1.5 hereof remains outstanding) any Borrowing of Term SOFR Loans at any time upon three (3) Business Days prior notice by the Borrower to the Administrative Agent or, in the case of a Borrowing of Base Rate Loans or Daily Simple SOFR Loans, notice delivered by the Borrower to the Administrative Agent no later than 10:00 a.m. (New York time) on the date of prepayment (or, in any case, such shorter period of time then agreed to by the Administrative Agent), such prepayment to be made by the payment of the principal amount to be prepaid and, in the case of any Term SOFR Loans, accrued interest thereon to the date fixed for prepayment plus any amounts due the Lenders under Section 1.11 hereof.  </w:t>
      </w:r>
    </w:p>
    <w:p>
      <w:pPr>
        <w:pStyle w:val="TextBody"/>
        <w:bidi w:val="0"/>
        <w:spacing w:before="0" w:after="240"/>
        <w:ind w:left="0" w:right="0" w:hanging="0"/>
        <w:jc w:val="both"/>
        <w:rPr/>
      </w:pPr>
      <w:r>
        <w:rPr/>
        <w:t>●</w:t>
      </w:r>
      <w:bookmarkStart w:id="1429" w:name="_Ref70340899"/>
      <w:bookmarkEnd w:id="1429"/>
      <w:r>
        <w:rPr>
          <w:rFonts w:ascii="Times New Roman;Times;serif" w:hAnsi="Times New Roman;Times;serif"/>
          <w:sz w:val="24"/>
          <w:u w:val="single"/>
        </w:rPr>
        <w:t>Mandatory</w:t>
      </w:r>
      <w:r>
        <w:rPr>
          <w:rFonts w:ascii="Times New Roman;Times;serif" w:hAnsi="Times New Roman;Times;serif"/>
          <w:sz w:val="24"/>
        </w:rPr>
        <w:t xml:space="preserve">. </w:t>
      </w:r>
    </w:p>
    <w:p>
      <w:pPr>
        <w:pStyle w:val="TextBody"/>
        <w:bidi w:val="0"/>
        <w:spacing w:before="0" w:after="240"/>
        <w:ind w:left="720" w:right="0" w:hanging="0"/>
        <w:jc w:val="both"/>
        <w:rPr/>
      </w:pPr>
      <w:r>
        <w:rPr/>
        <w:t>●</w:t>
      </w:r>
      <w:r>
        <w:rPr>
          <w:rFonts w:ascii="Times New Roman;Times;serif" w:hAnsi="Times New Roman;Times;serif"/>
          <w:sz w:val="24"/>
        </w:rPr>
        <w:t>[Intentionally Omitted].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r>
        <w:rPr>
          <w:rFonts w:ascii="Times New Roman;Times;serif" w:hAnsi="Times New Roman;Times;serif"/>
          <w:sz w:val="24"/>
        </w:rPr>
        <w:t>If at any time the sum of the unpaid principal balance of the Revolving Loans, Swing Loans and the L/C Obligations then outstanding shall be in excess of the Revolving Credit Commitment, the Borrower shall promptly, and in no event later than 11:00 a.m. (New York time) on such Business Day, and without notice or demand pay the amount of the excess to the Administrative Agent for the account of the Lenders as a mandatory prepayment on such Obligations, with each such prepayment first to be applied to the Revolving Loans and Swing Loans until paid in full, with any remaining balance to be held by the Administrative Agent in the Collateral Account as security for the Obligations owing with respect to the Letters of Credit.</w:t>
      </w:r>
    </w:p>
    <w:p>
      <w:pPr>
        <w:pStyle w:val="TextBody"/>
        <w:bidi w:val="0"/>
        <w:spacing w:before="0" w:after="0"/>
        <w:ind w:left="720" w:right="0" w:hanging="0"/>
        <w:jc w:val="both"/>
        <w:rPr/>
      </w:pPr>
      <w:r>
        <w:rPr/>
        <w:t>●</w:t>
      </w:r>
      <w:r>
        <w:rPr>
          <w:rFonts w:ascii="Times New Roman;Times;serif" w:hAnsi="Times New Roman;Times;serif"/>
          <w:sz w:val="24"/>
        </w:rPr>
        <w:t>Unless the Borrower otherwise directs, prepayments of Loans under this Section 1.8(b) shall be applied first to Borrowings of Base Rate Loans until payment in full thereof, second to Daily Simple SOFR Loans until payment in full thereof, with any balance applied to Borrowings of Term SOFR Loans in the order in which their Interest Periods expire.  Each prepayment of Loans under this Section 1.8(b) shall be made by the payment of the principal amount to be prepaid and, in the case of any Term SOFR Loans, accrued interest thereon to the date of prepayment together with any amounts due the Lenders under Section 1.11 hereof.  Each prefunding of L/C Obligations shall be made in accordance with Section 9.4 hereof.</w:t>
      </w:r>
    </w:p>
    <w:p>
      <w:pPr>
        <w:pStyle w:val="TextBody"/>
        <w:bidi w:val="0"/>
        <w:spacing w:before="0" w:after="0"/>
        <w:ind w:left="0" w:right="0" w:hanging="0"/>
        <w:jc w:val="both"/>
        <w:rPr/>
      </w:pPr>
      <w:r>
        <w:rPr/>
        <w:t>●</w:t>
      </w:r>
      <w:r>
        <w:rPr>
          <w:rFonts w:ascii="Times New Roman;Times;serif" w:hAnsi="Times New Roman;Times;serif"/>
          <w:sz w:val="24"/>
          <w:u w:val="single"/>
        </w:rPr>
        <w:t>Reborrowing</w:t>
      </w:r>
      <w:r>
        <w:rPr>
          <w:rFonts w:ascii="Times New Roman;Times;serif" w:hAnsi="Times New Roman;Times;serif"/>
          <w:i/>
          <w:sz w:val="24"/>
        </w:rPr>
        <w:t>.</w:t>
      </w:r>
      <w:r>
        <w:rPr>
          <w:rFonts w:ascii="Times New Roman;Times;serif" w:hAnsi="Times New Roman;Times;serif"/>
          <w:sz w:val="24"/>
        </w:rPr>
        <w:t xml:space="preserve"> Any amount of Revolving Loans or Swing Loans paid or prepaid before the Revolving Credit Termination Date may, subject to the terms and conditions of this Agreement, be borrowed, repaid and borrowed again. Any amount of the Term Loans or Incremental Term Loans paid or prepaid may not be reborrowed.</w:t>
      </w:r>
    </w:p>
    <w:p>
      <w:pPr>
        <w:pStyle w:val="TextBody"/>
        <w:bidi w:val="0"/>
        <w:spacing w:before="0" w:after="240"/>
        <w:ind w:left="0" w:right="0" w:hanging="0"/>
        <w:jc w:val="both"/>
        <w:rPr/>
      </w:pPr>
      <w:r>
        <w:rPr/>
        <w:t>●</w:t>
      </w:r>
      <w:bookmarkStart w:id="1430" w:name="_Toc115421234"/>
      <w:bookmarkStart w:id="1431" w:name="_Ref70340964"/>
      <w:bookmarkStart w:id="1432" w:name="_Ref70340963"/>
      <w:bookmarkEnd w:id="1430"/>
      <w:bookmarkEnd w:id="1431"/>
      <w:bookmarkEnd w:id="1432"/>
      <w:r>
        <w:rPr>
          <w:rFonts w:ascii="Times New Roman;Times;serif" w:hAnsi="Times New Roman;Times;serif"/>
          <w:sz w:val="24"/>
          <w:u w:val="single"/>
        </w:rPr>
        <w:t>Default Rate</w:t>
      </w:r>
      <w:r>
        <w:rPr>
          <w:rFonts w:ascii="Times New Roman;Times;serif" w:hAnsi="Times New Roman;Times;serif"/>
          <w:sz w:val="24"/>
        </w:rPr>
        <w:t>.  Notwithstanding anything to the contrary contained herein, while any Event of Default exists or after acceleration, if so directed by the Required Lenders, the Borrower shall pay interest (after as well as before entry of judgment thereon to the extent permitted by law) on the principal amount of all Loans of each Class and Reimbursement Obligations, and letter of credit fees at a rate per annum equal to:</w:t>
      </w:r>
    </w:p>
    <w:p>
      <w:pPr>
        <w:pStyle w:val="TextBody"/>
        <w:bidi w:val="0"/>
        <w:spacing w:before="0" w:after="240"/>
        <w:ind w:left="0" w:right="0" w:hanging="0"/>
        <w:jc w:val="both"/>
        <w:rPr/>
      </w:pPr>
      <w:r>
        <w:rPr/>
        <w:t>●</w:t>
      </w:r>
      <w:r>
        <w:rPr>
          <w:rFonts w:ascii="Times New Roman;Times;serif" w:hAnsi="Times New Roman;Times;serif"/>
          <w:sz w:val="24"/>
        </w:rPr>
        <w:t xml:space="preserve">for any Base Rate Loan, the sum of 3.0% </w:t>
      </w:r>
      <w:r>
        <w:rPr>
          <w:rFonts w:ascii="Times New Roman;Times;serif" w:hAnsi="Times New Roman;Times;serif"/>
          <w:i/>
          <w:sz w:val="24"/>
        </w:rPr>
        <w:t>plus</w:t>
      </w:r>
      <w:r>
        <w:rPr>
          <w:rFonts w:ascii="Times New Roman;Times;serif" w:hAnsi="Times New Roman;Times;serif"/>
          <w:sz w:val="24"/>
        </w:rPr>
        <w:t xml:space="preserve"> the Applicable Margin for the applicable Class </w:t>
      </w:r>
      <w:r>
        <w:rPr>
          <w:rFonts w:ascii="Times New Roman;Times;serif" w:hAnsi="Times New Roman;Times;serif"/>
          <w:i/>
          <w:sz w:val="24"/>
        </w:rPr>
        <w:t>plus</w:t>
      </w:r>
      <w:r>
        <w:rPr>
          <w:rFonts w:ascii="Times New Roman;Times;serif" w:hAnsi="Times New Roman;Times;serif"/>
          <w:sz w:val="24"/>
        </w:rPr>
        <w:t xml:space="preserve"> the Base Rate from time to time in effect; </w:t>
      </w:r>
    </w:p>
    <w:p>
      <w:pPr>
        <w:pStyle w:val="TextBody"/>
        <w:bidi w:val="0"/>
        <w:spacing w:before="0" w:after="240"/>
        <w:ind w:left="0" w:right="0" w:hanging="0"/>
        <w:jc w:val="both"/>
        <w:rPr/>
      </w:pPr>
      <w:r>
        <w:rPr/>
        <w:t>●</w:t>
      </w:r>
      <w:r>
        <w:rPr>
          <w:rFonts w:ascii="Times New Roman;Times;serif" w:hAnsi="Times New Roman;Times;serif"/>
          <w:sz w:val="24"/>
        </w:rPr>
        <w:t xml:space="preserve">for any Daily Simple SOFR Loan, the sum of 3.0% plus the Applicable Margin for the applicable Class plus the Adjusted Daily Simple SOFR from time to time in effect; </w:t>
      </w:r>
    </w:p>
    <w:p>
      <w:pPr>
        <w:pStyle w:val="TextBody"/>
        <w:bidi w:val="0"/>
        <w:spacing w:before="0" w:after="240"/>
        <w:ind w:left="0" w:right="0" w:hanging="0"/>
        <w:jc w:val="both"/>
        <w:rPr/>
      </w:pPr>
      <w:r>
        <w:rPr/>
        <w:t>●</w:t>
      </w:r>
      <w:r>
        <w:rPr>
          <w:rFonts w:ascii="Times New Roman;Times;serif" w:hAnsi="Times New Roman;Times;serif"/>
          <w:sz w:val="24"/>
        </w:rPr>
        <w:t xml:space="preserve">for any Term SOFR Loan, the sum of 3.0% </w:t>
      </w:r>
      <w:r>
        <w:rPr>
          <w:rFonts w:ascii="Times New Roman;Times;serif" w:hAnsi="Times New Roman;Times;serif"/>
          <w:i/>
          <w:sz w:val="24"/>
        </w:rPr>
        <w:t>plus</w:t>
      </w:r>
      <w:r>
        <w:rPr>
          <w:rFonts w:ascii="Times New Roman;Times;serif" w:hAnsi="Times New Roman;Times;serif"/>
          <w:sz w:val="24"/>
        </w:rPr>
        <w:t xml:space="preserve"> the rate of interest in effect thereon at the time of such default until the end of the Interest Period applicable thereto </w:t>
      </w:r>
      <w:r>
        <w:rPr>
          <w:rFonts w:ascii="Times New Roman;Times;serif" w:hAnsi="Times New Roman;Times;serif"/>
          <w:i/>
          <w:sz w:val="24"/>
        </w:rPr>
        <w:t>plus</w:t>
      </w:r>
      <w:r>
        <w:rPr>
          <w:rFonts w:ascii="Times New Roman;Times;serif" w:hAnsi="Times New Roman;Times;serif"/>
          <w:sz w:val="24"/>
        </w:rPr>
        <w:t xml:space="preserve"> the Applicable Margin for the applicable Class and, thereafter, at a rate per annum equal to the sum of 3.0% </w:t>
      </w:r>
      <w:r>
        <w:rPr>
          <w:rFonts w:ascii="Times New Roman;Times;serif" w:hAnsi="Times New Roman;Times;serif"/>
          <w:i/>
          <w:sz w:val="24"/>
        </w:rPr>
        <w:t>plus</w:t>
      </w:r>
      <w:r>
        <w:rPr>
          <w:rFonts w:ascii="Times New Roman;Times;serif" w:hAnsi="Times New Roman;Times;serif"/>
          <w:sz w:val="24"/>
        </w:rPr>
        <w:t xml:space="preserve"> the Applicable Margin for Base Rate Loans of the applicable Class </w:t>
      </w:r>
      <w:r>
        <w:rPr>
          <w:rFonts w:ascii="Times New Roman;Times;serif" w:hAnsi="Times New Roman;Times;serif"/>
          <w:i/>
          <w:sz w:val="24"/>
        </w:rPr>
        <w:t>plus</w:t>
      </w:r>
      <w:r>
        <w:rPr>
          <w:rFonts w:ascii="Times New Roman;Times;serif" w:hAnsi="Times New Roman;Times;serif"/>
          <w:sz w:val="24"/>
        </w:rPr>
        <w:t xml:space="preserve"> the Base Rate from time to time in effect;</w:t>
      </w:r>
    </w:p>
    <w:p>
      <w:pPr>
        <w:pStyle w:val="TextBody"/>
        <w:bidi w:val="0"/>
        <w:spacing w:before="0" w:after="240"/>
        <w:ind w:left="0" w:right="0" w:hanging="0"/>
        <w:jc w:val="both"/>
        <w:rPr/>
      </w:pPr>
      <w:r>
        <w:rPr/>
        <w:t>●</w:t>
      </w:r>
      <w:r>
        <w:rPr>
          <w:rFonts w:ascii="Times New Roman;Times;serif" w:hAnsi="Times New Roman;Times;serif"/>
          <w:sz w:val="24"/>
        </w:rPr>
        <w:t xml:space="preserve">for any Reimbursement Obligation, the sum of 3.0% </w:t>
      </w:r>
      <w:r>
        <w:rPr>
          <w:rFonts w:ascii="Times New Roman;Times;serif" w:hAnsi="Times New Roman;Times;serif"/>
          <w:i/>
          <w:sz w:val="24"/>
        </w:rPr>
        <w:t>plus</w:t>
      </w:r>
      <w:r>
        <w:rPr>
          <w:rFonts w:ascii="Times New Roman;Times;serif" w:hAnsi="Times New Roman;Times;serif"/>
          <w:sz w:val="24"/>
        </w:rPr>
        <w:t xml:space="preserve"> the amounts due under Section 1.3 with respect to such Reimbursement Obligation; 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pPr>
      <w:r>
        <w:rPr/>
        <w:t>●</w:t>
      </w:r>
      <w:r>
        <w:rPr>
          <w:rFonts w:ascii="Times New Roman;Times;serif" w:hAnsi="Times New Roman;Times;serif"/>
          <w:sz w:val="24"/>
        </w:rPr>
        <w:t xml:space="preserve">for any Letter of Credit, the sum of 3.0% </w:t>
      </w:r>
      <w:r>
        <w:rPr>
          <w:rFonts w:ascii="Times New Roman;Times;serif" w:hAnsi="Times New Roman;Times;serif"/>
          <w:i/>
          <w:sz w:val="24"/>
        </w:rPr>
        <w:t>plus</w:t>
      </w:r>
      <w:r>
        <w:rPr>
          <w:rFonts w:ascii="Times New Roman;Times;serif" w:hAnsi="Times New Roman;Times;serif"/>
          <w:sz w:val="24"/>
        </w:rPr>
        <w:t xml:space="preserve"> the letter of credit fee due under Section 2.1 with respect to such Letter of Credit;</w:t>
      </w:r>
    </w:p>
    <w:p>
      <w:pPr>
        <w:pStyle w:val="TextBody"/>
        <w:bidi w:val="0"/>
        <w:spacing w:before="0" w:after="240"/>
        <w:ind w:left="0" w:right="0" w:hanging="0"/>
        <w:jc w:val="both"/>
        <w:rPr>
          <w:rFonts w:ascii="Times New Roman;Times;serif" w:hAnsi="Times New Roman;Times;serif"/>
          <w:sz w:val="24"/>
        </w:rPr>
      </w:pPr>
      <w:r>
        <w:rPr>
          <w:rFonts w:ascii="Times" w:hAnsi="Times"/>
          <w:i/>
          <w:sz w:val="24"/>
        </w:rPr>
        <w:t xml:space="preserve">provided, however, </w:t>
      </w:r>
      <w:r>
        <w:rPr>
          <w:rFonts w:ascii="Times" w:hAnsi="Times"/>
          <w:sz w:val="24"/>
        </w:rPr>
        <w:t xml:space="preserve">that in the absence of acceleration, any adjustments pursuant to this Section 1.9 shall be 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 </w:t>
      </w:r>
    </w:p>
    <w:p>
      <w:pPr>
        <w:pStyle w:val="TextBody"/>
        <w:bidi w:val="0"/>
        <w:spacing w:before="0" w:after="240"/>
        <w:ind w:left="0" w:right="0" w:hanging="0"/>
        <w:jc w:val="both"/>
        <w:rPr/>
      </w:pPr>
      <w:r>
        <w:rPr/>
        <w:t>●</w:t>
      </w:r>
      <w:bookmarkStart w:id="1433" w:name="_Toc115421235"/>
      <w:bookmarkEnd w:id="1433"/>
      <w:r>
        <w:rPr>
          <w:rFonts w:ascii="Times New Roman;Times;serif" w:hAnsi="Times New Roman;Times;serif"/>
          <w:sz w:val="24"/>
          <w:u w:val="single"/>
        </w:rPr>
        <w:t>Evidence of Indebtedness</w:t>
      </w:r>
      <w:r>
        <w:rPr>
          <w:rFonts w:ascii="Times New Roman;Times;serif" w:hAnsi="Times New Roman;Times;serif"/>
          <w:sz w:val="24"/>
        </w:rPr>
        <w:t>.</w:t>
      </w:r>
    </w:p>
    <w:p>
      <w:pPr>
        <w:pStyle w:val="TextBody"/>
        <w:bidi w:val="0"/>
        <w:spacing w:before="0" w:after="240"/>
        <w:ind w:left="0" w:right="0" w:hanging="0"/>
        <w:jc w:val="both"/>
        <w:rPr/>
      </w:pPr>
      <w:r>
        <w:rPr>
          <w:caps w:val="false"/>
          <w:smallCaps w:val="false"/>
        </w:rPr>
        <w:t>●</w:t>
      </w:r>
      <w:r>
        <w:rPr>
          <w:rFonts w:ascii="Times New Roman;Times;serif" w:hAnsi="Times New Roman;Times;serif"/>
          <w:b w:val="false"/>
          <w:i w:val="false"/>
          <w:caps w:val="false"/>
          <w:smallCaps w:val="false"/>
          <w:sz w:val="24"/>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bidi w:val="0"/>
        <w:spacing w:before="0" w:after="200"/>
        <w:ind w:left="0" w:right="0" w:hanging="0"/>
        <w:jc w:val="both"/>
        <w:rPr/>
      </w:pPr>
      <w:r>
        <w:rPr/>
        <w:t>●</w:t>
      </w:r>
      <w:r>
        <w:rPr>
          <w:rFonts w:ascii="Times New Roman;Times;serif" w:hAnsi="Times New Roman;Times;serif"/>
          <w:sz w:val="24"/>
        </w:rPr>
        <w:t>The Administrative Agent shall also maintain accounts in which it will record (i) the amount of each Loan made hereunder, the Class and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before="0" w:after="200"/>
        <w:ind w:left="0" w:right="0" w:hanging="0"/>
        <w:jc w:val="both"/>
        <w:rPr/>
      </w:pPr>
      <w:r>
        <w:rPr/>
        <w:t>●</w:t>
      </w:r>
      <w:r>
        <w:rPr>
          <w:rFonts w:ascii="Times New Roman;Times;serif" w:hAnsi="Times New Roman;Times;serif"/>
          <w:sz w:val="24"/>
        </w:rPr>
        <w:t xml:space="preserve">The entries maintained in the accounts maintained pursuant to paragraphs (a) and (b) above shall be </w:t>
      </w:r>
      <w:r>
        <w:rPr>
          <w:rFonts w:ascii="Times New Roman;Times;serif" w:hAnsi="Times New Roman;Times;serif"/>
          <w:i/>
          <w:sz w:val="24"/>
        </w:rPr>
        <w:t>prima facie</w:t>
      </w:r>
      <w:r>
        <w:rPr>
          <w:rFonts w:ascii="Times New Roman;Times;serif" w:hAnsi="Times New Roman;Times;serif"/>
          <w:sz w:val="24"/>
        </w:rPr>
        <w:t xml:space="preserve"> evidence of the existence and amounts of the Obligations therein recorded absent manifest error; </w:t>
      </w:r>
      <w:r>
        <w:rPr>
          <w:rFonts w:ascii="Times New Roman;Times;serif" w:hAnsi="Times New Roman;Times;serif"/>
          <w:i/>
          <w:sz w:val="24"/>
        </w:rPr>
        <w:t xml:space="preserve">provided, however, </w:t>
      </w:r>
      <w:r>
        <w:rPr>
          <w:rFonts w:ascii="Times New Roman;Times;serif" w:hAnsi="Times New Roman;Times;serif"/>
          <w:sz w:val="24"/>
        </w:rPr>
        <w:t>that the failure of the Administrative Agent or any Lender to maintain such accounts or any error therein shall not in any manner affect the obligation of the Borrower to repay the Obligations in accordance with their terms.</w:t>
      </w:r>
    </w:p>
    <w:p>
      <w:pPr>
        <w:pStyle w:val="TextBody"/>
        <w:bidi w:val="0"/>
        <w:ind w:left="0" w:right="0" w:hanging="0"/>
        <w:jc w:val="both"/>
        <w:rPr/>
      </w:pPr>
      <w:r>
        <w:rPr/>
        <w:t>●</w:t>
      </w:r>
      <w:r>
        <w:rPr>
          <w:rFonts w:ascii="Times New Roman;Times;serif" w:hAnsi="Times New Roman;Times;serif"/>
          <w:sz w:val="24"/>
        </w:rPr>
        <w:t>Any Lender may request that its Loans of any Class be evidenced by a promissory note or notes in the forms of Exhibit D-1 (in the case of its Revolving Loans, a “Revolving Note” and collectively, the “</w:t>
      </w:r>
      <w:r>
        <w:rPr>
          <w:rFonts w:ascii="Times New Roman;Times;serif" w:hAnsi="Times New Roman;Times;serif"/>
          <w:i/>
          <w:sz w:val="24"/>
        </w:rPr>
        <w:t>Revolving Notes</w:t>
      </w:r>
      <w:r>
        <w:rPr>
          <w:rFonts w:ascii="Times New Roman;Times;serif" w:hAnsi="Times New Roman;Times;serif"/>
          <w:sz w:val="24"/>
        </w:rPr>
        <w:t>”),  Exhibit D-2 (in the case of its Swing Loans, a “</w:t>
      </w:r>
      <w:r>
        <w:rPr>
          <w:rFonts w:ascii="Times New Roman;Times;serif" w:hAnsi="Times New Roman;Times;serif"/>
          <w:i/>
          <w:sz w:val="24"/>
        </w:rPr>
        <w:t>Swing Note</w:t>
      </w:r>
      <w:r>
        <w:rPr>
          <w:rFonts w:ascii="Times New Roman;Times;serif" w:hAnsi="Times New Roman;Times;serif"/>
          <w:sz w:val="24"/>
        </w:rPr>
        <w:t>”), Exhibit D-3 (in the case of its Term Loan and referred to herein as a “</w:t>
      </w:r>
      <w:r>
        <w:rPr>
          <w:rFonts w:ascii="Times New Roman;Times;serif" w:hAnsi="Times New Roman;Times;serif"/>
          <w:i/>
          <w:sz w:val="24"/>
        </w:rPr>
        <w:t>Term Note</w:t>
      </w:r>
      <w:r>
        <w:rPr>
          <w:rFonts w:ascii="Times New Roman;Times;serif" w:hAnsi="Times New Roman;Times;serif"/>
          <w:sz w:val="24"/>
        </w:rPr>
        <w:t>” and collectively the “</w:t>
      </w:r>
      <w:r>
        <w:rPr>
          <w:rFonts w:ascii="Times New Roman;Times;serif" w:hAnsi="Times New Roman;Times;serif"/>
          <w:i/>
          <w:sz w:val="24"/>
        </w:rPr>
        <w:t>Term Notes</w:t>
      </w:r>
      <w:r>
        <w:rPr>
          <w:rFonts w:ascii="Times New Roman;Times;serif" w:hAnsi="Times New Roman;Times;serif"/>
          <w:sz w:val="24"/>
        </w:rPr>
        <w:t>”) or Exhibit D 4 (in the case of its Incremental Term Loans and referred to herein as a “</w:t>
      </w:r>
      <w:r>
        <w:rPr>
          <w:rFonts w:ascii="Times New Roman;Times;serif" w:hAnsi="Times New Roman;Times;serif"/>
          <w:i/>
          <w:sz w:val="24"/>
        </w:rPr>
        <w:t>Incremental Term Note</w:t>
      </w:r>
      <w:r>
        <w:rPr>
          <w:rFonts w:ascii="Times New Roman;Times;serif" w:hAnsi="Times New Roman;Times;serif"/>
          <w:sz w:val="24"/>
        </w:rPr>
        <w:t>” and collectively the “</w:t>
      </w:r>
      <w:r>
        <w:rPr>
          <w:rFonts w:ascii="Times New Roman;Times;serif" w:hAnsi="Times New Roman;Times;serif"/>
          <w:i/>
          <w:sz w:val="24"/>
        </w:rPr>
        <w:t>Incremental Term Notes</w:t>
      </w:r>
      <w:r>
        <w:rPr>
          <w:rFonts w:ascii="Times New Roman;Times;serif" w:hAnsi="Times New Roman;Times;serif"/>
          <w:sz w:val="24"/>
        </w:rPr>
        <w:t>”) as applicable (Revolving Notes, the Swing Note, Term Notes and Incremental Term Notes being herein referred to collectively as the “</w:t>
      </w:r>
      <w:r>
        <w:rPr>
          <w:rFonts w:ascii="Times New Roman;Times;serif" w:hAnsi="Times New Roman;Times;serif"/>
          <w:i/>
          <w:sz w:val="24"/>
        </w:rPr>
        <w:t>Notes</w:t>
      </w:r>
      <w:r>
        <w:rPr>
          <w:rFonts w:ascii="Times New Roman;Times;serif" w:hAnsi="Times New Roman;Times;serif"/>
          <w:sz w:val="24"/>
        </w:rPr>
        <w:t>” and individually as a “</w:t>
      </w:r>
      <w:r>
        <w:rPr>
          <w:rFonts w:ascii="Times New Roman;Times;serif" w:hAnsi="Times New Roman;Times;serif"/>
          <w:i/>
          <w:sz w:val="24"/>
        </w:rPr>
        <w:t>Note</w:t>
      </w:r>
      <w:r>
        <w:rPr>
          <w:rFonts w:ascii="Times New Roman;Times;serif" w:hAnsi="Times New Roman;Times;serif"/>
          <w:sz w:val="24"/>
        </w:rPr>
        <w:t>”).  In such event, the Borrower shall prepare, execute and deliver to such Lender a Note payable to such Lender or its registered assigns in the amount of the relevant Revolving Credit Commitment, Swing Line Sublimit, Term Loan Commitment or Term Loan, as then applicable, or Incremental Term Loan or Incremental Term Loan Commitment, as then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bookmarkStart w:id="1434" w:name="_Toc115421236"/>
      <w:bookmarkStart w:id="1435" w:name="_Ref70340943"/>
      <w:bookmarkStart w:id="1436" w:name="_Ref70340785"/>
      <w:bookmarkStart w:id="1437" w:name="_Ref70340725"/>
      <w:bookmarkStart w:id="1438" w:name="_Ref70340695"/>
      <w:bookmarkEnd w:id="1434"/>
      <w:bookmarkEnd w:id="1435"/>
      <w:bookmarkEnd w:id="1436"/>
      <w:bookmarkEnd w:id="1437"/>
      <w:bookmarkEnd w:id="1438"/>
      <w:r>
        <w:rPr>
          <w:rFonts w:ascii="Times New Roman;Times;serif" w:hAnsi="Times New Roman;Times;serif"/>
          <w:sz w:val="24"/>
          <w:u w:val="single"/>
        </w:rPr>
        <w:t>Funding Indemnity</w:t>
      </w:r>
      <w:r>
        <w:rPr>
          <w:rFonts w:ascii="Times New Roman;Times;serif" w:hAnsi="Times New Roman;Times;serif"/>
          <w:sz w:val="24"/>
        </w:rPr>
        <w:t>.  If any Lender shall incur any loss, cost or reasonable expense (including, without limitation, any loss, cost or reasonable expense incurred by reason of the liquidation or re-employment of deposits or other funds acquired by such Lender to fund or maintain any Term SOFR Loan or the relending or reinvesting of such deposits or amounts paid or prepaid to such Lender) as a result of:</w:t>
      </w:r>
    </w:p>
    <w:p>
      <w:pPr>
        <w:pStyle w:val="TextBody"/>
        <w:bidi w:val="0"/>
        <w:spacing w:before="0" w:after="160"/>
        <w:ind w:left="0" w:right="0" w:hanging="0"/>
        <w:jc w:val="both"/>
        <w:rPr/>
      </w:pPr>
      <w:r>
        <w:rPr/>
        <w:t>●</w:t>
      </w:r>
      <w:r>
        <w:rPr>
          <w:rFonts w:ascii="Times New Roman;Times;serif" w:hAnsi="Times New Roman;Times;serif"/>
          <w:sz w:val="24"/>
        </w:rPr>
        <w:t xml:space="preserve">any payment, prepayment or conversion of a Term SOFR Loan on a date other than the last day of its Interest Period, </w:t>
      </w:r>
    </w:p>
    <w:p>
      <w:pPr>
        <w:pStyle w:val="TextBody"/>
        <w:bidi w:val="0"/>
        <w:spacing w:before="0" w:after="160"/>
        <w:ind w:left="0" w:right="0" w:hanging="0"/>
        <w:jc w:val="both"/>
        <w:rPr/>
      </w:pPr>
      <w:r>
        <w:rPr/>
        <w:t>●</w:t>
      </w:r>
      <w:r>
        <w:rPr>
          <w:rFonts w:ascii="Times New Roman;Times;serif" w:hAnsi="Times New Roman;Times;serif"/>
          <w:sz w:val="24"/>
        </w:rPr>
        <w:t>any failure (because of a failure to meet the conditions of Section 7 or otherwise) by the Borrower to borrow or continue a Term SOFR Loan, or to convert a Base Rate Loan into a Term SOFR Loan, on the date specified in a notice given pursuant to Section 1.6(a) hereof,</w:t>
      </w:r>
    </w:p>
    <w:p>
      <w:pPr>
        <w:pStyle w:val="TextBody"/>
        <w:bidi w:val="0"/>
        <w:spacing w:before="0" w:after="240"/>
        <w:ind w:left="0" w:right="0" w:hanging="0"/>
        <w:jc w:val="both"/>
        <w:rPr/>
      </w:pPr>
      <w:r>
        <w:rPr/>
        <w:t>●</w:t>
      </w:r>
      <w:r>
        <w:rPr>
          <w:rFonts w:ascii="Times New Roman;Times;serif" w:hAnsi="Times New Roman;Times;serif"/>
          <w:sz w:val="24"/>
        </w:rPr>
        <w:t>any failure by the Borrower to make any payment of principal on any Term SOFR Loan when due (whether by acceleration or otherwise),</w:t>
      </w:r>
    </w:p>
    <w:p>
      <w:pPr>
        <w:pStyle w:val="TextBody"/>
        <w:bidi w:val="0"/>
        <w:spacing w:before="0" w:after="240"/>
        <w:ind w:left="0" w:right="0" w:hanging="0"/>
        <w:jc w:val="both"/>
        <w:rPr/>
      </w:pPr>
      <w:r>
        <w:rPr/>
        <w:t>●</w:t>
      </w:r>
      <w:r>
        <w:rPr>
          <w:rFonts w:ascii="Times New Roman;Times;serif" w:hAnsi="Times New Roman;Times;serif"/>
          <w:sz w:val="24"/>
        </w:rPr>
        <w:t>any acceleration of the maturity of a Term SOFR Loan as a result of the occurrence of any Event of Default hereunder, or</w:t>
      </w:r>
    </w:p>
    <w:p>
      <w:pPr>
        <w:pStyle w:val="TextBody"/>
        <w:bidi w:val="0"/>
        <w:ind w:left="0" w:right="0" w:hanging="0"/>
        <w:jc w:val="both"/>
        <w:rPr/>
      </w:pPr>
      <w:r>
        <w:rPr/>
        <w:t>●</w:t>
      </w:r>
      <w:r>
        <w:rPr>
          <w:rFonts w:ascii="Times New Roman;Times;serif" w:hAnsi="Times New Roman;Times;serif"/>
          <w:sz w:val="24"/>
        </w:rPr>
        <w:t>the assignment of any Term SOFR Loan on a date other than the last day of the Interest Period applicable thereto as a result of a request by the Borrower pursuant to Section 1.13;</w:t>
      </w:r>
    </w:p>
    <w:p>
      <w:pPr>
        <w:pStyle w:val="TextBody"/>
        <w:bidi w:val="0"/>
        <w:spacing w:before="0" w:after="240"/>
        <w:ind w:left="0" w:right="0" w:hanging="0"/>
        <w:jc w:val="both"/>
        <w:rPr>
          <w:rFonts w:ascii="Times New Roman;Times;serif" w:hAnsi="Times New Roman;Times;serif"/>
          <w:sz w:val="24"/>
        </w:rPr>
      </w:pPr>
      <w:r>
        <w:rPr>
          <w:rFonts w:ascii="Times" w:hAnsi="Times"/>
          <w:sz w:val="24"/>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w:t>
      </w:r>
      <w:r>
        <w:rPr>
          <w:rFonts w:ascii="Times New Roman;Times;serif" w:hAnsi="Times New Roman;Times;serif"/>
          <w:sz w:val="24"/>
        </w:rPr>
        <w:t xml:space="preserve"> </w:t>
      </w:r>
      <w:r>
        <w:rPr>
          <w:rFonts w:ascii="Times" w:hAnsi="Times"/>
          <w:sz w:val="24"/>
        </w:rPr>
        <w:t>and the amounts shown on such certificate shall be conclusive if reasonably determined absent manifest error.</w:t>
      </w:r>
    </w:p>
    <w:p>
      <w:pPr>
        <w:pStyle w:val="TextBody"/>
        <w:bidi w:val="0"/>
        <w:spacing w:before="0" w:after="160"/>
        <w:ind w:left="0" w:right="0" w:hanging="0"/>
        <w:jc w:val="both"/>
        <w:rPr/>
      </w:pPr>
      <w:r>
        <w:rPr/>
        <w:t>●</w:t>
      </w:r>
      <w:bookmarkStart w:id="1439" w:name="_Toc115421237"/>
      <w:bookmarkEnd w:id="1439"/>
      <w:r>
        <w:rPr>
          <w:rFonts w:ascii="Times New Roman;Times;serif" w:hAnsi="Times New Roman;Times;serif"/>
          <w:sz w:val="24"/>
          <w:u w:val="single"/>
        </w:rPr>
        <w:t>Commitment Terminations</w:t>
      </w:r>
      <w:r>
        <w:rPr>
          <w:rFonts w:ascii="Times New Roman;Times;serif" w:hAnsi="Times New Roman;Times;serif"/>
          <w:sz w:val="24"/>
        </w:rPr>
        <w:t>.</w:t>
      </w:r>
    </w:p>
    <w:p>
      <w:pPr>
        <w:pStyle w:val="TextBody"/>
        <w:bidi w:val="0"/>
        <w:spacing w:before="0" w:after="160"/>
        <w:ind w:left="0" w:right="0" w:hanging="0"/>
        <w:jc w:val="both"/>
        <w:rPr/>
      </w:pPr>
      <w:r>
        <w:rPr>
          <w:caps w:val="false"/>
          <w:smallCaps w:val="false"/>
        </w:rPr>
        <w:t>●</w:t>
      </w:r>
      <w:r>
        <w:rPr>
          <w:rFonts w:ascii="Times New Roman;Times;serif" w:hAnsi="Times New Roman;Times;serif"/>
          <w:b w:val="false"/>
          <w:i w:val="false"/>
          <w:caps w:val="false"/>
          <w:smallCaps w:val="false"/>
          <w:sz w:val="24"/>
          <w:u w:val="single"/>
        </w:rPr>
        <w:t>Optional Revolving Credit Terminations</w:t>
      </w:r>
      <w:r>
        <w:rPr>
          <w:rFonts w:ascii="Times New Roman;Times;serif" w:hAnsi="Times New Roman;Times;serif"/>
          <w:b w:val="false"/>
          <w:i w:val="false"/>
          <w:caps w:val="false"/>
          <w:smallCaps w:val="false"/>
          <w:sz w:val="24"/>
        </w:rPr>
        <w:t>.  The Borrower shall have the right at any time and from time to time, upon five (5) Business Days prior written notice to the Administrative Agent (or such shorter period of time agreed to by the Administrative Agent), to terminate the Revolving Credit Commitments without premium or penalty and in whole or in part, any partial termination to be (i) in an amount not less than $1,000,000 and (ii) allocated ratably among the Revolving Lenders in proportion to their respective Applicable Percentages, provided that the Revolving Credit Commitments may not be reduced to an amount less than the sum of the aggregate principal amount of Revolving Loans, Swing Loans and L/C Obligations then outstanding.  Any termination of the Revolving Credit Commitments below the L/C Sublimit or the Swing Line Sublimit then in effect shall reduce the L/C Sublimit or the Swing Line Sublimit, as applicable, by a like amount.  The Administrative Agent shall give prompt notice to each Revolving Lender of any such termination of the Revolving Credit Commitments.</w:t>
      </w:r>
    </w:p>
    <w:p>
      <w:pPr>
        <w:pStyle w:val="TextBody"/>
        <w:bidi w:val="0"/>
        <w:ind w:left="0" w:right="0" w:hanging="0"/>
        <w:jc w:val="both"/>
        <w:rPr/>
      </w:pPr>
      <w:r>
        <w:rPr/>
        <w:t>●</w:t>
      </w:r>
      <w:r>
        <w:rPr>
          <w:rFonts w:ascii="Times New Roman;Times;serif" w:hAnsi="Times New Roman;Times;serif"/>
          <w:sz w:val="24"/>
        </w:rPr>
        <w:t>Any termination of the Revolving Credit Commitments pursuant to this Section 1.12 may not be reinstated.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bookmarkStart w:id="1440" w:name="_Toc115421238"/>
      <w:bookmarkStart w:id="1441" w:name="_Ref99962250"/>
      <w:bookmarkEnd w:id="1440"/>
      <w:bookmarkEnd w:id="1441"/>
      <w:r>
        <w:rPr>
          <w:rFonts w:ascii="Times New Roman;Times;serif" w:hAnsi="Times New Roman;Times;serif"/>
          <w:sz w:val="24"/>
          <w:u w:val="single"/>
        </w:rPr>
        <w:t>Substitution of Lenders</w:t>
      </w:r>
      <w:r>
        <w:rPr>
          <w:rFonts w:ascii="Times New Roman;Times;serif" w:hAnsi="Times New Roman;Times;serif"/>
          <w:sz w:val="24"/>
        </w:rPr>
        <w:t>.  In the event (a) the Borrower receives a claim from any Lender for compensation under Section 10.3 or 12.1 hereof, (b) the Borrower receives notice 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 (d) above being hereinafter referred to as an “</w:t>
      </w:r>
      <w:r>
        <w:rPr>
          <w:rFonts w:ascii="Times New Roman;Times;serif" w:hAnsi="Times New Roman;Times;serif"/>
          <w:i/>
          <w:sz w:val="24"/>
        </w:rPr>
        <w:t>Affected Lender”</w:t>
      </w:r>
      <w:r>
        <w:rPr>
          <w:rFonts w:ascii="Times New Roman;Times;serif" w:hAnsi="Times New Roman;Times;serif"/>
          <w:sz w:val="24"/>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Revolving Credit Commitments, Term Loan Commitments, if any, and Incremental Term Loan Commitments, if any, and the Loans and participation interests in Letters of Credit and other amounts at any time owing to it hereunder and the other Loan Documents) to an Eligible Assignee specified by the Borrower, </w:t>
      </w:r>
      <w:r>
        <w:rPr>
          <w:rFonts w:ascii="Times New Roman;Times;serif" w:hAnsi="Times New Roman;Times;serif"/>
          <w:i/>
          <w:sz w:val="24"/>
        </w:rPr>
        <w:t>provided</w:t>
      </w:r>
      <w:r>
        <w:rPr>
          <w:rFonts w:ascii="Times New Roman;Times;serif" w:hAnsi="Times New Roman;Times;serif"/>
          <w:sz w:val="24"/>
        </w:rPr>
        <w:t xml:space="preserve"> 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pStyle w:val="TextBody"/>
        <w:bidi w:val="0"/>
        <w:spacing w:before="0" w:after="200"/>
        <w:ind w:left="0" w:right="0" w:hanging="0"/>
        <w:jc w:val="both"/>
        <w:rPr/>
      </w:pPr>
      <w:r>
        <w:rPr/>
        <w:t>●</w:t>
      </w:r>
      <w:bookmarkStart w:id="1442" w:name="_Toc115421239"/>
      <w:bookmarkEnd w:id="1442"/>
      <w:r>
        <w:rPr>
          <w:rFonts w:ascii="Times New Roman;Times;serif" w:hAnsi="Times New Roman;Times;serif"/>
          <w:sz w:val="24"/>
          <w:u w:val="single"/>
        </w:rPr>
        <w:t>Defaulting Lenders</w:t>
      </w:r>
      <w:r>
        <w:rPr>
          <w:rFonts w:ascii="Times New Roman;Times;serif" w:hAnsi="Times New Roman;Times;serif"/>
          <w:i/>
          <w:sz w:val="24"/>
        </w:rPr>
        <w:t>.  </w:t>
      </w:r>
      <w:r>
        <w:rPr>
          <w:rFonts w:ascii="Times New Roman;Times;serif" w:hAnsi="Times New Roman;Times;serif"/>
          <w:sz w:val="24"/>
        </w:rPr>
        <w:t>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ind w:left="0" w:right="0" w:hanging="0"/>
        <w:jc w:val="both"/>
        <w:rPr/>
      </w:pPr>
      <w:r>
        <w:rPr/>
        <w:t>●</w:t>
      </w:r>
      <w:r>
        <w:rPr>
          <w:rFonts w:ascii="Times New Roman;Times;serif" w:hAnsi="Times New Roman;Times;serif"/>
          <w:sz w:val="22"/>
          <w:u w:val="single"/>
        </w:rPr>
        <w:t>Waivers and Amendments</w:t>
      </w:r>
      <w:r>
        <w:rPr>
          <w:rFonts w:ascii="Times New Roman;Times;serif" w:hAnsi="Times New Roman;Times;serif"/>
          <w:sz w:val="22"/>
        </w:rPr>
        <w:t>.  </w:t>
      </w:r>
      <w:r>
        <w:rPr>
          <w:rFonts w:ascii="Times New Roman;Times;serif" w:hAnsi="Times New Roman;Times;serif"/>
          <w:sz w:val="24"/>
        </w:rPr>
        <w:t>Such Defaulting Lender’s right to approve or disapprove any amendment, waiver or consent with respect to this Agreement shall be restricted as set forth in the definition of Required Lenders.</w:t>
      </w:r>
    </w:p>
    <w:p>
      <w:pPr>
        <w:pStyle w:val="TextBody"/>
        <w:bidi w:val="0"/>
        <w:spacing w:before="0" w:after="240"/>
        <w:ind w:left="0" w:right="0" w:hanging="0"/>
        <w:jc w:val="both"/>
        <w:rPr/>
      </w:pPr>
      <w:r>
        <w:rPr/>
        <w:t>●</w:t>
      </w:r>
      <w:r>
        <w:rPr>
          <w:rFonts w:ascii="Times New Roman;Times;serif" w:hAnsi="Times New Roman;Times;serif"/>
          <w:sz w:val="24"/>
          <w:u w:val="single"/>
        </w:rPr>
        <w:t>Defaulting Lender Waterfall</w:t>
      </w:r>
      <w:r>
        <w:rPr>
          <w:rFonts w:ascii="Times New Roman;Times;serif" w:hAnsi="Times New Roman;Times;serif"/>
          <w:sz w:val="24"/>
        </w:rPr>
        <w:t xml:space="preserve">.  Any payment of principal, interest, Fees or other amounts received by the Administrative Agent for the account of such Defaulting Lender (whether voluntary or mandatory, at maturity, pursuant to Section 9 or otherwise) or received by the Administrative Agent from a Defaulting Lender pursuant to Section 12.16 shall be applied at such time or times as may be determined by the Administrative Agent as follows: </w:t>
      </w:r>
      <w:r>
        <w:rPr>
          <w:rFonts w:ascii="Times New Roman;Times;serif" w:hAnsi="Times New Roman;Times;serif"/>
          <w:sz w:val="24"/>
          <w:u w:val="single"/>
        </w:rPr>
        <w:t>first</w:t>
      </w:r>
      <w:r>
        <w:rPr>
          <w:rFonts w:ascii="Times New Roman;Times;serif" w:hAnsi="Times New Roman;Times;serif"/>
          <w:sz w:val="24"/>
        </w:rPr>
        <w:t xml:space="preserve">, to the payment of any amounts owing by such Defaulting Lender to the Administrative Agent hereunder; </w:t>
      </w:r>
      <w:r>
        <w:rPr>
          <w:rFonts w:ascii="Times New Roman;Times;serif" w:hAnsi="Times New Roman;Times;serif"/>
          <w:sz w:val="24"/>
          <w:u w:val="single"/>
        </w:rPr>
        <w:t>second</w:t>
      </w:r>
      <w:r>
        <w:rPr>
          <w:rFonts w:ascii="Times New Roman;Times;serif" w:hAnsi="Times New Roman;Times;serif"/>
          <w:sz w:val="24"/>
        </w:rPr>
        <w:t xml:space="preserve">, in the case of a Defaulting Lender that is a Revolving Lender, to the payment on a pro rata basis of any amounts owing by such Defaulting Lender to the L/C Issuer or the Swing Line Lender hereunder; </w:t>
      </w:r>
      <w:r>
        <w:rPr>
          <w:rFonts w:ascii="Times New Roman;Times;serif" w:hAnsi="Times New Roman;Times;serif"/>
          <w:sz w:val="24"/>
          <w:u w:val="single"/>
        </w:rPr>
        <w:t>third</w:t>
      </w:r>
      <w:r>
        <w:rPr>
          <w:rFonts w:ascii="Times New Roman;Times;serif" w:hAnsi="Times New Roman;Times;serif"/>
          <w:sz w:val="24"/>
        </w:rPr>
        <w:t xml:space="preserve">, in the case of a Defaulting Lender that is a Revolving Lender, to Cash Collateralize the L/C Issuer’s Fronting Exposure with respect to such Defaulting Lender in accordance with subsection (e) below; </w:t>
      </w:r>
      <w:r>
        <w:rPr>
          <w:rFonts w:ascii="Times New Roman;Times;serif" w:hAnsi="Times New Roman;Times;serif"/>
          <w:sz w:val="24"/>
          <w:u w:val="single"/>
        </w:rPr>
        <w:t>fourth</w:t>
      </w:r>
      <w:r>
        <w:rPr>
          <w:rFonts w:ascii="Times New Roman;Times;serif" w:hAnsi="Times New Roman;Times;serif"/>
          <w:sz w:val="24"/>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sz w:val="24"/>
          <w:u w:val="single"/>
        </w:rPr>
        <w:t>fifth</w:t>
      </w:r>
      <w:r>
        <w:rPr>
          <w:rFonts w:ascii="Times New Roman;Times;serif" w:hAnsi="Times New Roman;Times;serif"/>
          <w:sz w:val="24"/>
        </w:rPr>
        <w:t xml:space="preserve">, if so determined by the Administrative Agent and the Borrower, to be held in a deposit account and released pro rata in order to (x) satisfy such Defaulting Lender’s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potential future funding obligations with respect to Revolving Loans under this Agreement and (y) in the case of a Defaulting Lender that is a Revolving Lender, Cash Collateralize the L/C Issuer’s future Fronting Exposure with respect to such Defaulting Lender with respect to future Letters of Credit issued under this Agreement, in accordance with subsection (e) below; </w:t>
      </w:r>
      <w:r>
        <w:rPr>
          <w:rFonts w:ascii="Times New Roman;Times;serif" w:hAnsi="Times New Roman;Times;serif"/>
          <w:sz w:val="24"/>
          <w:u w:val="single"/>
        </w:rPr>
        <w:t>sixth</w:t>
      </w:r>
      <w:r>
        <w:rPr>
          <w:rFonts w:ascii="Times New Roman;Times;serif" w:hAnsi="Times New Roman;Times;serif"/>
          <w:sz w:val="24"/>
        </w:rPr>
        <w:t xml:space="preserve">, to the payment of any amounts owing to the Lenders, the L/C Issuer or the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Times;serif" w:hAnsi="Times New Roman;Times;serif"/>
          <w:sz w:val="24"/>
          <w:u w:val="single"/>
        </w:rPr>
        <w:t>seventh</w:t>
      </w:r>
      <w:r>
        <w:rPr>
          <w:rFonts w:ascii="Times New Roman;Times;serif" w:hAnsi="Times New Roman;Times;serif"/>
          <w:sz w:val="24"/>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sz w:val="24"/>
          <w:u w:val="single"/>
        </w:rPr>
        <w:t>eighth</w:t>
      </w:r>
      <w:r>
        <w:rPr>
          <w:rFonts w:ascii="Times New Roman;Times;serif" w:hAnsi="Times New Roman;Times;serif"/>
          <w:sz w:val="24"/>
        </w:rPr>
        <w:t xml:space="preserve">, to such Defaulting Lender or as otherwise directed by a court of competent jurisdiction; </w:t>
      </w:r>
      <w:r>
        <w:rPr>
          <w:rFonts w:ascii="Times New Roman;Times;serif" w:hAnsi="Times New Roman;Times;serif"/>
          <w:sz w:val="24"/>
          <w:u w:val="single"/>
        </w:rPr>
        <w:t>provided</w:t>
      </w:r>
      <w:r>
        <w:rPr>
          <w:rFonts w:ascii="Times New Roman;Times;serif" w:hAnsi="Times New Roman;Times;serif"/>
          <w:sz w:val="24"/>
        </w:rPr>
        <w:t xml:space="preserve"> that if (x) such payment is a payment of the principal amount of any Loans of any Class or amounts owing by such Defaulting Lender under Section 1.3 in respect of Letters of Credit (such amounts “L</w:t>
      </w:r>
      <w:r>
        <w:rPr>
          <w:rFonts w:ascii="Times New Roman;Times;serif" w:hAnsi="Times New Roman;Times;serif"/>
          <w:i/>
          <w:sz w:val="24"/>
        </w:rPr>
        <w:t>/C Disbursements</w:t>
      </w:r>
      <w:r>
        <w:rPr>
          <w:rFonts w:ascii="Times New Roman;Times;serif" w:hAnsi="Times New Roman;Times;serif"/>
          <w:sz w:val="24"/>
        </w:rPr>
        <w:t>”), in respect of which such Defaulting Lender has not fully funded its appropriate share, and (y) such Loans were made or the related Letters of Credit were issued at a time when the conditions set forth in Section 7 were satisfied or waived, such payment shall be applied solely to pay the Loans of such Class of, and L/C Disbursements owed to, all Non-Defaulting Lenders on a pro rata basis prior to being applied to the payment of any Loans of, or L/C Disbursements owed to, such Defaulting Lender until such time as all Loans of such Class and, as applicable, funded and unfunded participations in L/C Obligations and Swing Loans are held by the Revolving Lenders pro rata in accordance with their respective Applicable Percentages (determined without giving effect to the immediately following subsection (d)) and all Term Loans of each Class are held by the Term Lenders of such Class pro rata as if there had been no Defaulting Lenders that are Term Lenders of such Class.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pStyle w:val="TextBody"/>
        <w:bidi w:val="0"/>
        <w:spacing w:before="0" w:after="240"/>
        <w:ind w:left="0" w:right="0" w:hanging="0"/>
        <w:jc w:val="both"/>
        <w:rPr/>
      </w:pPr>
      <w:r>
        <w:rPr/>
        <w:t>●</w:t>
      </w:r>
      <w:r>
        <w:rPr>
          <w:rFonts w:ascii="Times New Roman;Times;serif" w:hAnsi="Times New Roman;Times;serif"/>
          <w:sz w:val="24"/>
          <w:u w:val="single"/>
        </w:rPr>
        <w:t>Certain Fees</w:t>
      </w:r>
      <w:r>
        <w:rPr>
          <w:rFonts w:ascii="Times New Roman;Times;serif" w:hAnsi="Times New Roman;Times;serif"/>
          <w:sz w:val="24"/>
        </w:rPr>
        <w:t>.</w:t>
      </w:r>
    </w:p>
    <w:p>
      <w:pPr>
        <w:pStyle w:val="TextBody"/>
        <w:bidi w:val="0"/>
        <w:spacing w:before="0" w:after="240"/>
        <w:ind w:left="720" w:right="0" w:hanging="0"/>
        <w:jc w:val="both"/>
        <w:rPr/>
      </w:pPr>
      <w:r>
        <w:rPr/>
        <w:t>●</w:t>
      </w:r>
      <w:r>
        <w:rPr>
          <w:rFonts w:ascii="Times New Roman;Times;serif" w:hAnsi="Times New Roman;Times;serif"/>
          <w:sz w:val="24"/>
        </w:rPr>
        <w:t>No Defaulting Lender shall be entitled to receive any Fee payable under Section 2.1(a)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240"/>
        <w:ind w:left="720" w:right="0" w:hanging="0"/>
        <w:jc w:val="both"/>
        <w:rPr/>
      </w:pPr>
      <w:r>
        <w:rPr/>
        <w:t>●</w:t>
      </w:r>
      <w:r>
        <w:rPr>
          <w:rFonts w:ascii="Times New Roman;Times;serif" w:hAnsi="Times New Roman;Times;serif"/>
          <w:sz w:val="24"/>
        </w:rPr>
        <w:t>Each Defaulting Lender that is a Revolving Lender shall be entitled to receive the Fee payable under Section 2.1(b) for any period during which that Lender is a Defaulting Lender only to the extent allocable to its Applicable Percentage of the stated amount of Letters of Credit for which it has provided Cash Collateral pursuant to the immediately following subsection (e).</w:t>
      </w:r>
    </w:p>
    <w:p>
      <w:pPr>
        <w:pStyle w:val="TextBody"/>
        <w:bidi w:val="0"/>
        <w:ind w:left="720" w:right="0" w:hanging="0"/>
        <w:jc w:val="both"/>
        <w:rPr/>
      </w:pPr>
      <w:r>
        <w:rPr/>
        <w:t>●</w:t>
      </w:r>
      <w:r>
        <w:rPr>
          <w:rFonts w:ascii="Times New Roman;Times;serif" w:hAnsi="Times New Roman;Times;serif"/>
          <w:sz w:val="24"/>
        </w:rPr>
        <w:t xml:space="preserve">With respect to any Fee not required to be paid to any Defaulting Lender that is a Revolving Lender pursuant to the immediately preceding clause (ii), the Borrower shall (x) pay to each Non-Defaulting Lender that is a Revolving Lender that portion of any such Fee otherwise payable to such Defaulting Lender with respect to such Defaulting Lender’s participation in L/C Obligations or Swing Loans that has been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reallocated to such Non-Defaulting Lender pursuant to the immediately following subsection (d), (y) pay to the L/C Issuer and the Swing Line Lender, as applicable, the amount of any such Fee otherwise payable to such Defaulting Lender to the extent allocable to the L/C Issuer’s or Swing Line Lender’s Fronting Exposure to such Defaulting Lender, and (z) not be required to pay the remaining amount of any such Fee.</w:t>
      </w:r>
    </w:p>
    <w:p>
      <w:pPr>
        <w:pStyle w:val="TextBody"/>
        <w:bidi w:val="0"/>
        <w:spacing w:before="0" w:after="240"/>
        <w:ind w:left="0" w:right="0" w:hanging="0"/>
        <w:jc w:val="both"/>
        <w:rPr/>
      </w:pPr>
      <w:r>
        <w:rPr/>
        <w:t>●</w:t>
      </w:r>
      <w:r>
        <w:rPr>
          <w:rFonts w:ascii="Times New Roman;Times;serif" w:hAnsi="Times New Roman;Times;serif"/>
          <w:sz w:val="24"/>
          <w:u w:val="single"/>
        </w:rPr>
        <w:t>Reallocation of Participations to Reduce Fronting Exposure</w:t>
      </w:r>
      <w:r>
        <w:rPr>
          <w:rFonts w:ascii="Times New Roman;Times;serif" w:hAnsi="Times New Roman;Times;serif"/>
          <w:sz w:val="24"/>
        </w:rPr>
        <w:t>.  In the case of a Defaulting Lender that is a Revolving Lender, all or any part of such Defaulting Lender’s participation in L/C Obligations and Swing Loans shall be reallocated among the Non-Defaulting Lenders in accordance with their respective Applicable Percentages of the Revolving Facility (determined without regard to such Defaulting Lender’s Revolving Credit Commitment) but only to the extent that such reallocation does not cause the aggregate Revolving Loans and participations in L/C Obligations and Swing Loans of any Non-Defaulting Lender that is a Revolving Lender to exceed such Non-Defaulting Lender’s Revolving Credit Commitment.  Subject to Section 12.29, no reallocation hereunder shall constitute a waiver or release of any claim of any party hereunder against a Defaulting Lender arising from that Revolving Lender having become a Defaulting Lender, including any claim of a Non-Defaulting Lender as a result of such Non-Defaulting Lender’s increased exposure following such reallocation.</w:t>
      </w:r>
    </w:p>
    <w:p>
      <w:pPr>
        <w:pStyle w:val="TextBody"/>
        <w:bidi w:val="0"/>
        <w:spacing w:before="0" w:after="240"/>
        <w:ind w:left="0" w:right="0" w:hanging="0"/>
        <w:jc w:val="both"/>
        <w:rPr/>
      </w:pPr>
      <w:r>
        <w:rPr/>
        <w:t>●</w:t>
      </w:r>
      <w:r>
        <w:rPr>
          <w:rFonts w:ascii="Times New Roman;Times;serif" w:hAnsi="Times New Roman;Times;serif"/>
          <w:sz w:val="24"/>
          <w:u w:val="single"/>
        </w:rPr>
        <w:t>Cash Collateral, Repayment of Swing Loans</w:t>
      </w:r>
      <w:r>
        <w:rPr>
          <w:rFonts w:ascii="Times New Roman;Times;serif" w:hAnsi="Times New Roman;Times;serif"/>
          <w:sz w:val="24"/>
        </w:rPr>
        <w:t>.</w:t>
      </w:r>
    </w:p>
    <w:p>
      <w:pPr>
        <w:pStyle w:val="TextBody"/>
        <w:bidi w:val="0"/>
        <w:spacing w:before="0" w:after="240"/>
        <w:ind w:left="720" w:right="0" w:hanging="0"/>
        <w:jc w:val="both"/>
        <w:rPr/>
      </w:pPr>
      <w:r>
        <w:rPr/>
        <w:t>●</w:t>
      </w:r>
      <w:r>
        <w:rPr>
          <w:rFonts w:ascii="Times New Roman;Times;serif" w:hAnsi="Times New Roman;Times;serif"/>
          <w:sz w:val="24"/>
        </w:rPr>
        <w:t>If the reallocation described in the immediately preceding subsection (d) above cannot, or can only partially, be effected, the Borrower shall, without prejudice to any right or remedy available to it hereunder or under law, (x) first, prepay Swing Loans in an amount equal to the Swing Line Lender’s Fronting Exposure and (y) second, Cash Collateralize each L/C Issuer’s Fronting Exposure in accordance with the procedures set forth in this subsection.</w:t>
      </w:r>
    </w:p>
    <w:p>
      <w:pPr>
        <w:pStyle w:val="TextBody"/>
        <w:bidi w:val="0"/>
        <w:spacing w:before="0" w:after="240"/>
        <w:ind w:left="720" w:right="0" w:hanging="0"/>
        <w:jc w:val="both"/>
        <w:rPr/>
      </w:pPr>
      <w:r>
        <w:rPr/>
        <w:t>●</w:t>
      </w:r>
      <w:r>
        <w:rPr>
          <w:rFonts w:ascii="Times New Roman;Times;serif" w:hAnsi="Times New Roman;Times;serif"/>
          <w:sz w:val="24"/>
        </w:rPr>
        <w:t>At any time that there shall exist a Defaulting Lender that is a Revolving Lender, within 1 Business Day following the written request of the Administrative Agent or the applicable L/C Issuer (with a copy to the Administrative Agent), the Borrower shall Cash Collateralize such L/C Issuer’s Fronting Exposure with respect to such Defaulting Lender (determined after giving effect to the immediately preceding subsection (d) and any Cash Collateral provided by such Defaulting Lender) in an amount not less than the aggregate Fronting Exposure of such L/C Issuer with respect to Letters of Credit issued by such L/C Issuer and outstanding at such time.</w:t>
      </w:r>
    </w:p>
    <w:p>
      <w:pPr>
        <w:pStyle w:val="TextBody"/>
        <w:bidi w:val="0"/>
        <w:spacing w:before="0" w:after="240"/>
        <w:ind w:left="720" w:right="0" w:hanging="0"/>
        <w:jc w:val="both"/>
        <w:rPr/>
      </w:pPr>
      <w:r>
        <w:rPr/>
        <w:t>●</w:t>
      </w:r>
      <w:r>
        <w:rPr>
          <w:rFonts w:ascii="Times New Roman;Times;serif" w:hAnsi="Times New Roman;Times;serif"/>
          <w:sz w:val="24"/>
        </w:rPr>
        <w:t xml:space="preserve">The Borrower, and to the extent provided by any Defaulting Lender that is a Revolving Lender, such Defaulting Lender, hereby grant to the Administrative Agent, for the benefit of the applicable L/C Issuer, and agree to maintain, a first priority security interest in all such Cash Collateral as security for the obligation of Defaulting Lenders that are Revolving Lenders to fund participations in respect of L/C Obligations, to be applied pursuant to the immediately following clause (iv).  If at any time the Administrative Agent determines that Cash Collateral is subject to any right or claim of any Person other than the Administrative Agent and the applicable L/C Issuer as herein provided, or that the total amount of such Cash Collateral is less than the aggregate Fronting Exposure of the applicable L/C Issuer with respect to Letters of Credit issued by such L/C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Issuer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 that is a Revolving Lender).</w:t>
      </w:r>
    </w:p>
    <w:p>
      <w:pPr>
        <w:pStyle w:val="TextBody"/>
        <w:bidi w:val="0"/>
        <w:spacing w:before="0" w:after="240"/>
        <w:ind w:left="720" w:right="0" w:hanging="0"/>
        <w:jc w:val="both"/>
        <w:rPr/>
      </w:pPr>
      <w:r>
        <w:rPr/>
        <w:t>●</w:t>
      </w:r>
      <w:r>
        <w:rPr>
          <w:rFonts w:ascii="Times New Roman;Times;serif" w:hAnsi="Times New Roman;Times;serif"/>
          <w:sz w:val="24"/>
        </w:rPr>
        <w:t>Notwithstanding anything to the contrary contained in this Agreement, Cash Collateral provided under this Section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720" w:right="0" w:hanging="0"/>
        <w:jc w:val="both"/>
        <w:rPr/>
      </w:pPr>
      <w:r>
        <w:rPr/>
        <w:t>●</w:t>
      </w:r>
      <w:r>
        <w:rPr>
          <w:rFonts w:ascii="Times New Roman;Times;serif" w:hAnsi="Times New Roman;Times;serif"/>
          <w:sz w:val="24"/>
        </w:rPr>
        <w:t xml:space="preserve">Cash Collateral (or the appropriate portion thereof) provided to reduce the L/C Issuers’ Fronting Exposure shall no longer be required to be held as Cash Collateral pursuant to this subsection following (x) the elimination of the applicable Fronting Exposure (including by the termination of Defaulting Lender status of the applicable Revolving Lender), or (y) the determination by the Administrative Agent and the applicable L/C Issuer that there exists excess Cash Collateral; </w:t>
      </w:r>
      <w:r>
        <w:rPr>
          <w:rFonts w:ascii="Times New Roman;Times;serif" w:hAnsi="Times New Roman;Times;serif"/>
          <w:sz w:val="24"/>
          <w:u w:val="single"/>
        </w:rPr>
        <w:t>provided</w:t>
      </w:r>
      <w:r>
        <w:rPr>
          <w:rFonts w:ascii="Times New Roman;Times;serif" w:hAnsi="Times New Roman;Times;serif"/>
          <w:sz w:val="24"/>
        </w:rPr>
        <w:t xml:space="preserve"> that, subject to the immediately preceding subsection (b), the Person providing Cash Collateral and the applicable L/C Issuer may (but shall not be obligated to) agree that Cash Collateral shall be held to support future anticipated Fronting Exposure or other obligations and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xml:space="preserve"> that to the extent that such Cash Collateral was provided by the Borrower, such Cash Collateral shall remain subject to the security interest granted pursuant to the Loan Documents.</w:t>
      </w:r>
    </w:p>
    <w:p>
      <w:pPr>
        <w:pStyle w:val="TextBody"/>
        <w:bidi w:val="0"/>
        <w:spacing w:before="0" w:after="240"/>
        <w:ind w:left="0" w:right="0" w:hanging="0"/>
        <w:jc w:val="both"/>
        <w:rPr/>
      </w:pPr>
      <w:r>
        <w:rPr/>
        <w:t>●</w:t>
      </w:r>
      <w:r>
        <w:rPr>
          <w:rFonts w:ascii="Times New Roman;Times;serif" w:hAnsi="Times New Roman;Times;serif"/>
          <w:sz w:val="24"/>
          <w:u w:val="single"/>
        </w:rPr>
        <w:t>Defaulting Lender Cure</w:t>
      </w:r>
      <w:r>
        <w:rPr>
          <w:rFonts w:ascii="Times New Roman;Times;serif" w:hAnsi="Times New Roman;Times;serif"/>
          <w:sz w:val="24"/>
        </w:rPr>
        <w:t xml:space="preserve">.  If the Borrower and the Administrative Agent, and solely in the case of a Defaulting Lender that is a Revolving Lender, the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as applicable, (i) the Revolving Loans and funded and unfunded participations in Letters of Credit to be held pro rata by the Revolving Lenders in accordance with their respective Applicable Percentages (determined without giving effect to the immediately preceding subsection (d)) and (ii) the Term Loans of each Class to be held by the Term Lenders of such Class pro rata as if there had been no Defaulting Lenders of such Class, whereupon such Lender will cease to be a Defaulting Lender; </w:t>
      </w:r>
      <w:r>
        <w:rPr>
          <w:rFonts w:ascii="Times New Roman;Times;serif" w:hAnsi="Times New Roman;Times;serif"/>
          <w:sz w:val="24"/>
          <w:u w:val="single"/>
        </w:rPr>
        <w:t>provided</w:t>
      </w:r>
      <w:r>
        <w:rPr>
          <w:rFonts w:ascii="Times New Roman;Times;serif" w:hAnsi="Times New Roman;Times;serif"/>
          <w:sz w:val="24"/>
        </w:rPr>
        <w:t xml:space="preserve"> that no adjustments will be made retroactively with respect to Fees accrued or payments made by or on behalf of the Borrower while that Lender was a Defaulting Lender; and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ind w:left="0" w:right="0" w:hanging="0"/>
        <w:jc w:val="both"/>
        <w:rPr/>
      </w:pPr>
      <w:r>
        <w:rPr/>
        <w:t>●</w:t>
      </w:r>
      <w:r>
        <w:rPr>
          <w:rFonts w:ascii="Times New Roman;Times;serif" w:hAnsi="Times New Roman;Times;serif"/>
          <w:sz w:val="24"/>
          <w:u w:val="single"/>
        </w:rPr>
        <w:t>New Swing Loans/Letters of Credit</w:t>
      </w:r>
      <w:r>
        <w:rPr>
          <w:rFonts w:ascii="Times New Roman;Times;serif" w:hAnsi="Times New Roman;Times;serif"/>
          <w:sz w:val="24"/>
        </w:rPr>
        <w:t xml:space="preserve">.  So long as any Revolving Lender is a Defaulting Lender, (i) the Swing Line Lender shall not be required to fund any Swing Loans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(ii) no L/C Issuer shall be required to issue, extend, renew or increase any Letter of Credit unless it is satisfied that it will have no Fronting Exposure after giving effect thereto.</w:t>
      </w:r>
    </w:p>
    <w:p>
      <w:pPr>
        <w:pStyle w:val="TextBody"/>
        <w:bidi w:val="0"/>
        <w:ind w:left="0" w:right="0" w:hanging="0"/>
        <w:jc w:val="both"/>
        <w:rPr/>
      </w:pPr>
      <w:r>
        <w:rPr/>
        <w:t>●</w:t>
      </w:r>
      <w:bookmarkStart w:id="1443" w:name="_Toc115421240"/>
      <w:bookmarkEnd w:id="1443"/>
      <w:r>
        <w:rPr>
          <w:rFonts w:ascii="Times New Roman;Times;serif" w:hAnsi="Times New Roman;Times;serif"/>
          <w:sz w:val="24"/>
          <w:u w:val="single"/>
        </w:rPr>
        <w:t>Increase in Revolving Credit Commitments and Incremental Term Loan Commitments</w:t>
      </w:r>
      <w:r>
        <w:rPr>
          <w:rFonts w:ascii="Times New Roman;Times;serif" w:hAnsi="Times New Roman;Times;serif"/>
          <w:sz w:val="24"/>
        </w:rPr>
        <w:t>.</w:t>
      </w:r>
    </w:p>
    <w:p>
      <w:pPr>
        <w:pStyle w:val="TextBody"/>
        <w:bidi w:val="0"/>
        <w:spacing w:before="0" w:after="0"/>
        <w:ind w:left="0" w:right="0" w:firstLine="1440"/>
        <w:jc w:val="both"/>
        <w:rPr>
          <w:rFonts w:ascii="Times New Roman;Times;serif" w:hAnsi="Times New Roman;Times;serif"/>
          <w:sz w:val="24"/>
        </w:rPr>
      </w:pPr>
      <w:r>
        <w:rPr>
          <w:rFonts w:ascii="Times New Roman;Times;serif" w:hAnsi="Times New Roman;Times;serif"/>
          <w:sz w:val="24"/>
          <w:u w:val="single"/>
        </w:rPr>
        <w:t>Conditions to Effective of Increase</w:t>
      </w:r>
      <w:r>
        <w:rPr>
          <w:rFonts w:ascii="Times New Roman;Times;serif" w:hAnsi="Times New Roman;Times;serif"/>
          <w:sz w:val="24"/>
        </w:rPr>
        <w:t xml:space="preserve">. Upon notice to Administrative Agent (which shall promptly notify the Lenders), the Borrower may from time to time, request an </w:t>
      </w:r>
      <w:r>
        <w:rPr>
          <w:rFonts w:ascii="Times" w:hAnsi="Times"/>
          <w:sz w:val="24"/>
        </w:rPr>
        <w:t xml:space="preserve">increase in the aggregate amount of the Revolving Credit Commitments </w:t>
      </w:r>
      <w:r>
        <w:rPr>
          <w:rFonts w:ascii="Times New Roman;Times;serif" w:hAnsi="Times New Roman;Times;serif"/>
          <w:sz w:val="24"/>
        </w:rPr>
        <w:t>(a “</w:t>
      </w:r>
      <w:r>
        <w:rPr>
          <w:rFonts w:ascii="Times New Roman;Times;serif" w:hAnsi="Times New Roman;Times;serif"/>
          <w:i/>
          <w:sz w:val="24"/>
        </w:rPr>
        <w:t>Revolving Credit Commitment Amount Increase</w:t>
      </w:r>
      <w:r>
        <w:rPr>
          <w:rFonts w:ascii="Times New Roman;Times;serif" w:hAnsi="Times New Roman;Times;serif"/>
          <w:sz w:val="24"/>
        </w:rPr>
        <w:t xml:space="preserve">”) and/or </w:t>
      </w:r>
      <w:r>
        <w:rPr>
          <w:rFonts w:ascii="Times" w:hAnsi="Times"/>
          <w:sz w:val="24"/>
        </w:rPr>
        <w:t xml:space="preserve">to establish one or more tranches of term loans </w:t>
      </w:r>
      <w:r>
        <w:rPr>
          <w:rFonts w:ascii="Times New Roman;Times;serif" w:hAnsi="Times New Roman;Times;serif"/>
          <w:sz w:val="24"/>
        </w:rPr>
        <w:t>(each an “</w:t>
      </w:r>
      <w:r>
        <w:rPr>
          <w:rFonts w:ascii="Times New Roman;Times;serif" w:hAnsi="Times New Roman;Times;serif"/>
          <w:i/>
          <w:sz w:val="24"/>
        </w:rPr>
        <w:t>Incremental Term Loan Facility</w:t>
      </w:r>
      <w:r>
        <w:rPr>
          <w:rFonts w:ascii="Times New Roman;Times;serif" w:hAnsi="Times New Roman;Times;serif"/>
          <w:sz w:val="24"/>
        </w:rPr>
        <w:t>”; and the term loans made pursuant thereto, each an “</w:t>
      </w:r>
      <w:r>
        <w:rPr>
          <w:rFonts w:ascii="Times New Roman;Times;serif" w:hAnsi="Times New Roman;Times;serif"/>
          <w:i/>
          <w:sz w:val="24"/>
        </w:rPr>
        <w:t>Incremental Term Loan</w:t>
      </w:r>
      <w:r>
        <w:rPr>
          <w:rFonts w:ascii="Times New Roman;Times;serif" w:hAnsi="Times New Roman;Times;serif"/>
          <w:sz w:val="24"/>
        </w:rPr>
        <w:t>” and the commitment made pursuant thereto, an “</w:t>
      </w:r>
      <w:r>
        <w:rPr>
          <w:rFonts w:ascii="Times New Roman;Times;serif" w:hAnsi="Times New Roman;Times;serif"/>
          <w:i/>
          <w:sz w:val="24"/>
        </w:rPr>
        <w:t>Incremental Term Loan Commitment</w:t>
      </w:r>
      <w:r>
        <w:rPr>
          <w:rFonts w:ascii="Times New Roman;Times;serif" w:hAnsi="Times New Roman;Times;serif"/>
          <w:sz w:val="24"/>
        </w:rPr>
        <w:t>”) (each such increase or additional tranche, a “</w:t>
      </w:r>
      <w:r>
        <w:rPr>
          <w:rFonts w:ascii="Times New Roman;Times;serif" w:hAnsi="Times New Roman;Times;serif"/>
          <w:i/>
          <w:sz w:val="24"/>
        </w:rPr>
        <w:t>Commitment Increase</w:t>
      </w:r>
      <w:r>
        <w:rPr>
          <w:rFonts w:ascii="Times New Roman;Times;serif" w:hAnsi="Times New Roman;Times;serif"/>
          <w:sz w:val="24"/>
        </w:rPr>
        <w:t xml:space="preserve">”), by delivering a Commitment Amount Increase Request substantially in the form attached hereto as Exhibit H or in such other form acceptable to the Administrative Agent at least ten days prior to the desired effective date of such Commitment Increase; </w:t>
      </w:r>
      <w:r>
        <w:rPr>
          <w:rFonts w:ascii="Times New Roman;Times;serif" w:hAnsi="Times New Roman;Times;serif"/>
          <w:i/>
          <w:sz w:val="24"/>
        </w:rPr>
        <w:t>provided, however,</w:t>
      </w:r>
      <w:r>
        <w:rPr>
          <w:rFonts w:ascii="Times New Roman;Times;serif" w:hAnsi="Times New Roman;Times;serif"/>
          <w:sz w:val="24"/>
        </w:rPr>
        <w:t xml:space="preserve"> that (i) the aggregate amount of the Revolving Credit Commitments and all Term Commitments shall not be increased to an amount in excess of $750,000,000, (ii) each Revolving Credit Commitment Amount Increase or Incremental Term Loan request shall be in an amount of not less than $5,000,000 or such lesser amount as approved by the Administrative Agent, (iii) no Default or Event of Default shall have occurred and be continuing at the time of the request or  the effective date of the Commitment Increase, (iv)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Commitment Increase,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(v) upon the reasonable request of any additional Lender made at least five (5) days prior to the effective date of such Commitment Increase, Borrower shall have provided to such additional Lender, and such additional Lender shall be reasonably satisfied with, the documentation and other information so requested in connection with applicable “know your customer” and anti-money-laundering rules and regulations, including the Act, in each case at least three (3) days prior to the effective date of such Commitment Increase and, at least three (3) days prior to the effective date of such Commitment Increase, if Borrower qualifies as a “legal entity customer” under the Beneficial Ownership Regulation shall have delivered, to each Lender that so requests, a Beneficial Ownership Certification.  The effective date of the Commitment Increase shall be agreed upon by the Borrower and the Administrative Agent.  Upon the effectiveness thereof, the new Lender(s) (or, if applicable, existing Lender(s)) shall advance Revolving Loans or Incremental Term Loans in an amount sufficient such that after giving effect to its advance each Lender shall have outstanding its Applicable Percentage of Revolving Loans and Applicable Percentage of Incremental Term Loans, as applicable.  It shall be a condition to such effectiveness that if any Term SOFR Loans are outstanding on the date of such effectiveness, such Term SOFR Loans shall be deemed to be prepaid on such date and the Borrower shall pay any amounts owing to the Lenders pursuant to Section 1.11 hereof.  In the event that the Borrower shall have terminated any portion of the Revolving Credit Commitments pursuant to Section 1.11 hereof, the amount available for a Revolving Credit Commitment Amount Increase shall be reduced by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terminated commitment amount.  The Borrower agrees to pay any reasonable expenses of the Administrative Agent relating to any Commitment Increase and arrangement fees related thereto as agreed upon in writing between Administrative Agent and the Borrower, if any.  Notwithstanding anything herein to the contrary, (x) no Lender shall have any obligation to increase its Revolving Credit Commitment or to provide an Incremental Term Loan Commitment and no Lender’s Revolving Credit Commitment shall be increased without its consent thereto, and each Lender may at its option, unconditionally and without cause, decline to increase its Revolving Credit Commitment or to provide any Incremental Term Loan Commitment, (y) no declining Lender shall have any consent rights with respect to such Revolving Credit Commitment Amount Increase or such Incremental Term Loan Commitment, as applicable, and (z) any new Lender shall be acceptable to the Administrative Agent (to the extent the consent of the Administrative Agent would be required in connection with an assignment to such new Lender under Section 12.12(a)(iii) hereof) with such consent not to be unreasonably withheld or delayed.  Upon the effectiveness thereof, </w:t>
      </w:r>
      <w:r>
        <w:rPr>
          <w:rFonts w:ascii="Times New Roman;Times;serif" w:hAnsi="Times New Roman;Times;serif"/>
          <w:sz w:val="24"/>
          <w:u w:val="single"/>
        </w:rPr>
        <w:t>Schedule 1</w:t>
      </w:r>
      <w:r>
        <w:rPr>
          <w:rFonts w:ascii="Times New Roman;Times;serif" w:hAnsi="Times New Roman;Times;serif"/>
          <w:sz w:val="24"/>
        </w:rPr>
        <w:t xml:space="preserve"> shall be deemed amended to reflect any Revolving Credit Commitment Amount Increase and any Incremental Term Loan Commitment, as applicable. </w:t>
      </w:r>
    </w:p>
    <w:p>
      <w:pPr>
        <w:pStyle w:val="TextBody"/>
        <w:bidi w:val="0"/>
        <w:spacing w:before="0" w:after="0"/>
        <w:ind w:left="0" w:right="0" w:hanging="0"/>
        <w:jc w:val="both"/>
        <w:rPr/>
      </w:pPr>
      <w:r>
        <w:rPr/>
        <w:t>●</w:t>
      </w:r>
      <w:r>
        <w:rPr>
          <w:rFonts w:ascii="Times New Roman;Times;serif" w:hAnsi="Times New Roman;Times;serif"/>
          <w:sz w:val="24"/>
          <w:u w:val="single"/>
        </w:rPr>
        <w:t>Incremental Term Loan Amendment</w:t>
      </w:r>
      <w:r>
        <w:rPr>
          <w:rFonts w:ascii="Times New Roman;Times;serif" w:hAnsi="Times New Roman;Times;serif"/>
          <w:sz w:val="24"/>
        </w:rPr>
        <w:t>.  Each Commitment Increase for an Incremental Term Loan Facility may be made hereunder pursuant to an amendment or an amendment and restatement (each, an “</w:t>
      </w:r>
      <w:r>
        <w:rPr>
          <w:rFonts w:ascii="Times New Roman;Times;serif" w:hAnsi="Times New Roman;Times;serif"/>
          <w:i/>
          <w:sz w:val="24"/>
        </w:rPr>
        <w:t>Incremental Term Loan Amendment</w:t>
      </w:r>
      <w:r>
        <w:rPr>
          <w:rFonts w:ascii="Times New Roman;Times;serif" w:hAnsi="Times New Roman;Times;serif"/>
          <w:sz w:val="24"/>
        </w:rPr>
        <w:t xml:space="preserve">”) of this Agreement and, as appropriate, the other Loan Documents, executed by Borrower, each Incremental Term Lender participating in such tranche and the Administrative Agent.  Each Incremental Term Loan Amendment may, without the consent of any other Lenders, effect such amendments to this Agreement and the other Loan Documents as may be necessary or appropriate, in the reasonable opinion of the Administrative Agent, to effect the provisions of this Section 1.15.  All Incremental Term Loans (i) shall rank pari passu in right of payment with Revolving Loans and the existing Term Loans and shall not be secured by any additional collateral or guaranteed by any additional Guarantors than the existing Term Loans, (ii) shall not mature earlier than the latest Maturity Date for any then-existing Facility (but may have amortization prior to such date), and (iii) shall be treated substantially the same as (and in any event no more favorably than) the Revolving Loans, the existing Term Loans and each other tranche of Incremental Term Loans; </w:t>
      </w:r>
      <w:r>
        <w:rPr>
          <w:rFonts w:ascii="Times New Roman;Times;serif" w:hAnsi="Times New Roman;Times;serif"/>
          <w:sz w:val="24"/>
          <w:u w:val="single"/>
        </w:rPr>
        <w:t>provided</w:t>
      </w:r>
      <w:r>
        <w:rPr>
          <w:rFonts w:ascii="Times New Roman;Times;serif" w:hAnsi="Times New Roman;Times;serif"/>
          <w:sz w:val="24"/>
        </w:rPr>
        <w:t xml:space="preserve"> that (I) the terms and conditions applicable to any tranche of Incremental Term Loans maturing after the Maturity Date for each then-existing Term Facility may provide for material additional or different financial or other covenants or prepayment requirements applicable only during periods after the Maturity Date for such existing Term Facility and (II) each tranche of Incremental Term Loans may be priced differently than the 2027 Term Loans and any other tranche of Incremental Term Loans.  Each applicable Incremental Term Lender shall fund the applicable Incremental Term Loans in accordance with the requirements of the applicable Incremental Term Loan Amendment.</w:t>
      </w:r>
    </w:p>
    <w:p>
      <w:pPr>
        <w:pStyle w:val="TextBody"/>
        <w:bidi w:val="0"/>
        <w:spacing w:before="0" w:after="240"/>
        <w:ind w:left="0" w:right="0" w:hanging="0"/>
        <w:jc w:val="both"/>
        <w:rPr/>
      </w:pPr>
      <w:r>
        <w:rPr/>
        <w:t>●</w:t>
      </w:r>
      <w:bookmarkStart w:id="1444" w:name="_Toc115421241"/>
      <w:bookmarkEnd w:id="1444"/>
      <w:r>
        <w:rPr>
          <w:rFonts w:ascii="Times New Roman;Times;serif" w:hAnsi="Times New Roman;Times;serif"/>
          <w:sz w:val="24"/>
          <w:u w:val="single"/>
        </w:rPr>
        <w:t>Extension of Revolving Credit Termination Date</w:t>
      </w:r>
      <w:r>
        <w:rPr>
          <w:rFonts w:ascii="Times New Roman;Times;serif" w:hAnsi="Times New Roman;Times;serif"/>
          <w:sz w:val="24"/>
        </w:rPr>
        <w:t>. Borrower may, by notice to Administrative Agent (which shall promptly deliver a copy to each of the Lenders) given at least thirty (30) days and not more than ninety (90) days prior to the then Revolving Credit Termination Date (the “</w:t>
      </w:r>
      <w:r>
        <w:rPr>
          <w:rFonts w:ascii="Times New Roman;Times;serif" w:hAnsi="Times New Roman;Times;serif"/>
          <w:i/>
          <w:sz w:val="24"/>
        </w:rPr>
        <w:t>Existing Commitment Termination Date</w:t>
      </w:r>
      <w:r>
        <w:rPr>
          <w:rFonts w:ascii="Times New Roman;Times;serif" w:hAnsi="Times New Roman;Times;serif"/>
          <w:sz w:val="24"/>
        </w:rPr>
        <w:t xml:space="preserve">”), request that Lenders extend the Existing Commitment Termination Date for two additional six month periods.  Upon the Borrower’s timely delivery of such notice to Administrative Agent and provided, that (i) no Default or Event of Default has occurred and is continuing (both on the date the notice is delivered and on the then Existing Commitment Revolving Credit Termination Date), (ii) the Borrower and the Subsidiaries are in compliance with all covenants contained in Section 8 hereof, (iii) all representations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warranties contained in Section 6 hereof shall be true and correct in all material respects (except in the case of a representation or warranty qualified by materiality in which case such representation or warranty shall be true and correct in all respects) on the date the notice is delivered and on the then Existing Commitment Termination Date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(iv) the Borrower has paid in immediately available funds the Extension Fee on or prior to the first day of any requested extension period, then the Revolving Credit Termination Date shall be extended to the date that is six months after of the then Existing Commitment Termination Date.  Should the Revolving Credit Termination Date be extended, the terms and conditions of this Agreement will apply during any such extension period, and from and after the date of such extension, the term Revolving Credit Termination Date shall mean the last day of the extended term.</w:t>
      </w:r>
    </w:p>
    <w:p>
      <w:pPr>
        <w:pStyle w:val="TextBody"/>
        <w:bidi w:val="0"/>
        <w:spacing w:before="0" w:after="240"/>
        <w:ind w:left="0" w:right="0" w:hanging="0"/>
        <w:jc w:val="both"/>
        <w:rPr/>
      </w:pPr>
      <w:r>
        <w:rPr/>
        <w:t>●</w:t>
      </w:r>
      <w:bookmarkStart w:id="1445" w:name="_Toc115421242"/>
      <w:bookmarkEnd w:id="1445"/>
      <w:r>
        <w:rPr>
          <w:rFonts w:ascii="Times New Roman;Times;serif" w:hAnsi="Times New Roman;Times;serif"/>
          <w:sz w:val="24"/>
          <w:u w:val="single"/>
        </w:rPr>
        <w:t>Swing Loans</w:t>
      </w:r>
      <w:r>
        <w:rPr>
          <w:rFonts w:ascii="Times New Roman;Times;serif" w:hAnsi="Times New Roman;Times;serif"/>
          <w:sz w:val="24"/>
        </w:rPr>
        <w:t>.</w:t>
      </w:r>
      <w:r>
        <w:rPr>
          <w:rFonts w:ascii="Times New Roman;Times;serif" w:hAnsi="Times New Roman;Times;serif"/>
          <w:sz w:val="24"/>
          <w:u w:val="single"/>
        </w:rPr>
        <w:t>Generally</w:t>
      </w:r>
      <w:r>
        <w:rPr>
          <w:rFonts w:ascii="Times New Roman;Times;serif" w:hAnsi="Times New Roman;Times;serif"/>
          <w:sz w:val="24"/>
        </w:rPr>
        <w:t>.  Subject to the terms and conditions hereof, as part of the Revolving Facility, the Swing Line Lender may, in its sole discretion, make loans in U.S. Dollars to the Borrower under the Swing Line (individually a “</w:t>
      </w:r>
      <w:r>
        <w:rPr>
          <w:rFonts w:ascii="Times New Roman;Times;serif" w:hAnsi="Times New Roman;Times;serif"/>
          <w:i/>
          <w:sz w:val="24"/>
        </w:rPr>
        <w:t>Swing Loan</w:t>
      </w:r>
      <w:r>
        <w:rPr>
          <w:rFonts w:ascii="Times New Roman;Times;serif" w:hAnsi="Times New Roman;Times;serif"/>
          <w:sz w:val="24"/>
        </w:rPr>
        <w:t>” and collectively the “</w:t>
      </w:r>
      <w:r>
        <w:rPr>
          <w:rFonts w:ascii="Times New Roman;Times;serif" w:hAnsi="Times New Roman;Times;serif"/>
          <w:i/>
          <w:sz w:val="24"/>
        </w:rPr>
        <w:t>Swing Loans</w:t>
      </w:r>
      <w:r>
        <w:rPr>
          <w:rFonts w:ascii="Times New Roman;Times;serif" w:hAnsi="Times New Roman;Times;serif"/>
          <w:sz w:val="24"/>
        </w:rPr>
        <w:t>”) which shall not in the aggregate at any time outstanding exceed the Swing Line Sublimit; provided, that if the Swing Line Lender declines to make a Swing Loan, the Borrower shall be deemed to have requested a Borrowing of a Daily Simple SOFR Loan under Section 1.6 hereof in the amount of such requested Swing Loan.  Swing Loans may be availed of from time to time and borrowings thereunder may be repaid and used again during the period ending on the Revolving Credit Termination Date.  Each Swing Loan shall be in a minimum amount of $100,000 or such greater amount which is an integral multiple of $100,000.  </w:t>
      </w:r>
    </w:p>
    <w:p>
      <w:pPr>
        <w:pStyle w:val="TextBody"/>
        <w:bidi w:val="0"/>
        <w:spacing w:before="0" w:after="200"/>
        <w:ind w:left="0" w:right="0" w:hanging="0"/>
        <w:jc w:val="both"/>
        <w:rPr/>
      </w:pPr>
      <w:r>
        <w:rPr/>
        <w:t>●</w:t>
      </w:r>
      <w:r>
        <w:rPr>
          <w:rFonts w:ascii="Times New Roman;Times;serif" w:hAnsi="Times New Roman;Times;serif"/>
          <w:sz w:val="24"/>
          <w:u w:val="single"/>
        </w:rPr>
        <w:t>Interest on Swing Loans</w:t>
      </w:r>
      <w:r>
        <w:rPr>
          <w:rFonts w:ascii="Times New Roman;Times;serif" w:hAnsi="Times New Roman;Times;serif"/>
          <w:sz w:val="24"/>
        </w:rPr>
        <w:t>.  Each Swing Loan shall bear interest until maturity (whether by acceleration or otherwise) at a rate per annum equal to the sum of the Daily Simple SOFR plus the Applicable Margin for Revolving Loans that are Daily Simple SOFR Loans under the Revolving Facility as from time to time in effect (computed on the basis of a year of 365 or 366 days, as the case may be, for the actual number of days elapsed).  Interest on each Swing Loan shall be due and payable by the Borrower on each Interest Payment Date and at maturity (whether by acceleration or otherwise).</w:t>
      </w:r>
    </w:p>
    <w:p>
      <w:pPr>
        <w:pStyle w:val="TextBody"/>
        <w:bidi w:val="0"/>
        <w:spacing w:before="0" w:after="200"/>
        <w:ind w:left="0" w:right="0" w:hanging="0"/>
        <w:jc w:val="both"/>
        <w:rPr/>
      </w:pPr>
      <w:r>
        <w:rPr/>
        <w:t>●</w:t>
      </w:r>
      <w:r>
        <w:rPr>
          <w:rFonts w:ascii="Times New Roman;Times;serif" w:hAnsi="Times New Roman;Times;serif"/>
          <w:sz w:val="24"/>
          <w:u w:val="single"/>
        </w:rPr>
        <w:t>Requests for Swing Loans</w:t>
      </w:r>
      <w:r>
        <w:rPr>
          <w:rFonts w:ascii="Times New Roman;Times;serif" w:hAnsi="Times New Roman;Times;serif"/>
          <w:sz w:val="24"/>
        </w:rPr>
        <w:t>.  The Borrower shall give the Administrative Agent prior notice (which may be written or oral) no later than 12:00 Noon (New York time) on the date upon which the Borrower requests that any Swing Loan be made, of the amount and date of such Swing Loan.  The Administrative Agent shall promptly advise the Swing Line Lender of any such notice received from the Borrower.  Subject to the terms and conditions hereof, the proceeds of each Swing Loan extended to the Borrower shall be deposited or otherwise wire transferred as agreed to by the Borrower, the Administrative Agent, and the Swing Line Lender.  Anything contained in the foregoing to the contrary notwithstanding, the undertaking of the Swing Line Lender to make Swing Loans shall be subject to all of the terms and conditions of this Agreement (provided that the Swing Line Lender shall be entitled to assume that the conditions precedent to an advance of any Swing Loan have been satisfied unless notified to the contrary by the Administrative Agent or the Required Revolving Lenders).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pPr>
      <w:r>
        <w:rPr/>
        <w:t>●</w:t>
      </w:r>
      <w:r>
        <w:rPr>
          <w:rFonts w:ascii="Times New Roman;Times;serif" w:hAnsi="Times New Roman;Times;serif"/>
          <w:sz w:val="24"/>
          <w:u w:val="single"/>
        </w:rPr>
        <w:t>Refunding Loans</w:t>
      </w:r>
      <w:r>
        <w:rPr>
          <w:rFonts w:ascii="Times New Roman;Times;serif" w:hAnsi="Times New Roman;Times;serif"/>
          <w:sz w:val="24"/>
        </w:rPr>
        <w:t>.  The Borrower agrees to repay each Swing Loan within one Business Day of demand therefor by the Swing Line Lender and in any event, within 5 Business Days after the date such Swing Loan was made.  Notwithstanding the foregoing, the Borrower shall repay the entire outstanding principal amount of, and all accrued but unpaid interest on, the Swing Loans on the Revolving Termination Date (or such earlier date as the Swing Line Lender and the Borrower may agree in writing).  In its sole and absolute discretion, the Swing Line Lender may at any time, on behalf of the Borrower (which hereby irrevocably authorizes the Swing Line Lender to act on its behalf for such purpose) and with notice to the Borrower and the Administrative Agent, request each Revolving Lender to make a Revolving Loan in the form of a Daily Simple SOFR Loan in an amount equal to such Revolving Lender’s Applicable Percentage of the amount of the Swing Loans outstanding on the date such notice is given.  Unless an Event of Default described in Section 9.1(j) or 9.1(k) exists with respect to the Borrower, regardless of the existence of any other Event of Default, each Revolving Lender shall make the proceeds of its requested Revolving Loan available to the Administrative Agent for the account of the Swing Line Lender, in immediately available funds, at the Administrative Agent’s office in Cleveland, Ohio (or such other location designated by the Administrative Agent), before 12:00 Noon (New York time) on the Business Day following the day such notice is given.  The Administrative Agent shall promptly remit the proceeds of such Borrowing to the Swing Line Lender to repay the outstanding Swing Loans.</w:t>
      </w:r>
    </w:p>
    <w:p>
      <w:pPr>
        <w:pStyle w:val="TextBody"/>
        <w:bidi w:val="0"/>
        <w:spacing w:before="0" w:after="0"/>
        <w:ind w:left="0" w:right="0" w:hanging="0"/>
        <w:jc w:val="both"/>
        <w:rPr/>
      </w:pPr>
      <w:r>
        <w:rPr/>
        <w:t>●</w:t>
      </w:r>
      <w:r>
        <w:rPr>
          <w:rFonts w:ascii="Times New Roman;Times;serif" w:hAnsi="Times New Roman;Times;serif"/>
          <w:sz w:val="24"/>
          <w:u w:val="single"/>
        </w:rPr>
        <w:t>Participations</w:t>
      </w:r>
      <w:r>
        <w:rPr>
          <w:rFonts w:ascii="Times New Roman;Times;serif" w:hAnsi="Times New Roman;Times;serif"/>
          <w:sz w:val="24"/>
        </w:rPr>
        <w:t>.  If any Revolving Lender refuses or otherwise fails to make a Revolving Loan when requested by the Swing Line Lender pursuant to Section 1.17(d) above (because an Event of Default described in Section 9.1(j) or 9.1(k) exists with respect to the Borrower or otherwise), such Revolving Lender will, by the time and in the manner such Revolving Loan was to have been funded to the Swing Line Lender, purchase from the Swing Line Lender an undivided participating interest in the outstanding Swing Loans in an amount equal to its Applicable Percentage of the aggregate principal amount of Swing Loans that were to have been repaid with such Revolving Loans.  Each Revolving Lender that so purchases a participation in a Swing Loan shall thereafter be entitled to receive its Applicable Percentage of each payment of principal received on the Swing Loan and of interest received thereon accruing from the date such Revolving Lender funded to the Swing Line Lender its participation in such Loan.  The several obligations of the Revolving Lenders under this Section shall be absolute, irrevocable, and unconditional under any and all circumstances whatsoever and shall not be subject to any set off, counterclaim or defense to payment which any Revolving Lender may have or have had against the Borrower, any other Revolving Lender, or any other Person whatsoever.  Without limiting the generality of the foregoing, such obligations shall not be affected by any Default or Event of Default or by any reduction or termination of the Revolving Credit Commitments of any Revolving Lender, and each payment made by a Lender under this Section shall be made without any offset, abatement, withholding, or reduction whatsoever.</w:t>
      </w:r>
    </w:p>
    <w:p>
      <w:pPr>
        <w:pStyle w:val="TextBody"/>
        <w:bidi w:val="0"/>
        <w:spacing w:before="0" w:after="240"/>
        <w:ind w:left="0" w:right="0" w:hanging="0"/>
        <w:jc w:val="both"/>
        <w:rPr/>
      </w:pPr>
      <w:r>
        <w:rPr/>
        <w:t>●</w:t>
      </w:r>
      <w:bookmarkStart w:id="1446" w:name="_Toc115421243"/>
      <w:bookmarkStart w:id="1447" w:name="_Toc105565087"/>
      <w:bookmarkStart w:id="1448" w:name="_Ref105533850"/>
      <w:bookmarkEnd w:id="1446"/>
      <w:bookmarkEnd w:id="1447"/>
      <w:bookmarkEnd w:id="1448"/>
      <w:r>
        <w:rPr>
          <w:rFonts w:ascii="Times New Roman;Times;serif" w:hAnsi="Times New Roman;Times;serif"/>
          <w:sz w:val="24"/>
          <w:u w:val="single"/>
        </w:rPr>
        <w:t>ESG Adjustments</w:t>
      </w:r>
      <w:r>
        <w:rPr>
          <w:rFonts w:ascii="Times New Roman;Times;serif" w:hAnsi="Times New Roman;Times;serif"/>
          <w:sz w:val="24"/>
        </w:rPr>
        <w:t>.</w:t>
      </w:r>
    </w:p>
    <w:p>
      <w:pPr>
        <w:pStyle w:val="TextBody"/>
        <w:bidi w:val="0"/>
        <w:spacing w:before="0" w:after="240"/>
        <w:ind w:left="18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(i)The Borrower, in consultation with the Sustainability Structuring Agent, shall be entitled to establish specified Key Performance Indicators (“</w:t>
      </w:r>
      <w:r>
        <w:rPr>
          <w:rFonts w:ascii="Times New Roman;Times;serif" w:hAnsi="Times New Roman;Times;serif"/>
          <w:b w:val="false"/>
          <w:i/>
          <w:sz w:val="24"/>
        </w:rPr>
        <w:t>KPIs</w:t>
      </w:r>
      <w:r>
        <w:rPr>
          <w:rFonts w:ascii="Times New Roman;Times;serif" w:hAnsi="Times New Roman;Times;serif"/>
          <w:caps w:val="false"/>
          <w:smallCaps w:val="false"/>
          <w:sz w:val="24"/>
        </w:rPr>
        <w:t>”</w:t>
      </w:r>
      <w:r>
        <w:rPr>
          <w:rFonts w:ascii="Times New Roman;Times;serif" w:hAnsi="Times New Roman;Times;serif"/>
          <w:b w:val="false"/>
          <w:i w:val="false"/>
          <w:caps w:val="false"/>
          <w:smallCaps w:val="false"/>
          <w:sz w:val="24"/>
        </w:rPr>
        <w:t>) with respect to certain Environmental, Social and Governance (“</w:t>
      </w:r>
      <w:r>
        <w:rPr>
          <w:rFonts w:ascii="Times New Roman;Times;serif" w:hAnsi="Times New Roman;Times;serif"/>
          <w:b w:val="false"/>
          <w:i/>
          <w:sz w:val="24"/>
        </w:rPr>
        <w:t>ESG</w:t>
      </w:r>
      <w:r>
        <w:rPr>
          <w:rFonts w:ascii="Times New Roman;Times;serif" w:hAnsi="Times New Roman;Times;serif"/>
          <w:caps w:val="false"/>
          <w:smallCaps w:val="false"/>
          <w:sz w:val="24"/>
        </w:rPr>
        <w:t>”</w:t>
      </w:r>
      <w:r>
        <w:rPr>
          <w:rFonts w:ascii="Times New Roman;Times;serif" w:hAnsi="Times New Roman;Times;serif"/>
          <w:b w:val="false"/>
          <w:i w:val="false"/>
          <w:caps w:val="false"/>
          <w:smallCaps w:val="false"/>
          <w:sz w:val="24"/>
        </w:rPr>
        <w:t>) targets of the Borrower and its Subsidiaries. The Sustainability Structuring Agent and the Borrower may amend this Agreement (such amendment, the “</w:t>
      </w:r>
      <w:r>
        <w:rPr>
          <w:rFonts w:ascii="Times New Roman;Times;serif" w:hAnsi="Times New Roman;Times;serif"/>
          <w:b w:val="false"/>
          <w:i/>
          <w:sz w:val="24"/>
        </w:rPr>
        <w:t>ESG Amendment</w:t>
      </w:r>
      <w:r>
        <w:rPr>
          <w:rFonts w:ascii="Times New Roman;Times;serif" w:hAnsi="Times New Roman;Times;serif"/>
          <w:caps w:val="false"/>
          <w:smallCaps w:val="false"/>
          <w:sz w:val="24"/>
        </w:rPr>
        <w:t>”</w:t>
      </w:r>
      <w:r>
        <w:rPr>
          <w:rFonts w:ascii="Times New Roman;Times;serif" w:hAnsi="Times New Roman;Times;serif"/>
          <w:b w:val="false"/>
          <w:i w:val="false"/>
          <w:caps w:val="false"/>
          <w:smallCaps w:val="false"/>
          <w:sz w:val="24"/>
        </w:rPr>
        <w:t>) solely for the purpose of incorporating the KPIs and other related provisions (the “</w:t>
      </w:r>
      <w:r>
        <w:rPr>
          <w:rFonts w:ascii="Times New Roman;Times;serif" w:hAnsi="Times New Roman;Times;serif"/>
          <w:b w:val="false"/>
          <w:i/>
          <w:sz w:val="24"/>
        </w:rPr>
        <w:t>ESG Pricing Provisions</w:t>
      </w:r>
      <w:r>
        <w:rPr>
          <w:rFonts w:ascii="Times New Roman;Times;serif" w:hAnsi="Times New Roman;Times;serif"/>
          <w:caps w:val="false"/>
          <w:smallCaps w:val="false"/>
          <w:sz w:val="24"/>
        </w:rPr>
        <w:t>”</w:t>
      </w:r>
      <w:r>
        <w:rPr>
          <w:rFonts w:ascii="Times New Roman;Times;serif" w:hAnsi="Times New Roman;Times;serif"/>
          <w:b w:val="false"/>
          <w:i w:val="false"/>
          <w:caps w:val="false"/>
          <w:smallCaps w:val="false"/>
          <w:sz w:val="24"/>
        </w:rPr>
        <w:t xml:space="preserve">) into this Agreement, and any such amendment shall become effective at 5:00 p.m. on the fifth Business Day after the Administrative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80" w:right="0" w:hanging="0"/>
        <w:jc w:val="both"/>
        <w:rPr>
          <w:sz w:val="24"/>
        </w:rPr>
      </w:pPr>
      <w:r>
        <w:rPr>
          <w:rFonts w:ascii="Times New Roman;Times;serif" w:hAnsi="Times New Roman;Times;serif"/>
          <w:b w:val="false"/>
          <w:i w:val="false"/>
          <w:caps w:val="false"/>
          <w:smallCaps w:val="false"/>
          <w:sz w:val="24"/>
        </w:rPr>
        <w:t xml:space="preserve">Agent shall have posted such proposed amendment to all Lenders and the Borrower unless, prior to such time, Lenders comprising the Required Lenders have delivered to the Administrative Agent (who shall promptly notify the Borrower) written notice that such Required Lenders object to such ESG Amendment.  In the event that Required Lenders deliver a written notice objecting to any such ESG Amendment, an alternative ESG Amendment may be effectuated with the consent of the Required Lenders, the Borrower and the Sustainability Structuring Agent. Upon effectiveness of any such ESG Amendment, based on the Borrower’s performance against the KPIs, certain adjustments (increase, decrease, or no adjustment) to the Applicable Margin may be made; </w:t>
      </w:r>
      <w:r>
        <w:rPr>
          <w:rFonts w:ascii="Times New Roman;Times;serif" w:hAnsi="Times New Roman;Times;serif"/>
          <w:b w:val="false"/>
          <w:i w:val="false"/>
          <w:caps w:val="false"/>
          <w:smallCaps w:val="false"/>
          <w:sz w:val="24"/>
          <w:u w:val="single"/>
        </w:rPr>
        <w:t>provided</w:t>
      </w:r>
      <w:r>
        <w:rPr>
          <w:caps w:val="false"/>
          <w:smallCaps w:val="false"/>
          <w:sz w:val="24"/>
        </w:rPr>
        <w:t xml:space="preserve"> </w:t>
      </w:r>
      <w:r>
        <w:rPr>
          <w:rFonts w:ascii="Times New Roman;Times;serif" w:hAnsi="Times New Roman;Times;serif"/>
          <w:b w:val="false"/>
          <w:i w:val="false"/>
          <w:caps w:val="false"/>
          <w:smallCaps w:val="false"/>
          <w:sz w:val="24"/>
        </w:rPr>
        <w:t xml:space="preserve">that the amount of any such adjustments made pursuant to an ESG Amendment shall not result in an increase or decrease of more than 2.5 basis points in the Applicable Margin;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4"/>
          <w:u w:val="single"/>
        </w:rPr>
        <w:t>further</w:t>
      </w:r>
      <w:r>
        <w:rPr>
          <w:rFonts w:ascii="Times New Roman;Times;serif" w:hAnsi="Times New Roman;Times;serif"/>
          <w:b w:val="false"/>
          <w:i w:val="false"/>
          <w:caps w:val="false"/>
          <w:smallCaps w:val="false"/>
          <w:sz w:val="24"/>
        </w:rPr>
        <w:t>, that in no event shall such adjustments increase the Applicable Margin above that in effect on the Closing Date or decrease the Applicable Margin below zero. The pricing adjustments pursuant to the KPIs will require, among other things, reporting and validation of the measurement of the KPIs in a manner that is aligned with the Sustainability Linked Loan Principles at the time of the ESG Amendment and is to be mutually agreed between the Borrower and the Sustainability Structuring Agent (each acting reasonably).  Following the effectiveness of the ESG Amendment, any modification to the ESG Pricing Provisions which does not have the effect of reducing the Applicable Margin to a level not otherwise permitted by this Section shall be subject only to the consent of the Required Lenders.</w:t>
      </w:r>
    </w:p>
    <w:p>
      <w:pPr>
        <w:pStyle w:val="TextBody"/>
        <w:bidi w:val="0"/>
        <w:spacing w:before="0" w:after="0"/>
        <w:ind w:left="180" w:right="0" w:hanging="0"/>
        <w:jc w:val="both"/>
        <w:rPr>
          <w:rFonts w:ascii="Times New Roman;Times;serif" w:hAnsi="Times New Roman;Times;serif"/>
          <w:sz w:val="24"/>
        </w:rPr>
      </w:pPr>
      <w:r>
        <w:rPr>
          <w:rFonts w:ascii="Times New Roman;Times;serif" w:hAnsi="Times New Roman;Times;serif"/>
          <w:sz w:val="24"/>
        </w:rPr>
        <w:t>(ii)The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pStyle w:val="TextBody"/>
        <w:bidi w:val="0"/>
        <w:spacing w:before="0" w:after="240"/>
        <w:ind w:left="720" w:right="0" w:hanging="0"/>
        <w:jc w:val="both"/>
        <w:rPr/>
      </w:pPr>
      <w:r>
        <w:rPr>
          <w:caps/>
        </w:rPr>
        <w:t>●</w:t>
      </w:r>
      <w:bookmarkStart w:id="1449" w:name="_Toc115421244"/>
      <w:bookmarkEnd w:id="1449"/>
      <w:r>
        <w:rPr>
          <w:rFonts w:ascii="Times New Roman;Times;serif" w:hAnsi="Times New Roman;Times;serif"/>
          <w:caps/>
          <w:sz w:val="24"/>
        </w:rPr>
        <w:t>Fees.</w:t>
      </w:r>
    </w:p>
    <w:p>
      <w:pPr>
        <w:pStyle w:val="TextBody"/>
        <w:bidi w:val="0"/>
        <w:spacing w:before="0" w:after="160"/>
        <w:ind w:left="0" w:right="0" w:hanging="0"/>
        <w:jc w:val="both"/>
        <w:rPr/>
      </w:pPr>
      <w:r>
        <w:rPr/>
        <w:t>●</w:t>
      </w:r>
      <w:bookmarkStart w:id="1450" w:name="_Toc115421245"/>
      <w:bookmarkEnd w:id="1450"/>
      <w:r>
        <w:rPr>
          <w:rFonts w:ascii="Times New Roman;Times;serif" w:hAnsi="Times New Roman;Times;serif"/>
          <w:i/>
          <w:sz w:val="24"/>
        </w:rPr>
        <w:t>Fees.</w:t>
      </w:r>
    </w:p>
    <w:p>
      <w:pPr>
        <w:pStyle w:val="TextBody"/>
        <w:bidi w:val="0"/>
        <w:spacing w:before="0" w:after="160"/>
        <w:ind w:left="0" w:right="0" w:hanging="0"/>
        <w:jc w:val="both"/>
        <w:rPr/>
      </w:pPr>
      <w:r>
        <w:rPr/>
        <w:t>●</w:t>
      </w:r>
      <w:r>
        <w:rPr>
          <w:rFonts w:ascii="Times New Roman;Times;serif" w:hAnsi="Times New Roman;Times;serif"/>
          <w:i/>
          <w:sz w:val="24"/>
        </w:rPr>
        <w:t>Revolving Credit Unused Commitment Fee</w:t>
      </w:r>
      <w:r>
        <w:rPr>
          <w:rFonts w:ascii="Times New Roman;Times;serif" w:hAnsi="Times New Roman;Times;serif"/>
          <w:sz w:val="24"/>
        </w:rPr>
        <w:t>.  The Borrower shall pay to the Administrative Agent for the ratable account of the Revolving Lenders in accordance with their Applicable Percentages an unused commitment fee at a rate per annum equal to (x) 0.15% if the average daily Unused Revolving Credit Commitments are less than or equal to 50% of the Revolving Credit Commitments then in effect and (y) 0.25% if the average daily Unused Revolving Credit Commitments are greater than 50% of the Revolving Credit Commitments then in effect (computed on the basis of a year of 360 days and the actual number of days elapsed) and determined based on the average daily Unused Revolving Credit Commitments during such previous quarter.  Such commitment fee shall be payable quarterly in arrears on the last day of each March, June, September, and December in each year (commencing on the first such date occurring after the date hereof) and on the Revolving Credit Termination Date, unless the Revolving Credit Commitments are terminated in whole on an earlier date, in which event the commitment fee for the period to the date of such termination in whole shall be calculated and paid on the date of such termination.</w:t>
      </w:r>
    </w:p>
    <w:p>
      <w:pPr>
        <w:pStyle w:val="TextBody"/>
        <w:bidi w:val="0"/>
        <w:spacing w:before="0" w:after="160"/>
        <w:ind w:left="0" w:right="0" w:hanging="0"/>
        <w:jc w:val="both"/>
        <w:rPr/>
      </w:pPr>
      <w:r>
        <w:rPr/>
        <w:t>●</w:t>
      </w:r>
      <w:r>
        <w:rPr>
          <w:rFonts w:ascii="Times New Roman;Times;serif" w:hAnsi="Times New Roman;Times;serif"/>
          <w:i/>
          <w:sz w:val="24"/>
        </w:rPr>
        <w:t>Letter of Credit Fees.</w:t>
      </w:r>
      <w:r>
        <w:rPr>
          <w:rFonts w:ascii="Times New Roman;Times;serif" w:hAnsi="Times New Roman;Times;serif"/>
          <w:sz w:val="24"/>
        </w:rPr>
        <w:t xml:space="preserve">  On the date of issuance or extension, or increase in the amount, of any Letter of Credit pursuant to Section 1.3 hereof, the Borrower shall pay to the L/C Issuer for its own account a fronting fee equal to 0.10% of the face amount of (or 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 xml:space="preserve">increase in the face amount of) such Letter of Credit.  Quarterly in arrears, on the last day of each March, June, September, and December, commencing on the first such date occurring after the date hereof, the Borrower shall pay to the Administrative Agent, for the ratable benefit of the Revolving Lenders in accordance with their Applicable Percentages, a letter of credit fee at a rate per annum equal to the Applicable Margin for Revolving Loans (computed on the basis of a year of 360 days and the actual number of days elapsed) in effect during each day of such quarter applied to the daily average face amount of Letters of Credit outstanding during such quarter.  If no Letters of Credit were outstanding during such quarter, no such fee shall be owed.  In addition, the Borrower shall pay to the L/C Issuer for its own account the L/C Issuer’s standard issuance, drawing, negotiation, amendment, cancellation, assignment, and other administrative fees for each Letter of Credit as established by the L/C Issuer from time to time. </w:t>
      </w:r>
    </w:p>
    <w:p>
      <w:pPr>
        <w:pStyle w:val="TextBody"/>
        <w:bidi w:val="0"/>
        <w:spacing w:before="0" w:after="160"/>
        <w:ind w:left="0" w:right="0" w:hanging="0"/>
        <w:jc w:val="both"/>
        <w:rPr/>
      </w:pPr>
      <w:r>
        <w:rPr/>
        <w:t>●</w:t>
      </w:r>
      <w:r>
        <w:rPr>
          <w:rFonts w:ascii="Times New Roman;Times;serif" w:hAnsi="Times New Roman;Times;serif"/>
          <w:i/>
          <w:sz w:val="24"/>
        </w:rPr>
        <w:t>Administrative Agent and Other Fees</w:t>
      </w:r>
    </w:p>
    <w:p>
      <w:pPr>
        <w:pStyle w:val="TextBody"/>
        <w:bidi w:val="0"/>
        <w:spacing w:before="0" w:after="160"/>
        <w:ind w:left="0" w:right="0" w:hanging="0"/>
        <w:jc w:val="both"/>
        <w:rPr/>
      </w:pPr>
      <w:r>
        <w:rPr>
          <w:caps w:val="false"/>
          <w:smallCaps w:val="false"/>
        </w:rPr>
        <w:t>●</w:t>
      </w:r>
      <w:r>
        <w:rPr>
          <w:rFonts w:ascii="Times New Roman;Times;serif" w:hAnsi="Times New Roman;Times;serif"/>
          <w:b w:val="false"/>
          <w:i w:val="false"/>
          <w:caps w:val="false"/>
          <w:smallCaps w:val="false"/>
          <w:sz w:val="24"/>
        </w:rPr>
        <w:t>.  The Borrower shall pay to the Administrative Agent, for its own use and benefit and for the benefit of the Lenders, as applicable, the fees agreed to between the Administrative Agent and the Borrower in the Fee Letter, or as otherwise agreed to in writing between them.</w:t>
      </w:r>
    </w:p>
    <w:p>
      <w:pPr>
        <w:pStyle w:val="TextBody"/>
        <w:bidi w:val="0"/>
        <w:spacing w:before="0" w:after="160"/>
        <w:ind w:left="720" w:right="0" w:hanging="0"/>
        <w:jc w:val="both"/>
        <w:rPr/>
      </w:pPr>
      <w:r>
        <w:rPr>
          <w:caps/>
        </w:rPr>
        <w:t>●</w:t>
      </w:r>
      <w:bookmarkStart w:id="1451" w:name="_Toc115421246"/>
      <w:bookmarkEnd w:id="1451"/>
      <w:r>
        <w:rPr>
          <w:rFonts w:ascii="Times New Roman;Times;serif" w:hAnsi="Times New Roman;Times;serif"/>
          <w:caps/>
          <w:sz w:val="24"/>
        </w:rPr>
        <w:t>Place and Application of Payments.</w:t>
      </w:r>
    </w:p>
    <w:p>
      <w:pPr>
        <w:pStyle w:val="TextBody"/>
        <w:bidi w:val="0"/>
        <w:ind w:left="0" w:right="0" w:hanging="0"/>
        <w:jc w:val="both"/>
        <w:rPr/>
      </w:pPr>
      <w:r>
        <w:rPr/>
        <w:t>●</w:t>
      </w:r>
      <w:bookmarkStart w:id="1452" w:name="_Toc115421247"/>
      <w:bookmarkStart w:id="1453" w:name="_Ref83736280"/>
      <w:bookmarkEnd w:id="1452"/>
      <w:bookmarkEnd w:id="1453"/>
      <w:r>
        <w:rPr>
          <w:rFonts w:ascii="Times New Roman;Times;serif" w:hAnsi="Times New Roman;Times;serif"/>
          <w:sz w:val="24"/>
          <w:u w:val="single"/>
        </w:rPr>
        <w:t>Place and Application of Payments</w:t>
      </w:r>
      <w:r>
        <w:rPr>
          <w:rFonts w:ascii="Times New Roman;Times;serif" w:hAnsi="Times New Roman;Times;serif"/>
          <w:sz w:val="24"/>
        </w:rPr>
        <w:t>.  All payments of principal of and interest on the Loans and the Reimbursement Obligations, and of all other Obligations payable by the Borrower under this Agreement and the other Loan Documents, shall be made by the Borrower to the Administrative Agent by no later than 12:00 Noon (New York time) on the due date thereof at the office of the Administrative Agent in New York, New York (or such other location as the Administrative Agent may designate to the Borrower) for the benefit of the Lender(s) or L/C Issuer entitled thereto.  Any payments received after such time shall be deemed to have been received by the Administrative Agent on the next Business Day.  All such payments shall be made in U.S. Dollars, in immediately available funds at the place of payment, in each case without set off or counterclaim.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pStyle w:val="TextBody"/>
        <w:bidi w:val="0"/>
        <w:spacing w:before="0" w:after="0"/>
        <w:ind w:left="0" w:right="0" w:firstLine="720"/>
        <w:jc w:val="both"/>
        <w:rPr>
          <w:rFonts w:ascii="Times" w:hAnsi="Times"/>
          <w:sz w:val="24"/>
        </w:rPr>
      </w:pPr>
      <w:r>
        <w:rPr>
          <w:rFonts w:ascii="Times" w:hAnsi="Times"/>
          <w:sz w:val="24"/>
        </w:rPr>
        <w:t xml:space="preserve">Anything contained herein to the contrary notwithstanding (including, without limitation, Section 1.8(b) hereof), all payments and collections received in respect of the Obligations by the Administrative Agent or any of the Lenders after acceleration or the final maturity 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w:hAnsi="Times"/>
          <w:sz w:val="24"/>
        </w:rPr>
      </w:pPr>
      <w:r>
        <w:rPr>
          <w:rFonts w:ascii="Times" w:hAnsi="Times"/>
          <w:sz w:val="24"/>
        </w:rPr>
        <w:t>Obligations or termination of the Revolving Credit Commitments as a result of an Event of Default shall be remitted to the Administrative Agent and distributed as follows:</w:t>
      </w:r>
    </w:p>
    <w:p>
      <w:pPr>
        <w:pStyle w:val="TextBody"/>
        <w:bidi w:val="0"/>
        <w:spacing w:before="0" w:after="200"/>
        <w:ind w:left="0" w:right="0" w:hanging="0"/>
        <w:jc w:val="both"/>
        <w:rPr/>
      </w:pPr>
      <w:r>
        <w:rPr/>
        <w:t>●</w:t>
      </w:r>
      <w:r>
        <w:rPr>
          <w:rFonts w:ascii="Times New Roman;Times;serif" w:hAnsi="Times New Roman;Times;serif"/>
          <w:sz w:val="24"/>
        </w:rPr>
        <w:t>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pStyle w:val="TextBody"/>
        <w:bidi w:val="0"/>
        <w:spacing w:before="0" w:after="200"/>
        <w:ind w:left="0" w:right="0" w:hanging="0"/>
        <w:jc w:val="both"/>
        <w:rPr/>
      </w:pPr>
      <w:r>
        <w:rPr/>
        <w:t>●</w:t>
      </w:r>
      <w:r>
        <w:rPr>
          <w:rFonts w:ascii="Times New Roman;Times;serif" w:hAnsi="Times New Roman;Times;serif"/>
          <w:sz w:val="24"/>
        </w:rPr>
        <w:t xml:space="preserve">second, to the payment of Swing Loans, both for principal and accrued but unpaid interest; </w:t>
      </w:r>
    </w:p>
    <w:p>
      <w:pPr>
        <w:pStyle w:val="TextBody"/>
        <w:bidi w:val="0"/>
        <w:spacing w:before="0" w:after="240"/>
        <w:ind w:left="0" w:right="0" w:hanging="0"/>
        <w:jc w:val="both"/>
        <w:rPr/>
      </w:pPr>
      <w:r>
        <w:rPr/>
        <w:t>●</w:t>
      </w:r>
      <w:r>
        <w:rPr>
          <w:rFonts w:ascii="Times New Roman;Times;serif" w:hAnsi="Times New Roman;Times;serif"/>
          <w:sz w:val="24"/>
        </w:rPr>
        <w:t>third, to the payment of any outstanding interest and fees due under the Loan Documents to be allocated pro rata in accordance with the aggregate unpaid amounts owing to each holder thereof;</w:t>
      </w:r>
    </w:p>
    <w:p>
      <w:pPr>
        <w:pStyle w:val="TextBody"/>
        <w:bidi w:val="0"/>
        <w:spacing w:before="0" w:after="200"/>
        <w:ind w:left="0" w:right="0" w:hanging="0"/>
        <w:jc w:val="both"/>
        <w:rPr/>
      </w:pPr>
      <w:r>
        <w:rPr/>
        <w:t>●</w:t>
      </w:r>
      <w:r>
        <w:rPr>
          <w:rFonts w:ascii="Times New Roman;Times;serif" w:hAnsi="Times New Roman;Times;serif"/>
          <w:sz w:val="24"/>
        </w:rPr>
        <w:t xml:space="preserve">fourth, to the payment of principal on the Term Loans, Incremental Term Loans (if any), the Revolving Loans, unpaid Reimbursement Obligations, together with amounts to be held by the Administrative Agent as collateral security for any outstanding L/C Obligations pursuant to Section 9.4 hereof (until the Administrative Agent is holding an amount of cash equal to the then outstanding amount of all such L/C Obligations), Hedging Liability, and Funds Transfer and Deposit Account Liability, with the aggregate amount paid to, or held as collateral security for, the Lenders, each Qualifying Counterparty and L/C Issuer and, in the case of Hedging Liability, their Affiliates, to be allocated </w:t>
      </w:r>
      <w:r>
        <w:rPr>
          <w:rFonts w:ascii="Times New Roman;Times;serif" w:hAnsi="Times New Roman;Times;serif"/>
          <w:i/>
          <w:sz w:val="24"/>
        </w:rPr>
        <w:t>pro rata</w:t>
      </w:r>
      <w:r>
        <w:rPr>
          <w:rFonts w:ascii="Times New Roman;Times;serif" w:hAnsi="Times New Roman;Times;serif"/>
          <w:sz w:val="24"/>
        </w:rPr>
        <w:t xml:space="preserve"> in accordance with the aggregate unpaid amounts owing to each holder thereof;</w:t>
      </w:r>
    </w:p>
    <w:p>
      <w:pPr>
        <w:pStyle w:val="TextBody"/>
        <w:bidi w:val="0"/>
        <w:spacing w:before="0" w:after="200"/>
        <w:ind w:left="0" w:right="0" w:hanging="0"/>
        <w:jc w:val="both"/>
        <w:rPr/>
      </w:pPr>
      <w:r>
        <w:rPr/>
        <w:t>●</w:t>
      </w:r>
      <w:r>
        <w:rPr>
          <w:rFonts w:ascii="Times New Roman;Times;serif" w:hAnsi="Times New Roman;Times;serif"/>
          <w:sz w:val="24"/>
        </w:rPr>
        <w:t>fifth,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pStyle w:val="TextBody"/>
        <w:bidi w:val="0"/>
        <w:spacing w:before="0" w:after="0"/>
        <w:ind w:left="0" w:right="0" w:hanging="0"/>
        <w:jc w:val="both"/>
        <w:rPr/>
      </w:pPr>
      <w:r>
        <w:rPr/>
        <w:t>●</w:t>
      </w:r>
      <w:r>
        <w:rPr>
          <w:rFonts w:ascii="Times New Roman;Times;serif" w:hAnsi="Times New Roman;Times;serif"/>
          <w:sz w:val="24"/>
        </w:rPr>
        <w:t>finally, to the Borrower or whoever else may be lawfully entitled thereto.</w:t>
      </w:r>
    </w:p>
    <w:p>
      <w:pPr>
        <w:pStyle w:val="TextBody"/>
        <w:bidi w:val="0"/>
        <w:spacing w:before="0" w:after="200"/>
        <w:ind w:left="720" w:right="0" w:hanging="0"/>
        <w:jc w:val="both"/>
        <w:rPr/>
      </w:pPr>
      <w:r>
        <w:rPr>
          <w:caps/>
        </w:rPr>
        <w:t>●</w:t>
      </w:r>
      <w:bookmarkStart w:id="1454" w:name="_Toc115421248"/>
      <w:bookmarkEnd w:id="1454"/>
      <w:r>
        <w:rPr>
          <w:rFonts w:ascii="Times New Roman;Times;serif" w:hAnsi="Times New Roman;Times;serif"/>
          <w:caps/>
          <w:sz w:val="24"/>
        </w:rPr>
        <w:t>Guaranties</w:t>
      </w:r>
    </w:p>
    <w:p>
      <w:pPr>
        <w:pStyle w:val="TextBody"/>
        <w:bidi w:val="0"/>
        <w:spacing w:before="0" w:after="200"/>
        <w:ind w:left="0" w:right="0" w:hanging="0"/>
        <w:jc w:val="both"/>
        <w:rPr/>
      </w:pPr>
      <w:r>
        <w:rPr/>
        <w:t>●</w:t>
      </w:r>
      <w:bookmarkStart w:id="1455" w:name="_Toc115421249"/>
      <w:bookmarkEnd w:id="1455"/>
      <w:r>
        <w:rPr>
          <w:rFonts w:ascii="Times New Roman;Times;serif" w:hAnsi="Times New Roman;Times;serif"/>
          <w:sz w:val="24"/>
          <w:u w:val="single"/>
        </w:rPr>
        <w:t>Guaranties</w:t>
      </w:r>
      <w:r>
        <w:rPr>
          <w:rFonts w:ascii="Times New Roman;Times;serif" w:hAnsi="Times New Roman;Times;serif"/>
          <w:i/>
          <w:sz w:val="24"/>
        </w:rPr>
        <w:t>.</w:t>
      </w:r>
      <w:r>
        <w:rPr>
          <w:rFonts w:ascii="Times New Roman;Times;serif" w:hAnsi="Times New Roman;Times;serif"/>
          <w:sz w:val="24"/>
        </w:rPr>
        <w:t xml:space="preserve">  The payment and performance of the Obligations, Hedging Liability, and Funds Transfer and Deposit Account Liability shall at all times be guaranteed by (i) Parent and (ii)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Times;serif" w:hAnsi="Times New Roman;Times;serif"/>
          <w:i/>
          <w:sz w:val="24"/>
        </w:rPr>
        <w:t>Guaranty”</w:t>
      </w:r>
      <w:r>
        <w:rPr>
          <w:rFonts w:ascii="Times New Roman;Times;serif" w:hAnsi="Times New Roman;Times;serif"/>
          <w:sz w:val="24"/>
        </w:rPr>
        <w:t xml:space="preserve"> and collectively the “</w:t>
      </w:r>
      <w:r>
        <w:rPr>
          <w:rFonts w:ascii="Times New Roman;Times;serif" w:hAnsi="Times New Roman;Times;serif"/>
          <w:i/>
          <w:sz w:val="24"/>
        </w:rPr>
        <w:t>Guaranties”</w:t>
      </w:r>
      <w:r>
        <w:rPr>
          <w:rFonts w:ascii="Times New Roman;Times;serif" w:hAnsi="Times New Roman;Times;serif"/>
          <w:sz w:val="24"/>
        </w:rPr>
        <w:t xml:space="preserve"> and each such Material Subsidiary executing and delivering a Guaranty being referred to herein as a “</w:t>
      </w:r>
      <w:r>
        <w:rPr>
          <w:rFonts w:ascii="Times New Roman;Times;serif" w:hAnsi="Times New Roman;Times;serif"/>
          <w:i/>
          <w:sz w:val="24"/>
        </w:rPr>
        <w:t>Guarantor”</w:t>
      </w:r>
      <w:r>
        <w:rPr>
          <w:rFonts w:ascii="Times New Roman;Times;serif" w:hAnsi="Times New Roman;Times;serif"/>
          <w:sz w:val="24"/>
        </w:rPr>
        <w:t xml:space="preserve"> and collectively the “</w:t>
      </w:r>
      <w:r>
        <w:rPr>
          <w:rFonts w:ascii="Times New Roman;Times;serif" w:hAnsi="Times New Roman;Times;serif"/>
          <w:i/>
          <w:sz w:val="24"/>
        </w:rPr>
        <w:t>Guarantors”</w:t>
      </w:r>
      <w:r>
        <w:rPr>
          <w:rFonts w:ascii="Times New Roman;Times;serif" w:hAnsi="Times New Roman;Times;serif"/>
          <w:sz w:val="24"/>
        </w:rPr>
        <w:t xml:space="preserve">); </w:t>
      </w:r>
      <w:r>
        <w:rPr>
          <w:rFonts w:ascii="Times New Roman;Times;serif" w:hAnsi="Times New Roman;Times;serif"/>
          <w:i/>
          <w:sz w:val="24"/>
        </w:rPr>
        <w:t>provided, however,</w:t>
      </w:r>
      <w:r>
        <w:rPr>
          <w:rFonts w:ascii="Times New Roman;Times;serif" w:hAnsi="Times New Roman;Times;serif"/>
          <w:sz w:val="24"/>
        </w:rPr>
        <w:t xml:space="preserve"> that, with respect to any Guarantor, Hedging Liability guaranteed by such Guarantor shall exclude all Excluded Swap Obligations.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bookmarkStart w:id="1456" w:name="_Toc115421250"/>
      <w:bookmarkEnd w:id="1456"/>
      <w:r>
        <w:rPr>
          <w:rFonts w:ascii="Times New Roman;Times;serif" w:hAnsi="Times New Roman;Times;serif"/>
          <w:sz w:val="24"/>
          <w:u w:val="single"/>
        </w:rPr>
        <w:t>Further Assurances</w:t>
      </w:r>
      <w:r>
        <w:rPr>
          <w:rFonts w:ascii="Times New Roman;Times;serif" w:hAnsi="Times New Roman;Times;serif"/>
          <w:sz w:val="24"/>
        </w:rPr>
        <w:t>.  In the event the Borrower or any Guarantor forms or acquires any 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Times New Roman;Times;serif" w:hAnsi="Times New Roman;Times;serif"/>
          <w:b/>
          <w:i/>
          <w:sz w:val="24"/>
        </w:rPr>
        <w:t>Additional Guarantor Supplement</w:t>
      </w:r>
      <w:r>
        <w:rPr>
          <w:rFonts w:ascii="Times New Roman;Times;serif" w:hAnsi="Times New Roman;Times;serif"/>
          <w:sz w:val="24"/>
        </w:rPr>
        <w:t>”) as the Administrative Agent may then require, and the Borrower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pStyle w:val="TextBody"/>
        <w:bidi w:val="0"/>
        <w:spacing w:before="0" w:after="200"/>
        <w:ind w:left="720" w:right="0" w:hanging="0"/>
        <w:jc w:val="both"/>
        <w:rPr/>
      </w:pPr>
      <w:r>
        <w:rPr>
          <w:caps/>
        </w:rPr>
        <w:t>●</w:t>
      </w:r>
      <w:bookmarkStart w:id="1457" w:name="_Toc115421251"/>
      <w:bookmarkEnd w:id="1457"/>
      <w:r>
        <w:rPr>
          <w:rFonts w:ascii="Times New Roman;Times;serif" w:hAnsi="Times New Roman;Times;serif"/>
          <w:caps/>
          <w:sz w:val="24"/>
        </w:rPr>
        <w:t>Definitions; Interpretation.</w:t>
      </w:r>
    </w:p>
    <w:p>
      <w:pPr>
        <w:pStyle w:val="TextBody"/>
        <w:bidi w:val="0"/>
        <w:spacing w:before="0" w:after="240"/>
        <w:ind w:left="0" w:right="0" w:hanging="0"/>
        <w:jc w:val="both"/>
        <w:rPr/>
      </w:pPr>
      <w:r>
        <w:rPr/>
        <w:t>●</w:t>
      </w:r>
      <w:bookmarkStart w:id="1458" w:name="_Toc115421252"/>
      <w:bookmarkStart w:id="1459" w:name="_Ref70340498"/>
      <w:bookmarkEnd w:id="1458"/>
      <w:bookmarkEnd w:id="1459"/>
      <w:r>
        <w:rPr>
          <w:rFonts w:ascii="Times New Roman;Times;serif" w:hAnsi="Times New Roman;Times;serif"/>
          <w:sz w:val="24"/>
          <w:u w:val="single"/>
        </w:rPr>
        <w:t>Definitions</w:t>
      </w:r>
      <w:r>
        <w:rPr>
          <w:rFonts w:ascii="Times New Roman;Times;serif" w:hAnsi="Times New Roman;Times;serif"/>
          <w:i/>
          <w:sz w:val="24"/>
        </w:rPr>
        <w: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The following terms when used herein shall have the following meanings:</w:t>
      </w:r>
    </w:p>
    <w:p>
      <w:pPr>
        <w:pStyle w:val="TextBody"/>
        <w:bidi w:val="0"/>
        <w:spacing w:before="0" w:after="240"/>
        <w:ind w:left="0" w:right="0" w:firstLine="720"/>
        <w:jc w:val="both"/>
        <w:rPr/>
      </w:pPr>
      <w:r>
        <w:rPr/>
        <w:t>“</w:t>
      </w:r>
      <w:r>
        <w:rPr>
          <w:rFonts w:ascii="Times" w:hAnsi="Times"/>
          <w:i/>
          <w:sz w:val="24"/>
        </w:rPr>
        <w:t xml:space="preserve">1031 Cash Proceeds” </w:t>
      </w:r>
      <w:r>
        <w:rPr>
          <w:rFonts w:ascii="Times" w:hAnsi="Times"/>
          <w:sz w:val="24"/>
        </w:rPr>
        <w:t xml:space="preserve">means cash proceeds from the sale of Property in a transaction under Section 1031 of the Code held by a qualifying intermediary; </w:t>
      </w:r>
      <w:r>
        <w:rPr>
          <w:rFonts w:ascii="Times" w:hAnsi="Times"/>
          <w:i/>
          <w:sz w:val="24"/>
        </w:rPr>
        <w:t>provided</w:t>
      </w:r>
      <w:r>
        <w:rPr>
          <w:rFonts w:ascii="Times" w:hAnsi="Times"/>
          <w:sz w:val="24"/>
        </w:rPr>
        <w:t>, that, such proceeds shall cease to be 1031 Cash Proceeds as of the last day on which Borrower or the applicable Subsidiary can consummate a tax-deferred transaction under Section 1031 of the Code.</w:t>
      </w:r>
    </w:p>
    <w:p>
      <w:pPr>
        <w:pStyle w:val="TextBody"/>
        <w:bidi w:val="0"/>
        <w:spacing w:before="0" w:after="240"/>
        <w:ind w:left="0" w:right="0" w:firstLine="720"/>
        <w:jc w:val="both"/>
        <w:rPr/>
      </w:pPr>
      <w:r>
        <w:rPr/>
        <w:t>“</w:t>
      </w:r>
      <w:r>
        <w:rPr>
          <w:rFonts w:ascii="Times" w:hAnsi="Times"/>
          <w:i/>
          <w:sz w:val="24"/>
        </w:rPr>
        <w:t>1031 Property”</w:t>
      </w:r>
      <w:r>
        <w:rPr>
          <w:rFonts w:ascii="Times New Roman;Times;serif" w:hAnsi="Times New Roman;Times;serif"/>
          <w:sz w:val="24"/>
        </w:rPr>
        <w:t xml:space="preserve"> </w:t>
      </w:r>
      <w:r>
        <w:rPr>
          <w:rFonts w:ascii="Times" w:hAnsi="Times"/>
          <w:sz w:val="24"/>
        </w:rPr>
        <w:t>means, as of any Unencumbered Pool Determination Date, any Property owned by a 1031 Property Holder which is intended to qualify for tax treatment under, Section 1031 of the Code and which satisfies the following conditions:</w:t>
      </w:r>
    </w:p>
    <w:p>
      <w:pPr>
        <w:pStyle w:val="TextBody"/>
        <w:bidi w:val="0"/>
        <w:spacing w:before="0" w:after="240"/>
        <w:ind w:left="720" w:right="0" w:hanging="0"/>
        <w:jc w:val="both"/>
        <w:rPr>
          <w:rFonts w:ascii="Times" w:hAnsi="Times"/>
          <w:sz w:val="24"/>
        </w:rPr>
      </w:pPr>
      <w:r>
        <w:rPr>
          <w:rFonts w:ascii="Times" w:hAnsi="Times"/>
          <w:sz w:val="24"/>
        </w:rPr>
        <w:t>(i)the Property meets all of the requirements of the definition of Eligible Property; and</w:t>
      </w:r>
    </w:p>
    <w:p>
      <w:pPr>
        <w:pStyle w:val="TextBody"/>
        <w:bidi w:val="0"/>
        <w:spacing w:before="0" w:after="240"/>
        <w:ind w:left="720" w:right="0" w:hanging="0"/>
        <w:jc w:val="both"/>
        <w:rPr>
          <w:rFonts w:ascii="Times" w:hAnsi="Times"/>
          <w:sz w:val="24"/>
        </w:rPr>
      </w:pPr>
      <w:r>
        <w:rPr>
          <w:rFonts w:ascii="Times" w:hAnsi="Times"/>
          <w:sz w:val="24"/>
        </w:rPr>
        <w:t>(ii)the Borrower or a Guarantor has the unconditional contractual right to require and cause fee simple title to such Property to be transferred at any time to any Person as directed by the Borrower or a Guarantor.</w:t>
      </w:r>
    </w:p>
    <w:p>
      <w:pPr>
        <w:pStyle w:val="TextBody"/>
        <w:bidi w:val="0"/>
        <w:spacing w:before="0" w:after="240"/>
        <w:ind w:left="0" w:right="0" w:firstLine="720"/>
        <w:jc w:val="both"/>
        <w:rPr>
          <w:rFonts w:ascii="Times" w:hAnsi="Times"/>
          <w:sz w:val="24"/>
        </w:rPr>
      </w:pPr>
      <w:r>
        <w:rPr>
          <w:rFonts w:ascii="Times" w:hAnsi="Times"/>
          <w:sz w:val="24"/>
        </w:rPr>
        <w:t>For purposes of determining Total Asset Value, such 1031 Property shall be deemed to have been owned or leased by the Borrower or a Guarantor from the date acquired by the 1031 Property Holder that owns such 1031 Property.</w:t>
      </w:r>
    </w:p>
    <w:p>
      <w:pPr>
        <w:pStyle w:val="TextBody"/>
        <w:bidi w:val="0"/>
        <w:spacing w:before="0" w:after="240"/>
        <w:ind w:left="0" w:right="0" w:firstLine="720"/>
        <w:jc w:val="both"/>
        <w:rPr/>
      </w:pPr>
      <w:r>
        <w:rPr/>
        <w:t>“</w:t>
      </w:r>
      <w:r>
        <w:rPr>
          <w:rFonts w:ascii="Times" w:hAnsi="Times"/>
          <w:i/>
          <w:sz w:val="24"/>
        </w:rPr>
        <w:t>1031 Property Holder”</w:t>
      </w:r>
      <w:r>
        <w:rPr>
          <w:rFonts w:ascii="Times New Roman;Times;serif" w:hAnsi="Times New Roman;Times;serif"/>
          <w:sz w:val="24"/>
        </w:rPr>
        <w:t xml:space="preserve"> </w:t>
      </w:r>
      <w:r>
        <w:rPr>
          <w:rFonts w:ascii="Times" w:hAnsi="Times"/>
          <w:sz w:val="24"/>
        </w:rPr>
        <w:t>means the “qualified intermediary” or “exchange accommodation titleholder” with respect to a 1031 Property as contemplated under Section 1031 of the Code, the regulations of the U.S. Department of Treasury adopted thereunder and related revenue procedures related thereto.</w:t>
      </w:r>
    </w:p>
    <w:p>
      <w:pPr>
        <w:pStyle w:val="TextBody"/>
        <w:bidi w:val="0"/>
        <w:spacing w:before="0" w:after="240"/>
        <w:ind w:left="0" w:right="0" w:firstLine="720"/>
        <w:jc w:val="both"/>
        <w:rPr/>
      </w:pPr>
      <w:r>
        <w:rPr/>
        <w:t>“</w:t>
      </w:r>
      <w:r>
        <w:rPr>
          <w:rFonts w:ascii="Times" w:hAnsi="Times"/>
          <w:i/>
          <w:sz w:val="24"/>
        </w:rPr>
        <w:t>2027 Term Loan”</w:t>
      </w:r>
      <w:r>
        <w:rPr>
          <w:rFonts w:ascii="Times New Roman;Times;serif" w:hAnsi="Times New Roman;Times;serif"/>
          <w:sz w:val="24"/>
        </w:rPr>
        <w:t xml:space="preserve"> </w:t>
      </w:r>
      <w:r>
        <w:rPr>
          <w:rFonts w:ascii="Times" w:hAnsi="Times"/>
          <w:sz w:val="24"/>
        </w:rPr>
        <w:t>means the Term Loan made by each Lender in the amount of such Lender’s 2027 Term Loan Commitment under the Original Credit Agreement.</w:t>
      </w:r>
    </w:p>
    <w:p>
      <w:pPr>
        <w:pStyle w:val="TextBody"/>
        <w:bidi w:val="0"/>
        <w:spacing w:before="0" w:after="240"/>
        <w:ind w:left="0" w:right="0" w:firstLine="720"/>
        <w:jc w:val="both"/>
        <w:rPr/>
      </w:pPr>
      <w:r>
        <w:rPr/>
        <w:t>“</w:t>
      </w:r>
      <w:r>
        <w:rPr>
          <w:rFonts w:ascii="Times" w:hAnsi="Times"/>
          <w:i/>
          <w:sz w:val="24"/>
        </w:rPr>
        <w:t>2027 Term Loan Commitment”</w:t>
      </w:r>
      <w:r>
        <w:rPr>
          <w:rFonts w:ascii="Times New Roman;Times;serif" w:hAnsi="Times New Roman;Times;serif"/>
          <w:sz w:val="24"/>
        </w:rPr>
        <w:t xml:space="preserve"> </w:t>
      </w:r>
      <w:r>
        <w:rPr>
          <w:rFonts w:ascii="Times" w:hAnsi="Times"/>
          <w:sz w:val="24"/>
        </w:rPr>
        <w:t>means, as to any Lender, the amount set forth opposite such Lender’s name under the heading 2027 Term Loan Commitment on Schedule 1 attached hereto and made a part hereof.  The Borrower and the Lenders acknowledge and agree that the 2027 Term Loan Commitments of the Lenders aggregate $100,000,000 as of the date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sz w:val="24"/>
        </w:rPr>
        <w:t xml:space="preserve">2027 </w:t>
      </w:r>
      <w:r>
        <w:rPr>
          <w:rFonts w:ascii="Times" w:hAnsi="Times"/>
          <w:i/>
          <w:sz w:val="24"/>
        </w:rPr>
        <w:t>Term Facility</w:t>
      </w:r>
      <w:r>
        <w:rPr>
          <w:rFonts w:ascii="Times New Roman;Times;serif" w:hAnsi="Times New Roman;Times;serif"/>
          <w:sz w:val="24"/>
        </w:rPr>
        <w:t xml:space="preserve">” </w:t>
      </w:r>
      <w:r>
        <w:rPr>
          <w:rFonts w:ascii="Times" w:hAnsi="Times"/>
          <w:sz w:val="24"/>
        </w:rPr>
        <w:t>means, the aggregate principal amount of the 2027 Term Loans of all 2027 Term Lenders outstanding at such time.</w:t>
      </w:r>
    </w:p>
    <w:p>
      <w:pPr>
        <w:pStyle w:val="TextBody"/>
        <w:bidi w:val="0"/>
        <w:spacing w:before="0" w:after="240"/>
        <w:ind w:left="0" w:right="0" w:firstLine="720"/>
        <w:jc w:val="both"/>
        <w:rPr/>
      </w:pPr>
      <w:r>
        <w:rPr/>
        <w:t>“</w:t>
      </w:r>
      <w:r>
        <w:rPr>
          <w:rFonts w:ascii="Times" w:hAnsi="Times"/>
          <w:sz w:val="24"/>
        </w:rPr>
        <w:t xml:space="preserve">2027 </w:t>
      </w:r>
      <w:r>
        <w:rPr>
          <w:rFonts w:ascii="Times" w:hAnsi="Times"/>
          <w:i/>
          <w:sz w:val="24"/>
        </w:rPr>
        <w:t>Term Lender</w:t>
      </w:r>
      <w:r>
        <w:rPr>
          <w:rFonts w:ascii="Times New Roman;Times;serif" w:hAnsi="Times New Roman;Times;serif"/>
          <w:sz w:val="24"/>
        </w:rPr>
        <w:t xml:space="preserve">” </w:t>
      </w:r>
      <w:r>
        <w:rPr>
          <w:rFonts w:ascii="Times" w:hAnsi="Times"/>
          <w:sz w:val="24"/>
        </w:rPr>
        <w:t>means, each Lender that holds a 2027 Term Loan or 2027 Term Loan Commitment.</w:t>
      </w:r>
    </w:p>
    <w:p>
      <w:pPr>
        <w:pStyle w:val="TextBody"/>
        <w:bidi w:val="0"/>
        <w:spacing w:before="0" w:after="240"/>
        <w:ind w:left="0" w:right="0" w:firstLine="720"/>
        <w:jc w:val="both"/>
        <w:rPr/>
      </w:pPr>
      <w:r>
        <w:rPr/>
        <w:t>“</w:t>
      </w:r>
      <w:r>
        <w:rPr>
          <w:rFonts w:ascii="Times" w:hAnsi="Times"/>
          <w:i/>
          <w:sz w:val="24"/>
        </w:rPr>
        <w:t>Acceptable Leasehold Interest</w:t>
      </w:r>
      <w:r>
        <w:rPr>
          <w:rFonts w:ascii="Times New Roman;Times;serif" w:hAnsi="Times New Roman;Times;serif"/>
          <w:sz w:val="24"/>
        </w:rPr>
        <w:t xml:space="preserve">” </w:t>
      </w:r>
      <w:r>
        <w:rPr>
          <w:rFonts w:ascii="Times" w:hAnsi="Times"/>
          <w:sz w:val="24"/>
        </w:rPr>
        <w:t>means a ground leasehold interest where the Borrower or its Subsidiary is the lessee thereunder, as to which no default (other than a default which remains subject to grace or cure periods) or event of default has occurred or with the passage of time or the giving of notice would occur, and containing (a) the following terms and conditions: (i) a remaining term (including any unexercised extension options that the lessee can unilaterally exercise without the need to obtain the consent of the lessor or to pay the lessor any amount as a condition to the effectiveness of such extension) of 30 years or more from the Closing Date; (ii) the right of the lessee to mortgage and encumber its interest in the leased property without the consent of 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(iv) reasonable transferability of the lessee’s interest under such lease, including ability to sublease; and (v) such other rights customarily required by mortgagees making a loan secured by the interest of the holder of the leasehold estate demised pursuant to a ground lease as reasonably approved by the Administrative Agent; or (b) terms and conditions otherwise reasonably acceptable to the Administrative Agent.</w:t>
      </w:r>
    </w:p>
    <w:p>
      <w:pPr>
        <w:pStyle w:val="TextBody"/>
        <w:bidi w:val="0"/>
        <w:spacing w:before="0" w:after="240"/>
        <w:ind w:left="0" w:right="0" w:firstLine="720"/>
        <w:jc w:val="both"/>
        <w:rPr/>
      </w:pPr>
      <w:r>
        <w:rPr/>
        <w:t>“</w:t>
      </w:r>
      <w:r>
        <w:rPr>
          <w:rFonts w:ascii="Times" w:hAnsi="Times"/>
          <w:i/>
          <w:sz w:val="24"/>
        </w:rPr>
        <w:t>Additional Guarantor Supplement”</w:t>
      </w:r>
      <w:r>
        <w:rPr>
          <w:rFonts w:ascii="Times New Roman;Times;serif" w:hAnsi="Times New Roman;Times;serif"/>
          <w:sz w:val="24"/>
        </w:rPr>
        <w:t xml:space="preserve"> </w:t>
      </w:r>
      <w:r>
        <w:rPr>
          <w:rFonts w:ascii="Times" w:hAnsi="Times"/>
          <w:sz w:val="24"/>
        </w:rPr>
        <w:t>is defined in Section 4.2 hereof.</w:t>
      </w:r>
    </w:p>
    <w:p>
      <w:pPr>
        <w:pStyle w:val="TextBody"/>
        <w:bidi w:val="0"/>
        <w:spacing w:before="0" w:after="240"/>
        <w:ind w:left="0" w:right="0" w:firstLine="720"/>
        <w:jc w:val="both"/>
        <w:rPr/>
      </w:pPr>
      <w:r>
        <w:rPr/>
        <w:t>“</w:t>
      </w:r>
      <w:r>
        <w:rPr>
          <w:rFonts w:ascii="Times" w:hAnsi="Times"/>
          <w:i/>
          <w:sz w:val="24"/>
        </w:rPr>
        <w:t>Adjusted Availability</w:t>
      </w:r>
      <w:r>
        <w:rPr>
          <w:rFonts w:ascii="Times New Roman;Times;serif" w:hAnsi="Times New Roman;Times;serif"/>
          <w:sz w:val="24"/>
        </w:rPr>
        <w:t xml:space="preserve">” </w:t>
      </w:r>
      <w:r>
        <w:rPr>
          <w:rFonts w:ascii="Times" w:hAnsi="Times"/>
          <w:sz w:val="24"/>
        </w:rPr>
        <w:t xml:space="preserve">means, at any time of determination, an amount equal to (x) the Gross Availability </w:t>
      </w:r>
      <w:r>
        <w:rPr>
          <w:rFonts w:ascii="Times" w:hAnsi="Times"/>
          <w:i/>
          <w:sz w:val="24"/>
        </w:rPr>
        <w:t>minus</w:t>
      </w:r>
      <w:r>
        <w:rPr>
          <w:rFonts w:ascii="Times New Roman;Times;serif" w:hAnsi="Times New Roman;Times;serif"/>
          <w:sz w:val="24"/>
        </w:rPr>
        <w:t xml:space="preserve"> </w:t>
      </w:r>
      <w:r>
        <w:rPr>
          <w:rFonts w:ascii="Times" w:hAnsi="Times"/>
          <w:sz w:val="24"/>
        </w:rPr>
        <w:t xml:space="preserve">(y) the aggregate Other Unsecured Indebtedness outstanding on such date. </w:t>
      </w:r>
    </w:p>
    <w:p>
      <w:pPr>
        <w:pStyle w:val="TextBody"/>
        <w:bidi w:val="0"/>
        <w:spacing w:before="0" w:after="240"/>
        <w:ind w:left="0" w:right="0" w:firstLine="720"/>
        <w:jc w:val="both"/>
        <w:rPr/>
      </w:pPr>
      <w:r>
        <w:rPr/>
        <w:t>“</w:t>
      </w:r>
      <w:r>
        <w:rPr>
          <w:rFonts w:ascii="Times" w:hAnsi="Times"/>
          <w:i/>
          <w:sz w:val="24"/>
        </w:rPr>
        <w:t>Adjusted Daily Simple SOFR</w:t>
      </w:r>
      <w:r>
        <w:rPr>
          <w:rFonts w:ascii="Times New Roman;Times;serif" w:hAnsi="Times New Roman;Times;serif"/>
          <w:sz w:val="24"/>
        </w:rPr>
        <w:t xml:space="preserve">” </w:t>
      </w:r>
      <w:r>
        <w:rPr>
          <w:rFonts w:ascii="Times" w:hAnsi="Times"/>
          <w:sz w:val="24"/>
        </w:rPr>
        <w:t xml:space="preserve">means with respect to a Daily Simple SOFR Loan, the sum of (a) Daily Simple SOFR and (b) the applicable SOFR Index Adjustment; provided that if Adjusted Daily Simple SOFR as so determined would be less than the Floor, then Adjusted Daily Simple SOFR shall be deemed to be the </w:t>
      </w:r>
      <w:r>
        <w:rPr>
          <w:rFonts w:ascii="Times New Roman;Times;serif" w:hAnsi="Times New Roman;Times;serif"/>
          <w:sz w:val="24"/>
        </w:rPr>
        <w:t>Floor</w:t>
      </w:r>
      <w:r>
        <w:rPr>
          <w:rFonts w:ascii="Times" w:hAnsi="Times"/>
          <w:sz w:val="24"/>
        </w:rPr>
        <w:t>.</w:t>
      </w:r>
    </w:p>
    <w:p>
      <w:pPr>
        <w:pStyle w:val="TextBody"/>
        <w:bidi w:val="0"/>
        <w:spacing w:before="0" w:after="240"/>
        <w:ind w:left="0" w:right="0" w:firstLine="720"/>
        <w:jc w:val="both"/>
        <w:rPr/>
      </w:pPr>
      <w:r>
        <w:rPr/>
        <w:t>“</w:t>
      </w:r>
      <w:r>
        <w:rPr>
          <w:rFonts w:ascii="Times" w:hAnsi="Times"/>
          <w:i/>
          <w:sz w:val="24"/>
        </w:rPr>
        <w:t>Adjusted FFO”</w:t>
      </w:r>
      <w:r>
        <w:rPr>
          <w:rFonts w:ascii="Times New Roman;Times;serif" w:hAnsi="Times New Roman;Times;serif"/>
          <w:sz w:val="24"/>
        </w:rPr>
        <w:t xml:space="preserve"> </w:t>
      </w:r>
      <w:r>
        <w:rPr>
          <w:rFonts w:ascii="Times" w:hAnsi="Times"/>
          <w:sz w:val="24"/>
        </w:rPr>
        <w:t xml:space="preserve">means for any period, “funds from operations” as defined in accordance with resolutions adopted by the Board of Governors of the National Association of Real Estate Investment Trusts as in effect from time to time; </w:t>
      </w:r>
      <w:r>
        <w:rPr>
          <w:rFonts w:ascii="Times" w:hAnsi="Times"/>
          <w:i/>
          <w:sz w:val="24"/>
        </w:rPr>
        <w:t>provided</w:t>
      </w:r>
      <w:r>
        <w:rPr>
          <w:rFonts w:ascii="Times New Roman;Times;serif" w:hAnsi="Times New Roman;Times;serif"/>
          <w:sz w:val="24"/>
        </w:rPr>
        <w:t xml:space="preserve"> </w:t>
      </w:r>
      <w:r>
        <w:rPr>
          <w:rFonts w:ascii="Times" w:hAnsi="Times"/>
          <w:sz w:val="24"/>
        </w:rPr>
        <w:t xml:space="preserve">that Adjusted FFO shall (i) be based on net income after payment of distributions to holders of preferred partnership units in </w:t>
      </w:r>
      <w:bookmarkStart w:id="1460" w:name="_cp_change_0"/>
      <w:bookmarkEnd w:id="1460"/>
      <w:r>
        <w:rPr>
          <w:rFonts w:ascii="Times" w:hAnsi="Times"/>
          <w:color w:val="FF0000"/>
          <w:sz w:val="24"/>
        </w:rPr>
        <w:t>Parent</w:t>
      </w:r>
      <w:bookmarkStart w:id="1461" w:name="_cp_change_1"/>
      <w:bookmarkEnd w:id="1461"/>
      <w:r>
        <w:rPr>
          <w:rFonts w:ascii="Times" w:hAnsi="Times"/>
          <w:color w:val="0000FF"/>
          <w:sz w:val="24"/>
          <w:u w:val="single"/>
        </w:rPr>
        <w:t>Borrower</w:t>
      </w:r>
      <w:r>
        <w:rPr>
          <w:rFonts w:ascii="Times New Roman;Times;serif" w:hAnsi="Times New Roman;Times;serif"/>
          <w:sz w:val="24"/>
        </w:rPr>
        <w:t xml:space="preserve"> </w:t>
      </w:r>
      <w:r>
        <w:rPr>
          <w:rFonts w:ascii="Times" w:hAnsi="Times"/>
          <w:sz w:val="24"/>
        </w:rPr>
        <w:t>and distributions necessary to pay holders of preferred stock of Parent, and (ii) at all times exclude (a) charges for impairment losses from property sales, (b) stock-based compensation, (c) write-offs or reserves of straight-line rent related to sold assets, (d) amortization of debt costs, (e) non-recurring charges, including, without limitation, acquisition expenses, non-cash charges related to the write-off of deferred equity and financing costs and one-time charges related to the transition to self-management; and (f) other non-cash items as mutually agreed upon by Borrower and Administrative Agent.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Adjusted Term SOFR</w:t>
      </w:r>
      <w:r>
        <w:rPr>
          <w:rFonts w:ascii="Times New Roman;Times;serif" w:hAnsi="Times New Roman;Times;serif"/>
          <w:sz w:val="24"/>
        </w:rPr>
        <w:t xml:space="preserve">” </w:t>
      </w:r>
      <w:r>
        <w:rPr>
          <w:rFonts w:ascii="Times" w:hAnsi="Times"/>
          <w:sz w:val="24"/>
        </w:rPr>
        <w:t>means for any Available Tenor and Interest Period with respect to a Term SOFR Loan, the sum of (a) Term SOFR for such Interest Period and (b) the SOFR Index Adjustment; provided that if Adjusted Term SOFR as so determined would be less than the Floor, then Adjusted Term SOFR shall be deemed to be the Floor.</w:t>
      </w:r>
    </w:p>
    <w:p>
      <w:pPr>
        <w:pStyle w:val="TextBody"/>
        <w:bidi w:val="0"/>
        <w:spacing w:before="0" w:after="240"/>
        <w:ind w:left="0" w:right="0" w:firstLine="720"/>
        <w:jc w:val="both"/>
        <w:rPr/>
      </w:pPr>
      <w:r>
        <w:rPr/>
        <w:t>“</w:t>
      </w:r>
      <w:r>
        <w:rPr>
          <w:rFonts w:ascii="Times" w:hAnsi="Times"/>
          <w:i/>
          <w:sz w:val="24"/>
        </w:rPr>
        <w:t xml:space="preserve">Administrative Agent” </w:t>
      </w:r>
      <w:r>
        <w:rPr>
          <w:rFonts w:ascii="Times" w:hAnsi="Times"/>
          <w:sz w:val="24"/>
        </w:rPr>
        <w:t>means KeyBank National Association, in its capacity as Administrative Agent hereunder, and any successor in such capacity pursuant to Section 11.6 hereof.</w:t>
      </w:r>
    </w:p>
    <w:p>
      <w:pPr>
        <w:pStyle w:val="TextBody"/>
        <w:bidi w:val="0"/>
        <w:spacing w:before="0" w:after="240"/>
        <w:ind w:left="0" w:right="0" w:firstLine="720"/>
        <w:jc w:val="both"/>
        <w:rPr/>
      </w:pPr>
      <w:r>
        <w:rPr/>
        <w:t>“</w:t>
      </w:r>
      <w:r>
        <w:rPr>
          <w:rFonts w:ascii="Times" w:hAnsi="Times"/>
          <w:i/>
          <w:sz w:val="24"/>
        </w:rPr>
        <w:t xml:space="preserve">Administrative Questionnaire” </w:t>
      </w:r>
      <w:r>
        <w:rPr>
          <w:rFonts w:ascii="Times" w:hAnsi="Times"/>
          <w:sz w:val="24"/>
        </w:rPr>
        <w:t>means an Administrative Questionnaire in a form supplied by the Administrative Agent.</w:t>
      </w:r>
    </w:p>
    <w:p>
      <w:pPr>
        <w:pStyle w:val="TextBody"/>
        <w:bidi w:val="0"/>
        <w:spacing w:before="0" w:after="240"/>
        <w:ind w:left="0" w:right="0" w:firstLine="720"/>
        <w:jc w:val="both"/>
        <w:rPr/>
      </w:pPr>
      <w:r>
        <w:rPr/>
        <w:t>“</w:t>
      </w:r>
      <w:r>
        <w:rPr>
          <w:rFonts w:ascii="Times" w:hAnsi="Times"/>
          <w:i/>
          <w:sz w:val="24"/>
        </w:rPr>
        <w:t xml:space="preserve">Affected Financial Institution” </w:t>
      </w:r>
      <w:r>
        <w:rPr>
          <w:rFonts w:ascii="Times" w:hAnsi="Times"/>
          <w:sz w:val="24"/>
        </w:rPr>
        <w:t>means (a) any EEA Financial Institution or (b) any UK Financial Institution.</w:t>
      </w:r>
    </w:p>
    <w:p>
      <w:pPr>
        <w:pStyle w:val="TextBody"/>
        <w:bidi w:val="0"/>
        <w:spacing w:before="0" w:after="240"/>
        <w:ind w:left="0" w:right="0" w:firstLine="720"/>
        <w:jc w:val="both"/>
        <w:rPr/>
      </w:pPr>
      <w:r>
        <w:rPr/>
        <w:t>“</w:t>
      </w:r>
      <w:r>
        <w:rPr>
          <w:rFonts w:ascii="Times" w:hAnsi="Times"/>
          <w:i/>
          <w:sz w:val="24"/>
        </w:rPr>
        <w:t>Affected Lender”</w:t>
      </w:r>
      <w:r>
        <w:rPr>
          <w:rFonts w:ascii="Times New Roman;Times;serif" w:hAnsi="Times New Roman;Times;serif"/>
          <w:sz w:val="24"/>
        </w:rPr>
        <w:t xml:space="preserve"> </w:t>
      </w:r>
      <w:r>
        <w:rPr>
          <w:rFonts w:ascii="Times" w:hAnsi="Times"/>
          <w:sz w:val="24"/>
        </w:rPr>
        <w:t>is defined in Section 1.13 hereof.</w:t>
      </w:r>
    </w:p>
    <w:p>
      <w:pPr>
        <w:pStyle w:val="TextBody"/>
        <w:bidi w:val="0"/>
        <w:spacing w:before="0" w:after="240"/>
        <w:ind w:left="0" w:right="0" w:firstLine="720"/>
        <w:jc w:val="both"/>
        <w:rPr/>
      </w:pPr>
      <w:r>
        <w:rPr/>
        <w:t>“</w:t>
      </w:r>
      <w:r>
        <w:rPr>
          <w:rFonts w:ascii="Times" w:hAnsi="Times"/>
          <w:i/>
          <w:sz w:val="24"/>
        </w:rPr>
        <w:t>Affiliate”</w:t>
      </w:r>
      <w:r>
        <w:rPr>
          <w:rFonts w:ascii="Times New Roman;Times;serif" w:hAnsi="Times New Roman;Times;serif"/>
          <w:sz w:val="24"/>
        </w:rPr>
        <w:t xml:space="preserve"> </w:t>
      </w:r>
      <w:r>
        <w:rPr>
          <w:rFonts w:ascii="Times" w:hAnsi="Times"/>
          <w:sz w:val="24"/>
        </w:rPr>
        <w:t xml:space="preserve">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w:hAnsi="Times"/>
          <w:i/>
          <w:sz w:val="24"/>
        </w:rPr>
        <w:t>provided that</w:t>
      </w:r>
      <w:r>
        <w:rPr>
          <w:rFonts w:ascii="Times" w:hAnsi="Times"/>
          <w:sz w:val="24"/>
        </w:rPr>
        <w:t>, in any event for purposes of this definition, any Person that owns, directly or indirectly, 20% or more of the securities having the ordinary voting power for the election of directors or governing body of a corporation or 20% or more of the partnership or other ownership interest of any other Person (other than as a limited partner of such other Person) will be deemed to control such corporation or other Person.</w:t>
      </w:r>
    </w:p>
    <w:p>
      <w:pPr>
        <w:pStyle w:val="TextBody"/>
        <w:bidi w:val="0"/>
        <w:spacing w:before="0" w:after="240"/>
        <w:ind w:left="0" w:right="0" w:firstLine="720"/>
        <w:jc w:val="both"/>
        <w:rPr/>
      </w:pPr>
      <w:r>
        <w:rPr/>
        <w:t>“</w:t>
      </w:r>
      <w:r>
        <w:rPr>
          <w:rFonts w:ascii="Times" w:hAnsi="Times"/>
          <w:i/>
          <w:sz w:val="24"/>
        </w:rPr>
        <w:t>Agreement”</w:t>
      </w:r>
      <w:r>
        <w:rPr>
          <w:rFonts w:ascii="Times New Roman;Times;serif" w:hAnsi="Times New Roman;Times;serif"/>
          <w:sz w:val="24"/>
        </w:rPr>
        <w:t xml:space="preserve"> </w:t>
      </w:r>
      <w:r>
        <w:rPr>
          <w:rFonts w:ascii="Times" w:hAnsi="Times"/>
          <w:sz w:val="24"/>
        </w:rPr>
        <w:t>means this Amended and Restated Credit Agreement, as the same may be amended, modified, restated or supplemented from time to time pursuant to the terms hereof.</w:t>
      </w:r>
    </w:p>
    <w:p>
      <w:pPr>
        <w:pStyle w:val="TextBody"/>
        <w:bidi w:val="0"/>
        <w:spacing w:before="0" w:after="240"/>
        <w:ind w:left="0" w:right="0" w:firstLine="720"/>
        <w:jc w:val="both"/>
        <w:rPr/>
      </w:pPr>
      <w:r>
        <w:rPr/>
        <w:t>“</w:t>
      </w:r>
      <w:r>
        <w:rPr>
          <w:rFonts w:ascii="Times" w:hAnsi="Times"/>
          <w:i/>
          <w:sz w:val="24"/>
        </w:rPr>
        <w:t>Alpine Valley</w:t>
      </w:r>
      <w:r>
        <w:rPr>
          <w:rFonts w:ascii="Times New Roman;Times;serif" w:hAnsi="Times New Roman;Times;serif"/>
          <w:sz w:val="24"/>
        </w:rPr>
        <w:t xml:space="preserve">” </w:t>
      </w:r>
      <w:r>
        <w:rPr>
          <w:rFonts w:ascii="Times" w:hAnsi="Times"/>
          <w:sz w:val="24"/>
        </w:rPr>
        <w:t xml:space="preserve">means that certain property located in </w:t>
      </w:r>
      <w:r>
        <w:rPr>
          <w:rFonts w:ascii="TimesNewRoman" w:hAnsi="TimesNewRoman"/>
          <w:sz w:val="24"/>
        </w:rPr>
        <w:t>East Troy, Wisconsin comprising approximately 93,322 square feet known as of the Closing Date as “Alpine Valley Music Theatre”.</w:t>
      </w:r>
    </w:p>
    <w:p>
      <w:pPr>
        <w:pStyle w:val="TextBody"/>
        <w:bidi w:val="0"/>
        <w:spacing w:before="0" w:after="240"/>
        <w:ind w:left="0" w:right="0" w:firstLine="720"/>
        <w:jc w:val="both"/>
        <w:rPr/>
      </w:pPr>
      <w:r>
        <w:rPr/>
        <w:t>“</w:t>
      </w:r>
      <w:r>
        <w:rPr>
          <w:rFonts w:ascii="Times" w:hAnsi="Times"/>
          <w:i/>
          <w:sz w:val="24"/>
        </w:rPr>
        <w:t>Annual Capital Expenditure Reserve”</w:t>
      </w:r>
      <w:r>
        <w:rPr>
          <w:rFonts w:ascii="Times New Roman;Times;serif" w:hAnsi="Times New Roman;Times;serif"/>
          <w:sz w:val="24"/>
        </w:rPr>
        <w:t xml:space="preserve"> </w:t>
      </w:r>
      <w:r>
        <w:rPr>
          <w:rFonts w:ascii="Times" w:hAnsi="Times"/>
          <w:sz w:val="24"/>
        </w:rPr>
        <w:t xml:space="preserve">means the sum of (a) an amount equal to the product of (i) $0.10 </w:t>
      </w:r>
      <w:r>
        <w:rPr>
          <w:rFonts w:ascii="Times" w:hAnsi="Times"/>
          <w:i/>
          <w:sz w:val="24"/>
        </w:rPr>
        <w:t>multiplied by</w:t>
      </w:r>
      <w:r>
        <w:rPr>
          <w:rFonts w:ascii="Times New Roman;Times;serif" w:hAnsi="Times New Roman;Times;serif"/>
          <w:sz w:val="24"/>
        </w:rPr>
        <w:t xml:space="preserve"> </w:t>
      </w:r>
      <w:r>
        <w:rPr>
          <w:rFonts w:ascii="Times" w:hAnsi="Times"/>
          <w:sz w:val="24"/>
        </w:rPr>
        <w:t xml:space="preserve">(ii) the aggregate net rentable area, determined on a square footage basis, for retail net lease properties, </w:t>
      </w:r>
      <w:r>
        <w:rPr>
          <w:rFonts w:ascii="Times" w:hAnsi="Times"/>
          <w:i/>
          <w:sz w:val="24"/>
        </w:rPr>
        <w:t>plus</w:t>
      </w:r>
      <w:r>
        <w:rPr>
          <w:rFonts w:ascii="Times New Roman;Times;serif" w:hAnsi="Times New Roman;Times;serif"/>
          <w:sz w:val="24"/>
        </w:rPr>
        <w:t xml:space="preserve"> </w:t>
      </w:r>
      <w:r>
        <w:rPr>
          <w:rFonts w:ascii="Times" w:hAnsi="Times"/>
          <w:sz w:val="24"/>
        </w:rPr>
        <w:t xml:space="preserve">(b) an amount equal to the product of (i) $0.25 </w:t>
      </w:r>
      <w:r>
        <w:rPr>
          <w:rFonts w:ascii="Times" w:hAnsi="Times"/>
          <w:i/>
          <w:sz w:val="24"/>
        </w:rPr>
        <w:t>multiplied by</w:t>
      </w:r>
      <w:r>
        <w:rPr>
          <w:rFonts w:ascii="Times New Roman;Times;serif" w:hAnsi="Times New Roman;Times;serif"/>
          <w:sz w:val="24"/>
        </w:rPr>
        <w:t xml:space="preserve"> </w:t>
      </w:r>
      <w:r>
        <w:rPr>
          <w:rFonts w:ascii="Times" w:hAnsi="Times"/>
          <w:sz w:val="24"/>
        </w:rPr>
        <w:t xml:space="preserve">(ii) the aggregate net rentable area, determined on a square footage basis, for non-retail net lease properties; </w:t>
      </w:r>
      <w:r>
        <w:rPr>
          <w:rFonts w:ascii="Times" w:hAnsi="Times"/>
          <w:i/>
          <w:sz w:val="24"/>
        </w:rPr>
        <w:t>provided, however</w:t>
      </w:r>
      <w:r>
        <w:rPr>
          <w:rFonts w:ascii="Times" w:hAnsi="Times"/>
          <w:sz w:val="24"/>
        </w:rPr>
        <w:t xml:space="preserve">, this definition of Annual Capital Expenditure Reserve shall not apply to any Land Assets or any Ground Leases with Borrower or a Subsidiary as lessor; </w:t>
      </w:r>
      <w:r>
        <w:rPr>
          <w:rFonts w:ascii="Times" w:hAnsi="Times"/>
          <w:i/>
          <w:sz w:val="24"/>
        </w:rPr>
        <w:t>provided</w:t>
      </w:r>
      <w:r>
        <w:rPr>
          <w:rFonts w:ascii="Times New Roman;Times;serif" w:hAnsi="Times New Roman;Times;serif"/>
          <w:sz w:val="24"/>
        </w:rPr>
        <w:t xml:space="preserve"> </w:t>
      </w:r>
      <w:r>
        <w:rPr>
          <w:rFonts w:ascii="Times" w:hAnsi="Times"/>
          <w:sz w:val="24"/>
        </w:rPr>
        <w:t>that the Borrower is not obligated for such Capital Expenditures.</w:t>
      </w:r>
    </w:p>
    <w:p>
      <w:pPr>
        <w:pStyle w:val="TextBody"/>
        <w:bidi w:val="0"/>
        <w:spacing w:before="0" w:after="240"/>
        <w:ind w:left="0" w:right="0" w:firstLine="720"/>
        <w:jc w:val="both"/>
        <w:rPr/>
      </w:pPr>
      <w:r>
        <w:rPr/>
        <w:t>“</w:t>
      </w:r>
      <w:r>
        <w:rPr>
          <w:rFonts w:ascii="Times" w:hAnsi="Times"/>
          <w:i/>
          <w:sz w:val="24"/>
        </w:rPr>
        <w:t>Anti-Corruption Law”</w:t>
      </w:r>
      <w:r>
        <w:rPr>
          <w:rFonts w:ascii="Times New Roman;Times;serif" w:hAnsi="Times New Roman;Times;serif"/>
          <w:sz w:val="24"/>
        </w:rPr>
        <w:t xml:space="preserve"> </w:t>
      </w:r>
      <w:r>
        <w:rPr>
          <w:rFonts w:ascii="Times" w:hAnsi="Times"/>
          <w:sz w:val="24"/>
        </w:rPr>
        <w:t>means the FCPA and any law, rule or regulation of any jurisdiction concerning or relating to bribery or corruption that are applicable to Borrower or any Subsidiary or Affiliate.</w:t>
      </w:r>
      <w:r>
        <w:rPr>
          <w:rFonts w:ascii="Times New Roman;Times;serif" w:hAnsi="Times New Roman;Times;serif"/>
          <w:sz w:val="24"/>
        </w:rPr>
        <w:t xml:space="preserve"> </w:t>
      </w:r>
    </w:p>
    <w:p>
      <w:pPr>
        <w:pStyle w:val="TextBody"/>
        <w:bidi w:val="0"/>
        <w:spacing w:before="0" w:after="0"/>
        <w:ind w:left="0" w:right="0" w:firstLine="720"/>
        <w:jc w:val="both"/>
        <w:rPr/>
      </w:pPr>
      <w:r>
        <w:rPr/>
        <w:t>“</w:t>
      </w:r>
      <w:r>
        <w:rPr>
          <w:rFonts w:ascii="Times" w:hAnsi="Times"/>
          <w:i/>
          <w:sz w:val="24"/>
        </w:rPr>
        <w:t>Applicable Margin”</w:t>
      </w:r>
      <w:r>
        <w:rPr>
          <w:rFonts w:ascii="Times New Roman;Times;serif" w:hAnsi="Times New Roman;Times;serif"/>
          <w:sz w:val="24"/>
        </w:rPr>
        <w:t xml:space="preserve"> </w:t>
      </w:r>
      <w:r>
        <w:rPr>
          <w:rFonts w:ascii="Times" w:hAnsi="Times"/>
          <w:sz w:val="24"/>
        </w:rPr>
        <w:t xml:space="preserve">means, with respect to Loans of any Class, Reimbursement Obligations, and the commitment fees and letter of credit fees payable under Section 2.1 hereof,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until the first Pricing Date, the rates shown opposite Level IV below, and thereafter, from one Pricing Date to the next the rates per annum determined in accordance with the following schedule:</w:t>
      </w:r>
    </w:p>
    <w:tbl>
      <w:tblPr>
        <w:tblW w:w="10205" w:type="dxa"/>
        <w:jc w:val="center"/>
        <w:tblInd w:w="0" w:type="dxa"/>
        <w:tblLayout w:type="fixed"/>
        <w:tblCellMar>
          <w:top w:w="0" w:type="dxa"/>
          <w:left w:w="0" w:type="dxa"/>
          <w:bottom w:w="0" w:type="dxa"/>
          <w:right w:w="0" w:type="dxa"/>
        </w:tblCellMar>
      </w:tblPr>
      <w:tblGrid>
        <w:gridCol w:w="766"/>
        <w:gridCol w:w="2039"/>
        <w:gridCol w:w="1878"/>
        <w:gridCol w:w="1843"/>
        <w:gridCol w:w="1835"/>
        <w:gridCol w:w="1844"/>
      </w:tblGrid>
      <w:tr>
        <w:trPr/>
        <w:tc>
          <w:tcPr>
            <w:tcW w:w="7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43205" cy="175260"/>
                      <wp:effectExtent l="0" t="0" r="0" b="0"/>
                      <wp:wrapNone/>
                      <wp:docPr id="400" name="Frame400"/>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03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7065" cy="175260"/>
                      <wp:effectExtent l="0" t="0" r="0" b="0"/>
                      <wp:wrapNone/>
                      <wp:docPr id="401" name="Frame401"/>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87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96265" cy="175260"/>
                      <wp:effectExtent l="0" t="0" r="0" b="0"/>
                      <wp:wrapNone/>
                      <wp:docPr id="402" name="Frame402"/>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84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84835" cy="175260"/>
                      <wp:effectExtent l="0" t="0" r="0" b="0"/>
                      <wp:wrapNone/>
                      <wp:docPr id="403" name="Frame403"/>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83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82295" cy="175260"/>
                      <wp:effectExtent l="0" t="0" r="0" b="0"/>
                      <wp:wrapNone/>
                      <wp:docPr id="404" name="Frame404"/>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84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85470" cy="175260"/>
                      <wp:effectExtent l="0" t="0" r="0" b="0"/>
                      <wp:wrapNone/>
                      <wp:docPr id="405" name="Frame405"/>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766"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Level</w:t>
            </w:r>
          </w:p>
        </w:tc>
        <w:tc>
          <w:tcPr>
            <w:tcW w:w="2039"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Total Indebtedness to Total Asset Value Ratio for Such Pricing Date</w:t>
            </w:r>
          </w:p>
        </w:tc>
        <w:tc>
          <w:tcPr>
            <w:tcW w:w="1878"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Revolving Loans that are Base Rate Loans shall be:</w:t>
            </w:r>
          </w:p>
        </w:tc>
        <w:tc>
          <w:tcPr>
            <w:tcW w:w="1843"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Revolving Loans that are SOFR Loans Shall Be:</w:t>
            </w:r>
          </w:p>
        </w:tc>
        <w:tc>
          <w:tcPr>
            <w:tcW w:w="1835"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Term Loans that are Base Rate Loans shall be:</w:t>
            </w:r>
          </w:p>
        </w:tc>
        <w:tc>
          <w:tcPr>
            <w:tcW w:w="1844"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term loans that are SOFR Loans Shall Be:</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0.40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0.25%</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1.25%</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0.25%</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1.25%</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II</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0.45 to 1.00, but greater than 0.40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0.35%</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1.35%</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0.30%</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1.30%</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III</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0.50 to 1.00, but greater than 0.45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0.50%</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1.50%</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0.45%</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1.45%</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IV</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0.55 to 1.00, but greater than 0.50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0.65%</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1.65%</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0.60%</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1.60%</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V</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0.60 to 1.00, but greater than 0.55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0.95%</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1.95%</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0.90%</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1.90%</w:t>
            </w:r>
          </w:p>
        </w:tc>
      </w:tr>
      <w:tr>
        <w:trPr/>
        <w:tc>
          <w:tcPr>
            <w:tcW w:w="766"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VI</w:t>
            </w:r>
          </w:p>
        </w:tc>
        <w:tc>
          <w:tcPr>
            <w:tcW w:w="2039" w:type="dxa"/>
            <w:tcBorders/>
            <w:vAlign w:val="center"/>
          </w:tcPr>
          <w:p>
            <w:pPr>
              <w:pStyle w:val="TableContents"/>
              <w:bidi w:val="0"/>
              <w:spacing w:before="0" w:after="240"/>
              <w:ind w:left="0" w:right="0" w:hanging="0"/>
              <w:jc w:val="both"/>
              <w:rPr>
                <w:rFonts w:ascii="Times" w:hAnsi="Times"/>
                <w:sz w:val="24"/>
              </w:rPr>
            </w:pPr>
            <w:r>
              <w:rPr>
                <w:rFonts w:ascii="Times" w:hAnsi="Times"/>
                <w:sz w:val="24"/>
              </w:rPr>
              <w:t>Greater than 0.60 to 1.00</w:t>
            </w:r>
          </w:p>
        </w:tc>
        <w:tc>
          <w:tcPr>
            <w:tcW w:w="1878"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1.20%</w:t>
            </w:r>
          </w:p>
        </w:tc>
        <w:tc>
          <w:tcPr>
            <w:tcW w:w="1843"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2.20%</w:t>
            </w:r>
          </w:p>
        </w:tc>
        <w:tc>
          <w:tcPr>
            <w:tcW w:w="1835"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0.90%</w:t>
            </w:r>
          </w:p>
        </w:tc>
        <w:tc>
          <w:tcPr>
            <w:tcW w:w="1844"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1.90%</w:t>
            </w:r>
          </w:p>
        </w:tc>
      </w:tr>
    </w:tbl>
    <w:p>
      <w:pPr>
        <w:pStyle w:val="TextBody"/>
        <w:bidi w:val="0"/>
        <w:spacing w:before="240" w:after="0"/>
        <w:ind w:left="0" w:right="0" w:hanging="0"/>
        <w:jc w:val="both"/>
        <w:rPr>
          <w:rFonts w:ascii="Times New Roman;Times;serif" w:hAnsi="Times New Roman;Times;serif"/>
          <w:sz w:val="24"/>
        </w:rPr>
      </w:pPr>
      <w:r>
        <w:rPr>
          <w:rFonts w:ascii="Times" w:hAnsi="Times"/>
          <w:sz w:val="24"/>
        </w:rPr>
        <w:t xml:space="preserve">For purposes hereof, the term </w:t>
      </w:r>
      <w:r>
        <w:rPr>
          <w:rFonts w:ascii="Times New Roman;Times;serif" w:hAnsi="Times New Roman;Times;serif"/>
          <w:sz w:val="24"/>
        </w:rPr>
        <w:t>“</w:t>
      </w:r>
      <w:r>
        <w:rPr>
          <w:rFonts w:ascii="Times" w:hAnsi="Times"/>
          <w:i/>
          <w:sz w:val="24"/>
        </w:rPr>
        <w:t>Pricing Date”</w:t>
      </w:r>
      <w:r>
        <w:rPr>
          <w:rFonts w:ascii="Times New Roman;Times;serif" w:hAnsi="Times New Roman;Times;serif"/>
          <w:sz w:val="24"/>
        </w:rPr>
        <w:t xml:space="preserve"> </w:t>
      </w:r>
      <w:r>
        <w:rPr>
          <w:rFonts w:ascii="Times" w:hAnsi="Times"/>
          <w:sz w:val="24"/>
        </w:rPr>
        <w:t xml:space="preserve">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w:hAnsi="Times"/>
          <w:sz w:val="24"/>
        </w:rPr>
        <w:t>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Times" w:hAnsi="Times"/>
          <w:i/>
          <w:sz w:val="24"/>
        </w:rPr>
        <w:t>i.e.,</w:t>
      </w:r>
      <w:r>
        <w:rPr>
          <w:rFonts w:ascii="Times New Roman;Times;serif" w:hAnsi="Times New Roman;Times;serif"/>
          <w:sz w:val="24"/>
        </w:rPr>
        <w:t xml:space="preserve"> </w:t>
      </w:r>
      <w:r>
        <w:rPr>
          <w:rFonts w:ascii="Times" w:hAnsi="Times"/>
          <w:sz w:val="24"/>
        </w:rPr>
        <w:t xml:space="preserve">Level VI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Borrower, Administrative Agent, L/C Issuer, and Lenders understand that the applicable interest rate for the Obligations and certain fees set forth herein may be determined and/or adjusted from time to time based upon certain financial ratios and/or other information to be provided or certified to the Administrative Agent and Lenders by Borrower (the </w:t>
      </w:r>
      <w:r>
        <w:rPr>
          <w:rFonts w:ascii="Times" w:hAnsi="Times"/>
          <w:i/>
          <w:sz w:val="24"/>
        </w:rPr>
        <w:t>"Borrower Information"</w:t>
      </w:r>
      <w:r>
        <w:rPr>
          <w:rFonts w:ascii="Times" w:hAnsi="Times"/>
          <w:sz w:val="24"/>
        </w:rPr>
        <w:t xml:space="preserve">).  If it is subsequently determined that any such Borrower Information was incorrect (for whatever reason, including, without limitation, because of a subsequent restatement of earnings by the Borrower or Parent)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Times" w:hAnsi="Times"/>
          <w:i/>
          <w:sz w:val="24"/>
        </w:rPr>
        <w:t>provided</w:t>
      </w:r>
      <w:r>
        <w:rPr>
          <w:rFonts w:ascii="Times New Roman;Times;serif" w:hAnsi="Times New Roman;Times;serif"/>
          <w:sz w:val="24"/>
        </w:rPr>
        <w:t xml:space="preserve"> </w:t>
      </w:r>
      <w:r>
        <w:rPr>
          <w:rFonts w:ascii="Times" w:hAnsi="Times"/>
          <w:sz w:val="24"/>
        </w:rPr>
        <w:t>that no recalculation shall be done for any period that is more than 2 years earlier than the date of recalculation.  The Administrative Agent shall promptly notify Borrower in writing of any additional interest and fees due because of such recalculation, and the Borrower shall pay such additional interest or fees due to the Administrative Agent, for the account of each Lender or the L/C Issuer, within five (5) Business Days of receipt of such written notice.  Any recalculation of interest or fees required by this provision shall survive the termination of this Agreement, and this provision shall not in any way limit any of the Administrative Agent's, the L/C Issuer’s,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Term Loan shall bear interest at an “applicable margin” based upon the then determined Applicable Rate set forth in each Incremental Term Loan Amendment for each Incremental Term Loan Facility.</w:t>
      </w:r>
    </w:p>
    <w:p>
      <w:pPr>
        <w:pStyle w:val="TextBody"/>
        <w:bidi w:val="0"/>
        <w:spacing w:before="0" w:after="0"/>
        <w:ind w:left="0" w:right="0" w:firstLine="720"/>
        <w:jc w:val="both"/>
        <w:rPr/>
      </w:pPr>
      <w:r>
        <w:rPr/>
        <w:t>“</w:t>
      </w:r>
      <w:r>
        <w:rPr>
          <w:rFonts w:ascii="Times" w:hAnsi="Times"/>
          <w:i/>
          <w:sz w:val="24"/>
        </w:rPr>
        <w:t>Applicable Percentage</w:t>
      </w:r>
      <w:r>
        <w:rPr>
          <w:rFonts w:ascii="Times New Roman;Times;serif" w:hAnsi="Times New Roman;Times;serif"/>
          <w:sz w:val="24"/>
        </w:rPr>
        <w:t xml:space="preserve">” </w:t>
      </w:r>
      <w:r>
        <w:rPr>
          <w:rFonts w:ascii="Times" w:hAnsi="Times"/>
          <w:sz w:val="24"/>
        </w:rPr>
        <w:t xml:space="preserve">means, (a) with respect to any 2027 Term Lender at any time, the percentage of the 2027 Term Facility represented by such 2027 Term Lender’s 2027 Term Commitment at such time, (b) with respect to any Incremental Term Lender at any time, the percentage of the applicable Incremental Term Loan Facility represented by the sum of such Incremental Term Lender’s unfunded Incremental Term Loan Commitments (if any) for the applicable Incremental Term Facility and the principal amount of such Incremental Term Lender’s Incremental Term Loans for the applicable Incremental Term Loan Facility at such time, and (c) with respect to any Revolving Lender at any time, the percentage of the Revolving Credit Commitments represented by such Lender’s Revolving Credit Commitment or, if the Revolving Credit Commitments have been terminated, the percentage held by such Lender (including through participation interests in Reimbursement Obligations) of the aggregate principal amount of all Revolving Loans, Swing Loans and L/C Obligations then outstanding. The initial Applicable Percentage of each Lender in respect of the Revolving Facility and the Term Facility is set forth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opposite the name of such Lender on Schedule 1 or in the Assignment and Assumption pursuant to which such Lender becomes a party hereto, as applicable.</w:t>
      </w:r>
    </w:p>
    <w:p>
      <w:pPr>
        <w:pStyle w:val="TextBody"/>
        <w:bidi w:val="0"/>
        <w:spacing w:before="0" w:after="240"/>
        <w:ind w:left="0" w:right="0" w:firstLine="720"/>
        <w:jc w:val="both"/>
        <w:rPr/>
      </w:pPr>
      <w:r>
        <w:rPr/>
        <w:t>“</w:t>
      </w:r>
      <w:r>
        <w:rPr>
          <w:rFonts w:ascii="Times" w:hAnsi="Times"/>
          <w:i/>
          <w:sz w:val="24"/>
        </w:rPr>
        <w:t>Applicable Rate</w:t>
      </w:r>
      <w:r>
        <w:rPr>
          <w:rFonts w:ascii="Times New Roman;Times;serif" w:hAnsi="Times New Roman;Times;serif"/>
          <w:sz w:val="24"/>
        </w:rPr>
        <w:t xml:space="preserve">” </w:t>
      </w:r>
      <w:r>
        <w:rPr>
          <w:rFonts w:ascii="Times" w:hAnsi="Times"/>
          <w:sz w:val="24"/>
        </w:rPr>
        <w:t>means, a rate per annum equal to (a) in respect of the Term Facility, (i) the Applicable Margin with respect to Term Loans that are SOFR Loans; (ii) the Applicable Margin with respect to Term Loans that are Base Rate Loans, and (iii) in respect of any Incremental Term Loan Facility, the interest rate set forth in the applicable Incremental Term Loan Amendment; and (b) in respect of the Revolving Facility, (i) the Applicable Margin with respect to Revolving Loans that are SOFR Loans and (ii) and the Applicable Margin with respect to Revolving Loans that are Base Rate Loans.</w:t>
      </w:r>
    </w:p>
    <w:p>
      <w:pPr>
        <w:pStyle w:val="TextBody"/>
        <w:bidi w:val="0"/>
        <w:spacing w:before="0" w:after="240"/>
        <w:ind w:left="0" w:right="0" w:firstLine="720"/>
        <w:jc w:val="both"/>
        <w:rPr/>
      </w:pPr>
      <w:r>
        <w:rPr/>
        <w:t>“</w:t>
      </w:r>
      <w:r>
        <w:rPr>
          <w:rFonts w:ascii="Times" w:hAnsi="Times"/>
          <w:i/>
          <w:sz w:val="24"/>
        </w:rPr>
        <w:t xml:space="preserve">Approved Fund” </w:t>
      </w:r>
      <w:r>
        <w:rPr>
          <w:rFonts w:ascii="Times" w:hAnsi="Times"/>
          <w:sz w:val="24"/>
        </w:rPr>
        <w:t>means any Fund that is administered or managed by (a) a Lender, (b) an Affiliate of a Lender or (c) an entity or an Affiliate of an entity that administers or manages a Lender.</w:t>
      </w:r>
    </w:p>
    <w:p>
      <w:pPr>
        <w:pStyle w:val="TextBody"/>
        <w:bidi w:val="0"/>
        <w:spacing w:before="0" w:after="240"/>
        <w:ind w:left="0" w:right="0" w:firstLine="720"/>
        <w:jc w:val="both"/>
        <w:rPr/>
      </w:pPr>
      <w:r>
        <w:rPr/>
        <w:t>“</w:t>
      </w:r>
      <w:r>
        <w:rPr>
          <w:rFonts w:ascii="Times" w:hAnsi="Times"/>
          <w:i/>
          <w:sz w:val="24"/>
        </w:rPr>
        <w:t>Assets Under Development”</w:t>
      </w:r>
      <w:r>
        <w:rPr>
          <w:rFonts w:ascii="Times New Roman;Times;serif" w:hAnsi="Times New Roman;Times;serif"/>
          <w:sz w:val="24"/>
        </w:rPr>
        <w:t xml:space="preserve"> </w:t>
      </w:r>
      <w:r>
        <w:rPr>
          <w:rFonts w:ascii="Times" w:hAnsi="Times"/>
          <w:sz w:val="24"/>
        </w:rPr>
        <w:t>means any real property under construction (excluding any completed Property under renovation for which the relevant Tenant has not ceased paying rent) until such property has received a certificate of occupancy.</w:t>
      </w:r>
    </w:p>
    <w:p>
      <w:pPr>
        <w:pStyle w:val="TextBody"/>
        <w:bidi w:val="0"/>
        <w:spacing w:before="0" w:after="240"/>
        <w:ind w:left="0" w:right="0" w:firstLine="720"/>
        <w:jc w:val="both"/>
        <w:rPr/>
      </w:pPr>
      <w:r>
        <w:rPr/>
        <w:t>“</w:t>
      </w:r>
      <w:r>
        <w:rPr>
          <w:rFonts w:ascii="Times" w:hAnsi="Times"/>
          <w:i/>
          <w:sz w:val="24"/>
        </w:rPr>
        <w:t>Assignment and Acceptance”</w:t>
      </w:r>
      <w:r>
        <w:rPr>
          <w:rFonts w:ascii="Times New Roman;Times;serif" w:hAnsi="Times New Roman;Times;serif"/>
          <w:sz w:val="24"/>
        </w:rPr>
        <w:t xml:space="preserve"> </w:t>
      </w:r>
      <w:r>
        <w:rPr>
          <w:rFonts w:ascii="Times" w:hAnsi="Times"/>
          <w:sz w:val="24"/>
        </w:rPr>
        <w:t>means an assignment and acceptance entered into by a Lender and an Eligible Assignee (with the consent of any party whose consent is required by Section 12.12 hereof), and accepted by the Administrative Agent, in substantially the form of Exhibit F or any other form approved by the Administrative Agent.</w:t>
      </w:r>
    </w:p>
    <w:p>
      <w:pPr>
        <w:pStyle w:val="TextBody"/>
        <w:bidi w:val="0"/>
        <w:spacing w:before="0" w:after="240"/>
        <w:ind w:left="0" w:right="0" w:firstLine="720"/>
        <w:jc w:val="both"/>
        <w:rPr/>
      </w:pPr>
      <w:r>
        <w:rPr/>
        <w:t>“</w:t>
      </w:r>
      <w:r>
        <w:rPr>
          <w:rFonts w:ascii="Times" w:hAnsi="Times"/>
          <w:i/>
          <w:sz w:val="24"/>
        </w:rPr>
        <w:t>Authorized Representative”</w:t>
      </w:r>
      <w:r>
        <w:rPr>
          <w:rFonts w:ascii="Times New Roman;Times;serif" w:hAnsi="Times New Roman;Times;serif"/>
          <w:sz w:val="24"/>
        </w:rPr>
        <w:t xml:space="preserve"> </w:t>
      </w:r>
      <w:r>
        <w:rPr>
          <w:rFonts w:ascii="Times" w:hAnsi="Times"/>
          <w:sz w:val="24"/>
        </w:rPr>
        <w:t>means those persons shown on the list of officers provided by the 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pStyle w:val="TextBody"/>
        <w:bidi w:val="0"/>
        <w:spacing w:before="0" w:after="240"/>
        <w:ind w:left="0" w:right="0" w:firstLine="720"/>
        <w:jc w:val="both"/>
        <w:rPr/>
      </w:pPr>
      <w:r>
        <w:rPr/>
        <w:t>“</w:t>
      </w:r>
      <w:r>
        <w:rPr>
          <w:rFonts w:ascii="Times" w:hAnsi="Times"/>
          <w:i/>
          <w:sz w:val="24"/>
        </w:rPr>
        <w:t>Available Tenor</w:t>
      </w:r>
      <w:r>
        <w:rPr>
          <w:rFonts w:ascii="Times New Roman;Times;serif" w:hAnsi="Times New Roman;Times;serif"/>
          <w:sz w:val="24"/>
        </w:rPr>
        <w:t xml:space="preserve">” </w:t>
      </w:r>
      <w:r>
        <w:rPr>
          <w:rFonts w:ascii="Times" w:hAnsi="Times"/>
          <w:sz w:val="24"/>
        </w:rPr>
        <w:t>means, as of any date of determination and with respect to the then-current Benchmark,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10.6(d).</w:t>
      </w:r>
    </w:p>
    <w:p>
      <w:pPr>
        <w:pStyle w:val="TextBody"/>
        <w:bidi w:val="0"/>
        <w:spacing w:before="0" w:after="240"/>
        <w:ind w:left="0" w:right="0" w:firstLine="720"/>
        <w:jc w:val="both"/>
        <w:rPr/>
      </w:pPr>
      <w:r>
        <w:rPr/>
        <w:t>“</w:t>
      </w:r>
      <w:r>
        <w:rPr>
          <w:rFonts w:ascii="Times" w:hAnsi="Times"/>
          <w:i/>
          <w:sz w:val="24"/>
        </w:rPr>
        <w:t>Bail-In Action”</w:t>
      </w:r>
      <w:r>
        <w:rPr>
          <w:rFonts w:ascii="Times New Roman;Times;serif" w:hAnsi="Times New Roman;Times;serif"/>
          <w:sz w:val="24"/>
        </w:rPr>
        <w:t xml:space="preserve"> </w:t>
      </w:r>
      <w:r>
        <w:rPr>
          <w:rFonts w:ascii="Times" w:hAnsi="Times"/>
          <w:sz w:val="24"/>
        </w:rPr>
        <w:t>means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pPr>
      <w:r>
        <w:rPr/>
        <w:t>“</w:t>
      </w:r>
      <w:r>
        <w:rPr>
          <w:rFonts w:ascii="Times" w:hAnsi="Times"/>
          <w:i/>
          <w:sz w:val="24"/>
        </w:rPr>
        <w:t xml:space="preserve">Bail-In Legislation” </w:t>
      </w:r>
      <w:r>
        <w:rPr>
          <w:rFonts w:ascii="Times" w:hAnsi="Times"/>
          <w:sz w:val="24"/>
        </w:rPr>
        <w:t xml:space="preserve">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of unsound or failing banks, investment firms or other financial institutions or their affiliates (other than through liquidation, administration or other insolvency proceedings). </w:t>
      </w:r>
    </w:p>
    <w:p>
      <w:pPr>
        <w:pStyle w:val="TextBody"/>
        <w:bidi w:val="0"/>
        <w:spacing w:before="0" w:after="240"/>
        <w:ind w:left="0" w:right="0" w:firstLine="720"/>
        <w:jc w:val="both"/>
        <w:rPr/>
      </w:pPr>
      <w:r>
        <w:rPr/>
        <w:t>“</w:t>
      </w:r>
      <w:r>
        <w:rPr>
          <w:rFonts w:ascii="Times" w:hAnsi="Times"/>
          <w:i/>
          <w:sz w:val="24"/>
        </w:rPr>
        <w:t>Bankruptcy Event”</w:t>
      </w:r>
      <w:r>
        <w:rPr>
          <w:rFonts w:ascii="Times New Roman;Times;serif" w:hAnsi="Times New Roman;Times;serif"/>
          <w:sz w:val="24"/>
        </w:rPr>
        <w:t xml:space="preserve"> </w:t>
      </w:r>
      <w:r>
        <w:rPr>
          <w:rFonts w:ascii="Times" w:hAnsi="Times"/>
          <w:sz w:val="24"/>
        </w:rPr>
        <w:t>means,</w:t>
      </w:r>
      <w:r>
        <w:rPr>
          <w:rFonts w:ascii="Times New Roman;Times;serif" w:hAnsi="Times New Roman;Times;serif"/>
          <w:sz w:val="24"/>
        </w:rPr>
        <w:t xml:space="preserve"> </w:t>
      </w:r>
      <w:r>
        <w:rPr>
          <w:rFonts w:ascii="Times" w:hAnsi="Times"/>
          <w:sz w:val="24"/>
        </w:rPr>
        <w:t>with respect to any Person, any event of the type described in clause (j) or (k) of Section 9.1 hereof with respect to such Person.</w:t>
      </w:r>
    </w:p>
    <w:p>
      <w:pPr>
        <w:pStyle w:val="TextBody"/>
        <w:bidi w:val="0"/>
        <w:spacing w:before="0" w:after="240"/>
        <w:ind w:left="0" w:right="0" w:firstLine="720"/>
        <w:jc w:val="both"/>
        <w:rPr/>
      </w:pPr>
      <w:r>
        <w:rPr/>
        <w:t>“</w:t>
      </w:r>
      <w:r>
        <w:rPr>
          <w:rFonts w:ascii="Times" w:hAnsi="Times"/>
          <w:i/>
          <w:sz w:val="24"/>
        </w:rPr>
        <w:t>Base Rate”</w:t>
      </w:r>
      <w:r>
        <w:rPr>
          <w:rFonts w:ascii="Times New Roman;Times;serif" w:hAnsi="Times New Roman;Times;serif"/>
          <w:sz w:val="24"/>
        </w:rPr>
        <w:t xml:space="preserve"> </w:t>
      </w:r>
      <w:r>
        <w:rPr>
          <w:rFonts w:ascii="Times" w:hAnsi="Times"/>
          <w:sz w:val="24"/>
        </w:rPr>
        <w:t>is defined in Section 1.4(a) hereof.</w:t>
      </w:r>
    </w:p>
    <w:p>
      <w:pPr>
        <w:pStyle w:val="TextBody"/>
        <w:bidi w:val="0"/>
        <w:spacing w:before="0" w:after="240"/>
        <w:ind w:left="0" w:right="0" w:firstLine="720"/>
        <w:jc w:val="both"/>
        <w:rPr/>
      </w:pPr>
      <w:r>
        <w:rPr/>
        <w:t>“</w:t>
      </w:r>
      <w:r>
        <w:rPr>
          <w:rFonts w:ascii="Times" w:hAnsi="Times"/>
          <w:i/>
          <w:sz w:val="24"/>
        </w:rPr>
        <w:t>Base Rate Loan”</w:t>
      </w:r>
      <w:r>
        <w:rPr>
          <w:rFonts w:ascii="Times New Roman;Times;serif" w:hAnsi="Times New Roman;Times;serif"/>
          <w:sz w:val="24"/>
        </w:rPr>
        <w:t xml:space="preserve"> </w:t>
      </w:r>
      <w:r>
        <w:rPr>
          <w:rFonts w:ascii="Times" w:hAnsi="Times"/>
          <w:sz w:val="24"/>
        </w:rPr>
        <w:t>means a Loan bearing interest at the Base Rate.</w:t>
      </w:r>
    </w:p>
    <w:p>
      <w:pPr>
        <w:pStyle w:val="TextBody"/>
        <w:bidi w:val="0"/>
        <w:spacing w:before="0" w:after="240"/>
        <w:ind w:left="0" w:right="0" w:firstLine="720"/>
        <w:jc w:val="both"/>
        <w:rPr/>
      </w:pPr>
      <w:r>
        <w:rPr/>
        <w:t>“</w:t>
      </w:r>
      <w:r>
        <w:rPr>
          <w:rFonts w:ascii="Times" w:hAnsi="Times"/>
          <w:i/>
          <w:sz w:val="24"/>
        </w:rPr>
        <w:t>Benchmark</w:t>
      </w:r>
      <w:r>
        <w:rPr>
          <w:rFonts w:ascii="Times New Roman;Times;serif" w:hAnsi="Times New Roman;Times;serif"/>
          <w:sz w:val="24"/>
        </w:rPr>
        <w:t xml:space="preserve">” </w:t>
      </w:r>
      <w:r>
        <w:rPr>
          <w:rFonts w:ascii="Times" w:hAnsi="Times"/>
          <w:sz w:val="24"/>
        </w:rPr>
        <w:t xml:space="preserve">means, initially, (a) with respect to Daily Simple SOFR Loans, Daily Simple SOFR and (b), with respect to Term SOFR Loans, the Term SOFR Reference Rate; provided that if a Benchmark Transition Event has occurred with respect to the then-current Benchmark, then “Benchmark” means the applicable Benchmark Replacement to the extent that such Benchmark Replacement has replaced such prior benchmark rate pursuant to Section 10.6. </w:t>
      </w:r>
    </w:p>
    <w:p>
      <w:pPr>
        <w:pStyle w:val="TextBody"/>
        <w:bidi w:val="0"/>
        <w:spacing w:before="0" w:after="240"/>
        <w:ind w:left="0" w:right="0" w:firstLine="720"/>
        <w:jc w:val="both"/>
        <w:rPr/>
      </w:pPr>
      <w:r>
        <w:rPr/>
        <w:t>“</w:t>
      </w:r>
      <w:r>
        <w:rPr>
          <w:rFonts w:ascii="Times" w:hAnsi="Times"/>
          <w:i/>
          <w:sz w:val="24"/>
        </w:rPr>
        <w:t>Benchmark Replacement</w:t>
      </w:r>
      <w:r>
        <w:rPr>
          <w:rFonts w:ascii="Times New Roman;Times;serif" w:hAnsi="Times New Roman;Times;serif"/>
          <w:sz w:val="24"/>
        </w:rPr>
        <w:t xml:space="preserve">” </w:t>
      </w:r>
      <w:r>
        <w:rPr>
          <w:rFonts w:ascii="Times" w:hAnsi="Times"/>
          <w:sz w:val="24"/>
        </w:rPr>
        <w:t>means, with respect to any Benchmark Transition Event for the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240"/>
        <w:ind w:left="0" w:right="0" w:firstLine="720"/>
        <w:jc w:val="both"/>
        <w:rPr/>
      </w:pPr>
      <w:r>
        <w:rPr/>
        <w:t>“</w:t>
      </w:r>
      <w:r>
        <w:rPr>
          <w:rFonts w:ascii="Times" w:hAnsi="Times"/>
          <w:i/>
          <w:sz w:val="24"/>
        </w:rPr>
        <w:t>Benchmark Replacement Adjustment</w:t>
      </w:r>
      <w:r>
        <w:rPr>
          <w:rFonts w:ascii="Times New Roman;Times;serif" w:hAnsi="Times New Roman;Times;serif"/>
          <w:sz w:val="24"/>
        </w:rPr>
        <w:t xml:space="preserve">” </w:t>
      </w:r>
      <w:r>
        <w:rPr>
          <w:rFonts w:ascii="Times" w:hAnsi="Times"/>
          <w:sz w:val="24"/>
        </w:rPr>
        <w:t>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at such time.</w:t>
      </w:r>
    </w:p>
    <w:p>
      <w:pPr>
        <w:pStyle w:val="TextBody"/>
        <w:bidi w:val="0"/>
        <w:spacing w:before="0" w:after="240"/>
        <w:ind w:left="0" w:right="0" w:firstLine="720"/>
        <w:jc w:val="both"/>
        <w:rPr/>
      </w:pPr>
      <w:r>
        <w:rPr/>
        <w:t>“</w:t>
      </w:r>
      <w:r>
        <w:rPr>
          <w:rFonts w:ascii="Times" w:hAnsi="Times"/>
          <w:i/>
          <w:sz w:val="24"/>
        </w:rPr>
        <w:t>Benchmark Replacement Date</w:t>
      </w:r>
      <w:r>
        <w:rPr>
          <w:rFonts w:ascii="Times New Roman;Times;serif" w:hAnsi="Times New Roman;Times;serif"/>
          <w:sz w:val="24"/>
        </w:rPr>
        <w:t xml:space="preserve">” </w:t>
      </w:r>
      <w:r>
        <w:rPr>
          <w:rFonts w:ascii="Times" w:hAnsi="Times"/>
          <w:sz w:val="24"/>
        </w:rPr>
        <w:t>means the earlier to occur of the following events with respect to the then-current Benchmark:</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(a)</w:t>
      </w:r>
      <w:r>
        <w:rPr>
          <w:rFonts w:ascii="Times" w:hAnsi="Times"/>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(b)</w:t>
      </w:r>
      <w:r>
        <w:rPr>
          <w:rFonts w:ascii="Times" w:hAnsi="Times"/>
          <w:sz w:val="24"/>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ind w:left="0" w:right="0" w:firstLine="720"/>
        <w:jc w:val="both"/>
        <w:rPr>
          <w:rFonts w:ascii="Times" w:hAnsi="Times"/>
          <w:sz w:val="24"/>
        </w:rPr>
      </w:pPr>
      <w:r>
        <w:rPr>
          <w:rFonts w:ascii="Times" w:hAnsi="Times"/>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t>“</w:t>
      </w:r>
      <w:r>
        <w:rPr>
          <w:rFonts w:ascii="Times" w:hAnsi="Times"/>
          <w:i/>
          <w:sz w:val="24"/>
        </w:rPr>
        <w:t>Benchmark Transition Event</w:t>
      </w:r>
      <w:r>
        <w:rPr>
          <w:rFonts w:ascii="Times New Roman;Times;serif" w:hAnsi="Times New Roman;Times;serif"/>
          <w:sz w:val="24"/>
        </w:rPr>
        <w:t xml:space="preserve">” </w:t>
      </w:r>
      <w:r>
        <w:rPr>
          <w:rFonts w:ascii="Times" w:hAnsi="Times"/>
          <w:sz w:val="24"/>
        </w:rPr>
        <w:t>means, with respect to the then-current Benchmark, the occurrence of one or more of the following events with respect to such Benchmark:</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(a)</w:t>
      </w:r>
      <w:r>
        <w:rPr>
          <w:rFonts w:ascii="Times" w:hAnsi="Times"/>
          <w:sz w:val="24"/>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(b)</w:t>
      </w:r>
      <w:r>
        <w:rPr>
          <w:rFonts w:ascii="Times" w:hAnsi="Times"/>
          <w:sz w:val="24"/>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(c)</w:t>
      </w:r>
      <w:r>
        <w:rPr>
          <w:rFonts w:ascii="Times" w:hAnsi="Times"/>
          <w:sz w:val="24"/>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pStyle w:val="TextBody"/>
        <w:bidi w:val="0"/>
        <w:spacing w:before="0" w:after="0"/>
        <w:ind w:left="0" w:right="0" w:firstLine="720"/>
        <w:jc w:val="both"/>
        <w:rPr>
          <w:rFonts w:ascii="Times" w:hAnsi="Times"/>
          <w:sz w:val="24"/>
        </w:rPr>
      </w:pPr>
      <w:r>
        <w:rPr>
          <w:rFonts w:ascii="Times" w:hAnsi="Times"/>
          <w:sz w:val="24"/>
        </w:rPr>
        <w:t xml:space="preserve">For the avoidance of doubt, a “Benchmark Transition Event” will be deemed to have occurred with respect to any Benchmark if a public statement or publication of information set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forth above has occurred with respect to each then-current Available Tenor of such Benchmark (or the published component used in the calculation thereof).</w:t>
      </w:r>
    </w:p>
    <w:p>
      <w:pPr>
        <w:pStyle w:val="TextBody"/>
        <w:bidi w:val="0"/>
        <w:spacing w:before="0" w:after="240"/>
        <w:ind w:left="0" w:right="0" w:firstLine="720"/>
        <w:jc w:val="both"/>
        <w:rPr/>
      </w:pPr>
      <w:r>
        <w:rPr/>
        <w:t>“</w:t>
      </w:r>
      <w:r>
        <w:rPr>
          <w:rFonts w:ascii="Times" w:hAnsi="Times"/>
          <w:i/>
          <w:sz w:val="24"/>
        </w:rPr>
        <w:t>Benchmark Transition Start Date</w:t>
      </w:r>
      <w:r>
        <w:rPr>
          <w:rFonts w:ascii="Times New Roman;Times;serif" w:hAnsi="Times New Roman;Times;serif"/>
          <w:sz w:val="24"/>
        </w:rPr>
        <w:t xml:space="preserve">” </w:t>
      </w:r>
      <w:r>
        <w:rPr>
          <w:rFonts w:ascii="Times" w:hAnsi="Times"/>
          <w:sz w:val="24"/>
        </w:rPr>
        <w:t>means, with respect to any Benchmark,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ind w:left="0" w:right="0" w:firstLine="720"/>
        <w:jc w:val="both"/>
        <w:rPr/>
      </w:pPr>
      <w:r>
        <w:rPr/>
        <w:t>“</w:t>
      </w:r>
      <w:r>
        <w:rPr>
          <w:rFonts w:ascii="Times" w:hAnsi="Times"/>
          <w:i/>
          <w:sz w:val="24"/>
        </w:rPr>
        <w:t>Benchmark Unavailability Period</w:t>
      </w:r>
      <w:r>
        <w:rPr>
          <w:rFonts w:ascii="Times New Roman;Times;serif" w:hAnsi="Times New Roman;Times;serif"/>
          <w:sz w:val="24"/>
        </w:rPr>
        <w:t xml:space="preserve">” </w:t>
      </w:r>
      <w:r>
        <w:rPr>
          <w:rFonts w:ascii="Times" w:hAnsi="Times"/>
          <w:sz w:val="24"/>
        </w:rPr>
        <w:t>means, with respect to any then-current Benchmark,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10.2 and (ii) ending at the time that a Benchmark Replacement has replaced such Benchmark for all purposes hereunder and under any Loan Document in accordance with Section 10.6.</w:t>
      </w:r>
    </w:p>
    <w:p>
      <w:pPr>
        <w:pStyle w:val="TextBody"/>
        <w:bidi w:val="0"/>
        <w:spacing w:before="0" w:after="240"/>
        <w:ind w:left="0" w:right="0" w:firstLine="720"/>
        <w:jc w:val="both"/>
        <w:rPr/>
      </w:pPr>
      <w:r>
        <w:rPr/>
        <w:t>“</w:t>
      </w:r>
      <w:r>
        <w:rPr>
          <w:rFonts w:ascii="Times" w:hAnsi="Times"/>
          <w:i/>
          <w:sz w:val="24"/>
        </w:rPr>
        <w:t>Beneficial Ownership Certification”</w:t>
      </w:r>
      <w:r>
        <w:rPr>
          <w:rFonts w:ascii="Times New Roman;Times;serif" w:hAnsi="Times New Roman;Times;serif"/>
          <w:sz w:val="24"/>
        </w:rPr>
        <w:t xml:space="preserve"> </w:t>
      </w:r>
      <w:r>
        <w:rPr>
          <w:rFonts w:ascii="Times" w:hAnsi="Times"/>
          <w:sz w:val="24"/>
        </w:rPr>
        <w:t>means a certification regarding beneficial ownership as required by the Beneficial Ownership Regulation.</w:t>
      </w:r>
    </w:p>
    <w:p>
      <w:pPr>
        <w:pStyle w:val="TextBody"/>
        <w:bidi w:val="0"/>
        <w:spacing w:before="0" w:after="240"/>
        <w:ind w:left="0" w:right="0" w:firstLine="720"/>
        <w:jc w:val="both"/>
        <w:rPr/>
      </w:pPr>
      <w:r>
        <w:rPr/>
        <w:t>“</w:t>
      </w:r>
      <w:r>
        <w:rPr>
          <w:rFonts w:ascii="Times" w:hAnsi="Times"/>
          <w:i/>
          <w:sz w:val="24"/>
        </w:rPr>
        <w:t xml:space="preserve">Beneficial Ownership Regulation” </w:t>
      </w:r>
      <w:r>
        <w:rPr>
          <w:rFonts w:ascii="Times" w:hAnsi="Times"/>
          <w:sz w:val="24"/>
        </w:rPr>
        <w:t>means 31 C.F.R. § 1010.230.</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Borrower”</w:t>
      </w:r>
      <w:r>
        <w:rPr>
          <w:rFonts w:ascii="Times New Roman;Times;serif" w:hAnsi="Times New Roman;Times;serif"/>
          <w:sz w:val="24"/>
        </w:rPr>
        <w:t xml:space="preserve"> </w:t>
      </w:r>
      <w:r>
        <w:rPr>
          <w:rFonts w:ascii="Times" w:hAnsi="Times"/>
          <w:sz w:val="24"/>
        </w:rPr>
        <w:t>is defined in the introductory paragraph of this Agreement.</w:t>
      </w:r>
    </w:p>
    <w:p>
      <w:pPr>
        <w:pStyle w:val="TextBody"/>
        <w:bidi w:val="0"/>
        <w:spacing w:before="0" w:after="240"/>
        <w:ind w:left="0" w:right="0" w:firstLine="720"/>
        <w:jc w:val="both"/>
        <w:rPr/>
      </w:pPr>
      <w:r>
        <w:rPr/>
        <w:t>“</w:t>
      </w:r>
      <w:r>
        <w:rPr>
          <w:rFonts w:ascii="Times" w:hAnsi="Times"/>
          <w:i/>
          <w:sz w:val="24"/>
        </w:rPr>
        <w:t>Borrowing”</w:t>
      </w:r>
      <w:r>
        <w:rPr>
          <w:rFonts w:ascii="Times New Roman;Times;serif" w:hAnsi="Times New Roman;Times;serif"/>
          <w:sz w:val="24"/>
        </w:rPr>
        <w:t xml:space="preserve"> </w:t>
      </w:r>
      <w:r>
        <w:rPr>
          <w:rFonts w:ascii="Times" w:hAnsi="Times"/>
          <w:sz w:val="24"/>
        </w:rPr>
        <w:t xml:space="preserve">means the total of Loans of a single type advanced, continued for an additional Interest Period, or converted from a different type into such type by the Lenders on a single date and, in the case of Term SOFR Loans, for a single Interest Period.  Borrowings of Loans are made and maintained ratably from each of the Lenders according to their Applicable Percentages.  A Borrowing is </w:t>
      </w:r>
      <w:r>
        <w:rPr>
          <w:rFonts w:ascii="Times New Roman;Times;serif" w:hAnsi="Times New Roman;Times;serif"/>
          <w:sz w:val="24"/>
        </w:rPr>
        <w:t>“</w:t>
      </w:r>
      <w:r>
        <w:rPr>
          <w:rFonts w:ascii="Times" w:hAnsi="Times"/>
          <w:i/>
          <w:sz w:val="24"/>
        </w:rPr>
        <w:t>advanced”</w:t>
      </w:r>
      <w:r>
        <w:rPr>
          <w:rFonts w:ascii="Times New Roman;Times;serif" w:hAnsi="Times New Roman;Times;serif"/>
          <w:sz w:val="24"/>
        </w:rPr>
        <w:t xml:space="preserve"> </w:t>
      </w:r>
      <w:r>
        <w:rPr>
          <w:rFonts w:ascii="Times" w:hAnsi="Times"/>
          <w:sz w:val="24"/>
        </w:rPr>
        <w:t xml:space="preserve">on the day Lenders advance funds comprising such Borrowing to the Borrower, is </w:t>
      </w:r>
      <w:r>
        <w:rPr>
          <w:rFonts w:ascii="Times New Roman;Times;serif" w:hAnsi="Times New Roman;Times;serif"/>
          <w:sz w:val="24"/>
        </w:rPr>
        <w:t>“</w:t>
      </w:r>
      <w:r>
        <w:rPr>
          <w:rFonts w:ascii="Times" w:hAnsi="Times"/>
          <w:i/>
          <w:sz w:val="24"/>
        </w:rPr>
        <w:t>continued”</w:t>
      </w:r>
      <w:r>
        <w:rPr>
          <w:rFonts w:ascii="Times New Roman;Times;serif" w:hAnsi="Times New Roman;Times;serif"/>
          <w:sz w:val="24"/>
        </w:rPr>
        <w:t xml:space="preserve"> </w:t>
      </w:r>
      <w:r>
        <w:rPr>
          <w:rFonts w:ascii="Times" w:hAnsi="Times"/>
          <w:sz w:val="24"/>
        </w:rPr>
        <w:t xml:space="preserve">on the date a new Interest Period for the same type of Loans commences for such Borrowing, and is </w:t>
      </w:r>
      <w:r>
        <w:rPr>
          <w:rFonts w:ascii="Times New Roman;Times;serif" w:hAnsi="Times New Roman;Times;serif"/>
          <w:sz w:val="24"/>
        </w:rPr>
        <w:t>“</w:t>
      </w:r>
      <w:r>
        <w:rPr>
          <w:rFonts w:ascii="Times" w:hAnsi="Times"/>
          <w:i/>
          <w:sz w:val="24"/>
        </w:rPr>
        <w:t>converted”</w:t>
      </w:r>
      <w:r>
        <w:rPr>
          <w:rFonts w:ascii="Times New Roman;Times;serif" w:hAnsi="Times New Roman;Times;serif"/>
          <w:sz w:val="24"/>
        </w:rPr>
        <w:t xml:space="preserve"> </w:t>
      </w:r>
      <w:r>
        <w:rPr>
          <w:rFonts w:ascii="Times" w:hAnsi="Times"/>
          <w:sz w:val="24"/>
        </w:rPr>
        <w:t>when such Borrowing is changed from one type of Loans to the other, all as determined pursuant to Section 1.6 hereof.  Borrowings of Swing Loans are made by the Swing Line Lender in accordance with the procedures set forth in Section 1.17 hereof.  </w:t>
      </w:r>
    </w:p>
    <w:p>
      <w:pPr>
        <w:pStyle w:val="TextBody"/>
        <w:bidi w:val="0"/>
        <w:spacing w:before="0" w:after="240"/>
        <w:ind w:left="0" w:right="0" w:firstLine="720"/>
        <w:jc w:val="both"/>
        <w:rPr/>
      </w:pPr>
      <w:r>
        <w:rPr/>
        <w:t>“</w:t>
      </w:r>
      <w:r>
        <w:rPr>
          <w:rFonts w:ascii="Times" w:hAnsi="Times"/>
          <w:i/>
          <w:sz w:val="24"/>
        </w:rPr>
        <w:t>Business Day”</w:t>
      </w:r>
      <w:r>
        <w:rPr>
          <w:rFonts w:ascii="Times New Roman;Times;serif" w:hAnsi="Times New Roman;Times;serif"/>
          <w:sz w:val="24"/>
        </w:rPr>
        <w:t xml:space="preserve"> </w:t>
      </w:r>
      <w:r>
        <w:rPr>
          <w:rFonts w:ascii="Times" w:hAnsi="Times"/>
          <w:sz w:val="24"/>
        </w:rPr>
        <w:t>means (i) any day other than Saturday, Sunday or any other day on which commercial banks in Cleveland, Ohio or New York, New York are authorized or required by law to close and (ii) with respect to any matters relating to SOFR Loans, a SOFR Business Day.</w:t>
      </w:r>
    </w:p>
    <w:p>
      <w:pPr>
        <w:pStyle w:val="TextBody"/>
        <w:bidi w:val="0"/>
        <w:spacing w:before="0" w:after="240"/>
        <w:ind w:left="0" w:right="0" w:firstLine="720"/>
        <w:jc w:val="both"/>
        <w:rPr/>
      </w:pPr>
      <w:r>
        <w:rPr/>
        <w:t>“</w:t>
      </w:r>
      <w:r>
        <w:rPr>
          <w:rFonts w:ascii="Times" w:hAnsi="Times"/>
          <w:i/>
          <w:sz w:val="24"/>
        </w:rPr>
        <w:t>Capital Expenditures”</w:t>
      </w:r>
      <w:r>
        <w:rPr>
          <w:rFonts w:ascii="Times New Roman;Times;serif" w:hAnsi="Times New Roman;Times;serif"/>
          <w:sz w:val="24"/>
        </w:rPr>
        <w:t xml:space="preserve"> </w:t>
      </w:r>
      <w:r>
        <w:rPr>
          <w:rFonts w:ascii="Times" w:hAnsi="Times"/>
          <w:sz w:val="24"/>
        </w:rPr>
        <w:t>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Capital Lease</w:t>
      </w:r>
      <w:r>
        <w:rPr>
          <w:rFonts w:ascii="Times New Roman;Times;serif" w:hAnsi="Times New Roman;Times;serif"/>
          <w:sz w:val="24"/>
        </w:rPr>
        <w:t xml:space="preserve">” </w:t>
      </w:r>
      <w:r>
        <w:rPr>
          <w:rFonts w:ascii="Times" w:hAnsi="Times"/>
          <w:sz w:val="24"/>
        </w:rPr>
        <w:t xml:space="preserve">means any lease of Property </w:t>
      </w:r>
      <w:bookmarkStart w:id="1462" w:name="_cp_change_2"/>
      <w:bookmarkEnd w:id="1462"/>
      <w:r>
        <w:rPr>
          <w:rFonts w:ascii="Times" w:hAnsi="Times"/>
          <w:color w:val="0000FF"/>
          <w:sz w:val="24"/>
          <w:u w:val="single"/>
        </w:rPr>
        <w:t xml:space="preserve">or other assets </w:t>
      </w:r>
      <w:r>
        <w:rPr>
          <w:rFonts w:ascii="Times" w:hAnsi="Times"/>
          <w:sz w:val="24"/>
        </w:rPr>
        <w:t>which in accordance with GAAP is required to be capitalized on the balance sheet of the lessee.</w:t>
      </w:r>
    </w:p>
    <w:p>
      <w:pPr>
        <w:pStyle w:val="TextBody"/>
        <w:bidi w:val="0"/>
        <w:spacing w:before="0" w:after="240"/>
        <w:ind w:left="0" w:right="0" w:firstLine="720"/>
        <w:jc w:val="both"/>
        <w:rPr/>
      </w:pPr>
      <w:r>
        <w:rPr/>
        <w:t>“</w:t>
      </w:r>
      <w:r>
        <w:rPr>
          <w:rFonts w:ascii="Times" w:hAnsi="Times"/>
          <w:i/>
          <w:sz w:val="24"/>
        </w:rPr>
        <w:t>Capitalization Rate”</w:t>
      </w:r>
      <w:r>
        <w:rPr>
          <w:rFonts w:ascii="Times New Roman;Times;serif" w:hAnsi="Times New Roman;Times;serif"/>
          <w:sz w:val="24"/>
        </w:rPr>
        <w:t xml:space="preserve"> </w:t>
      </w:r>
      <w:r>
        <w:rPr>
          <w:rFonts w:ascii="Times" w:hAnsi="Times"/>
          <w:sz w:val="24"/>
        </w:rPr>
        <w:t xml:space="preserve">means (i) 6.25% for single-tenant Properties occupied by tenants maintaining a (A) BBB- Rating or better from S&amp;P’s or Fitch, or (B) Baa3 Rating or better from Moody’s,  (ii) 7.50% for Alpine Valley, and (iii) 7.00% for all other Properties not covered under the foregoing clauses (i) or (ii). </w:t>
      </w:r>
    </w:p>
    <w:p>
      <w:pPr>
        <w:pStyle w:val="TextBody"/>
        <w:bidi w:val="0"/>
        <w:spacing w:before="0" w:after="240"/>
        <w:ind w:left="0" w:right="0" w:firstLine="720"/>
        <w:jc w:val="both"/>
        <w:rPr/>
      </w:pPr>
      <w:r>
        <w:rPr/>
        <w:t>“</w:t>
      </w:r>
      <w:r>
        <w:rPr>
          <w:rFonts w:ascii="Times" w:hAnsi="Times"/>
          <w:i/>
          <w:sz w:val="24"/>
        </w:rPr>
        <w:t>Capitalized Lease Obligation”</w:t>
      </w:r>
      <w:r>
        <w:rPr>
          <w:rFonts w:ascii="Times New Roman;Times;serif" w:hAnsi="Times New Roman;Times;serif"/>
          <w:sz w:val="24"/>
        </w:rPr>
        <w:t xml:space="preserve"> </w:t>
      </w:r>
      <w:r>
        <w:rPr>
          <w:rFonts w:ascii="Times" w:hAnsi="Times"/>
          <w:sz w:val="24"/>
        </w:rPr>
        <w:t>means, for any Person, the amount of the liability shown on the balance sheet of such Person in respect of a Capital Lease determined in accordance with GAAP.</w:t>
      </w:r>
    </w:p>
    <w:p>
      <w:pPr>
        <w:pStyle w:val="TextBody"/>
        <w:bidi w:val="0"/>
        <w:spacing w:before="0" w:after="240"/>
        <w:ind w:left="0" w:right="0" w:firstLine="720"/>
        <w:jc w:val="both"/>
        <w:rPr/>
      </w:pPr>
      <w:r>
        <w:rPr/>
        <w:t>“</w:t>
      </w:r>
      <w:r>
        <w:rPr>
          <w:rFonts w:ascii="Times" w:hAnsi="Times"/>
          <w:i/>
          <w:sz w:val="24"/>
        </w:rPr>
        <w:t>CBA</w:t>
      </w:r>
      <w:r>
        <w:rPr>
          <w:rFonts w:ascii="Times New Roman;Times;serif" w:hAnsi="Times New Roman;Times;serif"/>
          <w:sz w:val="24"/>
        </w:rPr>
        <w:t xml:space="preserve">” </w:t>
      </w:r>
      <w:r>
        <w:rPr>
          <w:rFonts w:ascii="Times" w:hAnsi="Times"/>
          <w:sz w:val="24"/>
        </w:rPr>
        <w:t>means CME Group Benchmark Administration Ltd.</w:t>
      </w:r>
    </w:p>
    <w:p>
      <w:pPr>
        <w:pStyle w:val="TextBody"/>
        <w:bidi w:val="0"/>
        <w:spacing w:before="0" w:after="240"/>
        <w:ind w:left="0" w:right="0" w:firstLine="720"/>
        <w:jc w:val="both"/>
        <w:rPr/>
      </w:pPr>
      <w:r>
        <w:rPr/>
        <w:t>“</w:t>
      </w:r>
      <w:r>
        <w:rPr>
          <w:rFonts w:ascii="Times" w:hAnsi="Times"/>
          <w:i/>
          <w:sz w:val="24"/>
        </w:rPr>
        <w:t xml:space="preserve">CERCLA” </w:t>
      </w:r>
      <w:r>
        <w:rPr>
          <w:rFonts w:ascii="Times" w:hAnsi="Times"/>
          <w:sz w:val="24"/>
        </w:rPr>
        <w:t xml:space="preserve">means the Comprehensive Environmental Response, Compensation and Liability Act of 1980, as amended by the Superfund Amendments and Reauthorization Act of 1986, 42 U.S.C. </w:t>
      </w:r>
      <w:r>
        <w:rPr>
          <w:rFonts w:ascii="Times" w:hAnsi="Times"/>
          <w:b/>
          <w:sz w:val="24"/>
        </w:rPr>
        <w:t>§§</w:t>
      </w:r>
      <w:r>
        <w:rPr>
          <w:rFonts w:ascii="Times" w:hAnsi="Times"/>
          <w:sz w:val="24"/>
        </w:rPr>
        <w:t xml:space="preserve">9601 </w:t>
      </w:r>
      <w:r>
        <w:rPr>
          <w:rFonts w:ascii="Times" w:hAnsi="Times"/>
          <w:i/>
          <w:sz w:val="24"/>
        </w:rPr>
        <w:t>et seq.,</w:t>
      </w:r>
      <w:r>
        <w:rPr>
          <w:rFonts w:ascii="Times New Roman;Times;serif" w:hAnsi="Times New Roman;Times;serif"/>
          <w:sz w:val="24"/>
        </w:rPr>
        <w:t xml:space="preserve"> </w:t>
      </w:r>
      <w:r>
        <w:rPr>
          <w:rFonts w:ascii="Times" w:hAnsi="Times"/>
          <w:sz w:val="24"/>
        </w:rPr>
        <w:t>and any future amendments.</w:t>
      </w:r>
    </w:p>
    <w:p>
      <w:pPr>
        <w:pStyle w:val="TextBody"/>
        <w:bidi w:val="0"/>
        <w:spacing w:before="0" w:after="240"/>
        <w:ind w:left="0" w:right="0" w:firstLine="720"/>
        <w:jc w:val="both"/>
        <w:rPr/>
      </w:pPr>
      <w:r>
        <w:rPr/>
        <w:t>“</w:t>
      </w:r>
      <w:r>
        <w:rPr>
          <w:rFonts w:ascii="Times" w:hAnsi="Times"/>
          <w:i/>
          <w:sz w:val="24"/>
        </w:rPr>
        <w:t>Change in Law”</w:t>
      </w:r>
      <w:r>
        <w:rPr>
          <w:rFonts w:ascii="Times New Roman;Times;serif" w:hAnsi="Times New Roman;Times;serif"/>
          <w:sz w:val="24"/>
        </w:rPr>
        <w:t xml:space="preserve"> </w:t>
      </w:r>
      <w:r>
        <w:rPr>
          <w:rFonts w:ascii="Times" w:hAnsi="Times"/>
          <w:sz w:val="24"/>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w:hAnsi="Times"/>
          <w:i/>
          <w:sz w:val="24"/>
        </w:rPr>
        <w:t>provided</w:t>
      </w:r>
      <w:r>
        <w:rPr>
          <w:rFonts w:ascii="Times New Roman;Times;serif" w:hAnsi="Times New Roman;Times;serif"/>
          <w:sz w:val="24"/>
        </w:rPr>
        <w:t xml:space="preserve"> </w:t>
      </w:r>
      <w:r>
        <w:rPr>
          <w:rFonts w:ascii="Times" w:hAnsi="Times"/>
          <w:sz w:val="24"/>
        </w:rPr>
        <w:t>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t>“</w:t>
      </w:r>
      <w:r>
        <w:rPr>
          <w:rFonts w:ascii="Times" w:hAnsi="Times"/>
          <w:i/>
          <w:sz w:val="24"/>
        </w:rPr>
        <w:t>Change of Control”</w:t>
      </w:r>
      <w:r>
        <w:rPr>
          <w:rFonts w:ascii="Times New Roman;Times;serif" w:hAnsi="Times New Roman;Times;serif"/>
          <w:sz w:val="24"/>
        </w:rPr>
        <w:t xml:space="preserve"> </w:t>
      </w:r>
      <w:r>
        <w:rPr>
          <w:rFonts w:ascii="Times" w:hAnsi="Times"/>
          <w:sz w:val="24"/>
        </w:rPr>
        <w:t xml:space="preserve">means any of (a) the acquisition by any </w:t>
      </w:r>
      <w:r>
        <w:rPr>
          <w:rFonts w:ascii="Times New Roman;Times;serif" w:hAnsi="Times New Roman;Times;serif"/>
          <w:sz w:val="24"/>
        </w:rPr>
        <w:t>“</w:t>
      </w:r>
      <w:r>
        <w:rPr>
          <w:rFonts w:ascii="Times" w:hAnsi="Times"/>
          <w:i/>
          <w:sz w:val="24"/>
        </w:rPr>
        <w:t>person”</w:t>
      </w:r>
      <w:r>
        <w:rPr>
          <w:rFonts w:ascii="Times New Roman;Times;serif" w:hAnsi="Times New Roman;Times;serif"/>
          <w:sz w:val="24"/>
        </w:rPr>
        <w:t xml:space="preserve"> </w:t>
      </w:r>
      <w:r>
        <w:rPr>
          <w:rFonts w:ascii="Times" w:hAnsi="Times"/>
          <w:sz w:val="24"/>
        </w:rPr>
        <w:t xml:space="preserve">or </w:t>
      </w:r>
      <w:r>
        <w:rPr>
          <w:rFonts w:ascii="Times New Roman;Times;serif" w:hAnsi="Times New Roman;Times;serif"/>
          <w:sz w:val="24"/>
        </w:rPr>
        <w:t>“</w:t>
      </w:r>
      <w:r>
        <w:rPr>
          <w:rFonts w:ascii="Times" w:hAnsi="Times"/>
          <w:i/>
          <w:sz w:val="24"/>
        </w:rPr>
        <w:t>group”</w:t>
      </w:r>
      <w:r>
        <w:rPr>
          <w:rFonts w:ascii="Times New Roman;Times;serif" w:hAnsi="Times New Roman;Times;serif"/>
          <w:sz w:val="24"/>
        </w:rPr>
        <w:t xml:space="preserve"> </w:t>
      </w:r>
      <w:r>
        <w:rPr>
          <w:rFonts w:ascii="Times" w:hAnsi="Times"/>
          <w:sz w:val="24"/>
        </w:rPr>
        <w:t xml:space="preserve">(as such terms are used in sections 13(d) and 14(d) of the Securities Exchange Act of 1934, as amended) at any time that causes such person or group to become the </w:t>
      </w:r>
      <w:r>
        <w:rPr>
          <w:rFonts w:ascii="Times New Roman;Times;serif" w:hAnsi="Times New Roman;Times;serif"/>
          <w:sz w:val="24"/>
        </w:rPr>
        <w:t>“</w:t>
      </w:r>
      <w:r>
        <w:rPr>
          <w:rFonts w:ascii="Times" w:hAnsi="Times"/>
          <w:i/>
          <w:sz w:val="24"/>
        </w:rPr>
        <w:t>beneficial owner”</w:t>
      </w:r>
      <w:r>
        <w:rPr>
          <w:rFonts w:ascii="Times New Roman;Times;serif" w:hAnsi="Times New Roman;Times;serif"/>
          <w:sz w:val="24"/>
        </w:rPr>
        <w:t xml:space="preserve"> </w:t>
      </w:r>
      <w:r>
        <w:rPr>
          <w:rFonts w:ascii="Times" w:hAnsi="Times"/>
          <w:sz w:val="24"/>
        </w:rPr>
        <w:t>(as defined in Rules 13d-3 and 13d-5 under the Securities Exchange Act of 1934, as amended) of 51% or more of the outstanding capital stock or other equity interests of Parent on a fully-diluted basis, other than acquisitions of such interests by any party who is an officer or director of Parent as of the Closing Date, (b) the failure of individuals who are members of the board of directors (or similar governing body) of Parent on the Closing Date (together with any new or replacement directors whose initial nomination for election was approved by a majority of the directors who were either directors on the Closing Date or previously so approved) to constitute a majority of the board of directors (or similar governing body) of Parent, or (c) the failure of Parent or a Wholly-owned Subsidiary of Parent to (i) serve as the sole general partner of Borrower and (ii) to directly own 51% of the Equity Interests of Borrower.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Class</w:t>
      </w:r>
      <w:r>
        <w:rPr>
          <w:rFonts w:ascii="Times New Roman;Times;serif" w:hAnsi="Times New Roman;Times;serif"/>
          <w:sz w:val="24"/>
        </w:rPr>
        <w:t xml:space="preserve">” </w:t>
      </w:r>
      <w:r>
        <w:rPr>
          <w:rFonts w:ascii="Times" w:hAnsi="Times"/>
          <w:sz w:val="24"/>
        </w:rPr>
        <w:t>means (a) when used with respect to a Commitment, refers to whether such Commitment is a Revolving Credit Commitment, 2027 Term Commitment or any tranche of Incremental Term Commitments, (b) when used with respect to a Loan, refers to whether such Loan is a Revolving Loan, a 2027 Term Loan or an Incremental Term  Loan, and (c) when used with respect to a Lender, refers to whether such Lender has a Loan or Commitment with respect to a particular Class of Loans or Commitments.</w:t>
      </w:r>
    </w:p>
    <w:p>
      <w:pPr>
        <w:pStyle w:val="TextBody"/>
        <w:bidi w:val="0"/>
        <w:spacing w:before="0" w:after="240"/>
        <w:ind w:left="0" w:right="0" w:firstLine="720"/>
        <w:jc w:val="both"/>
        <w:rPr/>
      </w:pPr>
      <w:r>
        <w:rPr/>
        <w:t>“</w:t>
      </w:r>
      <w:r>
        <w:rPr>
          <w:rFonts w:ascii="Times" w:hAnsi="Times"/>
          <w:i/>
          <w:sz w:val="24"/>
        </w:rPr>
        <w:t>Closing Date”</w:t>
      </w:r>
      <w:r>
        <w:rPr>
          <w:rFonts w:ascii="Times New Roman;Times;serif" w:hAnsi="Times New Roman;Times;serif"/>
          <w:sz w:val="24"/>
        </w:rPr>
        <w:t xml:space="preserve"> </w:t>
      </w:r>
      <w:r>
        <w:rPr>
          <w:rFonts w:ascii="Times" w:hAnsi="Times"/>
          <w:sz w:val="24"/>
        </w:rPr>
        <w:t>means the date of this Agreement or such later Business Day upon which each condition described in Section 7.2 shall be satisfied or waived in a manner acceptable to the Administrative Agent in its discretion.</w:t>
      </w:r>
    </w:p>
    <w:p>
      <w:pPr>
        <w:pStyle w:val="TextBody"/>
        <w:bidi w:val="0"/>
        <w:spacing w:before="0" w:after="240"/>
        <w:ind w:left="0" w:right="0" w:firstLine="720"/>
        <w:jc w:val="both"/>
        <w:rPr/>
      </w:pPr>
      <w:r>
        <w:rPr/>
        <w:t>“</w:t>
      </w:r>
      <w:r>
        <w:rPr>
          <w:rFonts w:ascii="Times" w:hAnsi="Times"/>
          <w:i/>
          <w:sz w:val="24"/>
        </w:rPr>
        <w:t>Code”</w:t>
      </w:r>
      <w:r>
        <w:rPr>
          <w:rFonts w:ascii="Times New Roman;Times;serif" w:hAnsi="Times New Roman;Times;serif"/>
          <w:sz w:val="24"/>
        </w:rPr>
        <w:t xml:space="preserve"> </w:t>
      </w:r>
      <w:r>
        <w:rPr>
          <w:rFonts w:ascii="Times" w:hAnsi="Times"/>
          <w:sz w:val="24"/>
        </w:rPr>
        <w:t>means the Internal Revenue Code of 1986, as amended, and any successor statute thereto.</w:t>
      </w:r>
    </w:p>
    <w:p>
      <w:pPr>
        <w:pStyle w:val="TextBody"/>
        <w:bidi w:val="0"/>
        <w:spacing w:before="0" w:after="240"/>
        <w:ind w:left="0" w:right="0" w:firstLine="720"/>
        <w:jc w:val="both"/>
        <w:rPr/>
      </w:pPr>
      <w:r>
        <w:rPr/>
        <w:t>“</w:t>
      </w:r>
      <w:r>
        <w:rPr>
          <w:rFonts w:ascii="Times" w:hAnsi="Times"/>
          <w:i/>
          <w:sz w:val="24"/>
        </w:rPr>
        <w:t>Collateral Account”</w:t>
      </w:r>
      <w:r>
        <w:rPr>
          <w:rFonts w:ascii="Times New Roman;Times;serif" w:hAnsi="Times New Roman;Times;serif"/>
          <w:sz w:val="24"/>
        </w:rPr>
        <w:t xml:space="preserve"> </w:t>
      </w:r>
      <w:r>
        <w:rPr>
          <w:rFonts w:ascii="Times" w:hAnsi="Times"/>
          <w:sz w:val="24"/>
        </w:rPr>
        <w:t>is defined in Section 9.4(b) hereof.</w:t>
      </w:r>
    </w:p>
    <w:p>
      <w:pPr>
        <w:pStyle w:val="TextBody"/>
        <w:bidi w:val="0"/>
        <w:spacing w:before="0" w:after="240"/>
        <w:ind w:left="0" w:right="0" w:firstLine="720"/>
        <w:jc w:val="both"/>
        <w:rPr/>
      </w:pPr>
      <w:r>
        <w:rPr/>
        <w:t>“</w:t>
      </w:r>
      <w:r>
        <w:rPr>
          <w:rFonts w:ascii="Times" w:hAnsi="Times"/>
          <w:i/>
          <w:sz w:val="24"/>
        </w:rPr>
        <w:t>Commitment</w:t>
      </w:r>
      <w:r>
        <w:rPr>
          <w:rFonts w:ascii="Times New Roman;Times;serif" w:hAnsi="Times New Roman;Times;serif"/>
          <w:sz w:val="24"/>
        </w:rPr>
        <w:t xml:space="preserve">” </w:t>
      </w:r>
      <w:r>
        <w:rPr>
          <w:rFonts w:ascii="Times" w:hAnsi="Times"/>
          <w:sz w:val="24"/>
        </w:rPr>
        <w:t>means a Revolving Credit Commitment, Term Commitment or an Incremental Term Loan Commitment, as the context may require.</w:t>
      </w:r>
    </w:p>
    <w:p>
      <w:pPr>
        <w:pStyle w:val="TextBody"/>
        <w:bidi w:val="0"/>
        <w:spacing w:before="0" w:after="240"/>
        <w:ind w:left="0" w:right="0" w:firstLine="720"/>
        <w:jc w:val="both"/>
        <w:rPr/>
      </w:pPr>
      <w:r>
        <w:rPr/>
        <w:t>“</w:t>
      </w:r>
      <w:r>
        <w:rPr>
          <w:rFonts w:ascii="Times" w:hAnsi="Times"/>
          <w:i/>
          <w:sz w:val="24"/>
        </w:rPr>
        <w:t>Commodity Exchange Act</w:t>
      </w:r>
      <w:r>
        <w:rPr>
          <w:rFonts w:ascii="Times New Roman;Times;serif" w:hAnsi="Times New Roman;Times;serif"/>
          <w:sz w:val="24"/>
        </w:rPr>
        <w:t xml:space="preserve">” </w:t>
      </w:r>
      <w:r>
        <w:rPr>
          <w:rFonts w:ascii="Times" w:hAnsi="Times"/>
          <w:sz w:val="24"/>
        </w:rPr>
        <w:t>means the Commodity Exchange Act (7 U.S.C. § 1 et seq.), as amended from time to time, and any successor statute.</w:t>
      </w:r>
    </w:p>
    <w:p>
      <w:pPr>
        <w:pStyle w:val="TextBody"/>
        <w:bidi w:val="0"/>
        <w:spacing w:before="0" w:after="240"/>
        <w:ind w:left="0" w:right="0" w:firstLine="720"/>
        <w:jc w:val="both"/>
        <w:rPr/>
      </w:pPr>
      <w:r>
        <w:rPr/>
        <w:t>“</w:t>
      </w:r>
      <w:r>
        <w:rPr>
          <w:rFonts w:ascii="Times" w:hAnsi="Times"/>
          <w:i/>
          <w:sz w:val="24"/>
        </w:rPr>
        <w:t>Compliance Certificate”</w:t>
      </w:r>
      <w:r>
        <w:rPr>
          <w:rFonts w:ascii="Times New Roman;Times;serif" w:hAnsi="Times New Roman;Times;serif"/>
          <w:sz w:val="24"/>
        </w:rPr>
        <w:t xml:space="preserve"> </w:t>
      </w:r>
      <w:r>
        <w:rPr>
          <w:rFonts w:ascii="Times" w:hAnsi="Times"/>
          <w:sz w:val="24"/>
        </w:rPr>
        <w:t>is defined in Section 8.5(e) hereof.</w:t>
      </w:r>
    </w:p>
    <w:p>
      <w:pPr>
        <w:pStyle w:val="TextBody"/>
        <w:bidi w:val="0"/>
        <w:spacing w:before="0" w:after="240"/>
        <w:ind w:left="0" w:right="0" w:firstLine="720"/>
        <w:jc w:val="both"/>
        <w:rPr/>
      </w:pPr>
      <w:r>
        <w:rPr/>
        <w:t>“</w:t>
      </w:r>
      <w:r>
        <w:rPr>
          <w:rFonts w:ascii="Times" w:hAnsi="Times"/>
          <w:i/>
          <w:sz w:val="24"/>
        </w:rPr>
        <w:t>Conforming Changes</w:t>
      </w:r>
      <w:r>
        <w:rPr>
          <w:rFonts w:ascii="Times New Roman;Times;serif" w:hAnsi="Times New Roman;Times;serif"/>
          <w:sz w:val="24"/>
        </w:rPr>
        <w:t xml:space="preserve">” </w:t>
      </w:r>
      <w:r>
        <w:rPr>
          <w:rFonts w:ascii="Times" w:hAnsi="Times"/>
          <w:sz w:val="24"/>
        </w:rPr>
        <w:t>means, with respect to either the use or administration of Daily Simple SOFR or Term SOFR, or the use, 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1.11 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240"/>
        <w:ind w:left="0" w:right="0" w:firstLine="720"/>
        <w:jc w:val="both"/>
        <w:rPr/>
      </w:pPr>
      <w:r>
        <w:rPr/>
        <w:t>“</w:t>
      </w:r>
      <w:r>
        <w:rPr>
          <w:rFonts w:ascii="Times" w:hAnsi="Times"/>
          <w:i/>
          <w:sz w:val="24"/>
        </w:rPr>
        <w:t>Connection Income Taxes”</w:t>
      </w:r>
      <w:r>
        <w:rPr>
          <w:rFonts w:ascii="Times New Roman;Times;serif" w:hAnsi="Times New Roman;Times;serif"/>
          <w:sz w:val="24"/>
        </w:rPr>
        <w:t xml:space="preserve"> </w:t>
      </w:r>
      <w:r>
        <w:rPr>
          <w:rFonts w:ascii="Times" w:hAnsi="Times"/>
          <w:sz w:val="24"/>
        </w:rPr>
        <w:t>means Other Connection Taxes that are imposed on or measured by net income (however denominated) or that are franchise Taxes or branch profit Taxes.</w:t>
      </w:r>
    </w:p>
    <w:p>
      <w:pPr>
        <w:pStyle w:val="TextBody"/>
        <w:bidi w:val="0"/>
        <w:spacing w:before="0" w:after="240"/>
        <w:ind w:left="0" w:right="0" w:firstLine="720"/>
        <w:jc w:val="both"/>
        <w:rPr/>
      </w:pPr>
      <w:r>
        <w:rPr/>
        <w:t>“</w:t>
      </w:r>
      <w:r>
        <w:rPr>
          <w:rFonts w:ascii="Times" w:hAnsi="Times"/>
          <w:i/>
          <w:sz w:val="24"/>
        </w:rPr>
        <w:t>Controlled Group”</w:t>
      </w:r>
      <w:r>
        <w:rPr>
          <w:rFonts w:ascii="Times New Roman;Times;serif" w:hAnsi="Times New Roman;Times;serif"/>
          <w:sz w:val="24"/>
        </w:rPr>
        <w:t xml:space="preserve"> </w:t>
      </w:r>
      <w:r>
        <w:rPr>
          <w:rFonts w:ascii="Times" w:hAnsi="Times"/>
          <w:sz w:val="24"/>
        </w:rPr>
        <w:t>means all members of a controlled group of corporations and all trades or businesses (whether or not incorporated) under common control which, together with the Borrower, are treated as a single employer under Section 414 of the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Covered Entity</w:t>
      </w:r>
      <w:r>
        <w:rPr>
          <w:rFonts w:ascii="Times New Roman;Times;serif" w:hAnsi="Times New Roman;Times;serif"/>
          <w:sz w:val="24"/>
        </w:rPr>
        <w:t xml:space="preserve">” </w:t>
      </w:r>
      <w:r>
        <w:rPr>
          <w:rFonts w:ascii="Times" w:hAnsi="Times"/>
          <w:sz w:val="24"/>
        </w:rPr>
        <w:t>has the meaning specified in Section 12.29.</w:t>
      </w:r>
    </w:p>
    <w:p>
      <w:pPr>
        <w:pStyle w:val="TextBody"/>
        <w:bidi w:val="0"/>
        <w:spacing w:before="0" w:after="240"/>
        <w:ind w:left="0" w:right="0" w:firstLine="720"/>
        <w:jc w:val="both"/>
        <w:rPr/>
      </w:pPr>
      <w:r>
        <w:rPr/>
        <w:t>“</w:t>
      </w:r>
      <w:r>
        <w:rPr>
          <w:rFonts w:ascii="Times" w:hAnsi="Times"/>
          <w:i/>
          <w:sz w:val="24"/>
        </w:rPr>
        <w:t>Credit Event”</w:t>
      </w:r>
      <w:r>
        <w:rPr>
          <w:rFonts w:ascii="Times New Roman;Times;serif" w:hAnsi="Times New Roman;Times;serif"/>
          <w:sz w:val="24"/>
        </w:rPr>
        <w:t xml:space="preserve"> </w:t>
      </w:r>
      <w:r>
        <w:rPr>
          <w:rFonts w:ascii="Times" w:hAnsi="Times"/>
          <w:sz w:val="24"/>
        </w:rPr>
        <w:t>means the advancing of any Loan, or the issuance of, or extension of the expiration date or increase in the amount of, any Letter of Credit.</w:t>
      </w:r>
    </w:p>
    <w:p>
      <w:pPr>
        <w:pStyle w:val="TextBody"/>
        <w:bidi w:val="0"/>
        <w:spacing w:before="0" w:after="240"/>
        <w:ind w:left="0" w:right="0" w:firstLine="720"/>
        <w:jc w:val="both"/>
        <w:rPr/>
      </w:pPr>
      <w:r>
        <w:rPr/>
        <w:t>“</w:t>
      </w:r>
      <w:r>
        <w:rPr>
          <w:rFonts w:ascii="Times" w:hAnsi="Times"/>
          <w:i/>
          <w:sz w:val="24"/>
        </w:rPr>
        <w:t>Daily Simple SOFR</w:t>
      </w:r>
      <w:r>
        <w:rPr>
          <w:rFonts w:ascii="Times New Roman;Times;serif" w:hAnsi="Times New Roman;Times;serif"/>
          <w:sz w:val="24"/>
        </w:rPr>
        <w:t xml:space="preserve">” </w:t>
      </w:r>
      <w:r>
        <w:rPr>
          <w:rFonts w:ascii="Times" w:hAnsi="Times"/>
          <w:sz w:val="24"/>
        </w:rPr>
        <w:t>means, for any day (a “</w:t>
      </w:r>
      <w:r>
        <w:rPr>
          <w:rFonts w:ascii="Times" w:hAnsi="Times"/>
          <w:sz w:val="24"/>
          <w:u w:val="single"/>
        </w:rPr>
        <w:t>SOFR Rate Day</w:t>
      </w:r>
      <w:r>
        <w:rPr>
          <w:rFonts w:ascii="Times New Roman;Times;serif" w:hAnsi="Times New Roman;Times;serif"/>
          <w:sz w:val="24"/>
        </w:rPr>
        <w:t>”</w:t>
      </w:r>
      <w:r>
        <w:rPr>
          <w:rFonts w:ascii="Times" w:hAnsi="Times"/>
          <w:sz w:val="24"/>
        </w:rPr>
        <w:t>), a rate per annum equal to SOFR for the day (such day, the “</w:t>
      </w:r>
      <w:r>
        <w:rPr>
          <w:rFonts w:ascii="Times" w:hAnsi="Times"/>
          <w:sz w:val="24"/>
          <w:u w:val="single"/>
        </w:rPr>
        <w:t>SOFR Determination Day</w:t>
      </w:r>
      <w:r>
        <w:rPr>
          <w:rFonts w:ascii="Times New Roman;Times;serif" w:hAnsi="Times New Roman;Times;serif"/>
          <w:sz w:val="24"/>
        </w:rPr>
        <w:t>”</w:t>
      </w:r>
      <w:r>
        <w:rPr>
          <w:rFonts w:ascii="Times" w:hAnsi="Times"/>
          <w:sz w:val="24"/>
        </w:rPr>
        <w:t>) that is five (5) SOFR Business Days prior to (i) if such SOFR Rate Day is a SOFR Business Day, such SOFR Rate Day or (ii) if such SOFR Rate Day is not a SOFR Business Day, the SOFR Business Day immediately preceding such SOFR Rate Day, in each case, as and when SOFR for such SOFR Rate Day is published by the SOFR Administrator on the SOFR Administrator’s Website.  If by 5:00 pm (New York City time) on the second (2nd) SOFR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SOFR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0" w:after="240"/>
        <w:ind w:left="0" w:right="0" w:firstLine="720"/>
        <w:jc w:val="both"/>
        <w:rPr/>
      </w:pPr>
      <w:r>
        <w:rPr/>
        <w:t>“</w:t>
      </w:r>
      <w:r>
        <w:rPr>
          <w:rFonts w:ascii="Times" w:hAnsi="Times"/>
          <w:i/>
          <w:sz w:val="24"/>
        </w:rPr>
        <w:t>Daily Simple SOFR Loan</w:t>
      </w:r>
      <w:r>
        <w:rPr>
          <w:rFonts w:ascii="Times New Roman;Times;serif" w:hAnsi="Times New Roman;Times;serif"/>
          <w:sz w:val="24"/>
        </w:rPr>
        <w:t xml:space="preserve">” </w:t>
      </w:r>
      <w:r>
        <w:rPr>
          <w:rFonts w:ascii="Times" w:hAnsi="Times"/>
          <w:sz w:val="24"/>
        </w:rPr>
        <w:t>means each Loan bearing interest at a rate based upon Daily Simple SOFR.</w:t>
      </w:r>
    </w:p>
    <w:p>
      <w:pPr>
        <w:pStyle w:val="TextBody"/>
        <w:bidi w:val="0"/>
        <w:spacing w:before="0" w:after="240"/>
        <w:ind w:left="0" w:right="0" w:firstLine="720"/>
        <w:jc w:val="both"/>
        <w:rPr/>
      </w:pPr>
      <w:r>
        <w:rPr/>
        <w:t>“</w:t>
      </w:r>
      <w:r>
        <w:rPr>
          <w:rFonts w:ascii="Times" w:hAnsi="Times"/>
          <w:i/>
          <w:sz w:val="24"/>
        </w:rPr>
        <w:t>Debtor Relief Laws”</w:t>
      </w:r>
      <w:r>
        <w:rPr>
          <w:rFonts w:ascii="Times New Roman;Times;serif" w:hAnsi="Times New Roman;Times;serif"/>
          <w:sz w:val="24"/>
        </w:rPr>
        <w:t xml:space="preserve"> </w:t>
      </w:r>
      <w:r>
        <w:rPr>
          <w:rFonts w:ascii="Times" w:hAnsi="Times"/>
          <w:sz w:val="24"/>
        </w:rPr>
        <w:t>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ind w:left="0" w:right="0" w:firstLine="720"/>
        <w:jc w:val="both"/>
        <w:rPr/>
      </w:pPr>
      <w:r>
        <w:rPr/>
        <w:t>“</w:t>
      </w:r>
      <w:r>
        <w:rPr>
          <w:rFonts w:ascii="Times" w:hAnsi="Times"/>
          <w:i/>
          <w:sz w:val="24"/>
        </w:rPr>
        <w:t>Default”</w:t>
      </w:r>
      <w:r>
        <w:rPr>
          <w:rFonts w:ascii="Times New Roman;Times;serif" w:hAnsi="Times New Roman;Times;serif"/>
          <w:sz w:val="24"/>
        </w:rPr>
        <w:t xml:space="preserve"> </w:t>
      </w:r>
      <w:r>
        <w:rPr>
          <w:rFonts w:ascii="Times" w:hAnsi="Times"/>
          <w:sz w:val="24"/>
        </w:rPr>
        <w:t>means any event or condition the occurrence of which would, with the passage of time or the giving of notice, or both, constitute an Event of Default.</w:t>
      </w:r>
    </w:p>
    <w:p>
      <w:pPr>
        <w:pStyle w:val="TextBody"/>
        <w:bidi w:val="0"/>
        <w:spacing w:before="0" w:after="240"/>
        <w:ind w:left="0" w:right="0" w:firstLine="720"/>
        <w:jc w:val="both"/>
        <w:rPr/>
      </w:pPr>
      <w:r>
        <w:rPr/>
        <w:t>“</w:t>
      </w:r>
      <w:r>
        <w:rPr>
          <w:rFonts w:ascii="Times" w:hAnsi="Times"/>
          <w:i/>
          <w:sz w:val="24"/>
        </w:rPr>
        <w:t>Defaulted Loan”</w:t>
      </w:r>
      <w:r>
        <w:rPr>
          <w:rFonts w:ascii="Times New Roman;Times;serif" w:hAnsi="Times New Roman;Times;serif"/>
          <w:sz w:val="24"/>
        </w:rPr>
        <w:t xml:space="preserve"> </w:t>
      </w:r>
      <w:r>
        <w:rPr>
          <w:rFonts w:ascii="Times" w:hAnsi="Times"/>
          <w:sz w:val="24"/>
        </w:rPr>
        <w:t xml:space="preserve">is defined in the definition of </w:t>
      </w:r>
      <w:r>
        <w:rPr>
          <w:rFonts w:ascii="Times New Roman;Times;serif" w:hAnsi="Times New Roman;Times;serif"/>
          <w:sz w:val="24"/>
        </w:rPr>
        <w:t>“</w:t>
      </w:r>
      <w:r>
        <w:rPr>
          <w:rFonts w:ascii="Times" w:hAnsi="Times"/>
          <w:i/>
          <w:sz w:val="24"/>
        </w:rPr>
        <w:t>Defaulting Lender”</w:t>
      </w:r>
      <w:r>
        <w:rPr>
          <w:rFonts w:ascii="Times New Roman;Times;serif" w:hAnsi="Times New Roman;Times;serif"/>
          <w:sz w:val="24"/>
        </w:rPr>
        <w:t xml:space="preserve"> </w:t>
      </w:r>
      <w:r>
        <w:rPr>
          <w:rFonts w:ascii="Times" w:hAnsi="Times"/>
          <w:sz w:val="24"/>
        </w:rPr>
        <w:t>in this Section 5.1.</w:t>
      </w:r>
    </w:p>
    <w:p>
      <w:pPr>
        <w:pStyle w:val="TextBody"/>
        <w:bidi w:val="0"/>
        <w:spacing w:before="0" w:after="0"/>
        <w:ind w:left="0" w:right="0" w:firstLine="720"/>
        <w:jc w:val="both"/>
        <w:rPr/>
      </w:pPr>
      <w:r>
        <w:rPr/>
        <w:t>“</w:t>
      </w:r>
      <w:r>
        <w:rPr>
          <w:rFonts w:ascii="Times" w:hAnsi="Times"/>
          <w:i/>
          <w:sz w:val="24"/>
        </w:rPr>
        <w:t>Defaulting Lender”</w:t>
      </w:r>
      <w:r>
        <w:rPr>
          <w:rFonts w:ascii="Times New Roman;Times;serif" w:hAnsi="Times New Roman;Times;serif"/>
          <w:sz w:val="24"/>
        </w:rPr>
        <w:t xml:space="preserve"> </w:t>
      </w:r>
      <w:r>
        <w:rPr>
          <w:rFonts w:ascii="Times" w:hAnsi="Times"/>
          <w:sz w:val="24"/>
        </w:rPr>
        <w:t xml:space="preserve">means any Lender that (a) has failed to fund any portion of the Loans or Reimbursement Obligations required to be funded by it hereunder (herein, a </w:t>
      </w:r>
      <w:r>
        <w:rPr>
          <w:rFonts w:ascii="Times New Roman;Times;serif" w:hAnsi="Times New Roman;Times;serif"/>
          <w:sz w:val="24"/>
        </w:rPr>
        <w:t>“</w:t>
      </w:r>
      <w:r>
        <w:rPr>
          <w:rFonts w:ascii="Times" w:hAnsi="Times"/>
          <w:i/>
          <w:sz w:val="24"/>
        </w:rPr>
        <w:t>Defaulted Loan”</w:t>
      </w:r>
      <w:r>
        <w:rPr>
          <w:rFonts w:ascii="Times" w:hAnsi="Times"/>
          <w:sz w:val="24"/>
        </w:rPr>
        <w:t xml:space="preserve">) within two (2) Business Days of the date required to be funded by it hereunder (including with respect to a Revolving Lender, in respect of its participation in Letters of Credit or Swing Loans) unless such failure has been cured, (b) has otherwise failed to pay over to the Administrative Agent, L/C Issuer, Swing Lender,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notified the Borrower, the Administrative Agent, L/C Issuer or the Swing Line Lender in writing that it does not intend to comply with its funding obligations hereunder, or has made a public statement to that effect (unless such writing or public statement relates to such Lender’s obligation to fund a Loan hereunder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states that such position is based on such Lender’s good faith determination that a condition precedent to funding (which condition precedent, together with any applicable default, shall be specifically identified in such writing or public statement) cannot be satisfied), (d)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(d) upon receipt of such written confirmation by the Administrative Agent and the Borrower), (e) has experienced a Bankruptcy Event, (e) a receiver or conservator has been appointed for such Lender or (f) has become the subject of a Bail-In Action.</w:t>
      </w:r>
    </w:p>
    <w:p>
      <w:pPr>
        <w:pStyle w:val="TextBody"/>
        <w:bidi w:val="0"/>
        <w:spacing w:before="0" w:after="240"/>
        <w:ind w:left="0" w:right="0" w:firstLine="720"/>
        <w:jc w:val="both"/>
        <w:rPr/>
      </w:pPr>
      <w:r>
        <w:rPr/>
        <w:t>“</w:t>
      </w:r>
      <w:r>
        <w:rPr>
          <w:rFonts w:ascii="Times" w:hAnsi="Times"/>
          <w:i/>
          <w:sz w:val="24"/>
        </w:rPr>
        <w:t>Defaulting Lender Period”</w:t>
      </w:r>
      <w:r>
        <w:rPr>
          <w:rFonts w:ascii="Times New Roman;Times;serif" w:hAnsi="Times New Roman;Times;serif"/>
          <w:sz w:val="24"/>
        </w:rPr>
        <w:t xml:space="preserve"> </w:t>
      </w:r>
      <w:r>
        <w:rPr>
          <w:rFonts w:ascii="Times" w:hAnsi="Times"/>
          <w:sz w:val="24"/>
        </w:rPr>
        <w:t>means, with respect to any Defaulting Lender, the period commencing on the date upon which such Lender first became a Defaulting Lender and ending on the earliest of the following dates: the date on which (a) such Defaulting Lender is no longer the subject of a Bankruptcy Event or, if applicable, under the direction of a receiver or conservator, (b) such Defaulting Lender shall have delivered to Borrower and the Administrative Agent a written reaffirmation of its intention to honor its obligations hereunder, including with respect to its Revolving Credit Commitments, and (c) such Defaulting Lender shall have been deemed to no longer be a Defaulting Lender in accordance with Section 1.14(f) hereof.</w:t>
      </w:r>
    </w:p>
    <w:p>
      <w:pPr>
        <w:pStyle w:val="TextBody"/>
        <w:bidi w:val="0"/>
        <w:spacing w:before="0" w:after="240"/>
        <w:ind w:left="0" w:right="0" w:firstLine="720"/>
        <w:jc w:val="both"/>
        <w:rPr/>
      </w:pPr>
      <w:r>
        <w:rPr/>
        <w:t>“</w:t>
      </w:r>
      <w:r>
        <w:rPr>
          <w:rFonts w:ascii="Times" w:hAnsi="Times"/>
          <w:i/>
          <w:sz w:val="24"/>
        </w:rPr>
        <w:t>Dividends</w:t>
      </w:r>
      <w:r>
        <w:rPr>
          <w:rFonts w:ascii="Times New Roman;Times;serif" w:hAnsi="Times New Roman;Times;serif"/>
          <w:sz w:val="24"/>
        </w:rPr>
        <w:t xml:space="preserve">” </w:t>
      </w:r>
      <w:r>
        <w:rPr>
          <w:rFonts w:ascii="Times" w:hAnsi="Times"/>
          <w:sz w:val="24"/>
        </w:rPr>
        <w:t>means any dividend paid (or declared and then payable), as the case may be, in cash on any equity security issued by the Borrower.</w:t>
      </w:r>
    </w:p>
    <w:p>
      <w:pPr>
        <w:pStyle w:val="TextBody"/>
        <w:bidi w:val="0"/>
        <w:spacing w:before="0" w:after="240"/>
        <w:ind w:left="0" w:right="0" w:firstLine="720"/>
        <w:jc w:val="both"/>
        <w:rPr/>
      </w:pPr>
      <w:r>
        <w:rPr/>
        <w:t>“</w:t>
      </w:r>
      <w:r>
        <w:rPr>
          <w:rFonts w:ascii="Times" w:hAnsi="Times"/>
          <w:i/>
          <w:sz w:val="24"/>
        </w:rPr>
        <w:t>Division</w:t>
      </w:r>
      <w:r>
        <w:rPr>
          <w:rFonts w:ascii="Times New Roman;Times;serif" w:hAnsi="Times New Roman;Times;serif"/>
          <w:sz w:val="24"/>
        </w:rPr>
        <w:t xml:space="preserve">” </w:t>
      </w:r>
      <w:r>
        <w:rPr>
          <w:rFonts w:ascii="Times" w:hAnsi="Times"/>
          <w:sz w:val="24"/>
        </w:rPr>
        <w:t>means the division of the assets, liabilities and/or obligations of a Person (the “</w:t>
      </w:r>
      <w:r>
        <w:rPr>
          <w:rFonts w:ascii="Times" w:hAnsi="Times"/>
          <w:i/>
          <w:sz w:val="24"/>
        </w:rPr>
        <w:t>Dividing Person</w:t>
      </w:r>
      <w:r>
        <w:rPr>
          <w:rFonts w:ascii="Times New Roman;Times;serif" w:hAnsi="Times New Roman;Times;serif"/>
          <w:sz w:val="24"/>
        </w:rPr>
        <w:t>”</w:t>
      </w:r>
      <w:r>
        <w:rPr>
          <w:rFonts w:ascii="Times" w:hAnsi="Times"/>
          <w:sz w:val="24"/>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pStyle w:val="TextBody"/>
        <w:bidi w:val="0"/>
        <w:spacing w:before="0" w:after="240"/>
        <w:ind w:left="0" w:right="0" w:firstLine="720"/>
        <w:jc w:val="both"/>
        <w:rPr/>
      </w:pPr>
      <w:r>
        <w:rPr/>
        <w:t>“</w:t>
      </w:r>
      <w:r>
        <w:rPr>
          <w:rFonts w:ascii="Times" w:hAnsi="Times"/>
          <w:i/>
          <w:sz w:val="24"/>
        </w:rPr>
        <w:t>EBITDA”</w:t>
      </w:r>
      <w:r>
        <w:rPr>
          <w:rFonts w:ascii="Times New Roman;Times;serif" w:hAnsi="Times New Roman;Times;serif"/>
          <w:sz w:val="24"/>
        </w:rPr>
        <w:t xml:space="preserve"> </w:t>
      </w:r>
      <w:r>
        <w:rPr>
          <w:rFonts w:ascii="Times" w:hAnsi="Times"/>
          <w:sz w:val="24"/>
        </w:rPr>
        <w:t xml:space="preserve">means, for any period, determined on a consolidated basis of the Parent and its Subsidiaries, in accordance with GAAP, the sum of net income (or loss) </w:t>
      </w:r>
      <w:r>
        <w:rPr>
          <w:rFonts w:ascii="Times" w:hAnsi="Times"/>
          <w:i/>
          <w:sz w:val="24"/>
        </w:rPr>
        <w:t>plus</w:t>
      </w:r>
      <w:r>
        <w:rPr>
          <w:rFonts w:ascii="Times" w:hAnsi="Times"/>
          <w:sz w:val="24"/>
        </w:rPr>
        <w:t xml:space="preserve">: (i) depreciation and amortization expense, to the extent included as an expense in the calculation of net income (or loss); (ii) Interest Expense; (iii) income tax expense, to the extent included as an expense in the calculation of net income (or loss); (iv) extraordinary, unrealized or non-recurring losses, including (A) impairment charges, (B) losses from the sale of real property, and (v) non-cash compensation paid to employees of Parent in the form of Parent’s equity securities, </w:t>
      </w:r>
      <w:r>
        <w:rPr>
          <w:rFonts w:ascii="Times" w:hAnsi="Times"/>
          <w:i/>
          <w:sz w:val="24"/>
        </w:rPr>
        <w:t>minus</w:t>
      </w:r>
      <w:r>
        <w:rPr>
          <w:rFonts w:ascii="Times" w:hAnsi="Times"/>
          <w:sz w:val="24"/>
        </w:rPr>
        <w:t>: (a) extraordinary, unrealized or non-recurring gains, including (x) the write-up of assets and (y) gains from the sale of real property and (b) income tax benefits.  </w:t>
      </w:r>
    </w:p>
    <w:p>
      <w:pPr>
        <w:pStyle w:val="TextBody"/>
        <w:bidi w:val="0"/>
        <w:spacing w:before="0" w:after="240"/>
        <w:ind w:left="0" w:right="0" w:firstLine="720"/>
        <w:jc w:val="both"/>
        <w:rPr/>
      </w:pPr>
      <w:r>
        <w:rPr/>
        <w:t>“</w:t>
      </w:r>
      <w:r>
        <w:rPr>
          <w:rFonts w:ascii="Times" w:hAnsi="Times"/>
          <w:i/>
          <w:sz w:val="24"/>
        </w:rPr>
        <w:t>EEA Financial Institution”</w:t>
      </w:r>
      <w:r>
        <w:rPr>
          <w:rFonts w:ascii="Times New Roman;Times;serif" w:hAnsi="Times New Roman;Times;serif"/>
          <w:sz w:val="24"/>
        </w:rPr>
        <w:t xml:space="preserve"> </w:t>
      </w:r>
      <w:r>
        <w:rPr>
          <w:rFonts w:ascii="Times" w:hAnsi="Times"/>
          <w:sz w:val="24"/>
        </w:rPr>
        <w:t>means (a) any institution established in any EEA Member Country which is subject to the supervision of an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EEA Member Country”</w:t>
      </w:r>
      <w:r>
        <w:rPr>
          <w:rFonts w:ascii="Times New Roman;Times;serif" w:hAnsi="Times New Roman;Times;serif"/>
          <w:sz w:val="24"/>
        </w:rPr>
        <w:t xml:space="preserve"> </w:t>
      </w:r>
      <w:r>
        <w:rPr>
          <w:rFonts w:ascii="Times" w:hAnsi="Times"/>
          <w:sz w:val="24"/>
        </w:rPr>
        <w:t>means any of the member states of the European Union, Iceland, Liechtenstein, and Norway.</w:t>
      </w:r>
    </w:p>
    <w:p>
      <w:pPr>
        <w:pStyle w:val="TextBody"/>
        <w:bidi w:val="0"/>
        <w:spacing w:before="0" w:after="240"/>
        <w:ind w:left="0" w:right="0" w:firstLine="720"/>
        <w:jc w:val="both"/>
        <w:rPr/>
      </w:pPr>
      <w:r>
        <w:rPr/>
        <w:t>“</w:t>
      </w:r>
      <w:r>
        <w:rPr>
          <w:rFonts w:ascii="Times" w:hAnsi="Times"/>
          <w:i/>
          <w:sz w:val="24"/>
        </w:rPr>
        <w:t>EEA Resolution Authority</w:t>
      </w:r>
      <w:r>
        <w:rPr>
          <w:rFonts w:ascii="Times New Roman;Times;serif" w:hAnsi="Times New Roman;Times;serif"/>
          <w:sz w:val="24"/>
        </w:rPr>
        <w:t xml:space="preserve">” </w:t>
      </w:r>
      <w:r>
        <w:rPr>
          <w:rFonts w:ascii="Times" w:hAnsi="Times"/>
          <w:sz w:val="24"/>
        </w:rPr>
        <w:t>means any public administrative authority or any person entrusted with public administrative authority of any EEA Member Country (including any delegee) have responsibility for the resolution of any EEA Financial Institution.</w:t>
      </w:r>
    </w:p>
    <w:p>
      <w:pPr>
        <w:pStyle w:val="TextBody"/>
        <w:bidi w:val="0"/>
        <w:spacing w:before="0" w:after="240"/>
        <w:ind w:left="0" w:right="0" w:firstLine="720"/>
        <w:jc w:val="both"/>
        <w:rPr/>
      </w:pPr>
      <w:r>
        <w:rPr/>
        <w:t>“</w:t>
      </w:r>
      <w:r>
        <w:rPr>
          <w:rFonts w:ascii="Times" w:hAnsi="Times"/>
          <w:i/>
          <w:sz w:val="24"/>
        </w:rPr>
        <w:t>Electronic Copy</w:t>
      </w:r>
      <w:r>
        <w:rPr>
          <w:rFonts w:ascii="Times New Roman;Times;serif" w:hAnsi="Times New Roman;Times;serif"/>
          <w:sz w:val="24"/>
        </w:rPr>
        <w:t xml:space="preserve">” </w:t>
      </w:r>
      <w:r>
        <w:rPr>
          <w:rFonts w:ascii="Times" w:hAnsi="Times"/>
          <w:sz w:val="24"/>
        </w:rPr>
        <w:t>has the meaning specified in Section 8.22.</w:t>
      </w:r>
    </w:p>
    <w:p>
      <w:pPr>
        <w:pStyle w:val="TextBody"/>
        <w:bidi w:val="0"/>
        <w:spacing w:before="0" w:after="240"/>
        <w:ind w:left="0" w:right="0" w:firstLine="720"/>
        <w:jc w:val="both"/>
        <w:rPr/>
      </w:pPr>
      <w:r>
        <w:rPr/>
        <w:t>“</w:t>
      </w:r>
      <w:r>
        <w:rPr>
          <w:rFonts w:ascii="Times" w:hAnsi="Times"/>
          <w:i/>
          <w:sz w:val="24"/>
        </w:rPr>
        <w:t>Electronic Record</w:t>
      </w:r>
      <w:r>
        <w:rPr>
          <w:rFonts w:ascii="Times New Roman;Times;serif" w:hAnsi="Times New Roman;Times;serif"/>
          <w:sz w:val="24"/>
        </w:rPr>
        <w:t xml:space="preserve">” </w:t>
      </w:r>
      <w:r>
        <w:rPr>
          <w:rFonts w:ascii="Times" w:hAnsi="Times"/>
          <w:sz w:val="24"/>
        </w:rPr>
        <w:t>has the meaning specified in Section 8.22</w:t>
      </w:r>
    </w:p>
    <w:p>
      <w:pPr>
        <w:pStyle w:val="TextBody"/>
        <w:bidi w:val="0"/>
        <w:spacing w:before="0" w:after="240"/>
        <w:ind w:left="0" w:right="0" w:firstLine="720"/>
        <w:jc w:val="both"/>
        <w:rPr/>
      </w:pPr>
      <w:r>
        <w:rPr/>
        <w:t>“</w:t>
      </w:r>
      <w:r>
        <w:rPr>
          <w:rFonts w:ascii="Times" w:hAnsi="Times"/>
          <w:i/>
          <w:sz w:val="24"/>
        </w:rPr>
        <w:t>Electronic Signature</w:t>
      </w:r>
      <w:r>
        <w:rPr>
          <w:rFonts w:ascii="Times New Roman;Times;serif" w:hAnsi="Times New Roman;Times;serif"/>
          <w:sz w:val="24"/>
        </w:rPr>
        <w:t xml:space="preserve">” </w:t>
      </w:r>
      <w:r>
        <w:rPr>
          <w:rFonts w:ascii="Times" w:hAnsi="Times"/>
          <w:sz w:val="24"/>
        </w:rPr>
        <w:t>has the meaning specified in Section 8.22.</w:t>
      </w:r>
    </w:p>
    <w:p>
      <w:pPr>
        <w:pStyle w:val="TextBody"/>
        <w:bidi w:val="0"/>
        <w:spacing w:before="0" w:after="240"/>
        <w:ind w:left="0" w:right="0" w:firstLine="720"/>
        <w:jc w:val="both"/>
        <w:rPr/>
      </w:pPr>
      <w:bookmarkStart w:id="1463" w:name="_cp_change_4"/>
      <w:bookmarkEnd w:id="1463"/>
      <w:r>
        <w:rPr>
          <w:color w:val="0000FF"/>
          <w:u w:val="single"/>
        </w:rPr>
        <w:t>“</w:t>
      </w:r>
      <w:r>
        <w:rPr>
          <w:rFonts w:ascii="Times" w:hAnsi="Times"/>
          <w:i/>
          <w:color w:val="0000FF"/>
          <w:sz w:val="24"/>
        </w:rPr>
        <w:t>Eligible Asset</w:t>
      </w:r>
      <w:r>
        <w:rPr>
          <w:rFonts w:ascii="Times New Roman;Times;serif" w:hAnsi="Times New Roman;Times;serif"/>
          <w:color w:val="0000FF"/>
          <w:sz w:val="24"/>
          <w:u w:val="single"/>
        </w:rPr>
        <w:t xml:space="preserve">” </w:t>
      </w:r>
      <w:r>
        <w:rPr>
          <w:rFonts w:ascii="Times" w:hAnsi="Times"/>
          <w:color w:val="0000FF"/>
          <w:sz w:val="24"/>
          <w:u w:val="single"/>
        </w:rPr>
        <w:t>means, as of any Unencumbered Pool Determination Date, any Eligible Property or Eligible Mortgage Receivable.</w:t>
      </w:r>
      <w:bookmarkStart w:id="1464" w:name="_cp_change_3"/>
      <w:bookmarkEnd w:id="1464"/>
    </w:p>
    <w:p>
      <w:pPr>
        <w:pStyle w:val="TextBody"/>
        <w:bidi w:val="0"/>
        <w:spacing w:before="0" w:after="240"/>
        <w:ind w:left="0" w:right="0" w:firstLine="720"/>
        <w:jc w:val="both"/>
        <w:rPr/>
      </w:pPr>
      <w:r>
        <w:rPr/>
        <w:t>“</w:t>
      </w:r>
      <w:r>
        <w:rPr>
          <w:rFonts w:ascii="Times" w:hAnsi="Times"/>
          <w:i/>
          <w:sz w:val="24"/>
        </w:rPr>
        <w:t xml:space="preserve">Eligible Assignee” </w:t>
      </w:r>
      <w:r>
        <w:rPr>
          <w:rFonts w:ascii="Times" w:hAnsi="Times"/>
          <w:sz w:val="24"/>
        </w:rPr>
        <w:t>means (a) a Lender, (b) an Affiliate of a Lender, (c) an Approved Fund, and (d) any other Person (other than a natural person) approved by (i) the Administrative Agent, (ii) the L/C Issuer, and (iii) unless an Event of Default has occurred and is continuing, the Borrower (each such approval not to be unreasonably withheld or delayed); provided that notwithstanding the foregoing, “Eligible Assignee” shall not include the Borrower or any Guarantor or any of the Borrower’s or such Guarantor’s Affiliates or Subsidiaries.</w:t>
      </w:r>
    </w:p>
    <w:p>
      <w:pPr>
        <w:pStyle w:val="TextBody"/>
        <w:bidi w:val="0"/>
        <w:spacing w:before="0" w:after="240"/>
        <w:ind w:left="0" w:right="0" w:firstLine="720"/>
        <w:jc w:val="both"/>
        <w:rPr/>
      </w:pPr>
      <w:bookmarkStart w:id="1465" w:name="_cp_change_6"/>
      <w:bookmarkEnd w:id="1465"/>
      <w:r>
        <w:rPr>
          <w:color w:val="0000FF"/>
          <w:u w:val="single"/>
        </w:rPr>
        <w:t>“</w:t>
      </w:r>
      <w:r>
        <w:rPr>
          <w:rFonts w:ascii="Times" w:hAnsi="Times"/>
          <w:i/>
          <w:color w:val="0000FF"/>
          <w:sz w:val="24"/>
        </w:rPr>
        <w:t>Eligible Mortgage Receivable</w:t>
      </w:r>
      <w:r>
        <w:rPr>
          <w:rFonts w:ascii="Times New Roman;Times;serif" w:hAnsi="Times New Roman;Times;serif"/>
          <w:color w:val="0000FF"/>
          <w:sz w:val="24"/>
          <w:u w:val="single"/>
        </w:rPr>
        <w:t xml:space="preserve">” </w:t>
      </w:r>
      <w:r>
        <w:rPr>
          <w:rFonts w:ascii="Times" w:hAnsi="Times"/>
          <w:color w:val="0000FF"/>
          <w:sz w:val="24"/>
          <w:u w:val="single"/>
        </w:rPr>
        <w:t>means, as of any Unencumbered Pool Determination Date, any</w:t>
      </w:r>
      <w:r>
        <w:rPr>
          <w:rFonts w:ascii="Times New Roman;Times;serif" w:hAnsi="Times New Roman;Times;serif"/>
          <w:color w:val="0000FF"/>
          <w:sz w:val="24"/>
          <w:u w:val="single"/>
        </w:rPr>
        <w:t xml:space="preserve"> </w:t>
      </w:r>
      <w:r>
        <w:rPr>
          <w:rFonts w:ascii="Times" w:hAnsi="Times"/>
          <w:color w:val="0000FF"/>
          <w:sz w:val="24"/>
          <w:u w:val="single"/>
        </w:rPr>
        <w:t xml:space="preserve">Mortgage Receivable that satisfies the following conditions (a) such Mortgage Receivable is owed solely to the Borrower or a Material Subsidiary, and in the case of a Material Subsidiary, such Material Subsidiary has provided an Additional Guarantor Supplement or other Guaranty to the Administrative Agent pursuant to Section 4.2 hereof, (b) neither such Mortgage Receivable nor, if such Mortgage Receivable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(c) such Mortgage Receivable is not more than 60 days past due or otherwise in default, </w:t>
      </w:r>
      <w:bookmarkStart w:id="1466" w:name="_Hlk184323651"/>
      <w:bookmarkEnd w:id="1466"/>
      <w:r>
        <w:rPr>
          <w:rFonts w:ascii="Times" w:hAnsi="Times"/>
          <w:color w:val="0000FF"/>
          <w:sz w:val="24"/>
          <w:u w:val="single"/>
        </w:rPr>
        <w:t>(d) the Borrower, or if such Mortgage Receivable is owned by a Material Subsidiary, such Material Subsidiary, has the unilateral right to sell, transfer or otherwise dispose of such Mortgage Receivable and to create a Lien on such Mortgage Receivable as security for Indebtedness for Borrowed Money,</w:t>
      </w:r>
      <w:r>
        <w:rPr>
          <w:rFonts w:ascii="Times New Roman;Times;serif" w:hAnsi="Times New Roman;Times;serif"/>
          <w:color w:val="0000FF"/>
          <w:sz w:val="24"/>
          <w:u w:val="single"/>
        </w:rPr>
        <w:t xml:space="preserve"> </w:t>
      </w:r>
      <w:r>
        <w:rPr>
          <w:rFonts w:ascii="Times" w:hAnsi="Times"/>
          <w:color w:val="0000FF"/>
          <w:sz w:val="24"/>
          <w:u w:val="single"/>
        </w:rPr>
        <w:t>and (e) such Mortgage Receivable is secured by a first priority lien on real property located on a Property that (x) meets the criteria for Eligible Property (excluding clauses (c), (d), (g) and (h) of the definition thereof and except that with respect to the conditions set forth in clause (a) of the definition thereof, the references to any Borrower, Guarantor, or any 1031 Property Holder shall be deemed to refer to the borrower under such Mortgage Receivable) and (y) is not a Land Asset (it being understood that the Property securing such Mortgage Receivable may be an Asset Under Development).</w:t>
      </w:r>
      <w:bookmarkStart w:id="1467" w:name="_cp_change_5"/>
      <w:bookmarkEnd w:id="1467"/>
    </w:p>
    <w:p>
      <w:pPr>
        <w:pStyle w:val="TextBody"/>
        <w:bidi w:val="0"/>
        <w:spacing w:before="0" w:after="240"/>
        <w:ind w:left="0" w:right="0" w:firstLine="720"/>
        <w:jc w:val="both"/>
        <w:rPr/>
      </w:pPr>
      <w:r>
        <w:rPr/>
        <w:t>“</w:t>
      </w:r>
      <w:r>
        <w:rPr>
          <w:rFonts w:ascii="Times" w:hAnsi="Times"/>
          <w:i/>
          <w:sz w:val="24"/>
        </w:rPr>
        <w:t>Eligible Property”</w:t>
      </w:r>
      <w:r>
        <w:rPr>
          <w:rFonts w:ascii="Times New Roman;Times;serif" w:hAnsi="Times New Roman;Times;serif"/>
          <w:sz w:val="24"/>
        </w:rPr>
        <w:t xml:space="preserve"> </w:t>
      </w:r>
      <w:r>
        <w:rPr>
          <w:rFonts w:ascii="Times" w:hAnsi="Times"/>
          <w:sz w:val="24"/>
        </w:rPr>
        <w:t>means, as of any Unencumbered Pool Determination Date, any Property owned by the Borrower, a Guarantor or a 1031 Property Holder which satisfies the following conditions: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 xml:space="preserve">Is Alpine Valley or other real property constituting a retail net lease asset, in each case, that is one hundred percent (100%) owned in fee simple or leased pursuant to an Acceptable Leasehold Interest, individually or collectively, by the Borrower, any Guarantor or any 1031 Property Holder; </w:t>
      </w:r>
    </w:p>
    <w:p>
      <w:pPr>
        <w:pStyle w:val="TextBody"/>
        <w:bidi w:val="0"/>
        <w:spacing w:before="0" w:after="240"/>
        <w:ind w:left="0" w:right="0" w:hanging="0"/>
        <w:jc w:val="both"/>
        <w:rPr/>
      </w:pPr>
      <w:r>
        <w:rPr/>
        <w:t>●</w:t>
      </w:r>
      <w:r>
        <w:rPr>
          <w:rFonts w:ascii="Times New Roman;Times;serif" w:hAnsi="Times New Roman;Times;serif"/>
          <w:sz w:val="24"/>
        </w:rPr>
        <w:t>Is a Property located in the contiguous United States;</w:t>
      </w:r>
    </w:p>
    <w:p>
      <w:pPr>
        <w:pStyle w:val="TextBody"/>
        <w:bidi w:val="0"/>
        <w:spacing w:before="0" w:after="240"/>
        <w:ind w:left="0" w:right="0" w:hanging="0"/>
        <w:jc w:val="both"/>
        <w:rPr/>
      </w:pPr>
      <w:r>
        <w:rPr/>
        <w:t>●</w:t>
      </w:r>
      <w:r>
        <w:rPr>
          <w:rFonts w:ascii="Times New Roman;Times;serif" w:hAnsi="Times New Roman;Times;serif"/>
          <w:sz w:val="24"/>
        </w:rPr>
        <w:t>If such Property is owned or subject to an Acceptable Leasehold Interest by the Borrower, (i) neither the Borrower’s beneficial ownership interest or leasehold interest, as applicable, in such Property nor the Property is subject to any Lien (other than Permitted Liens or Liens in favor of the Administrative Agent) or to any negative pledge (other than a negative pledge under the terms of the documentation evidencing Other Unsecured Indebtedness) and (ii) the Borrower has the unilateral right (including the absence of any restrictions in an Acceptable Leasehold Interest to sell, transfer or otherwise dispose of such Property and to create a Lien on such Property as security for Indebtedness for Borrowed Money;</w:t>
      </w:r>
    </w:p>
    <w:p>
      <w:pPr>
        <w:pStyle w:val="TextBody"/>
        <w:bidi w:val="0"/>
        <w:spacing w:before="0" w:after="240"/>
        <w:ind w:left="0" w:right="0" w:hanging="0"/>
        <w:jc w:val="both"/>
        <w:rPr/>
      </w:pPr>
      <w:r>
        <w:rPr/>
        <w:t>●</w:t>
      </w:r>
      <w:r>
        <w:rPr>
          <w:rFonts w:ascii="Times New Roman;Times;serif" w:hAnsi="Times New Roman;Times;serif"/>
          <w:sz w:val="24"/>
        </w:rPr>
        <w:t>If such Property is owned or subject to an Acceptable Leasehold Interest by a Material Subsidiary or 1031 Property Holder, (i) neither the Borrower’s beneficial ownership interest or leasehold interest, as applicable, in such Material Subsidiary nor the Property is subject to any Lien (other than Permitted Liens or Liens in favor of the Administrative Agent) or to any negative pledge, (ii) the Material Subsidiary has the unilateral right (including the absence of any restrictions in an Acceptable Leasehold Interest)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pStyle w:val="TextBody"/>
        <w:bidi w:val="0"/>
        <w:spacing w:before="0" w:after="240"/>
        <w:ind w:left="0" w:right="0" w:hanging="0"/>
        <w:jc w:val="both"/>
        <w:rPr/>
      </w:pPr>
      <w:r>
        <w:rPr/>
        <w:t>●</w:t>
      </w:r>
      <w:r>
        <w:rPr>
          <w:rFonts w:ascii="Times New Roman;Times;serif" w:hAnsi="Times New Roman;Times;serif"/>
          <w:sz w:val="24"/>
        </w:rPr>
        <w:t xml:space="preserve">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 </w:t>
      </w:r>
    </w:p>
    <w:p>
      <w:pPr>
        <w:pStyle w:val="TextBody"/>
        <w:bidi w:val="0"/>
        <w:spacing w:before="0" w:after="240"/>
        <w:ind w:left="0" w:right="0" w:hanging="0"/>
        <w:jc w:val="both"/>
        <w:rPr/>
      </w:pPr>
      <w:r>
        <w:rPr/>
        <w:t>●</w:t>
      </w:r>
      <w:r>
        <w:rPr>
          <w:rFonts w:ascii="Times New Roman;Times;serif" w:hAnsi="Times New Roman;Times;serif"/>
          <w:sz w:val="24"/>
        </w:rPr>
        <w:t>With respect to such Property, any Tenant is not more than 60 days past due or “materially past due” (in accordance with customary commercial practice) with respect to any monthly rent payment obligations under such Lease;</w:t>
      </w:r>
    </w:p>
    <w:p>
      <w:pPr>
        <w:pStyle w:val="TextBody"/>
        <w:bidi w:val="0"/>
        <w:spacing w:before="0" w:after="240"/>
        <w:ind w:left="0" w:right="0" w:hanging="0"/>
        <w:jc w:val="both"/>
        <w:rPr/>
      </w:pPr>
      <w:r>
        <w:rPr/>
        <w:t>●</w:t>
      </w:r>
      <w:r>
        <w:rPr>
          <w:rFonts w:ascii="Times New Roman;Times;serif" w:hAnsi="Times New Roman;Times;serif"/>
          <w:sz w:val="24"/>
        </w:rPr>
        <w:t xml:space="preserve">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Supplement all certified to be true and complete by a duly authorized officer of such Property Owner; and</w:t>
      </w:r>
    </w:p>
    <w:p>
      <w:pPr>
        <w:pStyle w:val="TextBody"/>
        <w:bidi w:val="0"/>
        <w:ind w:left="0" w:right="0" w:hanging="0"/>
        <w:jc w:val="both"/>
        <w:rPr/>
      </w:pPr>
      <w:r>
        <w:rPr/>
        <w:t>●</w:t>
      </w:r>
      <w:r>
        <w:rPr>
          <w:rFonts w:ascii="Times New Roman;Times;serif" w:hAnsi="Times New Roman;Times;serif"/>
          <w:sz w:val="24"/>
        </w:rPr>
        <w:t>The Property is not an Asset Under Development or a Land Asset.</w:t>
      </w:r>
    </w:p>
    <w:p>
      <w:pPr>
        <w:pStyle w:val="TextBody"/>
        <w:bidi w:val="0"/>
        <w:spacing w:before="0" w:after="240"/>
        <w:ind w:left="0" w:right="0" w:firstLine="720"/>
        <w:jc w:val="both"/>
        <w:rPr/>
      </w:pPr>
      <w:r>
        <w:rPr/>
        <w:t>“</w:t>
      </w:r>
      <w:r>
        <w:rPr>
          <w:rFonts w:ascii="Times" w:hAnsi="Times"/>
          <w:i/>
          <w:sz w:val="24"/>
        </w:rPr>
        <w:t xml:space="preserve">Environmental Claim” </w:t>
      </w:r>
      <w:r>
        <w:rPr>
          <w:rFonts w:ascii="Times" w:hAnsi="Times"/>
          <w:sz w:val="24"/>
        </w:rPr>
        <w:t>means any investigation, notice, violation, demand, allegation, action, suit, injunction, judgment, order, consent decree, penalty, fine, lien, pro</w:t>
        <w:softHyphen/>
        <w:t>ceeding or claim (whether administrative, judicial or private in nature) arising (a) pursuant to, or in connection with an actual or alleged violation of, any Environmental Law, (b) in connection with any Hazardous Material, (c) from any abatement, removal, remedial, cor</w:t>
        <w:softHyphen/>
        <w:t>rective or response action in connection with a Hazardous Material, Environmental Law or order of a governmental authority or (d) from any actual or alleged damage, injury, threat or harm to health, safety, natural resources or the environment.</w:t>
      </w:r>
    </w:p>
    <w:p>
      <w:pPr>
        <w:pStyle w:val="TextBody"/>
        <w:bidi w:val="0"/>
        <w:spacing w:before="0" w:after="240"/>
        <w:ind w:left="0" w:right="0" w:firstLine="720"/>
        <w:jc w:val="both"/>
        <w:rPr/>
      </w:pPr>
      <w:r>
        <w:rPr/>
        <w:t>“</w:t>
      </w:r>
      <w:r>
        <w:rPr>
          <w:rFonts w:ascii="Times" w:hAnsi="Times"/>
          <w:i/>
          <w:sz w:val="24"/>
        </w:rPr>
        <w:t>Environmental Law”</w:t>
      </w:r>
      <w:r>
        <w:rPr>
          <w:rFonts w:ascii="Times New Roman;Times;serif" w:hAnsi="Times New Roman;Times;serif"/>
          <w:sz w:val="24"/>
        </w:rPr>
        <w:t xml:space="preserve"> </w:t>
      </w:r>
      <w:r>
        <w:rPr>
          <w:rFonts w:ascii="Times" w:hAnsi="Times"/>
          <w:sz w:val="24"/>
        </w:rPr>
        <w:t>means any current or future Legal Requirement pertaining to (a) the 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pStyle w:val="TextBody"/>
        <w:bidi w:val="0"/>
        <w:spacing w:before="0" w:after="240"/>
        <w:ind w:left="0" w:right="0" w:firstLine="720"/>
        <w:jc w:val="both"/>
        <w:rPr/>
      </w:pPr>
      <w:r>
        <w:rPr/>
        <w:t>“</w:t>
      </w:r>
      <w:r>
        <w:rPr>
          <w:rFonts w:ascii="Times" w:hAnsi="Times"/>
          <w:i/>
          <w:sz w:val="24"/>
        </w:rPr>
        <w:t>Equity Interests”</w:t>
      </w:r>
      <w:r>
        <w:rPr>
          <w:rFonts w:ascii="Times New Roman;Times;serif" w:hAnsi="Times New Roman;Times;serif"/>
          <w:sz w:val="24"/>
        </w:rPr>
        <w:t xml:space="preserve"> </w:t>
      </w:r>
      <w:r>
        <w:rPr>
          <w:rFonts w:ascii="Times" w:hAnsi="Times"/>
          <w:sz w:val="24"/>
        </w:rPr>
        <w:t>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pStyle w:val="TextBody"/>
        <w:bidi w:val="0"/>
        <w:spacing w:before="0" w:after="240"/>
        <w:ind w:left="0" w:right="0" w:firstLine="720"/>
        <w:jc w:val="both"/>
        <w:rPr/>
      </w:pPr>
      <w:r>
        <w:rPr/>
        <w:t>“</w:t>
      </w:r>
      <w:r>
        <w:rPr>
          <w:rFonts w:ascii="Times" w:hAnsi="Times"/>
          <w:i/>
          <w:sz w:val="24"/>
        </w:rPr>
        <w:t>ERISA”</w:t>
      </w:r>
      <w:r>
        <w:rPr>
          <w:rFonts w:ascii="Times New Roman;Times;serif" w:hAnsi="Times New Roman;Times;serif"/>
          <w:sz w:val="24"/>
        </w:rPr>
        <w:t xml:space="preserve"> </w:t>
      </w:r>
      <w:r>
        <w:rPr>
          <w:rFonts w:ascii="Times" w:hAnsi="Times"/>
          <w:sz w:val="24"/>
        </w:rPr>
        <w:t>means the Employee Retirement Income Security Act of 1974, as amended, or any successor statute thereto.</w:t>
      </w:r>
    </w:p>
    <w:p>
      <w:pPr>
        <w:pStyle w:val="TextBody"/>
        <w:bidi w:val="0"/>
        <w:spacing w:before="0" w:after="240"/>
        <w:ind w:left="0" w:right="0" w:firstLine="720"/>
        <w:jc w:val="left"/>
        <w:rPr/>
      </w:pPr>
      <w:r>
        <w:rPr/>
        <w:t>“</w:t>
      </w:r>
      <w:r>
        <w:rPr>
          <w:rFonts w:ascii="Times New Roman;Times;serif" w:hAnsi="Times New Roman;Times;serif"/>
          <w:i/>
          <w:sz w:val="24"/>
        </w:rPr>
        <w:t>Erroneous Payment</w:t>
      </w:r>
      <w:r>
        <w:rPr>
          <w:rFonts w:ascii="Times New Roman;Times;serif" w:hAnsi="Times New Roman;Times;serif"/>
          <w:sz w:val="24"/>
        </w:rPr>
        <w:t>” has the meaning assigned to such term in Section 12.30.</w:t>
      </w:r>
    </w:p>
    <w:p>
      <w:pPr>
        <w:pStyle w:val="TextBody"/>
        <w:bidi w:val="0"/>
        <w:spacing w:before="0" w:after="240"/>
        <w:ind w:left="0" w:right="0" w:firstLine="720"/>
        <w:jc w:val="left"/>
        <w:rPr/>
      </w:pPr>
      <w:r>
        <w:rPr/>
        <w:t>“</w:t>
      </w:r>
      <w:r>
        <w:rPr>
          <w:rFonts w:ascii="Times New Roman;Times;serif" w:hAnsi="Times New Roman;Times;serif"/>
          <w:i/>
          <w:sz w:val="24"/>
        </w:rPr>
        <w:t>Erroneous Payment Deficiency Assignment</w:t>
      </w:r>
      <w:r>
        <w:rPr>
          <w:rFonts w:ascii="Times New Roman;Times;serif" w:hAnsi="Times New Roman;Times;serif"/>
          <w:sz w:val="24"/>
        </w:rPr>
        <w:t>” has the meaning assigned to such term in Section 12.30.</w:t>
      </w:r>
    </w:p>
    <w:p>
      <w:pPr>
        <w:pStyle w:val="TextBody"/>
        <w:bidi w:val="0"/>
        <w:spacing w:before="0" w:after="240"/>
        <w:ind w:left="0" w:right="0" w:firstLine="720"/>
        <w:jc w:val="left"/>
        <w:rPr/>
      </w:pPr>
      <w:r>
        <w:rPr/>
        <w:t>“</w:t>
      </w:r>
      <w:r>
        <w:rPr>
          <w:rFonts w:ascii="Times New Roman;Times;serif" w:hAnsi="Times New Roman;Times;serif"/>
          <w:i/>
          <w:sz w:val="24"/>
        </w:rPr>
        <w:t>Erroneous Payment Impacted Class</w:t>
      </w:r>
      <w:r>
        <w:rPr>
          <w:rFonts w:ascii="Times New Roman;Times;serif" w:hAnsi="Times New Roman;Times;serif"/>
          <w:sz w:val="24"/>
        </w:rPr>
        <w:t>” has the meaning assigned to such term in Section 12.30(d).</w:t>
      </w:r>
    </w:p>
    <w:p>
      <w:pPr>
        <w:pStyle w:val="TextBody"/>
        <w:bidi w:val="0"/>
        <w:spacing w:before="0" w:after="240"/>
        <w:ind w:left="0" w:right="0" w:firstLine="720"/>
        <w:jc w:val="left"/>
        <w:rPr/>
      </w:pPr>
      <w:r>
        <w:rPr/>
        <w:t>“</w:t>
      </w:r>
      <w:r>
        <w:rPr>
          <w:rFonts w:ascii="Times New Roman;Times;serif" w:hAnsi="Times New Roman;Times;serif"/>
          <w:i/>
          <w:sz w:val="24"/>
        </w:rPr>
        <w:t>Erroneous Payment Return Deficiency</w:t>
      </w:r>
      <w:r>
        <w:rPr>
          <w:rFonts w:ascii="Times New Roman;Times;serif" w:hAnsi="Times New Roman;Times;serif"/>
          <w:sz w:val="24"/>
        </w:rPr>
        <w:t>” has the meaning assigned to such term in Section 12.30(d).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i/>
          <w:sz w:val="24"/>
        </w:rPr>
        <w:t>Erroneous Payment Subrogation Rights</w:t>
      </w:r>
      <w:r>
        <w:rPr>
          <w:rFonts w:ascii="Times New Roman;Times;serif" w:hAnsi="Times New Roman;Times;serif"/>
          <w:sz w:val="24"/>
        </w:rPr>
        <w:t>” has the meaning assigned to such term in Section 12.30(d).</w:t>
      </w:r>
    </w:p>
    <w:p>
      <w:pPr>
        <w:pStyle w:val="TextBody"/>
        <w:bidi w:val="0"/>
        <w:spacing w:before="0" w:after="240"/>
        <w:ind w:left="0" w:right="0" w:firstLine="720"/>
        <w:jc w:val="both"/>
        <w:rPr/>
      </w:pPr>
      <w:r>
        <w:rPr/>
        <w:t>“</w:t>
      </w:r>
      <w:r>
        <w:rPr>
          <w:rFonts w:ascii="Times" w:hAnsi="Times"/>
          <w:i/>
          <w:sz w:val="24"/>
        </w:rPr>
        <w:t>EU Bail-In Legislation Schedule”</w:t>
      </w:r>
      <w:r>
        <w:rPr>
          <w:rFonts w:ascii="Times New Roman;Times;serif" w:hAnsi="Times New Roman;Times;serif"/>
          <w:sz w:val="24"/>
        </w:rPr>
        <w:t xml:space="preserve"> </w:t>
      </w:r>
      <w:r>
        <w:rPr>
          <w:rFonts w:ascii="Times" w:hAnsi="Times"/>
          <w:sz w:val="24"/>
        </w:rPr>
        <w:t>means the EU Bail-In Legislation Schedule published by the Loan Market Association (or any successor Person), as in effect from time to time.</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Event of Default”</w:t>
      </w:r>
      <w:r>
        <w:rPr>
          <w:rFonts w:ascii="Times New Roman;Times;serif" w:hAnsi="Times New Roman;Times;serif"/>
          <w:sz w:val="24"/>
        </w:rPr>
        <w:t xml:space="preserve"> </w:t>
      </w:r>
      <w:r>
        <w:rPr>
          <w:rFonts w:ascii="Times" w:hAnsi="Times"/>
          <w:sz w:val="24"/>
        </w:rPr>
        <w:t>means any event or condition identified as such in Section 9.1 hereof.</w:t>
      </w:r>
    </w:p>
    <w:p>
      <w:pPr>
        <w:pStyle w:val="TextBody"/>
        <w:bidi w:val="0"/>
        <w:spacing w:before="0" w:after="240"/>
        <w:ind w:left="0" w:right="0" w:firstLine="720"/>
        <w:jc w:val="both"/>
        <w:rPr/>
      </w:pPr>
      <w:r>
        <w:rPr/>
        <w:t>“</w:t>
      </w:r>
      <w:r>
        <w:rPr>
          <w:rFonts w:ascii="Times" w:hAnsi="Times"/>
          <w:i/>
          <w:sz w:val="24"/>
        </w:rPr>
        <w:t>Excluded Swap Obligation</w:t>
      </w:r>
      <w:r>
        <w:rPr>
          <w:rFonts w:ascii="Times New Roman;Times;serif" w:hAnsi="Times New Roman;Times;serif"/>
          <w:sz w:val="24"/>
        </w:rPr>
        <w:t xml:space="preserve">” </w:t>
      </w:r>
      <w:r>
        <w:rPr>
          <w:rFonts w:ascii="Times" w:hAnsi="Times"/>
          <w:sz w:val="24"/>
        </w:rPr>
        <w:t>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240"/>
        <w:ind w:left="0" w:right="0" w:firstLine="720"/>
        <w:jc w:val="both"/>
        <w:rPr/>
      </w:pPr>
      <w:r>
        <w:rPr/>
        <w:t>“</w:t>
      </w:r>
      <w:r>
        <w:rPr>
          <w:rFonts w:ascii="Times" w:hAnsi="Times"/>
          <w:i/>
          <w:sz w:val="24"/>
        </w:rPr>
        <w:t>Excluded Taxes”</w:t>
      </w:r>
      <w:r>
        <w:rPr>
          <w:rFonts w:ascii="Times New Roman;Times;serif" w:hAnsi="Times New Roman;Times;serif"/>
          <w:sz w:val="24"/>
        </w:rPr>
        <w:t xml:space="preserve"> </w:t>
      </w:r>
      <w:r>
        <w:rPr>
          <w:rFonts w:ascii="Times" w:hAnsi="Times"/>
          <w:sz w:val="24"/>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w:t>
      </w:r>
      <w:r>
        <w:rPr>
          <w:rFonts w:ascii="Times New Roman;Times;serif" w:hAnsi="Times New Roman;Times;serif"/>
          <w:sz w:val="24"/>
        </w:rPr>
        <w:t xml:space="preserve"> </w:t>
      </w:r>
      <w:r>
        <w:rPr>
          <w:rFonts w:ascii="Times" w:hAnsi="Times"/>
          <w:sz w:val="24"/>
        </w:rPr>
        <w:t>interest in the Loan or Commitment (other than pursuant to an assignment request by the Borrower under Section 1.13 hereof)</w:t>
      </w:r>
      <w:r>
        <w:rPr>
          <w:rFonts w:ascii="Times New Roman;Times;serif" w:hAnsi="Times New Roman;Times;serif"/>
          <w:sz w:val="24"/>
        </w:rPr>
        <w:t xml:space="preserve"> </w:t>
      </w:r>
      <w:r>
        <w:rPr>
          <w:rFonts w:ascii="Times" w:hAnsi="Times"/>
          <w:sz w:val="24"/>
        </w:rPr>
        <w:t>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pStyle w:val="TextBody"/>
        <w:bidi w:val="0"/>
        <w:spacing w:before="0" w:after="240"/>
        <w:ind w:left="0" w:right="0" w:firstLine="720"/>
        <w:jc w:val="both"/>
        <w:rPr/>
      </w:pPr>
      <w:r>
        <w:rPr/>
        <w:t>“</w:t>
      </w:r>
      <w:r>
        <w:rPr>
          <w:rFonts w:ascii="Times" w:hAnsi="Times"/>
          <w:i/>
          <w:sz w:val="24"/>
        </w:rPr>
        <w:t>Existing Credit Agreement</w:t>
      </w:r>
      <w:r>
        <w:rPr>
          <w:rFonts w:ascii="Times New Roman;Times;serif" w:hAnsi="Times New Roman;Times;serif"/>
          <w:sz w:val="24"/>
        </w:rPr>
        <w:t xml:space="preserve">” </w:t>
      </w:r>
      <w:r>
        <w:rPr>
          <w:rFonts w:ascii="Times" w:hAnsi="Times"/>
          <w:sz w:val="24"/>
        </w:rPr>
        <w:t>means that certain Credit Agreement dated as of November 26, 2019, among Borrower, the Bank of Montreal, a syndicate of lenders and the other parties party thereto, as amended by that certain First Amendment to Credit Agreement dated June 30, 2020, that certain Second Amendment Credit Agreement dated October 16, 2020, that certain Third Amendment Credit Agreement dated May 19, 2021, and as may be further amended, restated, supplemented or otherwise modified.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Extension Fee”</w:t>
      </w:r>
      <w:r>
        <w:rPr>
          <w:rFonts w:ascii="Times New Roman;Times;serif" w:hAnsi="Times New Roman;Times;serif"/>
          <w:sz w:val="24"/>
        </w:rPr>
        <w:t xml:space="preserve"> </w:t>
      </w:r>
      <w:r>
        <w:rPr>
          <w:rFonts w:ascii="Times" w:hAnsi="Times"/>
          <w:sz w:val="24"/>
        </w:rPr>
        <w:t>means an extension fee payable by the Borrower for each six month extension pursuant to Section 1.16 hereto in an amount equal to 0.065% of the Revolving Credit Commitments then in effect.</w:t>
      </w:r>
    </w:p>
    <w:p>
      <w:pPr>
        <w:pStyle w:val="TextBody"/>
        <w:bidi w:val="0"/>
        <w:spacing w:before="0" w:after="240"/>
        <w:ind w:left="0" w:right="0" w:firstLine="720"/>
        <w:jc w:val="both"/>
        <w:rPr/>
      </w:pPr>
      <w:r>
        <w:rPr/>
        <w:t>“</w:t>
      </w:r>
      <w:r>
        <w:rPr>
          <w:rFonts w:ascii="Times" w:hAnsi="Times"/>
          <w:i/>
          <w:sz w:val="24"/>
        </w:rPr>
        <w:t>Facility</w:t>
      </w:r>
      <w:r>
        <w:rPr>
          <w:rFonts w:ascii="Times New Roman;Times;serif" w:hAnsi="Times New Roman;Times;serif"/>
          <w:sz w:val="24"/>
        </w:rPr>
        <w:t xml:space="preserve">” </w:t>
      </w:r>
      <w:r>
        <w:rPr>
          <w:rFonts w:ascii="Times" w:hAnsi="Times"/>
          <w:sz w:val="24"/>
        </w:rPr>
        <w:t>means the Revolving Facility and each Term Facility.</w:t>
      </w:r>
    </w:p>
    <w:p>
      <w:pPr>
        <w:pStyle w:val="TextBody"/>
        <w:bidi w:val="0"/>
        <w:spacing w:before="0" w:after="240"/>
        <w:ind w:left="0" w:right="0" w:firstLine="720"/>
        <w:jc w:val="both"/>
        <w:rPr/>
      </w:pPr>
      <w:r>
        <w:rPr/>
        <w:t>“</w:t>
      </w:r>
      <w:r>
        <w:rPr>
          <w:rFonts w:ascii="Times" w:hAnsi="Times"/>
          <w:i/>
          <w:sz w:val="24"/>
        </w:rPr>
        <w:t>FATCA”</w:t>
      </w:r>
      <w:r>
        <w:rPr>
          <w:rFonts w:ascii="Times New Roman;Times;serif" w:hAnsi="Times New Roman;Times;serif"/>
          <w:sz w:val="24"/>
        </w:rPr>
        <w:t xml:space="preserve"> </w:t>
      </w:r>
      <w:r>
        <w:rPr>
          <w:rFonts w:ascii="Times" w:hAnsi="Times"/>
          <w:sz w:val="24"/>
        </w:rPr>
        <w:t>means Sections 1471 through 1474 of the Code, as of the date of this Agreement</w:t>
      </w:r>
      <w:r>
        <w:rPr>
          <w:rFonts w:ascii="Times New Roman;Times;serif" w:hAnsi="Times New Roman;Times;serif"/>
          <w:sz w:val="24"/>
        </w:rPr>
        <w:t xml:space="preserve"> </w:t>
      </w:r>
      <w:r>
        <w:rPr>
          <w:rFonts w:ascii="Times" w:hAnsi="Times"/>
          <w:sz w:val="24"/>
        </w:rPr>
        <w:t>(or any amended or successor version that is substantively comparable and not materially more onerous to comply with), any current or future regulations or official interpretations thereof, and any agreements entered into pursuant to Section 1471(b)(1) of the Code.</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FCPA”</w:t>
      </w:r>
      <w:r>
        <w:rPr>
          <w:rFonts w:ascii="Times New Roman;Times;serif" w:hAnsi="Times New Roman;Times;serif"/>
          <w:sz w:val="24"/>
        </w:rPr>
        <w:t xml:space="preserve"> </w:t>
      </w:r>
      <w:r>
        <w:rPr>
          <w:rFonts w:ascii="Times" w:hAnsi="Times"/>
          <w:sz w:val="24"/>
        </w:rPr>
        <w:t>means the Foreign Corrupt Practices Act, 15 U.S.C. §§78dd-1, et seq.</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Federal Funds Rate”</w:t>
      </w:r>
      <w:r>
        <w:rPr>
          <w:rFonts w:ascii="Times New Roman;Times;serif" w:hAnsi="Times New Roman;Times;serif"/>
          <w:sz w:val="24"/>
        </w:rPr>
        <w:t xml:space="preserve"> </w:t>
      </w:r>
      <w:r>
        <w:rPr>
          <w:rFonts w:ascii="Times" w:hAnsi="Times"/>
          <w:sz w:val="24"/>
        </w:rPr>
        <w:t>is defined in Section 1.4(a) hereof.</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Federal Reserve Bank of New York’s Website”</w:t>
      </w:r>
      <w:r>
        <w:rPr>
          <w:rFonts w:ascii="Times New Roman;Times;serif" w:hAnsi="Times New Roman;Times;serif"/>
          <w:sz w:val="24"/>
        </w:rPr>
        <w:t xml:space="preserve"> </w:t>
      </w:r>
      <w:r>
        <w:rPr>
          <w:rFonts w:ascii="Times" w:hAnsi="Times"/>
          <w:sz w:val="24"/>
        </w:rPr>
        <w:t>means the website of the Federal Reserve Bank of New York at http://www.newyorkfed.org, or any successor source.</w:t>
      </w:r>
    </w:p>
    <w:p>
      <w:pPr>
        <w:pStyle w:val="TextBody"/>
        <w:bidi w:val="0"/>
        <w:spacing w:before="0" w:after="240"/>
        <w:ind w:left="0" w:right="0" w:firstLine="720"/>
        <w:jc w:val="both"/>
        <w:rPr/>
      </w:pPr>
      <w:r>
        <w:rPr/>
        <w:t>“</w:t>
      </w:r>
      <w:r>
        <w:rPr>
          <w:rFonts w:ascii="Times" w:hAnsi="Times"/>
          <w:i/>
          <w:sz w:val="24"/>
        </w:rPr>
        <w:t>Fee Letter</w:t>
      </w:r>
      <w:r>
        <w:rPr>
          <w:rFonts w:ascii="Times New Roman;Times;serif" w:hAnsi="Times New Roman;Times;serif"/>
          <w:sz w:val="24"/>
        </w:rPr>
        <w:t xml:space="preserve">” </w:t>
      </w:r>
      <w:r>
        <w:rPr>
          <w:rFonts w:ascii="Times" w:hAnsi="Times"/>
          <w:sz w:val="24"/>
        </w:rPr>
        <w:t>means the letter agreement, dated August 19, 2022, among Borrower, KBCM, and KeyBank.</w:t>
      </w:r>
    </w:p>
    <w:p>
      <w:pPr>
        <w:pStyle w:val="TextBody"/>
        <w:bidi w:val="0"/>
        <w:spacing w:before="0" w:after="240"/>
        <w:ind w:left="0" w:right="0" w:firstLine="720"/>
        <w:jc w:val="both"/>
        <w:rPr/>
      </w:pPr>
      <w:r>
        <w:rPr/>
        <w:t>“</w:t>
      </w:r>
      <w:r>
        <w:rPr>
          <w:rFonts w:ascii="Times" w:hAnsi="Times"/>
          <w:i/>
          <w:sz w:val="24"/>
        </w:rPr>
        <w:t>Fiscal Quarter”</w:t>
      </w:r>
      <w:r>
        <w:rPr>
          <w:rFonts w:ascii="Times New Roman;Times;serif" w:hAnsi="Times New Roman;Times;serif"/>
          <w:sz w:val="24"/>
        </w:rPr>
        <w:t xml:space="preserve"> </w:t>
      </w:r>
      <w:r>
        <w:rPr>
          <w:rFonts w:ascii="Times" w:hAnsi="Times"/>
          <w:sz w:val="24"/>
        </w:rPr>
        <w:t>means each of the three-month periods ending on March 31, June 30, September 30 and December 31.</w:t>
      </w:r>
    </w:p>
    <w:p>
      <w:pPr>
        <w:pStyle w:val="TextBody"/>
        <w:bidi w:val="0"/>
        <w:spacing w:before="0" w:after="240"/>
        <w:ind w:left="0" w:right="0" w:firstLine="720"/>
        <w:jc w:val="both"/>
        <w:rPr/>
      </w:pPr>
      <w:r>
        <w:rPr/>
        <w:t>“</w:t>
      </w:r>
      <w:r>
        <w:rPr>
          <w:rFonts w:ascii="Times" w:hAnsi="Times"/>
          <w:i/>
          <w:sz w:val="24"/>
        </w:rPr>
        <w:t>Fiscal Year”</w:t>
      </w:r>
      <w:r>
        <w:rPr>
          <w:rFonts w:ascii="Times New Roman;Times;serif" w:hAnsi="Times New Roman;Times;serif"/>
          <w:sz w:val="24"/>
        </w:rPr>
        <w:t xml:space="preserve"> </w:t>
      </w:r>
      <w:r>
        <w:rPr>
          <w:rFonts w:ascii="Times" w:hAnsi="Times"/>
          <w:sz w:val="24"/>
        </w:rPr>
        <w:t>means the twelve-month period ending on December 31.</w:t>
      </w:r>
    </w:p>
    <w:p>
      <w:pPr>
        <w:pStyle w:val="TextBody"/>
        <w:bidi w:val="0"/>
        <w:spacing w:before="0" w:after="240"/>
        <w:ind w:left="0" w:right="0" w:firstLine="720"/>
        <w:jc w:val="both"/>
        <w:rPr/>
      </w:pPr>
      <w:r>
        <w:rPr/>
        <w:t>“</w:t>
      </w:r>
      <w:r>
        <w:rPr>
          <w:rFonts w:ascii="Times" w:hAnsi="Times"/>
          <w:i/>
          <w:sz w:val="24"/>
        </w:rPr>
        <w:t>Fitch</w:t>
      </w:r>
      <w:r>
        <w:rPr>
          <w:rFonts w:ascii="Times New Roman;Times;serif" w:hAnsi="Times New Roman;Times;serif"/>
          <w:sz w:val="24"/>
        </w:rPr>
        <w:t xml:space="preserve">” </w:t>
      </w:r>
      <w:r>
        <w:rPr>
          <w:rFonts w:ascii="Times" w:hAnsi="Times"/>
          <w:sz w:val="24"/>
        </w:rPr>
        <w:t xml:space="preserve">means Fitch Ratings, or any successor thereto. </w:t>
      </w:r>
    </w:p>
    <w:p>
      <w:pPr>
        <w:pStyle w:val="TextBody"/>
        <w:bidi w:val="0"/>
        <w:spacing w:before="0" w:after="240"/>
        <w:ind w:left="0" w:right="0" w:firstLine="720"/>
        <w:jc w:val="both"/>
        <w:rPr/>
      </w:pPr>
      <w:r>
        <w:rPr/>
        <w:t>“</w:t>
      </w:r>
      <w:r>
        <w:rPr>
          <w:rFonts w:ascii="Times" w:hAnsi="Times"/>
          <w:i/>
          <w:sz w:val="24"/>
        </w:rPr>
        <w:t>Fixed Charges”</w:t>
      </w:r>
      <w:r>
        <w:rPr>
          <w:rFonts w:ascii="Times New Roman;Times;serif" w:hAnsi="Times New Roman;Times;serif"/>
          <w:sz w:val="24"/>
        </w:rPr>
        <w:t xml:space="preserve"> </w:t>
      </w:r>
      <w:r>
        <w:rPr>
          <w:rFonts w:ascii="Times" w:hAnsi="Times"/>
          <w:sz w:val="24"/>
        </w:rPr>
        <w:t>means, for any Rolling Period, (a) Interest Expense, plus (b) scheduled principal amortization paid on Total Indebtedness (exclusive of any balloon payments or prepayments of principal paid on such Total Indebtedness), plus (c) Dividends and required distributions on the Parent’s preferred equity securities for such Rolling Period plus (d) all income taxes (federal, state and local) paid by Parent and its Subsidiaries in cash during such Rolling Period.  </w:t>
      </w:r>
    </w:p>
    <w:p>
      <w:pPr>
        <w:pStyle w:val="TextBody"/>
        <w:bidi w:val="0"/>
        <w:spacing w:before="0" w:after="240"/>
        <w:ind w:left="0" w:right="0" w:firstLine="720"/>
        <w:jc w:val="both"/>
        <w:rPr/>
      </w:pPr>
      <w:r>
        <w:rPr/>
        <w:t>“</w:t>
      </w:r>
      <w:r>
        <w:rPr>
          <w:rFonts w:ascii="Times" w:hAnsi="Times"/>
          <w:i/>
          <w:sz w:val="24"/>
        </w:rPr>
        <w:t>Floor</w:t>
      </w:r>
      <w:r>
        <w:rPr>
          <w:rFonts w:ascii="Times New Roman;Times;serif" w:hAnsi="Times New Roman;Times;serif"/>
          <w:sz w:val="24"/>
        </w:rPr>
        <w:t xml:space="preserve">” </w:t>
      </w:r>
      <w:r>
        <w:rPr>
          <w:rFonts w:ascii="Times" w:hAnsi="Times"/>
          <w:sz w:val="24"/>
        </w:rPr>
        <w:t>means a rate of interest equal to 0% per annum.</w:t>
      </w:r>
    </w:p>
    <w:p>
      <w:pPr>
        <w:pStyle w:val="TextBody"/>
        <w:bidi w:val="0"/>
        <w:spacing w:before="0" w:after="240"/>
        <w:ind w:left="0" w:right="0" w:firstLine="720"/>
        <w:jc w:val="both"/>
        <w:rPr/>
      </w:pPr>
      <w:r>
        <w:rPr/>
        <w:t>“</w:t>
      </w:r>
      <w:r>
        <w:rPr>
          <w:rFonts w:ascii="Times" w:hAnsi="Times"/>
          <w:i/>
          <w:sz w:val="24"/>
        </w:rPr>
        <w:t>Fronting Exposure</w:t>
      </w:r>
      <w:r>
        <w:rPr>
          <w:rFonts w:ascii="Times New Roman;Times;serif" w:hAnsi="Times New Roman;Times;serif"/>
          <w:sz w:val="24"/>
        </w:rPr>
        <w:t xml:space="preserve">” </w:t>
      </w:r>
      <w:r>
        <w:rPr>
          <w:rFonts w:ascii="Times" w:hAnsi="Times"/>
          <w:sz w:val="24"/>
        </w:rPr>
        <w:t>means, at any time there is a Defaulting Lender that is a Revolving Lender, (a) with respect to the L/C Issuer, such Defaulting Lender’s Applicable Percentage of the outstanding Letter of Credit Liabilities attributable to the L/C Issuer other than Letter of Credit Liabilities as to which such Defaulting Lender’s participation obligation has been reallocated to other Revolving Lenders or Cash Collateralized in accordance with the terms hereof and (b) with respect to the Swing Line Lender, such Defaulting Lender’s Applicable Percentage of outstanding Swing Loans other than Swing Loans as to which such Defaulting Lender’s participation obligation has been reallocated to other Revolving Lenders.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Fund” </w:t>
      </w:r>
      <w:r>
        <w:rPr>
          <w:rFonts w:ascii="Times" w:hAnsi="Times"/>
          <w:sz w:val="24"/>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240"/>
        <w:ind w:left="0" w:right="0" w:firstLine="720"/>
        <w:jc w:val="both"/>
        <w:rPr/>
      </w:pPr>
      <w:r>
        <w:rPr/>
        <w:t>“</w:t>
      </w:r>
      <w:r>
        <w:rPr>
          <w:rFonts w:ascii="Times" w:hAnsi="Times"/>
          <w:i/>
          <w:sz w:val="24"/>
        </w:rPr>
        <w:t>Funds Transfer and Deposit Account Liability”</w:t>
      </w:r>
      <w:r>
        <w:rPr>
          <w:rFonts w:ascii="Times New Roman;Times;serif" w:hAnsi="Times New Roman;Times;serif"/>
          <w:sz w:val="24"/>
        </w:rPr>
        <w:t xml:space="preserve"> </w:t>
      </w:r>
      <w:r>
        <w:rPr>
          <w:rFonts w:ascii="Times" w:hAnsi="Times"/>
          <w:sz w:val="24"/>
        </w:rPr>
        <w:t>means the liability of the Borrower, or any Subsidiary owing to any of the Lenders, 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pStyle w:val="TextBody"/>
        <w:bidi w:val="0"/>
        <w:spacing w:before="0" w:after="240"/>
        <w:ind w:left="0" w:right="0" w:firstLine="720"/>
        <w:jc w:val="both"/>
        <w:rPr/>
      </w:pPr>
      <w:r>
        <w:rPr/>
        <w:t>“</w:t>
      </w:r>
      <w:r>
        <w:rPr>
          <w:rFonts w:ascii="Times" w:hAnsi="Times"/>
          <w:i/>
          <w:sz w:val="24"/>
        </w:rPr>
        <w:t>GAAP”</w:t>
      </w:r>
      <w:r>
        <w:rPr>
          <w:rFonts w:ascii="Times New Roman;Times;serif" w:hAnsi="Times New Roman;Times;serif"/>
          <w:sz w:val="24"/>
        </w:rPr>
        <w:t xml:space="preserve"> </w:t>
      </w:r>
      <w:r>
        <w:rPr>
          <w:rFonts w:ascii="Times" w:hAnsi="Times"/>
          <w:sz w:val="24"/>
        </w:rPr>
        <w:t>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pStyle w:val="TextBody"/>
        <w:bidi w:val="0"/>
        <w:spacing w:before="0" w:after="240"/>
        <w:ind w:left="0" w:right="0" w:firstLine="720"/>
        <w:jc w:val="both"/>
        <w:rPr/>
      </w:pPr>
      <w:r>
        <w:rPr/>
        <w:t>“</w:t>
      </w:r>
      <w:r>
        <w:rPr>
          <w:rFonts w:ascii="Times" w:hAnsi="Times"/>
          <w:i/>
          <w:sz w:val="24"/>
        </w:rPr>
        <w:t>Governmental Authority”</w:t>
      </w:r>
      <w:r>
        <w:rPr>
          <w:rFonts w:ascii="Times New Roman;Times;serif" w:hAnsi="Times New Roman;Times;serif"/>
          <w:sz w:val="24"/>
        </w:rPr>
        <w:t xml:space="preserve"> </w:t>
      </w:r>
      <w:r>
        <w:rPr>
          <w:rFonts w:ascii="Times" w:hAnsi="Times"/>
          <w:sz w:val="24"/>
        </w:rPr>
        <w:t>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both"/>
        <w:rPr/>
      </w:pPr>
      <w:r>
        <w:rPr/>
        <w:t>“</w:t>
      </w:r>
      <w:r>
        <w:rPr>
          <w:rFonts w:ascii="Times" w:hAnsi="Times"/>
          <w:i/>
          <w:sz w:val="24"/>
        </w:rPr>
        <w:t xml:space="preserve">Gross Availability” </w:t>
      </w:r>
      <w:r>
        <w:rPr>
          <w:rFonts w:ascii="Times" w:hAnsi="Times"/>
          <w:sz w:val="24"/>
        </w:rPr>
        <w:t>means, at any date of its determination, an amount equal to the maximum amount of Unsecured Indebtedness that would result in compliance with the covenants set forth in Sections 8.20(e) and (f) on a pro forma basis.</w:t>
      </w:r>
    </w:p>
    <w:p>
      <w:pPr>
        <w:pStyle w:val="TextBody"/>
        <w:bidi w:val="0"/>
        <w:spacing w:before="0" w:after="240"/>
        <w:ind w:left="0" w:right="0" w:firstLine="720"/>
        <w:jc w:val="both"/>
        <w:rPr/>
      </w:pPr>
      <w:r>
        <w:rPr/>
        <w:t>“</w:t>
      </w:r>
      <w:r>
        <w:rPr>
          <w:rFonts w:ascii="Times" w:hAnsi="Times"/>
          <w:i/>
          <w:sz w:val="24"/>
        </w:rPr>
        <w:t>Ground Lease”</w:t>
      </w:r>
      <w:r>
        <w:rPr>
          <w:rFonts w:ascii="Times New Roman;Times;serif" w:hAnsi="Times New Roman;Times;serif"/>
          <w:sz w:val="24"/>
        </w:rPr>
        <w:t xml:space="preserve"> </w:t>
      </w:r>
      <w:r>
        <w:rPr>
          <w:rFonts w:ascii="Times" w:hAnsi="Times"/>
          <w:sz w:val="24"/>
        </w:rPr>
        <w:t xml:space="preserve">means a long term lease of </w:t>
      </w:r>
      <w:bookmarkStart w:id="1468" w:name="_cp_change_7"/>
      <w:bookmarkEnd w:id="1468"/>
      <w:r>
        <w:rPr>
          <w:rFonts w:ascii="Times" w:hAnsi="Times"/>
          <w:color w:val="FF0000"/>
          <w:sz w:val="24"/>
        </w:rPr>
        <w:t>real</w:t>
      </w:r>
      <w:bookmarkStart w:id="1469" w:name="_cp_change_8"/>
      <w:bookmarkEnd w:id="1469"/>
      <w:r>
        <w:rPr>
          <w:rFonts w:ascii="Times" w:hAnsi="Times"/>
          <w:color w:val="0000FF"/>
          <w:sz w:val="24"/>
          <w:u w:val="single"/>
        </w:rPr>
        <w:t>a</w:t>
      </w:r>
      <w:r>
        <w:rPr>
          <w:rFonts w:ascii="Times New Roman;Times;serif" w:hAnsi="Times New Roman;Times;serif"/>
          <w:sz w:val="24"/>
        </w:rPr>
        <w:t xml:space="preserve"> </w:t>
      </w:r>
      <w:r>
        <w:rPr>
          <w:rFonts w:ascii="Times" w:hAnsi="Times"/>
          <w:sz w:val="24"/>
        </w:rPr>
        <w:t xml:space="preserve">Property granted by the fee owner of the </w:t>
      </w:r>
      <w:bookmarkStart w:id="1470" w:name="_cp_change_9"/>
      <w:bookmarkEnd w:id="1470"/>
      <w:r>
        <w:rPr>
          <w:rFonts w:ascii="Times" w:hAnsi="Times"/>
          <w:color w:val="FF0000"/>
          <w:sz w:val="24"/>
        </w:rPr>
        <w:t>real</w:t>
      </w:r>
      <w:bookmarkStart w:id="1471" w:name="_cp_change_10"/>
      <w:bookmarkEnd w:id="1471"/>
      <w:r>
        <w:rPr>
          <w:rFonts w:ascii="Times" w:hAnsi="Times"/>
          <w:color w:val="0000FF"/>
          <w:sz w:val="24"/>
          <w:u w:val="single"/>
        </w:rPr>
        <w:t>such</w:t>
      </w:r>
      <w:r>
        <w:rPr>
          <w:rFonts w:ascii="Times New Roman;Times;serif" w:hAnsi="Times New Roman;Times;serif"/>
          <w:sz w:val="24"/>
        </w:rPr>
        <w:t xml:space="preserve"> </w:t>
      </w:r>
      <w:r>
        <w:rPr>
          <w:rFonts w:ascii="Times" w:hAnsi="Times"/>
          <w:sz w:val="24"/>
        </w:rPr>
        <w:t>Property.</w:t>
      </w:r>
    </w:p>
    <w:p>
      <w:pPr>
        <w:pStyle w:val="TextBody"/>
        <w:bidi w:val="0"/>
        <w:spacing w:before="0" w:after="240"/>
        <w:ind w:left="0" w:right="0" w:firstLine="720"/>
        <w:jc w:val="both"/>
        <w:rPr/>
      </w:pPr>
      <w:r>
        <w:rPr/>
        <w:t>“</w:t>
      </w:r>
      <w:r>
        <w:rPr>
          <w:rFonts w:ascii="Times" w:hAnsi="Times"/>
          <w:i/>
          <w:sz w:val="24"/>
        </w:rPr>
        <w:t>Guarantor”</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Guarantors”</w:t>
      </w:r>
      <w:r>
        <w:rPr>
          <w:rFonts w:ascii="Times New Roman;Times;serif" w:hAnsi="Times New Roman;Times;serif"/>
          <w:sz w:val="24"/>
        </w:rPr>
        <w:t xml:space="preserve"> </w:t>
      </w:r>
      <w:r>
        <w:rPr>
          <w:rFonts w:ascii="Times" w:hAnsi="Times"/>
          <w:sz w:val="24"/>
        </w:rPr>
        <w:t>are defined in Section 4.1 hereof.</w:t>
      </w:r>
    </w:p>
    <w:p>
      <w:pPr>
        <w:pStyle w:val="TextBody"/>
        <w:bidi w:val="0"/>
        <w:spacing w:before="0" w:after="240"/>
        <w:ind w:left="0" w:right="0" w:firstLine="720"/>
        <w:jc w:val="both"/>
        <w:rPr/>
      </w:pPr>
      <w:r>
        <w:rPr/>
        <w:t>“</w:t>
      </w:r>
      <w:r>
        <w:rPr>
          <w:rFonts w:ascii="Times" w:hAnsi="Times"/>
          <w:i/>
          <w:sz w:val="24"/>
        </w:rPr>
        <w:t>Guaranty”</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Guaranties”</w:t>
      </w:r>
      <w:r>
        <w:rPr>
          <w:rFonts w:ascii="Times New Roman;Times;serif" w:hAnsi="Times New Roman;Times;serif"/>
          <w:sz w:val="24"/>
        </w:rPr>
        <w:t xml:space="preserve"> </w:t>
      </w:r>
      <w:r>
        <w:rPr>
          <w:rFonts w:ascii="Times" w:hAnsi="Times"/>
          <w:sz w:val="24"/>
        </w:rPr>
        <w:t>are defined in Section 4.1 hereof.</w:t>
      </w:r>
    </w:p>
    <w:p>
      <w:pPr>
        <w:pStyle w:val="TextBody"/>
        <w:bidi w:val="0"/>
        <w:spacing w:before="0" w:after="240"/>
        <w:ind w:left="0" w:right="0" w:firstLine="720"/>
        <w:jc w:val="both"/>
        <w:rPr/>
      </w:pPr>
      <w:r>
        <w:rPr/>
        <w:t>“</w:t>
      </w:r>
      <w:r>
        <w:rPr>
          <w:rFonts w:ascii="Times" w:hAnsi="Times"/>
          <w:i/>
          <w:sz w:val="24"/>
        </w:rPr>
        <w:t xml:space="preserve">Hazardous Material” </w:t>
      </w:r>
      <w:r>
        <w:rPr>
          <w:rFonts w:ascii="Times" w:hAnsi="Times"/>
          <w:sz w:val="24"/>
        </w:rPr>
        <w:t>means any substance,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0" w:after="0"/>
        <w:ind w:left="0" w:right="0" w:firstLine="720"/>
        <w:jc w:val="both"/>
        <w:rPr/>
      </w:pPr>
      <w:r>
        <w:rPr/>
        <w:t>“</w:t>
      </w:r>
      <w:r>
        <w:rPr>
          <w:rFonts w:ascii="Times" w:hAnsi="Times"/>
          <w:i/>
          <w:sz w:val="24"/>
        </w:rPr>
        <w:t>Hazardous Material Activity”</w:t>
      </w:r>
      <w:r>
        <w:rPr>
          <w:rFonts w:ascii="Times New Roman;Times;serif" w:hAnsi="Times New Roman;Times;serif"/>
          <w:sz w:val="24"/>
        </w:rPr>
        <w:t xml:space="preserve"> </w:t>
      </w:r>
      <w:r>
        <w:rPr>
          <w:rFonts w:ascii="Times" w:hAnsi="Times"/>
          <w:sz w:val="24"/>
        </w:rPr>
        <w:t xml:space="preserve">means any activity, event or occurrence involving a Hazardous Material, including, without limitation, the manufacture, possession, presence, use, generation, transportation, treatment, storage, disposal, Release, threatened Release, abatement, removal, remediation, handling of or corrective or response action to any Hazardous Material other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than any activity, event or occurrence performed in compliance with or allowed under applicable law.</w:t>
      </w:r>
    </w:p>
    <w:p>
      <w:pPr>
        <w:pStyle w:val="TextBody"/>
        <w:bidi w:val="0"/>
        <w:spacing w:before="0" w:after="240"/>
        <w:ind w:left="0" w:right="0" w:firstLine="720"/>
        <w:jc w:val="both"/>
        <w:rPr/>
      </w:pPr>
      <w:r>
        <w:rPr/>
        <w:t>“</w:t>
      </w:r>
      <w:r>
        <w:rPr>
          <w:rFonts w:ascii="Times" w:hAnsi="Times"/>
          <w:i/>
          <w:sz w:val="24"/>
        </w:rPr>
        <w:t>Hedging Agreement”</w:t>
      </w:r>
      <w:r>
        <w:rPr>
          <w:rFonts w:ascii="Times New Roman;Times;serif" w:hAnsi="Times New Roman;Times;serif"/>
          <w:sz w:val="24"/>
        </w:rPr>
        <w:t xml:space="preserve"> </w:t>
      </w:r>
      <w:r>
        <w:rPr>
          <w:rFonts w:ascii="Times" w:hAnsi="Times"/>
          <w:sz w:val="24"/>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w:hAnsi="Times"/>
          <w:i/>
          <w:sz w:val="24"/>
        </w:rPr>
        <w:t>provided</w:t>
      </w:r>
      <w:r>
        <w:rPr>
          <w:rFonts w:ascii="Times New Roman;Times;serif" w:hAnsi="Times New Roman;Times;serif"/>
          <w:sz w:val="24"/>
        </w:rPr>
        <w:t xml:space="preserve"> </w:t>
      </w:r>
      <w:r>
        <w:rPr>
          <w:rFonts w:ascii="Times" w:hAnsi="Times"/>
          <w:sz w:val="24"/>
        </w:rPr>
        <w:t>that no phantom stock or similar plan providing for payments only on account of services provided by current or former directors, officers, employees or consultants of Borrower or any Subsidiary shall be a Hedging Agreement.</w:t>
      </w:r>
    </w:p>
    <w:p>
      <w:pPr>
        <w:pStyle w:val="TextBody"/>
        <w:bidi w:val="0"/>
        <w:spacing w:before="0" w:after="240"/>
        <w:ind w:left="0" w:right="0" w:firstLine="720"/>
        <w:jc w:val="both"/>
        <w:rPr/>
      </w:pPr>
      <w:r>
        <w:rPr/>
        <w:t>“</w:t>
      </w:r>
      <w:r>
        <w:rPr>
          <w:rFonts w:ascii="Times" w:hAnsi="Times"/>
          <w:i/>
          <w:sz w:val="24"/>
        </w:rPr>
        <w:t>Hedging Liability”</w:t>
      </w:r>
      <w:r>
        <w:rPr>
          <w:rFonts w:ascii="Times New Roman;Times;serif" w:hAnsi="Times New Roman;Times;serif"/>
          <w:sz w:val="24"/>
        </w:rPr>
        <w:t xml:space="preserve"> </w:t>
      </w:r>
      <w:r>
        <w:rPr>
          <w:rFonts w:ascii="Times" w:hAnsi="Times"/>
          <w:sz w:val="24"/>
        </w:rPr>
        <w:t>means the liability of the Borrower or any Subsidiary to any Qualifying Counterparty, in respect of any Hedging Agreement as the Borrower or such Subsidiary, as the case may be, may from time to time enter into with any one or more  Qualifying Counterparties.</w:t>
      </w:r>
    </w:p>
    <w:p>
      <w:pPr>
        <w:pStyle w:val="TextBody"/>
        <w:bidi w:val="0"/>
        <w:spacing w:before="0" w:after="240"/>
        <w:ind w:left="0" w:right="0" w:firstLine="720"/>
        <w:jc w:val="both"/>
        <w:rPr/>
      </w:pPr>
      <w:r>
        <w:rPr/>
        <w:t>“</w:t>
      </w:r>
      <w:r>
        <w:rPr>
          <w:rFonts w:ascii="Times" w:hAnsi="Times"/>
          <w:i/>
          <w:sz w:val="24"/>
        </w:rPr>
        <w:t>Incremental Term Lender</w:t>
      </w:r>
      <w:r>
        <w:rPr>
          <w:rFonts w:ascii="Times New Roman;Times;serif" w:hAnsi="Times New Roman;Times;serif"/>
          <w:sz w:val="24"/>
        </w:rPr>
        <w:t xml:space="preserve">” </w:t>
      </w:r>
      <w:r>
        <w:rPr>
          <w:rFonts w:ascii="Times" w:hAnsi="Times"/>
          <w:sz w:val="24"/>
        </w:rPr>
        <w:t>means, at any time, any Lender that has an Incremental Term Loan Commitment or holds Incremental Term Loans at such time.</w:t>
      </w:r>
    </w:p>
    <w:p>
      <w:pPr>
        <w:pStyle w:val="TextBody"/>
        <w:bidi w:val="0"/>
        <w:spacing w:before="0" w:after="240"/>
        <w:ind w:left="0" w:right="0" w:firstLine="720"/>
        <w:jc w:val="both"/>
        <w:rPr/>
      </w:pPr>
      <w:r>
        <w:rPr/>
        <w:t>“</w:t>
      </w:r>
      <w:r>
        <w:rPr>
          <w:rFonts w:ascii="Times" w:hAnsi="Times"/>
          <w:i/>
          <w:sz w:val="24"/>
        </w:rPr>
        <w:t>Incremental Term Loan</w:t>
      </w:r>
      <w:r>
        <w:rPr>
          <w:rFonts w:ascii="Times New Roman;Times;serif" w:hAnsi="Times New Roman;Times;serif"/>
          <w:sz w:val="24"/>
        </w:rPr>
        <w:t xml:space="preserve">” </w:t>
      </w:r>
      <w:r>
        <w:rPr>
          <w:rFonts w:ascii="Times" w:hAnsi="Times"/>
          <w:sz w:val="24"/>
        </w:rPr>
        <w:t>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Amendment</w:t>
      </w:r>
      <w:r>
        <w:rPr>
          <w:rFonts w:ascii="Times New Roman;Times;serif" w:hAnsi="Times New Roman;Times;serif"/>
          <w:sz w:val="24"/>
        </w:rPr>
        <w:t xml:space="preserve">” </w:t>
      </w:r>
      <w:r>
        <w:rPr>
          <w:rFonts w:ascii="Times" w:hAnsi="Times"/>
          <w:sz w:val="24"/>
        </w:rPr>
        <w:t>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Commitment</w:t>
      </w:r>
      <w:r>
        <w:rPr>
          <w:rFonts w:ascii="Times New Roman;Times;serif" w:hAnsi="Times New Roman;Times;serif"/>
          <w:sz w:val="24"/>
        </w:rPr>
        <w:t xml:space="preserve">” </w:t>
      </w:r>
      <w:r>
        <w:rPr>
          <w:rFonts w:ascii="Times" w:hAnsi="Times"/>
          <w:sz w:val="24"/>
        </w:rPr>
        <w:t>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Facility</w:t>
      </w:r>
      <w:r>
        <w:rPr>
          <w:rFonts w:ascii="Times New Roman;Times;serif" w:hAnsi="Times New Roman;Times;serif"/>
          <w:sz w:val="24"/>
        </w:rPr>
        <w:t xml:space="preserve">” </w:t>
      </w:r>
      <w:r>
        <w:rPr>
          <w:rFonts w:ascii="Times" w:hAnsi="Times"/>
          <w:sz w:val="24"/>
        </w:rPr>
        <w:t>has the meaning assigned to such term in Section 1.15.  Unless otherwise specified herein, each tranche of Incremental Term Loan Commitments or Incremental Term Loans shall constitute a separate Incremental Term Loan Facility.</w:t>
      </w:r>
    </w:p>
    <w:p>
      <w:pPr>
        <w:pStyle w:val="TextBody"/>
        <w:bidi w:val="0"/>
        <w:spacing w:before="0" w:after="240"/>
        <w:ind w:left="0" w:right="0" w:firstLine="720"/>
        <w:jc w:val="both"/>
        <w:rPr/>
      </w:pPr>
      <w:r>
        <w:rPr/>
        <w:t>“</w:t>
      </w:r>
      <w:r>
        <w:rPr>
          <w:rFonts w:ascii="Times" w:hAnsi="Times"/>
          <w:i/>
          <w:sz w:val="24"/>
        </w:rPr>
        <w:t>Indebtedness for Borrowed Money”</w:t>
      </w:r>
      <w:r>
        <w:rPr>
          <w:rFonts w:ascii="Times New Roman;Times;serif" w:hAnsi="Times New Roman;Times;serif"/>
          <w:sz w:val="24"/>
        </w:rPr>
        <w:t xml:space="preserve"> </w:t>
      </w:r>
      <w:r>
        <w:rPr>
          <w:rFonts w:ascii="Times" w:hAnsi="Times"/>
          <w:sz w:val="24"/>
        </w:rPr>
        <w:t xml:space="preserve">means for any Person (without duplication) (a) all 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w:t>
      </w:r>
      <w:bookmarkStart w:id="1472" w:name="_cp_change_11"/>
      <w:bookmarkEnd w:id="1472"/>
      <w:r>
        <w:rPr>
          <w:rFonts w:ascii="Times" w:hAnsi="Times"/>
          <w:color w:val="0000FF"/>
          <w:sz w:val="24"/>
          <w:u w:val="single"/>
        </w:rPr>
        <w:t xml:space="preserve">or other assets </w:t>
      </w:r>
      <w:r>
        <w:rPr>
          <w:rFonts w:ascii="Times" w:hAnsi="Times"/>
          <w:sz w:val="24"/>
        </w:rPr>
        <w:t>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pStyle w:val="TextBody"/>
        <w:bidi w:val="0"/>
        <w:spacing w:before="0" w:after="240"/>
        <w:ind w:left="0" w:right="0" w:firstLine="720"/>
        <w:jc w:val="both"/>
        <w:rPr/>
      </w:pPr>
      <w:r>
        <w:rPr/>
        <w:t>“</w:t>
      </w:r>
      <w:r>
        <w:rPr>
          <w:rFonts w:ascii="Times" w:hAnsi="Times"/>
          <w:i/>
          <w:sz w:val="24"/>
        </w:rPr>
        <w:t>Indemnified Taxes”</w:t>
      </w:r>
      <w:r>
        <w:rPr>
          <w:rFonts w:ascii="Times New Roman;Times;serif" w:hAnsi="Times New Roman;Times;serif"/>
          <w:sz w:val="24"/>
        </w:rPr>
        <w:t xml:space="preserve"> </w:t>
      </w:r>
      <w:r>
        <w:rPr>
          <w:rFonts w:ascii="Times" w:hAnsi="Times"/>
          <w:sz w:val="24"/>
        </w:rPr>
        <w:t>means (a) all Taxes other than Excluded Taxes and (b) to the extent not otherwise described in (a), Other Taxes.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1473" w:name="_cp_change_13"/>
      <w:bookmarkEnd w:id="1473"/>
      <w:r>
        <w:rPr>
          <w:color w:val="0000FF"/>
        </w:rPr>
        <w:t>“</w:t>
      </w:r>
      <w:r>
        <w:rPr>
          <w:rFonts w:ascii="Times" w:hAnsi="Times"/>
          <w:i/>
          <w:color w:val="0000FF"/>
          <w:sz w:val="24"/>
        </w:rPr>
        <w:t>Initial Unencumbeted Assets”</w:t>
      </w:r>
      <w:r>
        <w:rPr>
          <w:rFonts w:ascii="Times New Roman;Times;serif" w:hAnsi="Times New Roman;Times;serif"/>
          <w:color w:val="0000FF"/>
          <w:sz w:val="24"/>
          <w:u w:val="single"/>
        </w:rPr>
        <w:t xml:space="preserve"> </w:t>
      </w:r>
      <w:r>
        <w:rPr>
          <w:rFonts w:ascii="Times" w:hAnsi="Times"/>
          <w:color w:val="0000FF"/>
          <w:sz w:val="24"/>
          <w:u w:val="single"/>
        </w:rPr>
        <w:t xml:space="preserve">means collectively the Unencumbered Assets listed on Schedule 1.1 as of the First Amendment Effective Date and </w:t>
      </w:r>
      <w:r>
        <w:rPr>
          <w:rFonts w:ascii="Times New Roman;Times;serif" w:hAnsi="Times New Roman;Times;serif"/>
          <w:color w:val="0000FF"/>
          <w:sz w:val="24"/>
        </w:rPr>
        <w:t>“</w:t>
      </w:r>
      <w:r>
        <w:rPr>
          <w:rFonts w:ascii="Times" w:hAnsi="Times"/>
          <w:i/>
          <w:color w:val="0000FF"/>
          <w:sz w:val="24"/>
        </w:rPr>
        <w:t>Initial Unencumbered Asset”</w:t>
      </w:r>
      <w:r>
        <w:rPr>
          <w:rFonts w:ascii="Times New Roman;Times;serif" w:hAnsi="Times New Roman;Times;serif"/>
          <w:color w:val="0000FF"/>
          <w:sz w:val="24"/>
          <w:u w:val="single"/>
        </w:rPr>
        <w:t xml:space="preserve"> </w:t>
      </w:r>
      <w:r>
        <w:rPr>
          <w:rFonts w:ascii="Times" w:hAnsi="Times"/>
          <w:color w:val="0000FF"/>
          <w:sz w:val="24"/>
          <w:u w:val="single"/>
        </w:rPr>
        <w:t>means any of such Unencumbered Assets.</w:t>
      </w:r>
      <w:bookmarkStart w:id="1474" w:name="_cp_change_12"/>
      <w:bookmarkEnd w:id="1474"/>
    </w:p>
    <w:p>
      <w:pPr>
        <w:pStyle w:val="TextBody"/>
        <w:bidi w:val="0"/>
        <w:spacing w:before="0" w:after="240"/>
        <w:ind w:left="0" w:right="0" w:firstLine="720"/>
        <w:jc w:val="both"/>
        <w:rPr/>
      </w:pPr>
      <w:r>
        <w:rPr/>
        <w:t>“</w:t>
      </w:r>
      <w:r>
        <w:rPr>
          <w:rFonts w:ascii="Times" w:hAnsi="Times"/>
          <w:i/>
          <w:sz w:val="24"/>
        </w:rPr>
        <w:t>Initial Properties”</w:t>
      </w:r>
      <w:r>
        <w:rPr>
          <w:rFonts w:ascii="Times New Roman;Times;serif" w:hAnsi="Times New Roman;Times;serif"/>
          <w:sz w:val="24"/>
        </w:rPr>
        <w:t xml:space="preserve"> </w:t>
      </w:r>
      <w:r>
        <w:rPr>
          <w:rFonts w:ascii="Times" w:hAnsi="Times"/>
          <w:sz w:val="24"/>
        </w:rPr>
        <w:t xml:space="preserve">means collectively the Properties listed on Schedule 1.1 </w:t>
      </w:r>
      <w:bookmarkStart w:id="1475" w:name="_cp_change_14"/>
      <w:bookmarkEnd w:id="1475"/>
      <w:r>
        <w:rPr>
          <w:rFonts w:ascii="Times" w:hAnsi="Times"/>
          <w:color w:val="0000FF"/>
          <w:sz w:val="24"/>
          <w:u w:val="single"/>
        </w:rPr>
        <w:t xml:space="preserve">as of the Closing Date </w:t>
      </w:r>
      <w:r>
        <w:rPr>
          <w:rFonts w:ascii="Times" w:hAnsi="Times"/>
          <w:sz w:val="24"/>
        </w:rPr>
        <w:t xml:space="preserve">and </w:t>
      </w:r>
      <w:r>
        <w:rPr>
          <w:rFonts w:ascii="Times New Roman;Times;serif" w:hAnsi="Times New Roman;Times;serif"/>
          <w:sz w:val="24"/>
        </w:rPr>
        <w:t>“</w:t>
      </w:r>
      <w:r>
        <w:rPr>
          <w:rFonts w:ascii="Times" w:hAnsi="Times"/>
          <w:i/>
          <w:sz w:val="24"/>
        </w:rPr>
        <w:t>Initial Property”</w:t>
      </w:r>
      <w:r>
        <w:rPr>
          <w:rFonts w:ascii="Times New Roman;Times;serif" w:hAnsi="Times New Roman;Times;serif"/>
          <w:sz w:val="24"/>
        </w:rPr>
        <w:t xml:space="preserve"> </w:t>
      </w:r>
      <w:r>
        <w:rPr>
          <w:rFonts w:ascii="Times" w:hAnsi="Times"/>
          <w:sz w:val="24"/>
        </w:rPr>
        <w:t>means any of such Properties.</w:t>
      </w:r>
    </w:p>
    <w:p>
      <w:pPr>
        <w:pStyle w:val="TextBody"/>
        <w:bidi w:val="0"/>
        <w:spacing w:before="0" w:after="240"/>
        <w:ind w:left="0" w:right="0" w:firstLine="720"/>
        <w:jc w:val="both"/>
        <w:rPr/>
      </w:pPr>
      <w:r>
        <w:rPr/>
        <w:t>“</w:t>
      </w:r>
      <w:r>
        <w:rPr>
          <w:rFonts w:ascii="Times" w:hAnsi="Times"/>
          <w:i/>
          <w:sz w:val="24"/>
        </w:rPr>
        <w:t>Interest Expense”</w:t>
      </w:r>
      <w:r>
        <w:rPr>
          <w:rFonts w:ascii="Times New Roman;Times;serif" w:hAnsi="Times New Roman;Times;serif"/>
          <w:sz w:val="24"/>
        </w:rPr>
        <w:t xml:space="preserve"> </w:t>
      </w:r>
      <w:r>
        <w:rPr>
          <w:rFonts w:ascii="Times" w:hAnsi="Times"/>
          <w:sz w:val="24"/>
        </w:rPr>
        <w:t>means, with respect to a Person for any period of time, the interest expense 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 (ii) debt discounts (but only to the extent such discounts do not exceed 3.0% of the initial face principal amount of such debt).</w:t>
      </w:r>
    </w:p>
    <w:p>
      <w:pPr>
        <w:pStyle w:val="TextBody"/>
        <w:bidi w:val="0"/>
        <w:spacing w:before="0" w:after="240"/>
        <w:ind w:left="0" w:right="0" w:firstLine="720"/>
        <w:jc w:val="both"/>
        <w:rPr/>
      </w:pPr>
      <w:r>
        <w:rPr/>
        <w:t>“</w:t>
      </w:r>
      <w:r>
        <w:rPr>
          <w:rFonts w:ascii="Times" w:hAnsi="Times"/>
          <w:i/>
          <w:sz w:val="24"/>
        </w:rPr>
        <w:t>Interest Payment Date”</w:t>
      </w:r>
      <w:r>
        <w:rPr>
          <w:rFonts w:ascii="Times New Roman;Times;serif" w:hAnsi="Times New Roman;Times;serif"/>
          <w:sz w:val="24"/>
        </w:rPr>
        <w:t xml:space="preserve"> </w:t>
      </w:r>
      <w:r>
        <w:rPr>
          <w:rFonts w:ascii="Times" w:hAnsi="Times"/>
          <w:sz w:val="24"/>
        </w:rPr>
        <w:t>means (a) with respect to any Term SOFR Loan, the last day of each Interest Period with respect to such Term SOFR Loan and on the maturity date and, if the applicable Interest Period is longer than (1) one month, on each day occurring every three (3) months after the commencement of such Interest Period, (b) with respect to any Daily Simple SOFR Loan (including any Swing Loans), the first Business Day of each calendar month, (c) with respect to any Base Rate Loan, the first Business Day of every calendar month, and (d) with respect to any Term SOFR Loan, Daily Simple SOFR Loan (including any Swing Loans), or Base Rate Loan, the Revolving Credit Termination Date or Term Loan Maturity Date thereof, as applicable.</w:t>
      </w:r>
    </w:p>
    <w:p>
      <w:pPr>
        <w:pStyle w:val="TextBody"/>
        <w:bidi w:val="0"/>
        <w:spacing w:before="0" w:after="240"/>
        <w:ind w:left="0" w:right="0" w:firstLine="720"/>
        <w:jc w:val="both"/>
        <w:rPr/>
      </w:pPr>
      <w:r>
        <w:rPr/>
        <w:t>“</w:t>
      </w:r>
      <w:r>
        <w:rPr>
          <w:rFonts w:ascii="Times" w:hAnsi="Times"/>
          <w:i/>
          <w:sz w:val="24"/>
        </w:rPr>
        <w:t>Interest Period”</w:t>
      </w:r>
      <w:r>
        <w:rPr>
          <w:rFonts w:ascii="Times New Roman;Times;serif" w:hAnsi="Times New Roman;Times;serif"/>
          <w:sz w:val="24"/>
        </w:rPr>
        <w:t xml:space="preserve"> </w:t>
      </w:r>
      <w:r>
        <w:rPr>
          <w:rFonts w:ascii="Times" w:hAnsi="Times"/>
          <w:sz w:val="24"/>
        </w:rPr>
        <w:t xml:space="preserve">means the period commencing on the date a Borrowing of Term SOFR Loans is advanced, continued, or created by conversion and ending one (1), three (3), or six (6) months thereafter, </w:t>
      </w:r>
      <w:r>
        <w:rPr>
          <w:rFonts w:ascii="Times" w:hAnsi="Times"/>
          <w:i/>
          <w:sz w:val="24"/>
        </w:rPr>
        <w:t xml:space="preserve">provided, however, </w:t>
      </w:r>
      <w:r>
        <w:rPr>
          <w:rFonts w:ascii="Times" w:hAnsi="Times"/>
          <w:sz w:val="24"/>
        </w:rPr>
        <w:t>that:</w:t>
      </w:r>
    </w:p>
    <w:p>
      <w:pPr>
        <w:pStyle w:val="TextBody"/>
        <w:bidi w:val="0"/>
        <w:spacing w:before="0" w:after="240"/>
        <w:ind w:left="720" w:right="0" w:hanging="0"/>
        <w:jc w:val="both"/>
        <w:rPr/>
      </w:pPr>
      <w:r>
        <w:rPr/>
        <w:t>●</w:t>
      </w:r>
      <w:r>
        <w:rPr>
          <w:rFonts w:ascii="Times New Roman;Times;serif" w:hAnsi="Times New Roman;Times;serif"/>
          <w:sz w:val="24"/>
        </w:rPr>
        <w:t>no Interest Period shall extend beyond the Revolving Credit Termination Date or Term Loan Maturity Date, as applicable;</w:t>
      </w:r>
    </w:p>
    <w:p>
      <w:pPr>
        <w:pStyle w:val="TextBody"/>
        <w:bidi w:val="0"/>
        <w:spacing w:before="0" w:after="240"/>
        <w:ind w:left="720" w:right="0" w:hanging="0"/>
        <w:jc w:val="both"/>
        <w:rPr/>
      </w:pPr>
      <w:r>
        <w:rPr/>
        <w:t>●</w:t>
      </w:r>
      <w:r>
        <w:rPr>
          <w:rFonts w:ascii="Times New Roman;Times;serif" w:hAnsi="Times New Roman;Times;serif"/>
          <w:sz w:val="24"/>
        </w:rPr>
        <w:t xml:space="preserve">whenever the last day of any Interest Period would otherwise be a day that is not a Business Day, the last day of such Interest Period shall be extended to the next succeeding Business Day, </w:t>
      </w:r>
      <w:r>
        <w:rPr>
          <w:rFonts w:ascii="Times New Roman;Times;serif" w:hAnsi="Times New Roman;Times;serif"/>
          <w:i/>
          <w:sz w:val="24"/>
        </w:rPr>
        <w:t xml:space="preserve">provided </w:t>
      </w:r>
      <w:r>
        <w:rPr>
          <w:rFonts w:ascii="Times New Roman;Times;serif" w:hAnsi="Times New Roman;Times;serif"/>
          <w:sz w:val="24"/>
        </w:rPr>
        <w:t>that, if such extension would cause the last day of an Interest Period for a Borrowing of Term SOFR Loans to occur in the following calendar month, the last day of such Interest Period shall be the immediately preceding Business Day; and</w:t>
      </w:r>
    </w:p>
    <w:p>
      <w:pPr>
        <w:pStyle w:val="TextBody"/>
        <w:bidi w:val="0"/>
        <w:ind w:left="720" w:right="0" w:hanging="0"/>
        <w:jc w:val="both"/>
        <w:rPr/>
      </w:pPr>
      <w:r>
        <w:rPr/>
        <w:t>●</w:t>
      </w:r>
      <w:r>
        <w:rPr>
          <w:rFonts w:ascii="Times New Roman;Times;serif" w:hAnsi="Times New Roman;Times;serif"/>
          <w:sz w:val="24"/>
        </w:rPr>
        <w:t xml:space="preserve">for purposes of determining an Interest Period for a Borrowing of Term SOFR Loans, a month means a period starting on one day in a calendar month and ending on the numerically corresponding day in the next calendar month; </w:t>
      </w:r>
      <w:r>
        <w:rPr>
          <w:rFonts w:ascii="Times New Roman;Times;serif" w:hAnsi="Times New Roman;Times;serif"/>
          <w:i/>
          <w:sz w:val="24"/>
        </w:rPr>
        <w:t>provided, however,</w:t>
      </w:r>
      <w:r>
        <w:rPr>
          <w:rFonts w:ascii="Times New Roman;Times;serif" w:hAnsi="Times New Roman;Times;serif"/>
          <w:sz w:val="24"/>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pStyle w:val="TextBody"/>
        <w:bidi w:val="0"/>
        <w:spacing w:before="0" w:after="240"/>
        <w:ind w:left="0" w:right="0" w:firstLine="720"/>
        <w:jc w:val="both"/>
        <w:rPr/>
      </w:pPr>
      <w:r>
        <w:rPr/>
        <w:t>“</w:t>
      </w:r>
      <w:r>
        <w:rPr>
          <w:rFonts w:ascii="Times" w:hAnsi="Times"/>
          <w:i/>
          <w:sz w:val="24"/>
        </w:rPr>
        <w:t>KBCM</w:t>
      </w:r>
      <w:r>
        <w:rPr>
          <w:rFonts w:ascii="Times New Roman;Times;serif" w:hAnsi="Times New Roman;Times;serif"/>
          <w:sz w:val="24"/>
        </w:rPr>
        <w:t xml:space="preserve">” </w:t>
      </w:r>
      <w:r>
        <w:rPr>
          <w:rFonts w:ascii="Times" w:hAnsi="Times"/>
          <w:sz w:val="24"/>
        </w:rPr>
        <w:t>means, KeyBanc Capital Markets Inc. and its successors.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KeyBank</w:t>
      </w:r>
      <w:r>
        <w:rPr>
          <w:rFonts w:ascii="Times New Roman;Times;serif" w:hAnsi="Times New Roman;Times;serif"/>
          <w:sz w:val="24"/>
        </w:rPr>
        <w:t xml:space="preserve">” </w:t>
      </w:r>
      <w:r>
        <w:rPr>
          <w:rFonts w:ascii="Times" w:hAnsi="Times"/>
          <w:sz w:val="24"/>
        </w:rPr>
        <w:t>means, KeyBank National Association and its successors.</w:t>
      </w:r>
    </w:p>
    <w:p>
      <w:pPr>
        <w:pStyle w:val="TextBody"/>
        <w:bidi w:val="0"/>
        <w:spacing w:before="0" w:after="240"/>
        <w:ind w:left="0" w:right="0" w:firstLine="720"/>
        <w:jc w:val="both"/>
        <w:rPr/>
      </w:pPr>
      <w:bookmarkStart w:id="1476" w:name="_Hlk115352239"/>
      <w:bookmarkEnd w:id="1476"/>
      <w:r>
        <w:rPr/>
        <w:t>“</w:t>
      </w:r>
      <w:r>
        <w:rPr>
          <w:rFonts w:ascii="Times" w:hAnsi="Times"/>
          <w:i/>
          <w:sz w:val="24"/>
        </w:rPr>
        <w:t xml:space="preserve">Land Assets” </w:t>
      </w:r>
      <w:r>
        <w:rPr>
          <w:rFonts w:ascii="Times" w:hAnsi="Times"/>
          <w:sz w:val="24"/>
        </w:rPr>
        <w:t xml:space="preserve">means any </w:t>
      </w:r>
      <w:bookmarkStart w:id="1477" w:name="_cp_change_15"/>
      <w:bookmarkEnd w:id="1477"/>
      <w:r>
        <w:rPr>
          <w:rFonts w:ascii="Times" w:hAnsi="Times"/>
          <w:color w:val="FF0000"/>
          <w:sz w:val="24"/>
        </w:rPr>
        <w:t>real property</w:t>
      </w:r>
      <w:bookmarkStart w:id="1478" w:name="_cp_change_16"/>
      <w:bookmarkEnd w:id="1478"/>
      <w:r>
        <w:rPr>
          <w:rFonts w:ascii="Times" w:hAnsi="Times"/>
          <w:color w:val="0000FF"/>
          <w:sz w:val="24"/>
          <w:u w:val="single"/>
        </w:rPr>
        <w:t>Property</w:t>
      </w:r>
      <w:r>
        <w:rPr>
          <w:rFonts w:ascii="Times New Roman;Times;serif" w:hAnsi="Times New Roman;Times;serif"/>
          <w:sz w:val="24"/>
        </w:rPr>
        <w:t xml:space="preserve"> </w:t>
      </w:r>
      <w:r>
        <w:rPr>
          <w:rFonts w:ascii="Times" w:hAnsi="Times"/>
          <w:sz w:val="24"/>
        </w:rPr>
        <w:t>which is not an Asset Under Development and on which no significant improvements have been constructed;</w:t>
      </w:r>
      <w:r>
        <w:rPr>
          <w:rFonts w:ascii="Times New Roman;Times;serif" w:hAnsi="Times New Roman;Times;serif"/>
          <w:sz w:val="24"/>
        </w:rPr>
        <w:t xml:space="preserve"> </w:t>
      </w:r>
      <w:r>
        <w:rPr>
          <w:rFonts w:ascii="Times" w:hAnsi="Times"/>
          <w:i/>
          <w:sz w:val="24"/>
        </w:rPr>
        <w:t xml:space="preserve">provided, </w:t>
      </w:r>
      <w:r>
        <w:rPr>
          <w:rFonts w:ascii="Times" w:hAnsi="Times"/>
          <w:sz w:val="24"/>
        </w:rPr>
        <w:t xml:space="preserve">that </w:t>
      </w:r>
      <w:bookmarkStart w:id="1479" w:name="_cp_change_17"/>
      <w:bookmarkEnd w:id="1479"/>
      <w:r>
        <w:rPr>
          <w:rFonts w:ascii="Times" w:hAnsi="Times"/>
          <w:color w:val="FF0000"/>
          <w:sz w:val="24"/>
        </w:rPr>
        <w:t>real property</w:t>
      </w:r>
      <w:bookmarkStart w:id="1480" w:name="_cp_change_18"/>
      <w:bookmarkEnd w:id="1480"/>
      <w:r>
        <w:rPr>
          <w:rFonts w:ascii="Times" w:hAnsi="Times"/>
          <w:color w:val="0000FF"/>
          <w:sz w:val="24"/>
          <w:u w:val="single"/>
        </w:rPr>
        <w:t>Property</w:t>
      </w:r>
      <w:r>
        <w:rPr>
          <w:rFonts w:ascii="Times New Roman;Times;serif" w:hAnsi="Times New Roman;Times;serif"/>
          <w:sz w:val="24"/>
        </w:rPr>
        <w:t xml:space="preserve"> </w:t>
      </w:r>
      <w:r>
        <w:rPr>
          <w:rFonts w:ascii="Times" w:hAnsi="Times"/>
          <w:sz w:val="24"/>
        </w:rPr>
        <w:t xml:space="preserve">that is owned in fee by the Borrower or a Subsidiary thereof and is subject to a Ground Lease with Borrower or such Subsidiary as lessor, or that is adjacent to an Eligible Property but is undeveloped, shall not constitute </w:t>
      </w:r>
      <w:r>
        <w:rPr>
          <w:rFonts w:ascii="Times New Roman;Times;serif" w:hAnsi="Times New Roman;Times;serif"/>
          <w:sz w:val="24"/>
        </w:rPr>
        <w:t>“</w:t>
      </w:r>
      <w:r>
        <w:rPr>
          <w:rFonts w:ascii="Times" w:hAnsi="Times"/>
          <w:i/>
          <w:sz w:val="24"/>
        </w:rPr>
        <w:t>Land Assets”.</w:t>
      </w:r>
    </w:p>
    <w:p>
      <w:pPr>
        <w:pStyle w:val="TextBody"/>
        <w:bidi w:val="0"/>
        <w:spacing w:before="0" w:after="240"/>
        <w:ind w:left="0" w:right="0" w:firstLine="720"/>
        <w:jc w:val="both"/>
        <w:rPr/>
      </w:pPr>
      <w:r>
        <w:rPr/>
        <w:t>“</w:t>
      </w:r>
      <w:r>
        <w:rPr>
          <w:rFonts w:ascii="Times" w:hAnsi="Times"/>
          <w:i/>
          <w:sz w:val="24"/>
        </w:rPr>
        <w:t>L/C Issuer”</w:t>
      </w:r>
      <w:r>
        <w:rPr>
          <w:rFonts w:ascii="Times New Roman;Times;serif" w:hAnsi="Times New Roman;Times;serif"/>
          <w:sz w:val="24"/>
        </w:rPr>
        <w:t xml:space="preserve"> </w:t>
      </w:r>
      <w:r>
        <w:rPr>
          <w:rFonts w:ascii="Times" w:hAnsi="Times"/>
          <w:sz w:val="24"/>
        </w:rPr>
        <w:t>means KeyBank, in its capacity as the issuer of Letters of Credit hereunder, and its successors in such capacity as provided in Section 1.3(h) hereof.</w:t>
      </w:r>
    </w:p>
    <w:p>
      <w:pPr>
        <w:pStyle w:val="TextBody"/>
        <w:bidi w:val="0"/>
        <w:spacing w:before="0" w:after="240"/>
        <w:ind w:left="0" w:right="0" w:firstLine="720"/>
        <w:jc w:val="both"/>
        <w:rPr/>
      </w:pPr>
      <w:r>
        <w:rPr/>
        <w:t>“</w:t>
      </w:r>
      <w:r>
        <w:rPr>
          <w:rFonts w:ascii="Times" w:hAnsi="Times"/>
          <w:i/>
          <w:sz w:val="24"/>
        </w:rPr>
        <w:t>L/C Obligations”</w:t>
      </w:r>
      <w:r>
        <w:rPr>
          <w:rFonts w:ascii="Times New Roman;Times;serif" w:hAnsi="Times New Roman;Times;serif"/>
          <w:sz w:val="24"/>
        </w:rPr>
        <w:t xml:space="preserve"> </w:t>
      </w:r>
      <w:r>
        <w:rPr>
          <w:rFonts w:ascii="Times" w:hAnsi="Times"/>
          <w:sz w:val="24"/>
        </w:rPr>
        <w:t>means the aggregate undrawn face amounts of all outstanding Letters of Credit and all unpaid Reimbursement Obligations.</w:t>
      </w:r>
    </w:p>
    <w:p>
      <w:pPr>
        <w:pStyle w:val="TextBody"/>
        <w:bidi w:val="0"/>
        <w:spacing w:before="0" w:after="240"/>
        <w:ind w:left="0" w:right="0" w:firstLine="720"/>
        <w:jc w:val="both"/>
        <w:rPr/>
      </w:pPr>
      <w:r>
        <w:rPr/>
        <w:t>“</w:t>
      </w:r>
      <w:r>
        <w:rPr>
          <w:rFonts w:ascii="Times" w:hAnsi="Times"/>
          <w:i/>
          <w:sz w:val="24"/>
        </w:rPr>
        <w:t>L/C Sublimit”</w:t>
      </w:r>
      <w:r>
        <w:rPr>
          <w:rFonts w:ascii="Times New Roman;Times;serif" w:hAnsi="Times New Roman;Times;serif"/>
          <w:sz w:val="24"/>
        </w:rPr>
        <w:t xml:space="preserve"> </w:t>
      </w:r>
      <w:r>
        <w:rPr>
          <w:rFonts w:ascii="Times" w:hAnsi="Times"/>
          <w:sz w:val="24"/>
        </w:rPr>
        <w:t>means $20,000,000, as such amount may be reduced pursuant to the terms hereof.  </w:t>
      </w:r>
    </w:p>
    <w:p>
      <w:pPr>
        <w:pStyle w:val="TextBody"/>
        <w:bidi w:val="0"/>
        <w:spacing w:before="0" w:after="240"/>
        <w:ind w:left="0" w:right="0" w:firstLine="720"/>
        <w:jc w:val="both"/>
        <w:rPr/>
      </w:pPr>
      <w:r>
        <w:rPr/>
        <w:t>“</w:t>
      </w:r>
      <w:r>
        <w:rPr>
          <w:rFonts w:ascii="Times" w:hAnsi="Times"/>
          <w:i/>
          <w:sz w:val="24"/>
        </w:rPr>
        <w:t>Lease”</w:t>
      </w:r>
      <w:r>
        <w:rPr>
          <w:rFonts w:ascii="Times New Roman;Times;serif" w:hAnsi="Times New Roman;Times;serif"/>
          <w:sz w:val="24"/>
        </w:rPr>
        <w:t xml:space="preserve"> </w:t>
      </w:r>
      <w:r>
        <w:rPr>
          <w:rFonts w:ascii="Times" w:hAnsi="Times"/>
          <w:sz w:val="24"/>
        </w:rPr>
        <w:t>means each existing or future lease, sublease, license, or other agreement under the terms of which any Person has or acquires any right to occupy or use any Property of the Borrower or any Subsidiary, or any part thereof, or interest therein, as the same may be amended, supplemented or modified.</w:t>
      </w:r>
    </w:p>
    <w:p>
      <w:pPr>
        <w:pStyle w:val="TextBody"/>
        <w:bidi w:val="0"/>
        <w:spacing w:before="0" w:after="240"/>
        <w:ind w:left="0" w:right="0" w:firstLine="720"/>
        <w:jc w:val="both"/>
        <w:rPr/>
      </w:pPr>
      <w:r>
        <w:rPr/>
        <w:t>“</w:t>
      </w:r>
      <w:r>
        <w:rPr>
          <w:rFonts w:ascii="Times" w:hAnsi="Times"/>
          <w:i/>
          <w:sz w:val="24"/>
        </w:rPr>
        <w:t>Legal Requirement”</w:t>
      </w:r>
      <w:r>
        <w:rPr>
          <w:rFonts w:ascii="Times New Roman;Times;serif" w:hAnsi="Times New Roman;Times;serif"/>
          <w:sz w:val="24"/>
        </w:rPr>
        <w:t xml:space="preserve"> </w:t>
      </w:r>
      <w:r>
        <w:rPr>
          <w:rFonts w:ascii="Times" w:hAnsi="Times"/>
          <w:sz w:val="24"/>
        </w:rPr>
        <w:t>means any treaty, convention, statute, law, regulation, ordinance, license, permit, governmental approval, injunction, judgment, order, consent decree or other requirement of any governmental authority, whether federal, state, or local.</w:t>
      </w:r>
    </w:p>
    <w:p>
      <w:pPr>
        <w:pStyle w:val="TextBody"/>
        <w:bidi w:val="0"/>
        <w:spacing w:before="0" w:after="240"/>
        <w:ind w:left="0" w:right="0" w:firstLine="720"/>
        <w:jc w:val="both"/>
        <w:rPr/>
      </w:pPr>
      <w:r>
        <w:rPr/>
        <w:t>“</w:t>
      </w:r>
      <w:r>
        <w:rPr>
          <w:rFonts w:ascii="Times" w:hAnsi="Times"/>
          <w:i/>
          <w:sz w:val="24"/>
        </w:rPr>
        <w:t>Lenders”</w:t>
      </w:r>
      <w:r>
        <w:rPr>
          <w:rFonts w:ascii="Times New Roman;Times;serif" w:hAnsi="Times New Roman;Times;serif"/>
          <w:sz w:val="24"/>
        </w:rPr>
        <w:t xml:space="preserve"> </w:t>
      </w:r>
      <w:r>
        <w:rPr>
          <w:rFonts w:ascii="Times" w:hAnsi="Times"/>
          <w:sz w:val="24"/>
        </w:rPr>
        <w:t>means and includes KeyBank and the other financial institutions from time to time party to this Agreement, including each assignee Lender pursuant to Section 12.12 hereof and each Incremental Term Lender.</w:t>
      </w:r>
    </w:p>
    <w:p>
      <w:pPr>
        <w:pStyle w:val="TextBody"/>
        <w:bidi w:val="0"/>
        <w:spacing w:before="0" w:after="240"/>
        <w:ind w:left="0" w:right="0" w:firstLine="720"/>
        <w:jc w:val="both"/>
        <w:rPr/>
      </w:pPr>
      <w:r>
        <w:rPr/>
        <w:t>“</w:t>
      </w:r>
      <w:r>
        <w:rPr>
          <w:rFonts w:ascii="Times" w:hAnsi="Times"/>
          <w:i/>
          <w:sz w:val="24"/>
        </w:rPr>
        <w:t>Lending Office”</w:t>
      </w:r>
      <w:r>
        <w:rPr>
          <w:rFonts w:ascii="Times New Roman;Times;serif" w:hAnsi="Times New Roman;Times;serif"/>
          <w:sz w:val="24"/>
        </w:rPr>
        <w:t xml:space="preserve"> </w:t>
      </w:r>
      <w:r>
        <w:rPr>
          <w:rFonts w:ascii="Times" w:hAnsi="Times"/>
          <w:sz w:val="24"/>
        </w:rPr>
        <w:t>is defined in Section 10.4 hereof.</w:t>
      </w:r>
    </w:p>
    <w:p>
      <w:pPr>
        <w:pStyle w:val="TextBody"/>
        <w:bidi w:val="0"/>
        <w:spacing w:before="0" w:after="240"/>
        <w:ind w:left="0" w:right="0" w:firstLine="720"/>
        <w:jc w:val="both"/>
        <w:rPr/>
      </w:pPr>
      <w:r>
        <w:rPr/>
        <w:t>“</w:t>
      </w:r>
      <w:r>
        <w:rPr>
          <w:rFonts w:ascii="Times" w:hAnsi="Times"/>
          <w:i/>
          <w:sz w:val="24"/>
        </w:rPr>
        <w:t>Letter of Credit”</w:t>
      </w:r>
      <w:r>
        <w:rPr>
          <w:rFonts w:ascii="Times New Roman;Times;serif" w:hAnsi="Times New Roman;Times;serif"/>
          <w:sz w:val="24"/>
        </w:rPr>
        <w:t xml:space="preserve"> </w:t>
      </w:r>
      <w:r>
        <w:rPr>
          <w:rFonts w:ascii="Times" w:hAnsi="Times"/>
          <w:sz w:val="24"/>
        </w:rPr>
        <w:t>is defined in Section 1.3(a) hereof.</w:t>
      </w:r>
    </w:p>
    <w:p>
      <w:pPr>
        <w:pStyle w:val="TextBody"/>
        <w:bidi w:val="0"/>
        <w:spacing w:before="0" w:after="240"/>
        <w:ind w:left="0" w:right="0" w:firstLine="720"/>
        <w:jc w:val="both"/>
        <w:rPr/>
      </w:pPr>
      <w:r>
        <w:rPr/>
        <w:t>“</w:t>
      </w:r>
      <w:r>
        <w:rPr>
          <w:rFonts w:ascii="Times" w:hAnsi="Times"/>
          <w:i/>
          <w:sz w:val="24"/>
        </w:rPr>
        <w:t xml:space="preserve">Lien” </w:t>
      </w:r>
      <w:r>
        <w:rPr>
          <w:rFonts w:ascii="Times" w:hAnsi="Times"/>
          <w:sz w:val="24"/>
        </w:rPr>
        <w:t>means any mortgage, lien, security interest, pledge, charge or encumbrance of any kind in respect of any Property</w:t>
      </w:r>
      <w:bookmarkStart w:id="1481" w:name="_cp_change_19"/>
      <w:bookmarkEnd w:id="1481"/>
      <w:r>
        <w:rPr>
          <w:rFonts w:ascii="Times New Roman;Times;serif" w:hAnsi="Times New Roman;Times;serif"/>
          <w:color w:val="0000FF"/>
          <w:sz w:val="24"/>
          <w:u w:val="single"/>
        </w:rPr>
        <w:t xml:space="preserve"> </w:t>
      </w:r>
      <w:r>
        <w:rPr>
          <w:rFonts w:ascii="Times" w:hAnsi="Times"/>
          <w:color w:val="0000FF"/>
          <w:sz w:val="24"/>
          <w:u w:val="single"/>
        </w:rPr>
        <w:t>or other assets</w:t>
      </w:r>
      <w:r>
        <w:rPr>
          <w:rFonts w:ascii="Times" w:hAnsi="Times"/>
          <w:sz w:val="24"/>
        </w:rPr>
        <w:t>, including the interests of a vendor or lessor under any conditional sale, Capital Lease or other title retention arrangement.</w:t>
      </w:r>
    </w:p>
    <w:p>
      <w:pPr>
        <w:pStyle w:val="TextBody"/>
        <w:bidi w:val="0"/>
        <w:spacing w:before="0" w:after="240"/>
        <w:ind w:left="0" w:right="0" w:firstLine="720"/>
        <w:jc w:val="both"/>
        <w:rPr/>
      </w:pPr>
      <w:r>
        <w:rPr/>
        <w:t>“</w:t>
      </w:r>
      <w:r>
        <w:rPr>
          <w:rFonts w:ascii="Times" w:hAnsi="Times"/>
          <w:i/>
          <w:sz w:val="24"/>
        </w:rPr>
        <w:t xml:space="preserve">Loan” </w:t>
      </w:r>
      <w:r>
        <w:rPr>
          <w:rFonts w:ascii="Times" w:hAnsi="Times"/>
          <w:sz w:val="24"/>
        </w:rPr>
        <w:t xml:space="preserve">means any Revolving Loan, Swing Loan, Term Loan or Incremental Term Loan whether outstanding as a Base Rate Loan, Daily Simple SOFR Loan, or Term SOFR Loan, each of which is a “type” of Loan hereunder. </w:t>
      </w:r>
    </w:p>
    <w:p>
      <w:pPr>
        <w:pStyle w:val="TextBody"/>
        <w:bidi w:val="0"/>
        <w:spacing w:before="0" w:after="240"/>
        <w:ind w:left="0" w:right="0" w:firstLine="720"/>
        <w:jc w:val="both"/>
        <w:rPr/>
      </w:pPr>
      <w:r>
        <w:rPr/>
        <w:t>“</w:t>
      </w:r>
      <w:r>
        <w:rPr>
          <w:rFonts w:ascii="Times" w:hAnsi="Times"/>
          <w:i/>
          <w:sz w:val="24"/>
        </w:rPr>
        <w:t>Loan Documents”</w:t>
      </w:r>
      <w:r>
        <w:rPr>
          <w:rFonts w:ascii="Times New Roman;Times;serif" w:hAnsi="Times New Roman;Times;serif"/>
          <w:sz w:val="24"/>
        </w:rPr>
        <w:t xml:space="preserve"> </w:t>
      </w:r>
      <w:r>
        <w:rPr>
          <w:rFonts w:ascii="Times" w:hAnsi="Times"/>
          <w:sz w:val="24"/>
        </w:rPr>
        <w:t>means this Agreement, the Notes (if any), the Applications, the Guaranties, each Incremental Term Loan Amendment, and each 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Loan Party</w:t>
      </w:r>
      <w:r>
        <w:rPr>
          <w:rFonts w:ascii="Times New Roman;Times;serif" w:hAnsi="Times New Roman;Times;serif"/>
          <w:sz w:val="24"/>
        </w:rPr>
        <w:t xml:space="preserve">” </w:t>
      </w:r>
      <w:r>
        <w:rPr>
          <w:rFonts w:ascii="Times" w:hAnsi="Times"/>
          <w:sz w:val="24"/>
        </w:rPr>
        <w:t>means the Borrower, the Parent and each other Guarantor.</w:t>
      </w:r>
    </w:p>
    <w:p>
      <w:pPr>
        <w:pStyle w:val="TextBody"/>
        <w:bidi w:val="0"/>
        <w:spacing w:before="0" w:after="240"/>
        <w:ind w:left="0" w:right="0" w:firstLine="720"/>
        <w:jc w:val="both"/>
        <w:rPr/>
      </w:pPr>
      <w:r>
        <w:rPr/>
        <w:t>“</w:t>
      </w:r>
      <w:r>
        <w:rPr>
          <w:rFonts w:ascii="Times" w:hAnsi="Times"/>
          <w:i/>
          <w:sz w:val="24"/>
        </w:rPr>
        <w:t>Material Acquisition</w:t>
      </w:r>
      <w:r>
        <w:rPr>
          <w:rFonts w:ascii="Times New Roman;Times;serif" w:hAnsi="Times New Roman;Times;serif"/>
          <w:sz w:val="24"/>
        </w:rPr>
        <w:t>”  </w:t>
      </w:r>
      <w:r>
        <w:rPr>
          <w:rFonts w:ascii="Times" w:hAnsi="Times"/>
          <w:sz w:val="24"/>
        </w:rPr>
        <w:t>means any single transaction or series of related transactions for the purpose of, or resulting, directly or indirectly, in, the acquisition (including, without limitation, a merger or consolidation or any other combination with another Person) of a Person or assets by the Parent (directly or indirectly) that has a gross purchase price equal to or greater than ten percent (10.0%) of the then current Total Asset Value (without giving effect to such transactions).</w:t>
      </w:r>
    </w:p>
    <w:p>
      <w:pPr>
        <w:pStyle w:val="TextBody"/>
        <w:bidi w:val="0"/>
        <w:spacing w:before="0" w:after="240"/>
        <w:ind w:left="0" w:right="0" w:firstLine="720"/>
        <w:jc w:val="both"/>
        <w:rPr/>
      </w:pPr>
      <w:r>
        <w:rPr/>
        <w:t>“</w:t>
      </w:r>
      <w:r>
        <w:rPr>
          <w:rFonts w:ascii="Times" w:hAnsi="Times"/>
          <w:i/>
          <w:sz w:val="24"/>
        </w:rPr>
        <w:t>Material Adverse Effect”</w:t>
      </w:r>
      <w:r>
        <w:rPr>
          <w:rFonts w:ascii="Times New Roman;Times;serif" w:hAnsi="Times New Roman;Times;serif"/>
          <w:sz w:val="24"/>
        </w:rPr>
        <w:t xml:space="preserve"> </w:t>
      </w:r>
      <w:r>
        <w:rPr>
          <w:rFonts w:ascii="Times" w:hAnsi="Times"/>
          <w:sz w:val="24"/>
        </w:rPr>
        <w:t xml:space="preserve">means (a) a material adverse change in, or material adverse effect upon, the operations, business, Property, </w:t>
      </w:r>
      <w:r>
        <w:rPr>
          <w:rFonts w:ascii="Times" w:hAnsi="Times"/>
          <w:color w:val="0000FF"/>
          <w:sz w:val="24"/>
          <w:u w:val="single"/>
        </w:rPr>
        <w:t xml:space="preserve">assets, </w:t>
      </w:r>
      <w:r>
        <w:rPr>
          <w:rFonts w:ascii="Times" w:hAnsi="Times"/>
          <w:sz w:val="24"/>
        </w:rPr>
        <w:t>or financial condition of the Parent or of the Parent and its Subsidiaries taken as a whole, (b) a material impairment of the ability of the Borrower or any Guarantor to perform its obligations under any Loan Document or (c) a material adverse effect upon the legality, validity, binding effect or enforceability against the Borrower or any Guarantor of any Loan Document or the rights and remedies of the Administrative Agent and the Lenders thereunder.</w:t>
      </w:r>
    </w:p>
    <w:p>
      <w:pPr>
        <w:pStyle w:val="TextBody"/>
        <w:bidi w:val="0"/>
        <w:spacing w:before="0" w:after="240"/>
        <w:ind w:left="0" w:right="0" w:firstLine="720"/>
        <w:jc w:val="both"/>
        <w:rPr/>
      </w:pPr>
      <w:r>
        <w:rPr/>
        <w:t>“</w:t>
      </w:r>
      <w:r>
        <w:rPr>
          <w:rFonts w:ascii="Times" w:hAnsi="Times"/>
          <w:i/>
          <w:sz w:val="24"/>
        </w:rPr>
        <w:t>Material Subsidiary”</w:t>
      </w:r>
      <w:r>
        <w:rPr>
          <w:rFonts w:ascii="Times New Roman;Times;serif" w:hAnsi="Times New Roman;Times;serif"/>
          <w:sz w:val="24"/>
        </w:rPr>
        <w:t xml:space="preserve"> </w:t>
      </w:r>
      <w:r>
        <w:rPr>
          <w:rFonts w:ascii="Times" w:hAnsi="Times"/>
          <w:sz w:val="24"/>
        </w:rPr>
        <w:t xml:space="preserve">means, each Subsidiary that owns an Eligible </w:t>
      </w:r>
      <w:bookmarkStart w:id="1482" w:name="_cp_change_21"/>
      <w:bookmarkEnd w:id="1482"/>
      <w:r>
        <w:rPr>
          <w:rFonts w:ascii="Times" w:hAnsi="Times"/>
          <w:color w:val="FF0000"/>
          <w:sz w:val="24"/>
        </w:rPr>
        <w:t>Property</w:t>
      </w:r>
      <w:bookmarkStart w:id="1483" w:name="_cp_change_22"/>
      <w:bookmarkEnd w:id="1483"/>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included in the Unencumbered Asset Value.</w:t>
      </w:r>
    </w:p>
    <w:p>
      <w:pPr>
        <w:pStyle w:val="TextBody"/>
        <w:bidi w:val="0"/>
        <w:spacing w:before="0" w:after="240"/>
        <w:ind w:left="0" w:right="0" w:firstLine="720"/>
        <w:jc w:val="both"/>
        <w:rPr/>
      </w:pPr>
      <w:r>
        <w:rPr/>
        <w:t>“</w:t>
      </w:r>
      <w:r>
        <w:rPr>
          <w:rFonts w:ascii="Times" w:hAnsi="Times"/>
          <w:i/>
          <w:sz w:val="24"/>
        </w:rPr>
        <w:t>Moody’s”</w:t>
      </w:r>
      <w:r>
        <w:rPr>
          <w:rFonts w:ascii="Times New Roman;Times;serif" w:hAnsi="Times New Roman;Times;serif"/>
          <w:sz w:val="24"/>
        </w:rPr>
        <w:t xml:space="preserve"> </w:t>
      </w:r>
      <w:r>
        <w:rPr>
          <w:rFonts w:ascii="Times" w:hAnsi="Times"/>
          <w:sz w:val="24"/>
        </w:rPr>
        <w:t>means Moody’s Investors Service, Inc., or any successor thereof.</w:t>
      </w:r>
      <w:r>
        <w:rPr>
          <w:rFonts w:ascii="Times New Roman;Times;serif" w:hAnsi="Times New Roman;Times;serif"/>
          <w:sz w:val="24"/>
        </w:rPr>
        <w:t xml:space="preserve"> </w:t>
      </w:r>
    </w:p>
    <w:p>
      <w:pPr>
        <w:pStyle w:val="TextBody"/>
        <w:bidi w:val="0"/>
        <w:spacing w:before="0" w:after="240"/>
        <w:ind w:left="0" w:right="0" w:firstLine="720"/>
        <w:jc w:val="both"/>
        <w:rPr/>
      </w:pPr>
      <w:bookmarkStart w:id="1484" w:name="_cp_change_24"/>
      <w:bookmarkEnd w:id="1484"/>
      <w:r>
        <w:rPr>
          <w:color w:val="0000FF"/>
          <w:u w:val="single"/>
        </w:rPr>
        <w:t>“</w:t>
      </w:r>
      <w:r>
        <w:rPr>
          <w:rFonts w:ascii="Times" w:hAnsi="Times"/>
          <w:i/>
          <w:color w:val="0000FF"/>
          <w:sz w:val="24"/>
        </w:rPr>
        <w:t>Mortgage Receivable</w:t>
      </w:r>
      <w:r>
        <w:rPr>
          <w:rFonts w:ascii="Times New Roman;Times;serif" w:hAnsi="Times New Roman;Times;serif"/>
          <w:color w:val="0000FF"/>
          <w:sz w:val="24"/>
          <w:u w:val="single"/>
        </w:rPr>
        <w:t xml:space="preserve">” </w:t>
      </w:r>
      <w:r>
        <w:rPr>
          <w:rFonts w:ascii="Times" w:hAnsi="Times"/>
          <w:color w:val="0000FF"/>
          <w:sz w:val="24"/>
          <w:u w:val="single"/>
        </w:rPr>
        <w:t>means a note receivable representing indebtedness owed to the Borrower or one of the Parent’s Subsidiaries which is secured by a mortgage, deed of trust, deed to secure debt or other similar instrument granting a Lien (subject only to Permitted Liens) as security for the payment of such indebtedness on one or more Properties having a value in excess of the amount of such indebtedness.</w:t>
      </w:r>
      <w:bookmarkStart w:id="1485" w:name="_cp_change_23"/>
      <w:bookmarkEnd w:id="1485"/>
    </w:p>
    <w:p>
      <w:pPr>
        <w:pStyle w:val="TextBody"/>
        <w:bidi w:val="0"/>
        <w:spacing w:before="0" w:after="240"/>
        <w:ind w:left="0" w:right="0" w:firstLine="720"/>
        <w:jc w:val="both"/>
        <w:rPr/>
      </w:pPr>
      <w:r>
        <w:rPr/>
        <w:t>“</w:t>
      </w:r>
      <w:r>
        <w:rPr>
          <w:rFonts w:ascii="Times" w:hAnsi="Times"/>
          <w:i/>
          <w:sz w:val="24"/>
        </w:rPr>
        <w:t>MSA”</w:t>
      </w:r>
      <w:r>
        <w:rPr>
          <w:rFonts w:ascii="Times New Roman;Times;serif" w:hAnsi="Times New Roman;Times;serif"/>
          <w:sz w:val="24"/>
        </w:rPr>
        <w:t xml:space="preserve"> </w:t>
      </w:r>
      <w:r>
        <w:rPr>
          <w:rFonts w:ascii="Times" w:hAnsi="Times"/>
          <w:sz w:val="24"/>
        </w:rPr>
        <w:t>means any major metropolitan area of the United States of America that has a population size that is in the fifty (50) largest metropolitan areas of the United States of America.</w:t>
      </w:r>
    </w:p>
    <w:p>
      <w:pPr>
        <w:pStyle w:val="TextBody"/>
        <w:bidi w:val="0"/>
        <w:spacing w:before="0" w:after="240"/>
        <w:ind w:left="0" w:right="0" w:firstLine="720"/>
        <w:jc w:val="both"/>
        <w:rPr/>
      </w:pPr>
      <w:r>
        <w:rPr/>
        <w:t>“</w:t>
      </w:r>
      <w:r>
        <w:rPr>
          <w:rFonts w:ascii="Times" w:hAnsi="Times"/>
          <w:i/>
          <w:sz w:val="24"/>
        </w:rPr>
        <w:t>Non-Defaulting Lender</w:t>
      </w:r>
      <w:r>
        <w:rPr>
          <w:rFonts w:ascii="Times New Roman;Times;serif" w:hAnsi="Times New Roman;Times;serif"/>
          <w:sz w:val="24"/>
        </w:rPr>
        <w:t xml:space="preserve">” </w:t>
      </w:r>
      <w:r>
        <w:rPr>
          <w:rFonts w:ascii="Times" w:hAnsi="Times"/>
          <w:sz w:val="24"/>
        </w:rPr>
        <w:t>means a Lender that is not a Defaulting Lender.</w:t>
      </w:r>
    </w:p>
    <w:p>
      <w:pPr>
        <w:pStyle w:val="TextBody"/>
        <w:bidi w:val="0"/>
        <w:spacing w:before="0" w:after="240"/>
        <w:ind w:left="0" w:right="0" w:firstLine="720"/>
        <w:jc w:val="both"/>
        <w:rPr/>
      </w:pPr>
      <w:r>
        <w:rPr/>
        <w:t>“</w:t>
      </w:r>
      <w:r>
        <w:rPr>
          <w:rFonts w:ascii="Times" w:hAnsi="Times"/>
          <w:i/>
          <w:sz w:val="24"/>
        </w:rPr>
        <w:t>Note”</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Notes”</w:t>
      </w:r>
      <w:r>
        <w:rPr>
          <w:rFonts w:ascii="Times New Roman;Times;serif" w:hAnsi="Times New Roman;Times;serif"/>
          <w:sz w:val="24"/>
        </w:rPr>
        <w:t xml:space="preserve"> </w:t>
      </w:r>
      <w:r>
        <w:rPr>
          <w:rFonts w:ascii="Times" w:hAnsi="Times"/>
          <w:sz w:val="24"/>
        </w:rPr>
        <w:t>are defined in Section 1.10(d) hereof.</w:t>
      </w:r>
    </w:p>
    <w:p>
      <w:pPr>
        <w:pStyle w:val="TextBody"/>
        <w:bidi w:val="0"/>
        <w:spacing w:before="0" w:after="240"/>
        <w:ind w:left="0" w:right="0" w:firstLine="720"/>
        <w:jc w:val="both"/>
        <w:rPr/>
      </w:pPr>
      <w:r>
        <w:rPr/>
        <w:t>“</w:t>
      </w:r>
      <w:r>
        <w:rPr>
          <w:rFonts w:ascii="Times" w:hAnsi="Times"/>
          <w:i/>
          <w:sz w:val="24"/>
        </w:rPr>
        <w:t>Obligations”</w:t>
      </w:r>
      <w:r>
        <w:rPr>
          <w:rFonts w:ascii="Times New Roman;Times;serif" w:hAnsi="Times New Roman;Times;serif"/>
          <w:sz w:val="24"/>
        </w:rPr>
        <w:t xml:space="preserve"> </w:t>
      </w:r>
      <w:r>
        <w:rPr>
          <w:rFonts w:ascii="Times" w:hAnsi="Times"/>
          <w:sz w:val="24"/>
        </w:rPr>
        <w:t>means all obligations of the Borrower to pay principal and interest on the Loans, all Reimbursement Obligations owing under the Applications, 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pStyle w:val="TextBody"/>
        <w:bidi w:val="0"/>
        <w:spacing w:before="0" w:after="0"/>
        <w:ind w:left="0" w:right="0" w:firstLine="720"/>
        <w:jc w:val="both"/>
        <w:rPr/>
      </w:pPr>
      <w:r>
        <w:rPr/>
        <w:t>“</w:t>
      </w:r>
      <w:r>
        <w:rPr>
          <w:rFonts w:ascii="Times" w:hAnsi="Times"/>
          <w:i/>
          <w:sz w:val="24"/>
        </w:rPr>
        <w:t>Occupancy Rate”</w:t>
      </w:r>
      <w:r>
        <w:rPr>
          <w:rFonts w:ascii="Times New Roman;Times;serif" w:hAnsi="Times New Roman;Times;serif"/>
          <w:sz w:val="24"/>
        </w:rPr>
        <w:t xml:space="preserve"> </w:t>
      </w:r>
      <w:r>
        <w:rPr>
          <w:rFonts w:ascii="Times" w:hAnsi="Times"/>
          <w:sz w:val="24"/>
        </w:rPr>
        <w:t xml:space="preserve">means for any Property, the percentage of the rentable square footage of such Property occupied by bona fide Tenants of such Property or leased by such Tenants pursuant to bona fide Tenant Leases, in each case, which Tenants (a) are not more than 60 days in arrears or “materially past due” (in accordance with customary commercial practice) on base rental or other similar payments due under the Leases and (b) are not subject to a then continuing Bankruptcy Event, or if subject to a then continuing Bankruptcy Event (i) the trustee in bankruptcy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w:hAnsi="Times"/>
          <w:sz w:val="24"/>
        </w:rPr>
        <w:t xml:space="preserve">of such tenant shall have accepted and assumed such Lease or the Tenant shall be in compliance with the rental payments described above in </w:t>
      </w:r>
      <w:r>
        <w:rPr>
          <w:rFonts w:ascii="Times" w:hAnsi="Times"/>
          <w:i/>
          <w:sz w:val="24"/>
        </w:rPr>
        <w:t>clause (a)</w:t>
      </w:r>
      <w:r>
        <w:rPr>
          <w:rFonts w:ascii="Times" w:hAnsi="Times"/>
          <w:sz w:val="24"/>
        </w:rPr>
        <w:t>;</w:t>
      </w:r>
      <w:r>
        <w:rPr>
          <w:rFonts w:ascii="Times New Roman;Times;serif" w:hAnsi="Times New Roman;Times;serif"/>
          <w:sz w:val="24"/>
        </w:rPr>
        <w:t xml:space="preserve"> </w:t>
      </w:r>
      <w:r>
        <w:rPr>
          <w:rFonts w:ascii="Times" w:hAnsi="Times"/>
          <w:sz w:val="24"/>
        </w:rPr>
        <w:t>(ii)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pStyle w:val="TextBody"/>
        <w:bidi w:val="0"/>
        <w:spacing w:before="0" w:after="240"/>
        <w:ind w:left="0" w:right="0" w:firstLine="720"/>
        <w:jc w:val="both"/>
        <w:rPr/>
      </w:pPr>
      <w:r>
        <w:rPr/>
        <w:t>“</w:t>
      </w:r>
      <w:r>
        <w:rPr>
          <w:rFonts w:ascii="Times" w:hAnsi="Times"/>
          <w:i/>
          <w:sz w:val="24"/>
        </w:rPr>
        <w:t>OFAC</w:t>
      </w:r>
      <w:r>
        <w:rPr>
          <w:rFonts w:ascii="Times New Roman;Times;serif" w:hAnsi="Times New Roman;Times;serif"/>
          <w:sz w:val="24"/>
        </w:rPr>
        <w:t xml:space="preserve">” </w:t>
      </w:r>
      <w:r>
        <w:rPr>
          <w:rFonts w:ascii="Times" w:hAnsi="Times"/>
          <w:sz w:val="24"/>
        </w:rPr>
        <w:t>means the United States Department of Treasury Office of Foreign Assets Control.</w:t>
      </w:r>
    </w:p>
    <w:p>
      <w:pPr>
        <w:pStyle w:val="TextBody"/>
        <w:bidi w:val="0"/>
        <w:spacing w:before="0" w:after="240"/>
        <w:ind w:left="0" w:right="0" w:firstLine="720"/>
        <w:jc w:val="both"/>
        <w:rPr/>
      </w:pPr>
      <w:r>
        <w:rPr/>
        <w:t>“</w:t>
      </w:r>
      <w:r>
        <w:rPr>
          <w:rFonts w:ascii="Times" w:hAnsi="Times"/>
          <w:i/>
          <w:sz w:val="24"/>
        </w:rPr>
        <w:t>OFAC Event</w:t>
      </w:r>
      <w:r>
        <w:rPr>
          <w:rFonts w:ascii="Times New Roman;Times;serif" w:hAnsi="Times New Roman;Times;serif"/>
          <w:sz w:val="24"/>
        </w:rPr>
        <w:t xml:space="preserve">” </w:t>
      </w:r>
      <w:r>
        <w:rPr>
          <w:rFonts w:ascii="Times" w:hAnsi="Times"/>
          <w:sz w:val="24"/>
        </w:rPr>
        <w:t>means the event specified in Section 8.13(c) hereof.</w:t>
      </w:r>
    </w:p>
    <w:p>
      <w:pPr>
        <w:pStyle w:val="TextBody"/>
        <w:bidi w:val="0"/>
        <w:spacing w:before="0" w:after="240"/>
        <w:ind w:left="0" w:right="0" w:firstLine="720"/>
        <w:jc w:val="both"/>
        <w:rPr/>
      </w:pPr>
      <w:r>
        <w:rPr/>
        <w:t>“</w:t>
      </w:r>
      <w:r>
        <w:rPr>
          <w:rFonts w:ascii="Times" w:hAnsi="Times"/>
          <w:i/>
          <w:sz w:val="24"/>
        </w:rPr>
        <w:t>OFAC Sanctions Programs</w:t>
      </w:r>
      <w:r>
        <w:rPr>
          <w:rFonts w:ascii="Times New Roman;Times;serif" w:hAnsi="Times New Roman;Times;serif"/>
          <w:sz w:val="24"/>
        </w:rPr>
        <w:t xml:space="preserve">” </w:t>
      </w:r>
      <w:r>
        <w:rPr>
          <w:rFonts w:ascii="Times" w:hAnsi="Times"/>
          <w:sz w:val="24"/>
        </w:rPr>
        <w:t xml:space="preserve">means all laws, regulations, and Executive Orders administered by OFAC, including without limitation, the Bank Secrecy Act, anti-money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 </w:t>
      </w:r>
    </w:p>
    <w:p>
      <w:pPr>
        <w:pStyle w:val="TextBody"/>
        <w:bidi w:val="0"/>
        <w:spacing w:before="0" w:after="240"/>
        <w:ind w:left="0" w:right="0" w:firstLine="720"/>
        <w:jc w:val="both"/>
        <w:rPr/>
      </w:pPr>
      <w:r>
        <w:rPr/>
        <w:t>“</w:t>
      </w:r>
      <w:r>
        <w:rPr>
          <w:rFonts w:ascii="Times" w:hAnsi="Times"/>
          <w:i/>
          <w:sz w:val="24"/>
        </w:rPr>
        <w:t xml:space="preserve">Other Connection Taxes” </w:t>
      </w:r>
      <w:r>
        <w:rPr>
          <w:rFonts w:ascii="Times" w:hAnsi="Times"/>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both"/>
        <w:rPr/>
      </w:pPr>
      <w:r>
        <w:rPr/>
        <w:t>“</w:t>
      </w:r>
      <w:r>
        <w:rPr>
          <w:rFonts w:ascii="Times" w:hAnsi="Times"/>
          <w:i/>
          <w:sz w:val="24"/>
        </w:rPr>
        <w:t>Other Taxes</w:t>
      </w:r>
      <w:r>
        <w:rPr>
          <w:rFonts w:ascii="Times New Roman;Times;serif" w:hAnsi="Times New Roman;Times;serif"/>
          <w:sz w:val="24"/>
        </w:rPr>
        <w:t xml:space="preserve">” </w:t>
      </w:r>
      <w:r>
        <w:rPr>
          <w:rFonts w:ascii="Times" w:hAnsi="Times"/>
          <w:sz w:val="24"/>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w:t>
      </w:r>
      <w:r>
        <w:rPr>
          <w:rFonts w:ascii="Times New Roman;Times;serif" w:hAnsi="Times New Roman;Times;serif"/>
          <w:sz w:val="24"/>
        </w:rPr>
        <w:t xml:space="preserve"> </w:t>
      </w:r>
      <w:r>
        <w:rPr>
          <w:rFonts w:ascii="Times" w:hAnsi="Times"/>
          <w:sz w:val="24"/>
        </w:rPr>
        <w:t>pursuant to Section 1.13 hereof).</w:t>
      </w:r>
    </w:p>
    <w:p>
      <w:pPr>
        <w:pStyle w:val="TextBody"/>
        <w:bidi w:val="0"/>
        <w:spacing w:before="0" w:after="240"/>
        <w:ind w:left="0" w:right="0" w:firstLine="720"/>
        <w:jc w:val="both"/>
        <w:rPr/>
      </w:pPr>
      <w:r>
        <w:rPr/>
        <w:t>“</w:t>
      </w:r>
      <w:r>
        <w:rPr>
          <w:rFonts w:ascii="Times" w:hAnsi="Times"/>
          <w:i/>
          <w:sz w:val="24"/>
        </w:rPr>
        <w:t xml:space="preserve">Other Unsecured Indebtedness” </w:t>
      </w:r>
      <w:r>
        <w:rPr>
          <w:rFonts w:ascii="Times" w:hAnsi="Times"/>
          <w:sz w:val="24"/>
        </w:rPr>
        <w:t xml:space="preserve">means any Unsecured Indebtedness (not including the Obligations) that is </w:t>
      </w:r>
      <w:r>
        <w:rPr>
          <w:rFonts w:ascii="Times" w:hAnsi="Times"/>
          <w:i/>
          <w:sz w:val="24"/>
        </w:rPr>
        <w:t>pari passu</w:t>
      </w:r>
      <w:r>
        <w:rPr>
          <w:rFonts w:ascii="Times New Roman;Times;serif" w:hAnsi="Times New Roman;Times;serif"/>
          <w:sz w:val="24"/>
        </w:rPr>
        <w:t xml:space="preserve"> </w:t>
      </w:r>
      <w:r>
        <w:rPr>
          <w:rFonts w:ascii="Times" w:hAnsi="Times"/>
          <w:sz w:val="24"/>
        </w:rPr>
        <w:t>with or structurally senior to the Obligations and is recourse to the Borrower, including, without limitation, all Indebtedness under the Truist Term Loan Agreement.</w:t>
      </w:r>
    </w:p>
    <w:p>
      <w:pPr>
        <w:pStyle w:val="TextBody"/>
        <w:bidi w:val="0"/>
        <w:spacing w:before="0" w:after="240"/>
        <w:ind w:left="0" w:right="0" w:firstLine="720"/>
        <w:jc w:val="both"/>
        <w:rPr/>
      </w:pPr>
      <w:r>
        <w:rPr/>
        <w:t>“</w:t>
      </w:r>
      <w:r>
        <w:rPr>
          <w:rFonts w:ascii="Times" w:hAnsi="Times"/>
          <w:i/>
          <w:sz w:val="24"/>
        </w:rPr>
        <w:t>Parent”</w:t>
      </w:r>
      <w:r>
        <w:rPr>
          <w:rFonts w:ascii="Times New Roman;Times;serif" w:hAnsi="Times New Roman;Times;serif"/>
          <w:sz w:val="24"/>
        </w:rPr>
        <w:t xml:space="preserve"> </w:t>
      </w:r>
      <w:r>
        <w:rPr>
          <w:rFonts w:ascii="Times" w:hAnsi="Times"/>
          <w:sz w:val="24"/>
        </w:rPr>
        <w:t>is defined in the introductory paragraph of this Agreement.</w:t>
      </w:r>
    </w:p>
    <w:p>
      <w:pPr>
        <w:pStyle w:val="TextBody"/>
        <w:bidi w:val="0"/>
        <w:spacing w:before="0" w:after="240"/>
        <w:ind w:left="0" w:right="0" w:firstLine="720"/>
        <w:jc w:val="both"/>
        <w:rPr/>
      </w:pPr>
      <w:r>
        <w:rPr/>
        <w:t>“</w:t>
      </w:r>
      <w:r>
        <w:rPr>
          <w:rFonts w:ascii="Times" w:hAnsi="Times"/>
          <w:i/>
          <w:sz w:val="24"/>
        </w:rPr>
        <w:t>Participating Interest”</w:t>
      </w:r>
      <w:r>
        <w:rPr>
          <w:rFonts w:ascii="Times New Roman;Times;serif" w:hAnsi="Times New Roman;Times;serif"/>
          <w:sz w:val="24"/>
        </w:rPr>
        <w:t xml:space="preserve"> </w:t>
      </w:r>
      <w:r>
        <w:rPr>
          <w:rFonts w:ascii="Times" w:hAnsi="Times"/>
          <w:sz w:val="24"/>
        </w:rPr>
        <w:t>is defined in Section 1.3(e) hereof.</w:t>
      </w:r>
    </w:p>
    <w:p>
      <w:pPr>
        <w:pStyle w:val="TextBody"/>
        <w:bidi w:val="0"/>
        <w:spacing w:before="0" w:after="240"/>
        <w:ind w:left="0" w:right="0" w:firstLine="720"/>
        <w:jc w:val="both"/>
        <w:rPr/>
      </w:pPr>
      <w:r>
        <w:rPr/>
        <w:t>“</w:t>
      </w:r>
      <w:r>
        <w:rPr>
          <w:rFonts w:ascii="Times" w:hAnsi="Times"/>
          <w:i/>
          <w:sz w:val="24"/>
        </w:rPr>
        <w:t>Participating Lender”</w:t>
      </w:r>
      <w:r>
        <w:rPr>
          <w:rFonts w:ascii="Times New Roman;Times;serif" w:hAnsi="Times New Roman;Times;serif"/>
          <w:sz w:val="24"/>
        </w:rPr>
        <w:t xml:space="preserve"> </w:t>
      </w:r>
      <w:r>
        <w:rPr>
          <w:rFonts w:ascii="Times" w:hAnsi="Times"/>
          <w:sz w:val="24"/>
        </w:rPr>
        <w:t>is defined in Section 1.3(e) hereof.</w:t>
      </w:r>
    </w:p>
    <w:p>
      <w:pPr>
        <w:pStyle w:val="TextBody"/>
        <w:bidi w:val="0"/>
        <w:spacing w:lineRule="atLeast" w:line="280" w:before="0" w:after="0"/>
        <w:ind w:left="0" w:right="0" w:firstLine="720"/>
        <w:jc w:val="both"/>
        <w:rPr/>
      </w:pPr>
      <w:r>
        <w:rPr/>
        <w:t>“</w:t>
      </w:r>
      <w:r>
        <w:rPr>
          <w:rFonts w:ascii="Times New Roman;Times;serif" w:hAnsi="Times New Roman;Times;serif"/>
          <w:i/>
          <w:sz w:val="24"/>
        </w:rPr>
        <w:t>Patriot Act”</w:t>
      </w:r>
      <w:r>
        <w:rPr>
          <w:rFonts w:ascii="Times New Roman;Times;serif" w:hAnsi="Times New Roman;Times;serif"/>
          <w:sz w:val="24"/>
        </w:rPr>
        <w:t xml:space="preserve"> means the Uniting and Strengthening America by Providing Appropriate Tools Required to Intercept and Obstruct Terrorism Act of 2001, Pub. L. 107-56.</w:t>
      </w:r>
    </w:p>
    <w:p>
      <w:pPr>
        <w:pStyle w:val="TextBody"/>
        <w:bidi w:val="0"/>
        <w:spacing w:lineRule="atLeast" w:line="280" w:before="280" w:after="0"/>
        <w:ind w:left="0" w:right="0" w:firstLine="720"/>
        <w:jc w:val="both"/>
        <w:rPr/>
      </w:pPr>
      <w:r>
        <w:rPr/>
        <w:t>“</w:t>
      </w:r>
      <w:r>
        <w:rPr>
          <w:rFonts w:ascii="Times New Roman;Times;serif" w:hAnsi="Times New Roman;Times;serif"/>
          <w:i/>
          <w:sz w:val="24"/>
        </w:rPr>
        <w:t>Payment Recipient</w:t>
      </w:r>
      <w:r>
        <w:rPr>
          <w:rFonts w:ascii="Times New Roman;Times;serif" w:hAnsi="Times New Roman;Times;serif"/>
          <w:sz w:val="24"/>
        </w:rPr>
        <w:t>” has the meaning assigned to such term in Section 12.30(a).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80" w:before="0" w:after="0"/>
        <w:ind w:left="0" w:right="0" w:firstLine="720"/>
        <w:jc w:val="both"/>
        <w:rPr/>
      </w:pPr>
      <w:r>
        <w:rPr/>
        <w:t>“</w:t>
      </w:r>
      <w:r>
        <w:rPr>
          <w:rFonts w:ascii="Times New Roman;Times;serif" w:hAnsi="Times New Roman;Times;serif"/>
          <w:i/>
          <w:sz w:val="24"/>
        </w:rPr>
        <w:t>PBGC”</w:t>
      </w:r>
      <w:r>
        <w:rPr>
          <w:rFonts w:ascii="Times New Roman;Times;serif" w:hAnsi="Times New Roman;Times;serif"/>
          <w:sz w:val="24"/>
        </w:rPr>
        <w:t xml:space="preserve"> means the Pension Benefit Guaranty Corporation or any Person succeeding to any or all of its functions under ERISA.</w:t>
      </w:r>
    </w:p>
    <w:p>
      <w:pPr>
        <w:pStyle w:val="TextBody"/>
        <w:bidi w:val="0"/>
        <w:spacing w:lineRule="atLeast" w:line="280" w:before="280" w:after="240"/>
        <w:ind w:left="0" w:right="0" w:firstLine="720"/>
        <w:jc w:val="both"/>
        <w:rPr/>
      </w:pPr>
      <w:r>
        <w:rPr/>
        <w:t>“</w:t>
      </w:r>
      <w:r>
        <w:rPr>
          <w:rFonts w:ascii="Times New Roman;Times;serif" w:hAnsi="Times New Roman;Times;serif"/>
          <w:i/>
          <w:sz w:val="24"/>
        </w:rPr>
        <w:t>Permitted Liens”</w:t>
      </w:r>
      <w:r>
        <w:rPr>
          <w:rFonts w:ascii="Times New Roman;Times;serif" w:hAnsi="Times New Roman;Times;serif"/>
          <w:sz w:val="24"/>
        </w:rPr>
        <w:t xml:space="preserve"> means each of the following:  (a) Liens for taxes, assessments and governmental 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 (d) 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 (f) 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and the L/C Issuer;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Closing Date and set forth in Schedule 8.7; and (l) Liens on Properties </w:t>
      </w:r>
      <w:bookmarkStart w:id="1486" w:name="_cp_change_25"/>
      <w:bookmarkEnd w:id="1486"/>
      <w:r>
        <w:rPr>
          <w:rFonts w:ascii="Times New Roman;Times;serif" w:hAnsi="Times New Roman;Times;serif"/>
          <w:color w:val="0000FF"/>
          <w:sz w:val="24"/>
          <w:u w:val="single"/>
        </w:rPr>
        <w:t xml:space="preserve">and other assets </w:t>
      </w:r>
      <w:r>
        <w:rPr>
          <w:rFonts w:ascii="Times New Roman;Times;serif" w:hAnsi="Times New Roman;Times;serif"/>
          <w:sz w:val="24"/>
        </w:rPr>
        <w:t>that are not Unencumbered Assets.  For the avoidance of doubt, no Ground Lease with the Borrower or a Subsidiary thereof as lessor may be be made subordinate to any Liens or Indebtedness of any Person without the prior written consent of the Administrative Agent.</w:t>
      </w:r>
    </w:p>
    <w:p>
      <w:pPr>
        <w:pStyle w:val="TextBody"/>
        <w:bidi w:val="0"/>
        <w:spacing w:before="0" w:after="240"/>
        <w:ind w:left="0" w:right="0" w:firstLine="720"/>
        <w:jc w:val="both"/>
        <w:rPr/>
      </w:pPr>
      <w:r>
        <w:rPr/>
        <w:t>“</w:t>
      </w:r>
      <w:r>
        <w:rPr>
          <w:rFonts w:ascii="Times" w:hAnsi="Times"/>
          <w:i/>
          <w:sz w:val="24"/>
        </w:rPr>
        <w:t>Person”</w:t>
      </w:r>
      <w:r>
        <w:rPr>
          <w:rFonts w:ascii="Times New Roman;Times;serif" w:hAnsi="Times New Roman;Times;serif"/>
          <w:sz w:val="24"/>
        </w:rPr>
        <w:t xml:space="preserve"> </w:t>
      </w:r>
      <w:r>
        <w:rPr>
          <w:rFonts w:ascii="Times" w:hAnsi="Times"/>
          <w:sz w:val="24"/>
        </w:rPr>
        <w:t>means an individual, partnership, corporation, limited liability company, association, trust, unincorporated organization or any other entity or organization, including a government or agency or political subdivision thereof.</w:t>
      </w:r>
    </w:p>
    <w:p>
      <w:pPr>
        <w:pStyle w:val="TextBody"/>
        <w:bidi w:val="0"/>
        <w:spacing w:before="0" w:after="240"/>
        <w:ind w:left="0" w:right="0" w:firstLine="720"/>
        <w:jc w:val="both"/>
        <w:rPr/>
      </w:pPr>
      <w:r>
        <w:rPr/>
        <w:t>“</w:t>
      </w:r>
      <w:r>
        <w:rPr>
          <w:rFonts w:ascii="Times" w:hAnsi="Times"/>
          <w:i/>
          <w:sz w:val="24"/>
        </w:rPr>
        <w:t>Plan”</w:t>
      </w:r>
      <w:r>
        <w:rPr>
          <w:rFonts w:ascii="Times New Roman;Times;serif" w:hAnsi="Times New Roman;Times;serif"/>
          <w:sz w:val="24"/>
        </w:rPr>
        <w:t xml:space="preserve"> </w:t>
      </w:r>
      <w:r>
        <w:rPr>
          <w:rFonts w:ascii="Times" w:hAnsi="Times"/>
          <w:sz w:val="24"/>
        </w:rPr>
        <w:t>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pStyle w:val="TextBody"/>
        <w:bidi w:val="0"/>
        <w:spacing w:before="0" w:after="0"/>
        <w:ind w:left="0" w:right="0" w:firstLine="720"/>
        <w:jc w:val="both"/>
        <w:rPr/>
      </w:pPr>
      <w:r>
        <w:rPr/>
        <w:t>“</w:t>
      </w:r>
      <w:r>
        <w:rPr>
          <w:rFonts w:ascii="Times" w:hAnsi="Times"/>
          <w:i/>
          <w:sz w:val="24"/>
        </w:rPr>
        <w:t xml:space="preserve">Property” </w:t>
      </w:r>
      <w:r>
        <w:rPr>
          <w:rFonts w:ascii="Times" w:hAnsi="Times"/>
          <w:sz w:val="24"/>
        </w:rPr>
        <w:t>or</w:t>
      </w:r>
      <w:r>
        <w:rPr>
          <w:rFonts w:ascii="Times New Roman;Times;serif" w:hAnsi="Times New Roman;Times;serif"/>
          <w:sz w:val="24"/>
        </w:rPr>
        <w:t xml:space="preserve"> “</w:t>
      </w:r>
      <w:r>
        <w:rPr>
          <w:rFonts w:ascii="Times" w:hAnsi="Times"/>
          <w:i/>
          <w:sz w:val="24"/>
        </w:rPr>
        <w:t>Properties”</w:t>
      </w:r>
      <w:r>
        <w:rPr>
          <w:rFonts w:ascii="Times New Roman;Times;serif" w:hAnsi="Times New Roman;Times;serif"/>
          <w:sz w:val="24"/>
        </w:rPr>
        <w:t xml:space="preserve"> </w:t>
      </w:r>
      <w:r>
        <w:rPr>
          <w:rFonts w:ascii="Times" w:hAnsi="Times"/>
          <w:sz w:val="24"/>
        </w:rPr>
        <w:t xml:space="preserve">means, as to any Person, all </w:t>
      </w:r>
      <w:bookmarkStart w:id="1487" w:name="_cp_change_26"/>
      <w:bookmarkEnd w:id="1487"/>
      <w:r>
        <w:rPr>
          <w:rFonts w:ascii="Times" w:hAnsi="Times"/>
          <w:color w:val="FF0000"/>
          <w:sz w:val="24"/>
        </w:rPr>
        <w:t xml:space="preserve">types </w:t>
      </w:r>
      <w:r>
        <w:rPr>
          <w:rFonts w:ascii="Times" w:hAnsi="Times"/>
          <w:sz w:val="24"/>
        </w:rPr>
        <w:t xml:space="preserve">of </w:t>
      </w:r>
      <w:bookmarkStart w:id="1488" w:name="_cp_change_27"/>
      <w:bookmarkEnd w:id="1488"/>
      <w:r>
        <w:rPr>
          <w:rFonts w:ascii="Times" w:hAnsi="Times"/>
          <w:color w:val="0000FF"/>
          <w:sz w:val="24"/>
          <w:u w:val="single"/>
        </w:rPr>
        <w:t xml:space="preserve">of its </w:t>
      </w:r>
      <w:r>
        <w:rPr>
          <w:rFonts w:ascii="Times" w:hAnsi="Times"/>
          <w:sz w:val="24"/>
        </w:rPr>
        <w:t>real</w:t>
      </w:r>
      <w:bookmarkStart w:id="1489" w:name="_cp_change_28"/>
      <w:bookmarkEnd w:id="1489"/>
      <w:r>
        <w:rPr>
          <w:rFonts w:ascii="Times" w:hAnsi="Times"/>
          <w:color w:val="FF0000"/>
          <w:sz w:val="24"/>
        </w:rPr>
        <w:t xml:space="preserve">, personal, tangible, intangible or mixed </w:t>
      </w:r>
      <w:r>
        <w:rPr>
          <w:rFonts w:ascii="Times" w:hAnsi="Times"/>
          <w:sz w:val="24"/>
        </w:rPr>
        <w:t>property</w:t>
      </w:r>
      <w:bookmarkStart w:id="1490" w:name="_cp_change_29"/>
      <w:bookmarkEnd w:id="1490"/>
      <w:r>
        <w:rPr>
          <w:rFonts w:ascii="Times" w:hAnsi="Times"/>
          <w:color w:val="0000FF"/>
          <w:sz w:val="24"/>
          <w:u w:val="single"/>
        </w:rPr>
        <w:t>, land, improvements and fixtures</w:t>
      </w:r>
      <w:r>
        <w:rPr>
          <w:rFonts w:ascii="Times" w:hAnsi="Times"/>
          <w:sz w:val="24"/>
        </w:rPr>
        <w:t xml:space="preserve">, including property encumbered by Acceptable Leasehold Interests or Ground Leases, owned by such Person whether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or not included in the most recent balance sheet of such Person and its subsidiaries under GAAP, including any Eligible Property owned by the Borrower or any of its Subsidiaries.</w:t>
      </w:r>
    </w:p>
    <w:p>
      <w:pPr>
        <w:pStyle w:val="TextBody"/>
        <w:bidi w:val="0"/>
        <w:spacing w:before="0" w:after="240"/>
        <w:ind w:left="0" w:right="0" w:firstLine="720"/>
        <w:jc w:val="both"/>
        <w:rPr/>
      </w:pPr>
      <w:r>
        <w:rPr/>
        <w:t>“</w:t>
      </w:r>
      <w:r>
        <w:rPr>
          <w:rFonts w:ascii="Times" w:hAnsi="Times"/>
          <w:i/>
          <w:sz w:val="24"/>
        </w:rPr>
        <w:t>Property Expenses”</w:t>
      </w:r>
      <w:r>
        <w:rPr>
          <w:rFonts w:ascii="Times New Roman;Times;serif" w:hAnsi="Times New Roman;Times;serif"/>
          <w:sz w:val="24"/>
        </w:rPr>
        <w:t xml:space="preserve"> </w:t>
      </w:r>
      <w:r>
        <w:rPr>
          <w:rFonts w:ascii="Times" w:hAnsi="Times"/>
          <w:sz w:val="24"/>
        </w:rPr>
        <w:t>means the costs (including, but not limited to, payroll, taxes, assessments, insurance, utilities, landscaping and other similar charges) of operating and maintaining any Property, which are the responsibility of the Borrower or the applicable Guarantor that are not paid directly by the tenant, including without limitation, (1) rent payable under Ground Leases, (2) the Annual Capital Expenditure Reserve, and (3) the greater of (a) (i) 1% of rents for any retail net lease asset and (ii) 3% of rents for all other Properties and (b) actual management fees paid in cash, but excluding depreciation, amortization and interest costs.</w:t>
      </w:r>
    </w:p>
    <w:p>
      <w:pPr>
        <w:pStyle w:val="TextBody"/>
        <w:bidi w:val="0"/>
        <w:spacing w:before="0" w:after="240"/>
        <w:ind w:left="0" w:right="0" w:firstLine="720"/>
        <w:jc w:val="both"/>
        <w:rPr/>
      </w:pPr>
      <w:r>
        <w:rPr/>
        <w:t>“</w:t>
      </w:r>
      <w:r>
        <w:rPr>
          <w:rFonts w:ascii="Times" w:hAnsi="Times"/>
          <w:i/>
          <w:sz w:val="24"/>
        </w:rPr>
        <w:t>Property Income”</w:t>
      </w:r>
      <w:r>
        <w:rPr>
          <w:rFonts w:ascii="Times New Roman;Times;serif" w:hAnsi="Times New Roman;Times;serif"/>
          <w:sz w:val="24"/>
        </w:rPr>
        <w:t xml:space="preserve"> </w:t>
      </w:r>
      <w:r>
        <w:rPr>
          <w:rFonts w:ascii="Times" w:hAnsi="Times"/>
          <w:sz w:val="24"/>
        </w:rPr>
        <w:t>means cash rents (excluding non-cash straight-line rent) and other cash revenues received by the Borrower or a Guarantor in the ordinary course for any Property, but excluding security deposits and prepaid rent except to the extent applied in satisfaction of tenants’ obligations for rent.</w:t>
      </w:r>
    </w:p>
    <w:p>
      <w:pPr>
        <w:pStyle w:val="TextBody"/>
        <w:bidi w:val="0"/>
        <w:spacing w:before="0" w:after="240"/>
        <w:ind w:left="0" w:right="0" w:firstLine="720"/>
        <w:jc w:val="both"/>
        <w:rPr/>
      </w:pPr>
      <w:r>
        <w:rPr/>
        <w:t>“</w:t>
      </w:r>
      <w:r>
        <w:rPr>
          <w:rFonts w:ascii="Times" w:hAnsi="Times"/>
          <w:i/>
          <w:sz w:val="24"/>
        </w:rPr>
        <w:t>Property Net Operating Income”</w:t>
      </w:r>
      <w:r>
        <w:rPr>
          <w:rFonts w:ascii="Times New Roman;Times;serif" w:hAnsi="Times New Roman;Times;serif"/>
          <w:sz w:val="24"/>
        </w:rPr>
        <w:t xml:space="preserve"> </w:t>
      </w:r>
      <w:r>
        <w:rPr>
          <w:rFonts w:ascii="Times" w:hAnsi="Times"/>
          <w:sz w:val="24"/>
        </w:rPr>
        <w:t xml:space="preserve">or </w:t>
      </w:r>
      <w:r>
        <w:rPr>
          <w:rFonts w:ascii="Times New Roman;Times;serif" w:hAnsi="Times New Roman;Times;serif"/>
          <w:sz w:val="24"/>
        </w:rPr>
        <w:t>“</w:t>
      </w:r>
      <w:r>
        <w:rPr>
          <w:rFonts w:ascii="Times" w:hAnsi="Times"/>
          <w:i/>
          <w:sz w:val="24"/>
        </w:rPr>
        <w:t>Property NOI”</w:t>
      </w:r>
      <w:r>
        <w:rPr>
          <w:rFonts w:ascii="Times New Roman;Times;serif" w:hAnsi="Times New Roman;Times;serif"/>
          <w:sz w:val="24"/>
        </w:rPr>
        <w:t xml:space="preserve"> </w:t>
      </w:r>
      <w:r>
        <w:rPr>
          <w:rFonts w:ascii="Times" w:hAnsi="Times"/>
          <w:sz w:val="24"/>
        </w:rPr>
        <w:t xml:space="preserve">means, with respect to any Property for any Rolling Period (without duplication), the aggregate amount of (i) Property Income for such period </w:t>
      </w:r>
      <w:r>
        <w:rPr>
          <w:rFonts w:ascii="Times" w:hAnsi="Times"/>
          <w:i/>
          <w:sz w:val="24"/>
        </w:rPr>
        <w:t xml:space="preserve">minus </w:t>
      </w:r>
      <w:r>
        <w:rPr>
          <w:rFonts w:ascii="Times" w:hAnsi="Times"/>
          <w:sz w:val="24"/>
        </w:rPr>
        <w:t>(ii) Property Expenses for such period.  Pro forma adjustments shall be made for any Property acquired or sold during any period as if the acquisition or disposition occurred on the first day of the applicable period.</w:t>
      </w:r>
    </w:p>
    <w:p>
      <w:pPr>
        <w:pStyle w:val="TextBody"/>
        <w:bidi w:val="0"/>
        <w:spacing w:before="0" w:after="240"/>
        <w:ind w:left="0" w:right="0" w:firstLine="720"/>
        <w:jc w:val="both"/>
        <w:rPr/>
      </w:pPr>
      <w:r>
        <w:rPr/>
        <w:t>“</w:t>
      </w:r>
      <w:r>
        <w:rPr>
          <w:rFonts w:ascii="Times" w:hAnsi="Times"/>
          <w:i/>
          <w:sz w:val="24"/>
        </w:rPr>
        <w:t>Property Owner”</w:t>
      </w:r>
      <w:r>
        <w:rPr>
          <w:rFonts w:ascii="Times New Roman;Times;serif" w:hAnsi="Times New Roman;Times;serif"/>
          <w:sz w:val="24"/>
        </w:rPr>
        <w:t xml:space="preserve"> </w:t>
      </w:r>
      <w:r>
        <w:rPr>
          <w:rFonts w:ascii="Times" w:hAnsi="Times"/>
          <w:sz w:val="24"/>
        </w:rPr>
        <w:t>means the Person who owns fee title interest or leasehold interest pursuant to a Ground Lease in and to a Property.</w:t>
      </w:r>
    </w:p>
    <w:p>
      <w:pPr>
        <w:pStyle w:val="TextBody"/>
        <w:bidi w:val="0"/>
        <w:spacing w:before="0" w:after="240"/>
        <w:ind w:left="0" w:right="0" w:firstLine="720"/>
        <w:jc w:val="both"/>
        <w:rPr/>
      </w:pPr>
      <w:r>
        <w:rPr/>
        <w:t>“</w:t>
      </w:r>
      <w:r>
        <w:rPr>
          <w:rFonts w:ascii="Times" w:hAnsi="Times"/>
          <w:i/>
          <w:sz w:val="24"/>
        </w:rPr>
        <w:t>Public Investments</w:t>
      </w:r>
      <w:r>
        <w:rPr>
          <w:rFonts w:ascii="Times New Roman;Times;serif" w:hAnsi="Times New Roman;Times;serif"/>
          <w:sz w:val="24"/>
        </w:rPr>
        <w:t xml:space="preserve">” </w:t>
      </w:r>
      <w:r>
        <w:rPr>
          <w:rFonts w:ascii="Times" w:hAnsi="Times"/>
          <w:sz w:val="24"/>
        </w:rPr>
        <w:t>is defined in Section Section 8.8(i) hereof.</w:t>
      </w:r>
    </w:p>
    <w:p>
      <w:pPr>
        <w:pStyle w:val="TextBody"/>
        <w:bidi w:val="0"/>
        <w:spacing w:before="0" w:after="240"/>
        <w:ind w:left="0" w:right="0" w:firstLine="720"/>
        <w:jc w:val="both"/>
        <w:rPr/>
      </w:pPr>
      <w:r>
        <w:rPr/>
        <w:t>“</w:t>
      </w:r>
      <w:r>
        <w:rPr>
          <w:rFonts w:ascii="Times" w:hAnsi="Times"/>
          <w:i/>
          <w:sz w:val="24"/>
        </w:rPr>
        <w:t>Qualifying Counterparty” </w:t>
      </w:r>
      <w:r>
        <w:rPr>
          <w:rFonts w:ascii="Times" w:hAnsi="Times"/>
          <w:sz w:val="24"/>
        </w:rPr>
        <w:t>means, with respect to any Hedging Liability, any party that was a Lender or an Affiliate of a Lender under this Agreement</w:t>
      </w:r>
      <w:r>
        <w:rPr>
          <w:rFonts w:ascii="Times New Roman;Times;serif" w:hAnsi="Times New Roman;Times;serif"/>
          <w:sz w:val="24"/>
        </w:rPr>
        <w:t xml:space="preserve"> </w:t>
      </w:r>
      <w:r>
        <w:rPr>
          <w:rFonts w:ascii="Times" w:hAnsi="Times"/>
          <w:sz w:val="24"/>
        </w:rPr>
        <w:t>at the time the hedging arrangement giving rise to such Hedging Liability was entered into.</w:t>
      </w:r>
    </w:p>
    <w:p>
      <w:pPr>
        <w:pStyle w:val="TextBody"/>
        <w:bidi w:val="0"/>
        <w:spacing w:before="0" w:after="240"/>
        <w:ind w:left="0" w:right="0" w:firstLine="720"/>
        <w:jc w:val="both"/>
        <w:rPr/>
      </w:pPr>
      <w:r>
        <w:rPr/>
        <w:t>“</w:t>
      </w:r>
      <w:r>
        <w:rPr>
          <w:rFonts w:ascii="Times" w:hAnsi="Times"/>
          <w:i/>
          <w:sz w:val="24"/>
        </w:rPr>
        <w:t>Qualified ECP Guarantor</w:t>
      </w:r>
      <w:r>
        <w:rPr>
          <w:rFonts w:ascii="Times New Roman;Times;serif" w:hAnsi="Times New Roman;Times;serif"/>
          <w:sz w:val="24"/>
        </w:rPr>
        <w:t xml:space="preserve">” </w:t>
      </w:r>
      <w:r>
        <w:rPr>
          <w:rFonts w:ascii="Times" w:hAnsi="Times"/>
          <w:sz w:val="24"/>
        </w:rPr>
        <w:t>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240"/>
        <w:ind w:left="0" w:right="0" w:firstLine="720"/>
        <w:jc w:val="both"/>
        <w:rPr/>
      </w:pPr>
      <w:r>
        <w:rPr/>
        <w:t>“</w:t>
      </w:r>
      <w:r>
        <w:rPr>
          <w:rFonts w:ascii="Times" w:hAnsi="Times"/>
          <w:i/>
          <w:sz w:val="24"/>
        </w:rPr>
        <w:t>Rating”</w:t>
      </w:r>
      <w:r>
        <w:rPr>
          <w:rFonts w:ascii="Times New Roman;Times;serif" w:hAnsi="Times New Roman;Times;serif"/>
          <w:sz w:val="24"/>
        </w:rPr>
        <w:t xml:space="preserve"> </w:t>
      </w:r>
      <w:r>
        <w:rPr>
          <w:rFonts w:ascii="Times" w:hAnsi="Times"/>
          <w:sz w:val="24"/>
        </w:rPr>
        <w:t>means the debt rating provided by S&amp;P,  Moody’s or Fitch with respect to the unsecured senior long-term non-credit enhanced debt of a Person.</w:t>
      </w:r>
    </w:p>
    <w:p>
      <w:pPr>
        <w:pStyle w:val="TextBody"/>
        <w:bidi w:val="0"/>
        <w:spacing w:before="0" w:after="240"/>
        <w:ind w:left="0" w:right="0" w:firstLine="720"/>
        <w:jc w:val="both"/>
        <w:rPr/>
      </w:pPr>
      <w:r>
        <w:rPr/>
        <w:t>“</w:t>
      </w:r>
      <w:r>
        <w:rPr>
          <w:rFonts w:ascii="Times" w:hAnsi="Times"/>
          <w:i/>
          <w:sz w:val="24"/>
        </w:rPr>
        <w:t>RCRA”</w:t>
      </w:r>
      <w:r>
        <w:rPr>
          <w:rFonts w:ascii="Times New Roman;Times;serif" w:hAnsi="Times New Roman;Times;serif"/>
          <w:sz w:val="24"/>
        </w:rPr>
        <w:t xml:space="preserve"> </w:t>
      </w:r>
      <w:r>
        <w:rPr>
          <w:rFonts w:ascii="Times" w:hAnsi="Times"/>
          <w:sz w:val="24"/>
        </w:rPr>
        <w:t>means the Solid Waste Disposal Act, as amended by the Resource Conservation and Recovery Act of 1976 and Hazardous and Solid Waste Amendments of 1984, 42 U.S.C. </w:t>
      </w:r>
      <w:r>
        <w:rPr>
          <w:rFonts w:ascii="Times" w:hAnsi="Times"/>
          <w:b/>
          <w:sz w:val="24"/>
        </w:rPr>
        <w:t>§§</w:t>
      </w:r>
      <w:r>
        <w:rPr>
          <w:rFonts w:ascii="Times" w:hAnsi="Times"/>
          <w:sz w:val="24"/>
        </w:rPr>
        <w:t xml:space="preserve">6901 </w:t>
      </w:r>
      <w:r>
        <w:rPr>
          <w:rFonts w:ascii="Times" w:hAnsi="Times"/>
          <w:i/>
          <w:sz w:val="24"/>
        </w:rPr>
        <w:t>et seq.</w:t>
      </w:r>
      <w:r>
        <w:rPr>
          <w:rFonts w:ascii="Times" w:hAnsi="Times"/>
          <w:sz w:val="24"/>
        </w:rPr>
        <w:t>, and any future amendments.</w:t>
      </w:r>
    </w:p>
    <w:p>
      <w:pPr>
        <w:pStyle w:val="TextBody"/>
        <w:bidi w:val="0"/>
        <w:spacing w:before="0" w:after="240"/>
        <w:ind w:left="0" w:right="0" w:firstLine="720"/>
        <w:jc w:val="both"/>
        <w:rPr/>
      </w:pPr>
      <w:r>
        <w:rPr/>
        <w:t>“</w:t>
      </w:r>
      <w:r>
        <w:rPr>
          <w:rFonts w:ascii="Times" w:hAnsi="Times"/>
          <w:i/>
          <w:sz w:val="24"/>
        </w:rPr>
        <w:t>Recipient</w:t>
      </w:r>
      <w:r>
        <w:rPr>
          <w:rFonts w:ascii="Times New Roman;Times;serif" w:hAnsi="Times New Roman;Times;serif"/>
          <w:sz w:val="24"/>
        </w:rPr>
        <w:t xml:space="preserve">” </w:t>
      </w:r>
      <w:r>
        <w:rPr>
          <w:rFonts w:ascii="Times" w:hAnsi="Times"/>
          <w:sz w:val="24"/>
        </w:rPr>
        <w:t>means (a) the Administrative Agent, (b) the L/C Issuer, and (c) any Lender, as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Reimbursement Obligation”</w:t>
      </w:r>
      <w:r>
        <w:rPr>
          <w:rFonts w:ascii="Times New Roman;Times;serif" w:hAnsi="Times New Roman;Times;serif"/>
          <w:sz w:val="24"/>
        </w:rPr>
        <w:t xml:space="preserve"> </w:t>
      </w:r>
      <w:r>
        <w:rPr>
          <w:rFonts w:ascii="Times" w:hAnsi="Times"/>
          <w:sz w:val="24"/>
        </w:rPr>
        <w:t>is defined in Section 1.3(c) hereof.</w:t>
      </w:r>
    </w:p>
    <w:p>
      <w:pPr>
        <w:pStyle w:val="TextBody"/>
        <w:bidi w:val="0"/>
        <w:spacing w:before="0" w:after="240"/>
        <w:ind w:left="0" w:right="0" w:firstLine="720"/>
        <w:jc w:val="both"/>
        <w:rPr/>
      </w:pPr>
      <w:r>
        <w:rPr/>
        <w:t>“</w:t>
      </w:r>
      <w:r>
        <w:rPr>
          <w:rFonts w:ascii="Times" w:hAnsi="Times"/>
          <w:i/>
          <w:sz w:val="24"/>
        </w:rPr>
        <w:t>REIT”</w:t>
      </w:r>
      <w:r>
        <w:rPr>
          <w:rFonts w:ascii="Times New Roman;Times;serif" w:hAnsi="Times New Roman;Times;serif"/>
          <w:sz w:val="24"/>
        </w:rPr>
        <w:t xml:space="preserve"> </w:t>
      </w:r>
      <w:r>
        <w:rPr>
          <w:rFonts w:ascii="Times" w:hAnsi="Times"/>
          <w:sz w:val="24"/>
        </w:rPr>
        <w:t>means a “real estate investment trust” in accordance with Section 856 et. seq. of the Code.</w:t>
      </w:r>
    </w:p>
    <w:p>
      <w:pPr>
        <w:pStyle w:val="TextBody"/>
        <w:bidi w:val="0"/>
        <w:spacing w:before="0" w:after="240"/>
        <w:ind w:left="0" w:right="0" w:firstLine="720"/>
        <w:jc w:val="both"/>
        <w:rPr/>
      </w:pPr>
      <w:r>
        <w:rPr/>
        <w:t>“</w:t>
      </w:r>
      <w:r>
        <w:rPr>
          <w:rFonts w:ascii="Times" w:hAnsi="Times"/>
          <w:i/>
          <w:sz w:val="24"/>
        </w:rPr>
        <w:t xml:space="preserve">Related Parties” </w:t>
      </w:r>
      <w:r>
        <w:rPr>
          <w:rFonts w:ascii="Times" w:hAnsi="Times"/>
          <w:sz w:val="24"/>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240"/>
        <w:ind w:left="0" w:right="0" w:firstLine="720"/>
        <w:jc w:val="both"/>
        <w:rPr/>
      </w:pPr>
      <w:r>
        <w:rPr/>
        <w:t>“</w:t>
      </w:r>
      <w:r>
        <w:rPr>
          <w:rFonts w:ascii="Times" w:hAnsi="Times"/>
          <w:i/>
          <w:sz w:val="24"/>
        </w:rPr>
        <w:t>Release”</w:t>
      </w:r>
      <w:r>
        <w:rPr>
          <w:rFonts w:ascii="Times New Roman;Times;serif" w:hAnsi="Times New Roman;Times;serif"/>
          <w:sz w:val="24"/>
        </w:rPr>
        <w:t xml:space="preserve"> </w:t>
      </w:r>
      <w:r>
        <w:rPr>
          <w:rFonts w:ascii="Times" w:hAnsi="Times"/>
          <w:sz w:val="24"/>
        </w:rPr>
        <w:t>means any spilling, leaking, pumping, pouring, emitting, emptying, discharging, 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pStyle w:val="TextBody"/>
        <w:bidi w:val="0"/>
        <w:spacing w:before="0" w:after="240"/>
        <w:ind w:left="0" w:right="0" w:firstLine="720"/>
        <w:jc w:val="both"/>
        <w:rPr/>
      </w:pPr>
      <w:r>
        <w:rPr/>
        <w:t>“</w:t>
      </w:r>
      <w:r>
        <w:rPr>
          <w:rFonts w:ascii="Times" w:hAnsi="Times"/>
          <w:i/>
          <w:sz w:val="24"/>
        </w:rPr>
        <w:t>Relevant Governmental Body</w:t>
      </w:r>
      <w:r>
        <w:rPr>
          <w:rFonts w:ascii="Times New Roman;Times;serif" w:hAnsi="Times New Roman;Times;serif"/>
          <w:sz w:val="24"/>
        </w:rPr>
        <w:t xml:space="preserve">” </w:t>
      </w:r>
      <w:r>
        <w:rPr>
          <w:rFonts w:ascii="Times" w:hAnsi="Times"/>
          <w:sz w:val="24"/>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240"/>
        <w:ind w:left="0" w:right="0" w:firstLine="720"/>
        <w:jc w:val="both"/>
        <w:rPr/>
      </w:pPr>
      <w:r>
        <w:rPr/>
        <w:t>“</w:t>
      </w:r>
      <w:r>
        <w:rPr>
          <w:rFonts w:ascii="Times" w:hAnsi="Times"/>
          <w:i/>
          <w:sz w:val="24"/>
        </w:rPr>
        <w:t>Required Class Lenders”</w:t>
      </w:r>
      <w:r>
        <w:rPr>
          <w:rFonts w:ascii="Times New Roman;Times;serif" w:hAnsi="Times New Roman;Times;serif"/>
          <w:sz w:val="24"/>
        </w:rPr>
        <w:t xml:space="preserve"> </w:t>
      </w:r>
      <w:r>
        <w:rPr>
          <w:rFonts w:ascii="Times" w:hAnsi="Times"/>
          <w:sz w:val="24"/>
        </w:rPr>
        <w:t>means, with respect to any Class of Lenders as of the date of determination thereof, (a) with respect to the Revolving Lenders, (i) Lenders of such Class having more than 50% of the aggregate amount of the Revolving Credit Commitments of such Class or (ii) if the Revolving Credit Commitments of such Class have been terminated or reduced to zero, Lenders of such Class holding more than 50% of the principal amount of the aggregate outstanding Loans of such Class, L/C Obligations and Swing Loans, or (b) with respect to any Class of Term Loans, Lenders of such Class holding more than 50% of the principal amount of the aggregate outstanding Loans of such Class; provided that, at any time in which there are only two Lenders of such Class, Required Class Lenders means both of such Lenders. The outstanding Loans and interests in Letters of Credit of any Defaulting Lender of the applicable Class shall be disregarded in determining Required Class Lenders at any time.</w:t>
      </w:r>
    </w:p>
    <w:p>
      <w:pPr>
        <w:pStyle w:val="TextBody"/>
        <w:bidi w:val="0"/>
        <w:spacing w:before="0" w:after="240"/>
        <w:ind w:left="0" w:right="0" w:firstLine="720"/>
        <w:jc w:val="both"/>
        <w:rPr/>
      </w:pPr>
      <w:r>
        <w:rPr/>
        <w:t>“</w:t>
      </w:r>
      <w:r>
        <w:rPr>
          <w:rFonts w:ascii="Times" w:hAnsi="Times"/>
          <w:i/>
          <w:sz w:val="24"/>
        </w:rPr>
        <w:t>Required Lenders”</w:t>
      </w:r>
      <w:r>
        <w:rPr>
          <w:rFonts w:ascii="Times New Roman;Times;serif" w:hAnsi="Times New Roman;Times;serif"/>
          <w:sz w:val="24"/>
        </w:rPr>
        <w:t xml:space="preserve"> </w:t>
      </w:r>
      <w:r>
        <w:rPr>
          <w:rFonts w:ascii="Times" w:hAnsi="Times"/>
          <w:sz w:val="24"/>
        </w:rPr>
        <w:t>means, as of the date of determination thereof, (i) at any time in which there are only two Lenders, both Lenders and (ii) at any other time Lenders whose outstanding Loans constitute more than 50% of the sum of the Total Outstandings and Unused Revolving Credit Commitments of all Lenders. The outstanding Loans and interests in Letters of Credit of any Defaulting Lender shall be disregarded in determining Required Lenders at any time.</w:t>
      </w:r>
    </w:p>
    <w:p>
      <w:pPr>
        <w:pStyle w:val="TextBody"/>
        <w:bidi w:val="0"/>
        <w:spacing w:before="0" w:after="240"/>
        <w:ind w:left="0" w:right="0" w:firstLine="720"/>
        <w:jc w:val="both"/>
        <w:rPr/>
      </w:pPr>
      <w:r>
        <w:rPr/>
        <w:t>“</w:t>
      </w:r>
      <w:r>
        <w:rPr>
          <w:rFonts w:ascii="Times" w:hAnsi="Times"/>
          <w:i/>
          <w:sz w:val="24"/>
        </w:rPr>
        <w:t>Required Revolving Lenders</w:t>
      </w:r>
      <w:r>
        <w:rPr>
          <w:rFonts w:ascii="Times New Roman;Times;serif" w:hAnsi="Times New Roman;Times;serif"/>
          <w:sz w:val="24"/>
        </w:rPr>
        <w:t xml:space="preserve">” </w:t>
      </w:r>
      <w:r>
        <w:rPr>
          <w:rFonts w:ascii="Times" w:hAnsi="Times"/>
          <w:sz w:val="24"/>
        </w:rPr>
        <w:t>means, as of the date of determination thereof, Required Class Lenders with respect to the Revolving Facility.</w:t>
      </w:r>
    </w:p>
    <w:p>
      <w:pPr>
        <w:pStyle w:val="TextBody"/>
        <w:bidi w:val="0"/>
        <w:spacing w:before="0" w:after="240"/>
        <w:ind w:left="0" w:right="0" w:firstLine="720"/>
        <w:jc w:val="both"/>
        <w:rPr/>
      </w:pPr>
      <w:r>
        <w:rPr/>
        <w:t>“</w:t>
      </w:r>
      <w:r>
        <w:rPr>
          <w:rFonts w:ascii="Times" w:hAnsi="Times"/>
          <w:i/>
          <w:sz w:val="24"/>
        </w:rPr>
        <w:t>Resolution Authority</w:t>
      </w:r>
      <w:r>
        <w:rPr>
          <w:rFonts w:ascii="Times New Roman;Times;serif" w:hAnsi="Times New Roman;Times;serif"/>
          <w:sz w:val="24"/>
        </w:rPr>
        <w:t xml:space="preserve">” </w:t>
      </w:r>
      <w:r>
        <w:rPr>
          <w:rFonts w:ascii="Times" w:hAnsi="Times"/>
          <w:sz w:val="24"/>
        </w:rPr>
        <w:t>means an EEA Resolution Authority or, with respect to any UK Financial Institution, a UK Resolution Authority.</w:t>
      </w:r>
    </w:p>
    <w:p>
      <w:pPr>
        <w:pStyle w:val="TextBody"/>
        <w:bidi w:val="0"/>
        <w:spacing w:before="0" w:after="240"/>
        <w:ind w:left="0" w:right="0" w:firstLine="720"/>
        <w:jc w:val="both"/>
        <w:rPr/>
      </w:pPr>
      <w:r>
        <w:rPr/>
        <w:t>“</w:t>
      </w:r>
      <w:r>
        <w:rPr>
          <w:rFonts w:ascii="Times" w:hAnsi="Times"/>
          <w:i/>
          <w:sz w:val="24"/>
        </w:rPr>
        <w:t>Responsible Officer”</w:t>
      </w:r>
      <w:r>
        <w:rPr>
          <w:rFonts w:ascii="Times New Roman;Times;serif" w:hAnsi="Times New Roman;Times;serif"/>
          <w:sz w:val="24"/>
        </w:rPr>
        <w:t xml:space="preserve"> </w:t>
      </w:r>
      <w:r>
        <w:rPr>
          <w:rFonts w:ascii="Times" w:hAnsi="Times"/>
          <w:sz w:val="24"/>
        </w:rPr>
        <w:t>means, with respect to the Parent or any of its Subsidiaries, the chief executive officer, the chief financial officer, chief accounting officer, chief legal officer or the chief operating officer of the Parent or such Subsidiary.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Restricted Payments”</w:t>
      </w:r>
      <w:r>
        <w:rPr>
          <w:rFonts w:ascii="Times New Roman;Times;serif" w:hAnsi="Times New Roman;Times;serif"/>
          <w:sz w:val="24"/>
        </w:rPr>
        <w:t xml:space="preserve"> </w:t>
      </w:r>
      <w:r>
        <w:rPr>
          <w:rFonts w:ascii="Times" w:hAnsi="Times"/>
          <w:sz w:val="24"/>
        </w:rPr>
        <w:t>means dividends on or other distributions in respect of any class or series of Stock, Stock Equivalents or other Equity Interests of Parent, the Borrower or its Subsidiaries or the direct or indirect purchase, redemption, acquisition, or retirement of any of the Parent’s, the Borrower’s or a Subsidiaries’ Stock, Stock Equivalents or other Equity Interest.</w:t>
      </w:r>
    </w:p>
    <w:p>
      <w:pPr>
        <w:pStyle w:val="TextBody"/>
        <w:bidi w:val="0"/>
        <w:spacing w:before="0" w:after="240"/>
        <w:ind w:left="0" w:right="0" w:firstLine="720"/>
        <w:jc w:val="both"/>
        <w:rPr/>
      </w:pPr>
      <w:r>
        <w:rPr/>
        <w:t>“</w:t>
      </w:r>
      <w:r>
        <w:rPr>
          <w:rFonts w:ascii="Times" w:hAnsi="Times"/>
          <w:i/>
          <w:sz w:val="24"/>
        </w:rPr>
        <w:t>Revolving Credit Commitment”</w:t>
      </w:r>
      <w:r>
        <w:rPr>
          <w:rFonts w:ascii="Times New Roman;Times;serif" w:hAnsi="Times New Roman;Times;serif"/>
          <w:sz w:val="24"/>
        </w:rPr>
        <w:t xml:space="preserve"> </w:t>
      </w:r>
      <w:r>
        <w:rPr>
          <w:rFonts w:ascii="Times" w:hAnsi="Times"/>
          <w:sz w:val="24"/>
        </w:rPr>
        <w:t>means, as to any Revolving Lender, the obligation of such Revolving Lender to make Revolving Loans and to participate in Swing Loans and Letters of Credit issued for the account of the Borrower hereunder in an aggregate principal or face amount at any one time outstanding not to exceed the amount set forth opposite such Revolving Lender’s name on Schedule 1 attached hereto and made a part hereof, as the same may be reduced or modified at any time or from time to time pursuant to the terms hereof.  The Borrower and the Revolving Lenders acknowledge and agree that the Revolving Credit Commitments of the Revolving Lenders, in the aggregate, is equal to $250,000,000 on the Closing Date.  </w:t>
      </w:r>
    </w:p>
    <w:p>
      <w:pPr>
        <w:pStyle w:val="TextBody"/>
        <w:bidi w:val="0"/>
        <w:spacing w:before="0" w:after="240"/>
        <w:ind w:left="0" w:right="0" w:firstLine="720"/>
        <w:jc w:val="both"/>
        <w:rPr/>
      </w:pPr>
      <w:r>
        <w:rPr/>
        <w:t>“</w:t>
      </w:r>
      <w:r>
        <w:rPr>
          <w:rFonts w:ascii="Times" w:hAnsi="Times"/>
          <w:i/>
          <w:sz w:val="24"/>
        </w:rPr>
        <w:t>Revolving Credit Termination Date”</w:t>
      </w:r>
      <w:r>
        <w:rPr>
          <w:rFonts w:ascii="Times New Roman;Times;serif" w:hAnsi="Times New Roman;Times;serif"/>
          <w:sz w:val="24"/>
        </w:rPr>
        <w:t xml:space="preserve"> </w:t>
      </w:r>
      <w:r>
        <w:rPr>
          <w:rFonts w:ascii="Times" w:hAnsi="Times"/>
          <w:sz w:val="24"/>
        </w:rPr>
        <w:t>means the earliest of (i) January 31, 2027, as such date may be extended pursuant to Section 1.16 and (ii) the date on which the Revolving Credit Commitments are terminated in whole pursuant to Section 1.12, 9.2 or 9.3 hereof.  </w:t>
      </w:r>
    </w:p>
    <w:p>
      <w:pPr>
        <w:pStyle w:val="TextBody"/>
        <w:bidi w:val="0"/>
        <w:spacing w:before="0" w:after="240"/>
        <w:ind w:left="0" w:right="0" w:firstLine="720"/>
        <w:jc w:val="both"/>
        <w:rPr/>
      </w:pPr>
      <w:r>
        <w:rPr/>
        <w:t>“</w:t>
      </w:r>
      <w:r>
        <w:rPr>
          <w:rFonts w:ascii="Times" w:hAnsi="Times"/>
          <w:i/>
          <w:sz w:val="24"/>
        </w:rPr>
        <w:t>Revolving Facility”</w:t>
      </w:r>
      <w:r>
        <w:rPr>
          <w:rFonts w:ascii="Times New Roman;Times;serif" w:hAnsi="Times New Roman;Times;serif"/>
          <w:sz w:val="24"/>
        </w:rPr>
        <w:t xml:space="preserve"> </w:t>
      </w:r>
      <w:r>
        <w:rPr>
          <w:rFonts w:ascii="Times" w:hAnsi="Times"/>
          <w:sz w:val="24"/>
        </w:rPr>
        <w:t xml:space="preserve">means the credit facility for making Revolving Loans and Swing Loans and issuing Letters of Credit described in Sections 1.1, 1.3 and 1.17 hereof. </w:t>
      </w:r>
    </w:p>
    <w:p>
      <w:pPr>
        <w:pStyle w:val="TextBody"/>
        <w:bidi w:val="0"/>
        <w:spacing w:before="0" w:after="240"/>
        <w:ind w:left="0" w:right="0" w:firstLine="720"/>
        <w:jc w:val="both"/>
        <w:rPr/>
      </w:pPr>
      <w:r>
        <w:rPr/>
        <w:t>“</w:t>
      </w:r>
      <w:r>
        <w:rPr>
          <w:rFonts w:ascii="Times" w:hAnsi="Times"/>
          <w:i/>
          <w:sz w:val="24"/>
        </w:rPr>
        <w:t>Revolving Lender”</w:t>
      </w:r>
      <w:r>
        <w:rPr>
          <w:rFonts w:ascii="Times New Roman;Times;serif" w:hAnsi="Times New Roman;Times;serif"/>
          <w:sz w:val="24"/>
        </w:rPr>
        <w:t xml:space="preserve"> </w:t>
      </w:r>
      <w:r>
        <w:rPr>
          <w:rFonts w:ascii="Times" w:hAnsi="Times"/>
          <w:sz w:val="24"/>
        </w:rPr>
        <w:t xml:space="preserve">means a lender hereunder with a Revolving Credit Commitment including each assignee Lender pursuant to </w:t>
      </w:r>
      <w:r>
        <w:rPr>
          <w:rFonts w:ascii="Times" w:hAnsi="Times"/>
          <w:sz w:val="24"/>
          <w:u w:val="single"/>
        </w:rPr>
        <w:t>Section 12.12</w:t>
      </w:r>
      <w:r>
        <w:rPr>
          <w:rFonts w:ascii="Times New Roman;Times;serif" w:hAnsi="Times New Roman;Times;serif"/>
          <w:sz w:val="24"/>
        </w:rPr>
        <w:t xml:space="preserve"> </w:t>
      </w:r>
      <w:r>
        <w:rPr>
          <w:rFonts w:ascii="Times" w:hAnsi="Times"/>
          <w:sz w:val="24"/>
        </w:rPr>
        <w:t>hereof.</w:t>
      </w:r>
    </w:p>
    <w:p>
      <w:pPr>
        <w:pStyle w:val="TextBody"/>
        <w:bidi w:val="0"/>
        <w:spacing w:before="0" w:after="240"/>
        <w:ind w:left="0" w:right="0" w:firstLine="720"/>
        <w:jc w:val="both"/>
        <w:rPr/>
      </w:pPr>
      <w:r>
        <w:rPr/>
        <w:t>“</w:t>
      </w:r>
      <w:r>
        <w:rPr>
          <w:rFonts w:ascii="Times" w:hAnsi="Times"/>
          <w:i/>
          <w:sz w:val="24"/>
        </w:rPr>
        <w:t xml:space="preserve">Revolving Loan” </w:t>
      </w:r>
      <w:r>
        <w:rPr>
          <w:rFonts w:ascii="Times" w:hAnsi="Times"/>
          <w:sz w:val="24"/>
        </w:rPr>
        <w:t xml:space="preserve">and </w:t>
      </w:r>
      <w:r>
        <w:rPr>
          <w:rFonts w:ascii="Times New Roman;Times;serif" w:hAnsi="Times New Roman;Times;serif"/>
          <w:sz w:val="24"/>
        </w:rPr>
        <w:t>“</w:t>
      </w:r>
      <w:r>
        <w:rPr>
          <w:rFonts w:ascii="Times" w:hAnsi="Times"/>
          <w:i/>
          <w:sz w:val="24"/>
        </w:rPr>
        <w:t>Revolving Loans”</w:t>
      </w:r>
      <w:r>
        <w:rPr>
          <w:rFonts w:ascii="Times New Roman;Times;serif" w:hAnsi="Times New Roman;Times;serif"/>
          <w:sz w:val="24"/>
        </w:rPr>
        <w:t xml:space="preserve"> </w:t>
      </w:r>
      <w:r>
        <w:rPr>
          <w:rFonts w:ascii="Times" w:hAnsi="Times"/>
          <w:sz w:val="24"/>
        </w:rPr>
        <w:t xml:space="preserve">are defined in Section 1.1 hereof and, as so defined, includes a Base Rate Loan, Daily Simple SOFR Loan or Term SOFR Loan, each of which is a </w:t>
      </w:r>
      <w:r>
        <w:rPr>
          <w:rFonts w:ascii="Times New Roman;Times;serif" w:hAnsi="Times New Roman;Times;serif"/>
          <w:sz w:val="24"/>
        </w:rPr>
        <w:t>“</w:t>
      </w:r>
      <w:r>
        <w:rPr>
          <w:rFonts w:ascii="Times" w:hAnsi="Times"/>
          <w:i/>
          <w:sz w:val="24"/>
        </w:rPr>
        <w:t>type”</w:t>
      </w:r>
      <w:r>
        <w:rPr>
          <w:rFonts w:ascii="Times New Roman;Times;serif" w:hAnsi="Times New Roman;Times;serif"/>
          <w:sz w:val="24"/>
        </w:rPr>
        <w:t xml:space="preserve"> </w:t>
      </w:r>
      <w:r>
        <w:rPr>
          <w:rFonts w:ascii="Times" w:hAnsi="Times"/>
          <w:sz w:val="24"/>
        </w:rPr>
        <w:t>of Revolving Loan hereunder.</w:t>
      </w:r>
    </w:p>
    <w:p>
      <w:pPr>
        <w:pStyle w:val="TextBody"/>
        <w:bidi w:val="0"/>
        <w:spacing w:before="0" w:after="240"/>
        <w:ind w:left="0" w:right="0" w:firstLine="720"/>
        <w:jc w:val="both"/>
        <w:rPr/>
      </w:pPr>
      <w:r>
        <w:rPr/>
        <w:t>“</w:t>
      </w:r>
      <w:r>
        <w:rPr>
          <w:rFonts w:ascii="Times" w:hAnsi="Times"/>
          <w:i/>
          <w:sz w:val="24"/>
        </w:rPr>
        <w:t>Revolving Note”</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Revolving Notes”</w:t>
      </w:r>
      <w:r>
        <w:rPr>
          <w:rFonts w:ascii="Times New Roman;Times;serif" w:hAnsi="Times New Roman;Times;serif"/>
          <w:sz w:val="24"/>
        </w:rPr>
        <w:t xml:space="preserve"> </w:t>
      </w:r>
      <w:r>
        <w:rPr>
          <w:rFonts w:ascii="Times" w:hAnsi="Times"/>
          <w:sz w:val="24"/>
        </w:rPr>
        <w:t>are defined in Section 1.10(d) hereof.</w:t>
      </w:r>
    </w:p>
    <w:p>
      <w:pPr>
        <w:pStyle w:val="TextBody"/>
        <w:bidi w:val="0"/>
        <w:spacing w:before="0" w:after="240"/>
        <w:ind w:left="0" w:right="0" w:firstLine="720"/>
        <w:jc w:val="both"/>
        <w:rPr/>
      </w:pPr>
      <w:r>
        <w:rPr/>
        <w:t>“</w:t>
      </w:r>
      <w:r>
        <w:rPr>
          <w:rFonts w:ascii="Times" w:hAnsi="Times"/>
          <w:i/>
          <w:sz w:val="24"/>
        </w:rPr>
        <w:t>Rolling Period”</w:t>
      </w:r>
      <w:r>
        <w:rPr>
          <w:rFonts w:ascii="Times New Roman;Times;serif" w:hAnsi="Times New Roman;Times;serif"/>
          <w:sz w:val="24"/>
        </w:rPr>
        <w:t xml:space="preserve"> </w:t>
      </w:r>
      <w:r>
        <w:rPr>
          <w:rFonts w:ascii="Times" w:hAnsi="Times"/>
          <w:sz w:val="24"/>
        </w:rPr>
        <w:t>means, as of any date, the four Fiscal Quarters ending on or immediately preceding such date.</w:t>
      </w:r>
    </w:p>
    <w:p>
      <w:pPr>
        <w:pStyle w:val="TextBody"/>
        <w:bidi w:val="0"/>
        <w:spacing w:before="0" w:after="240"/>
        <w:ind w:left="0" w:right="0" w:firstLine="720"/>
        <w:jc w:val="both"/>
        <w:rPr/>
      </w:pPr>
      <w:r>
        <w:rPr/>
        <w:t>“</w:t>
      </w:r>
      <w:r>
        <w:rPr>
          <w:rFonts w:ascii="Times" w:hAnsi="Times"/>
          <w:i/>
          <w:sz w:val="24"/>
        </w:rPr>
        <w:t>S&amp;P”</w:t>
      </w:r>
      <w:r>
        <w:rPr>
          <w:rFonts w:ascii="Times New Roman;Times;serif" w:hAnsi="Times New Roman;Times;serif"/>
          <w:sz w:val="24"/>
        </w:rPr>
        <w:t xml:space="preserve"> </w:t>
      </w:r>
      <w:r>
        <w:rPr>
          <w:rFonts w:ascii="Times" w:hAnsi="Times"/>
          <w:sz w:val="24"/>
        </w:rPr>
        <w:t>means S&amp;P Global, Inc. or any successor thereof.</w:t>
      </w:r>
    </w:p>
    <w:p>
      <w:pPr>
        <w:pStyle w:val="TextBody"/>
        <w:bidi w:val="0"/>
        <w:spacing w:before="0" w:after="240"/>
        <w:ind w:left="0" w:right="0" w:firstLine="720"/>
        <w:jc w:val="both"/>
        <w:rPr/>
      </w:pPr>
      <w:r>
        <w:rPr/>
        <w:t>“</w:t>
      </w:r>
      <w:r>
        <w:rPr>
          <w:rFonts w:ascii="Times" w:hAnsi="Times"/>
          <w:i/>
          <w:sz w:val="24"/>
        </w:rPr>
        <w:t>Secured Indebtedness”</w:t>
      </w:r>
      <w:r>
        <w:rPr>
          <w:rFonts w:ascii="Times New Roman;Times;serif" w:hAnsi="Times New Roman;Times;serif"/>
          <w:sz w:val="24"/>
        </w:rPr>
        <w:t xml:space="preserve"> </w:t>
      </w:r>
      <w:r>
        <w:rPr>
          <w:rFonts w:ascii="Times" w:hAnsi="Times"/>
          <w:sz w:val="24"/>
        </w:rPr>
        <w:t>means all Indebtedness for Borrowed Money of the Parent and its Subsidiaries, that is secured by a Lien, other than the Obligations.</w:t>
      </w:r>
    </w:p>
    <w:p>
      <w:pPr>
        <w:pStyle w:val="TextBody"/>
        <w:bidi w:val="0"/>
        <w:spacing w:before="0" w:after="240"/>
        <w:ind w:left="0" w:right="0" w:firstLine="720"/>
        <w:jc w:val="both"/>
        <w:rPr/>
      </w:pPr>
      <w:r>
        <w:rPr/>
        <w:t>“</w:t>
      </w:r>
      <w:r>
        <w:rPr>
          <w:rFonts w:ascii="Times" w:hAnsi="Times"/>
          <w:i/>
          <w:sz w:val="24"/>
        </w:rPr>
        <w:t>Secured Recourse Indebtedness”</w:t>
      </w:r>
      <w:r>
        <w:rPr>
          <w:rFonts w:ascii="Times New Roman;Times;serif" w:hAnsi="Times New Roman;Times;serif"/>
          <w:sz w:val="24"/>
        </w:rPr>
        <w:t xml:space="preserve"> </w:t>
      </w:r>
      <w:r>
        <w:rPr>
          <w:rFonts w:ascii="Times" w:hAnsi="Times"/>
          <w:sz w:val="24"/>
        </w:rPr>
        <w:t>means Secured Indebtedness for which recourse for payment (except for customary exceptions for fraud, misapplication of funds, environmental indemnities and other similar exceptions to recourse liability) is to Parent, Borrower or any Guarantor,</w:t>
      </w:r>
      <w:r>
        <w:rPr>
          <w:rFonts w:ascii="Times New Roman;Times;serif" w:hAnsi="Times New Roman;Times;serif"/>
          <w:sz w:val="24"/>
        </w:rPr>
        <w:t xml:space="preserve"> </w:t>
      </w:r>
      <w:r>
        <w:rPr>
          <w:rFonts w:ascii="Times" w:hAnsi="Times"/>
          <w:sz w:val="24"/>
        </w:rPr>
        <w:t>other than the Obligations.</w:t>
      </w:r>
    </w:p>
    <w:p>
      <w:pPr>
        <w:pStyle w:val="TextBody"/>
        <w:bidi w:val="0"/>
        <w:spacing w:before="0" w:after="240"/>
        <w:ind w:left="0" w:right="0" w:firstLine="720"/>
        <w:jc w:val="both"/>
        <w:rPr/>
      </w:pPr>
      <w:r>
        <w:rPr/>
        <w:t>“</w:t>
      </w:r>
      <w:r>
        <w:rPr>
          <w:rFonts w:ascii="Times" w:hAnsi="Times"/>
          <w:i/>
          <w:sz w:val="24"/>
        </w:rPr>
        <w:t>SOFR</w:t>
      </w:r>
      <w:r>
        <w:rPr>
          <w:rFonts w:ascii="Times New Roman;Times;serif" w:hAnsi="Times New Roman;Times;serif"/>
          <w:sz w:val="24"/>
        </w:rPr>
        <w:t xml:space="preserve">” </w:t>
      </w:r>
      <w:r>
        <w:rPr>
          <w:rFonts w:ascii="Times" w:hAnsi="Times"/>
          <w:sz w:val="24"/>
        </w:rPr>
        <w:t xml:space="preserve">means a rate equal to the secured overnight financing rate as administered by the SOFR Administrator. </w:t>
      </w:r>
    </w:p>
    <w:p>
      <w:pPr>
        <w:pStyle w:val="TextBody"/>
        <w:bidi w:val="0"/>
        <w:spacing w:before="0" w:after="240"/>
        <w:ind w:left="0" w:right="0" w:firstLine="720"/>
        <w:jc w:val="both"/>
        <w:rPr/>
      </w:pPr>
      <w:r>
        <w:rPr/>
        <w:t>“</w:t>
      </w:r>
      <w:r>
        <w:rPr>
          <w:rFonts w:ascii="Times" w:hAnsi="Times"/>
          <w:i/>
          <w:sz w:val="24"/>
        </w:rPr>
        <w:t>SOFR Administrator</w:t>
      </w:r>
      <w:r>
        <w:rPr>
          <w:rFonts w:ascii="Times New Roman;Times;serif" w:hAnsi="Times New Roman;Times;serif"/>
          <w:sz w:val="24"/>
        </w:rPr>
        <w:t xml:space="preserve">” </w:t>
      </w:r>
      <w:r>
        <w:rPr>
          <w:rFonts w:ascii="Times" w:hAnsi="Times"/>
          <w:sz w:val="24"/>
        </w:rPr>
        <w:t>means the Federal Reserve Bank of New York (or a successor administrator of the secured overnight financing rate).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1491" w:name="_Ref47002986"/>
      <w:bookmarkEnd w:id="1491"/>
      <w:r>
        <w:rPr/>
        <w:t>“</w:t>
      </w:r>
      <w:r>
        <w:rPr>
          <w:rFonts w:ascii="Times" w:hAnsi="Times"/>
          <w:i/>
          <w:sz w:val="24"/>
        </w:rPr>
        <w:t>SOFR Administrator’s Website</w:t>
      </w:r>
      <w:r>
        <w:rPr>
          <w:rFonts w:ascii="Times New Roman;Times;serif" w:hAnsi="Times New Roman;Times;serif"/>
          <w:sz w:val="24"/>
        </w:rPr>
        <w:t xml:space="preserve">” </w:t>
      </w:r>
      <w:r>
        <w:rPr>
          <w:rFonts w:ascii="Times" w:hAnsi="Times"/>
          <w:sz w:val="24"/>
        </w:rPr>
        <w:t>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0" w:after="240"/>
        <w:ind w:left="0" w:right="0" w:firstLine="720"/>
        <w:jc w:val="both"/>
        <w:rPr/>
      </w:pPr>
      <w:r>
        <w:rPr/>
        <w:t>“</w:t>
      </w:r>
      <w:r>
        <w:rPr>
          <w:rFonts w:ascii="Times" w:hAnsi="Times"/>
          <w:i/>
          <w:sz w:val="24"/>
        </w:rPr>
        <w:t>SOFR Business Day</w:t>
      </w:r>
      <w:r>
        <w:rPr>
          <w:rFonts w:ascii="Times New Roman;Times;serif" w:hAnsi="Times New Roman;Times;serif"/>
          <w:sz w:val="24"/>
        </w:rPr>
        <w:t xml:space="preserve">” </w:t>
      </w:r>
      <w:r>
        <w:rPr>
          <w:rFonts w:ascii="Times" w:hAnsi="Times"/>
          <w:sz w:val="24"/>
        </w:rPr>
        <w:t xml:space="preserve">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0" w:after="240"/>
        <w:ind w:left="0" w:right="0" w:firstLine="720"/>
        <w:jc w:val="both"/>
        <w:rPr/>
      </w:pPr>
      <w:r>
        <w:rPr/>
        <w:t>“</w:t>
      </w:r>
      <w:r>
        <w:rPr>
          <w:rFonts w:ascii="Times" w:hAnsi="Times"/>
          <w:i/>
          <w:sz w:val="24"/>
        </w:rPr>
        <w:t>SOFR Determination Day</w:t>
      </w:r>
      <w:r>
        <w:rPr>
          <w:rFonts w:ascii="Times New Roman;Times;serif" w:hAnsi="Times New Roman;Times;serif"/>
          <w:sz w:val="24"/>
        </w:rPr>
        <w:t xml:space="preserve">” </w:t>
      </w:r>
      <w:r>
        <w:rPr>
          <w:rFonts w:ascii="Times" w:hAnsi="Times"/>
          <w:sz w:val="24"/>
        </w:rPr>
        <w:t>has the meaning specified in the definition of “Daily Simple SOFR”.</w:t>
      </w:r>
    </w:p>
    <w:p>
      <w:pPr>
        <w:pStyle w:val="TextBody"/>
        <w:bidi w:val="0"/>
        <w:spacing w:before="0" w:after="240"/>
        <w:ind w:left="0" w:right="0" w:firstLine="720"/>
        <w:jc w:val="both"/>
        <w:rPr/>
      </w:pPr>
      <w:r>
        <w:rPr/>
        <w:t>“</w:t>
      </w:r>
      <w:r>
        <w:rPr>
          <w:rFonts w:ascii="Times" w:hAnsi="Times"/>
          <w:i/>
          <w:sz w:val="24"/>
        </w:rPr>
        <w:t>SOFR Index Adjustment</w:t>
      </w:r>
      <w:r>
        <w:rPr>
          <w:rFonts w:ascii="Times New Roman;Times;serif" w:hAnsi="Times New Roman;Times;serif"/>
          <w:sz w:val="24"/>
        </w:rPr>
        <w:t xml:space="preserve">” </w:t>
      </w:r>
      <w:r>
        <w:rPr>
          <w:rFonts w:ascii="Times" w:hAnsi="Times"/>
          <w:sz w:val="24"/>
        </w:rPr>
        <w:t>means for any calculation with respect to a Base Rate Loan, a Daily Simple SOFR Loan or a Term SOFR Loan, a percentage per annum as set forth below for the applicable Type of such Loan:</w:t>
      </w:r>
    </w:p>
    <w:p>
      <w:pPr>
        <w:pStyle w:val="TextBody"/>
        <w:bidi w:val="0"/>
        <w:spacing w:before="0" w:after="240"/>
        <w:ind w:left="0" w:right="0" w:firstLine="720"/>
        <w:jc w:val="both"/>
        <w:rPr>
          <w:rFonts w:ascii="Times" w:hAnsi="Times"/>
          <w:sz w:val="24"/>
        </w:rPr>
      </w:pPr>
      <w:r>
        <w:rPr>
          <w:rFonts w:ascii="Times" w:hAnsi="Times"/>
          <w:sz w:val="24"/>
        </w:rPr>
        <w:t>Daily Simple SOFR Loans: 0.10%</w:t>
      </w:r>
    </w:p>
    <w:p>
      <w:pPr>
        <w:pStyle w:val="TextBody"/>
        <w:bidi w:val="0"/>
        <w:spacing w:before="0" w:after="240"/>
        <w:ind w:left="0" w:right="0" w:firstLine="720"/>
        <w:jc w:val="both"/>
        <w:rPr>
          <w:rFonts w:ascii="Times" w:hAnsi="Times"/>
          <w:sz w:val="24"/>
        </w:rPr>
      </w:pPr>
      <w:r>
        <w:rPr>
          <w:rFonts w:ascii="Times" w:hAnsi="Times"/>
          <w:sz w:val="24"/>
        </w:rPr>
        <w:t>Term SOFR Loans (for all Interest Periods):  0.10%</w:t>
      </w:r>
    </w:p>
    <w:p>
      <w:pPr>
        <w:pStyle w:val="TextBody"/>
        <w:bidi w:val="0"/>
        <w:spacing w:before="0" w:after="240"/>
        <w:ind w:left="0" w:right="0" w:firstLine="720"/>
        <w:jc w:val="both"/>
        <w:rPr/>
      </w:pPr>
      <w:r>
        <w:rPr/>
        <w:t>“</w:t>
      </w:r>
      <w:r>
        <w:rPr>
          <w:rFonts w:ascii="Times" w:hAnsi="Times"/>
          <w:i/>
          <w:sz w:val="24"/>
        </w:rPr>
        <w:t>SOFR Loan</w:t>
      </w:r>
      <w:r>
        <w:rPr>
          <w:rFonts w:ascii="Times New Roman;Times;serif" w:hAnsi="Times New Roman;Times;serif"/>
          <w:sz w:val="24"/>
        </w:rPr>
        <w:t xml:space="preserve">” </w:t>
      </w:r>
      <w:r>
        <w:rPr>
          <w:rFonts w:ascii="Times" w:hAnsi="Times"/>
          <w:sz w:val="24"/>
        </w:rPr>
        <w:t>means each Daily Simple SOFR Loan and each Term SOFR Loan.</w:t>
      </w:r>
    </w:p>
    <w:p>
      <w:pPr>
        <w:pStyle w:val="TextBody"/>
        <w:bidi w:val="0"/>
        <w:spacing w:before="0" w:after="240"/>
        <w:ind w:left="0" w:right="0" w:firstLine="720"/>
        <w:jc w:val="both"/>
        <w:rPr/>
      </w:pPr>
      <w:r>
        <w:rPr/>
        <w:t>“</w:t>
      </w:r>
      <w:r>
        <w:rPr>
          <w:rFonts w:ascii="Times" w:hAnsi="Times"/>
          <w:i/>
          <w:sz w:val="24"/>
        </w:rPr>
        <w:t>SOFR Rate Day</w:t>
      </w:r>
      <w:r>
        <w:rPr>
          <w:rFonts w:ascii="Times New Roman;Times;serif" w:hAnsi="Times New Roman;Times;serif"/>
          <w:sz w:val="24"/>
        </w:rPr>
        <w:t xml:space="preserve">” </w:t>
      </w:r>
      <w:r>
        <w:rPr>
          <w:rFonts w:ascii="Times" w:hAnsi="Times"/>
          <w:sz w:val="24"/>
        </w:rPr>
        <w:t>has the meaning specified in the definition of “Daily Simple SOFR”.</w:t>
      </w:r>
    </w:p>
    <w:p>
      <w:pPr>
        <w:pStyle w:val="TextBody"/>
        <w:bidi w:val="0"/>
        <w:spacing w:before="0" w:after="240"/>
        <w:ind w:left="0" w:right="0" w:firstLine="720"/>
        <w:jc w:val="both"/>
        <w:rPr/>
      </w:pPr>
      <w:r>
        <w:rPr/>
        <w:t>“</w:t>
      </w:r>
      <w:r>
        <w:rPr>
          <w:rFonts w:ascii="Times" w:hAnsi="Times"/>
          <w:i/>
          <w:sz w:val="24"/>
        </w:rPr>
        <w:t>Stock”</w:t>
      </w:r>
      <w:r>
        <w:rPr>
          <w:rFonts w:ascii="Times New Roman;Times;serif" w:hAnsi="Times New Roman;Times;serif"/>
          <w:sz w:val="24"/>
        </w:rPr>
        <w:t xml:space="preserve"> </w:t>
      </w:r>
      <w:r>
        <w:rPr>
          <w:rFonts w:ascii="Times" w:hAnsi="Times"/>
          <w:sz w:val="24"/>
        </w:rPr>
        <w:t>means shares of capital stock, beneficial or partnership interests, participations or other equivalents (regardless of how designated) of or in a corporation or equivalent entity, whether voting or non-voting, and includes, without limitation, common stock.</w:t>
      </w:r>
    </w:p>
    <w:p>
      <w:pPr>
        <w:pStyle w:val="TextBody"/>
        <w:bidi w:val="0"/>
        <w:spacing w:before="0" w:after="240"/>
        <w:ind w:left="0" w:right="0" w:firstLine="720"/>
        <w:jc w:val="both"/>
        <w:rPr/>
      </w:pPr>
      <w:r>
        <w:rPr/>
        <w:t>“</w:t>
      </w:r>
      <w:r>
        <w:rPr>
          <w:rFonts w:ascii="Times" w:hAnsi="Times"/>
          <w:i/>
          <w:sz w:val="24"/>
        </w:rPr>
        <w:t>Stock Equivalents”</w:t>
      </w:r>
      <w:r>
        <w:rPr>
          <w:rFonts w:ascii="Times New Roman;Times;serif" w:hAnsi="Times New Roman;Times;serif"/>
          <w:sz w:val="24"/>
        </w:rPr>
        <w:t xml:space="preserve"> </w:t>
      </w:r>
      <w:r>
        <w:rPr>
          <w:rFonts w:ascii="Times" w:hAnsi="Times"/>
          <w:sz w:val="24"/>
        </w:rPr>
        <w:t>means all securities (other than Stock) convertible into or exchangeable for Stock at the option of the holder, and all warrants, options or other rights to purchase or subscribe for any stock, whether or not presently convertible, exchangeable or exercisable.</w:t>
      </w:r>
    </w:p>
    <w:p>
      <w:pPr>
        <w:pStyle w:val="TextBody"/>
        <w:bidi w:val="0"/>
        <w:spacing w:before="0" w:after="240"/>
        <w:ind w:left="0" w:right="0" w:firstLine="720"/>
        <w:jc w:val="both"/>
        <w:rPr/>
      </w:pPr>
      <w:r>
        <w:rPr/>
        <w:t>“</w:t>
      </w:r>
      <w:r>
        <w:rPr>
          <w:rFonts w:ascii="Times" w:hAnsi="Times"/>
          <w:i/>
          <w:sz w:val="24"/>
        </w:rPr>
        <w:t>Subsidiary”</w:t>
      </w:r>
      <w:r>
        <w:rPr>
          <w:rFonts w:ascii="Times New Roman;Times;serif" w:hAnsi="Times New Roman;Times;serif"/>
          <w:sz w:val="24"/>
        </w:rPr>
        <w:t xml:space="preserve"> </w:t>
      </w:r>
      <w:r>
        <w:rPr>
          <w:rFonts w:ascii="Times" w:hAnsi="Times"/>
          <w:sz w:val="24"/>
        </w:rPr>
        <w:t xml:space="preserve">means, as to any particular parent corporation or organization, any other 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Times New Roman;Times;serif" w:hAnsi="Times New Roman;Times;serif"/>
          <w:sz w:val="24"/>
        </w:rPr>
        <w:t>“</w:t>
      </w:r>
      <w:r>
        <w:rPr>
          <w:rFonts w:ascii="Times" w:hAnsi="Times"/>
          <w:i/>
          <w:sz w:val="24"/>
        </w:rPr>
        <w:t>Subsidiary”</w:t>
      </w:r>
      <w:r>
        <w:rPr>
          <w:rFonts w:ascii="Times New Roman;Times;serif" w:hAnsi="Times New Roman;Times;serif"/>
          <w:sz w:val="24"/>
        </w:rPr>
        <w:t xml:space="preserve"> </w:t>
      </w:r>
      <w:r>
        <w:rPr>
          <w:rFonts w:ascii="Times" w:hAnsi="Times"/>
          <w:sz w:val="24"/>
        </w:rPr>
        <w:t>means a Subsidiary of Parent or the Borrower or of any of their direct or indirect Subsidiaries.</w:t>
      </w:r>
    </w:p>
    <w:p>
      <w:pPr>
        <w:pStyle w:val="TextBody"/>
        <w:bidi w:val="0"/>
        <w:spacing w:before="0" w:after="240"/>
        <w:ind w:left="0" w:right="0" w:firstLine="720"/>
        <w:jc w:val="both"/>
        <w:rPr/>
      </w:pPr>
      <w:r>
        <w:rPr/>
        <w:t>“</w:t>
      </w:r>
      <w:r>
        <w:rPr>
          <w:rFonts w:ascii="Times" w:hAnsi="Times"/>
          <w:i/>
          <w:sz w:val="24"/>
        </w:rPr>
        <w:t>Sustainability Structuring Agent</w:t>
      </w:r>
      <w:r>
        <w:rPr>
          <w:rFonts w:ascii="Times New Roman;Times;serif" w:hAnsi="Times New Roman;Times;serif"/>
          <w:sz w:val="24"/>
        </w:rPr>
        <w:t xml:space="preserve">” </w:t>
      </w:r>
      <w:r>
        <w:rPr>
          <w:rFonts w:ascii="Times" w:hAnsi="Times"/>
          <w:sz w:val="24"/>
        </w:rPr>
        <w:t>means KeyBank National Association, as sustainability structuring agent under the terms of this Agreement, and any of its successors.</w:t>
      </w:r>
    </w:p>
    <w:p>
      <w:pPr>
        <w:pStyle w:val="TextBody"/>
        <w:bidi w:val="0"/>
        <w:spacing w:before="0" w:after="240"/>
        <w:ind w:left="0" w:right="0" w:firstLine="720"/>
        <w:jc w:val="both"/>
        <w:rPr/>
      </w:pPr>
      <w:r>
        <w:rPr/>
        <w:t>“</w:t>
      </w:r>
      <w:r>
        <w:rPr>
          <w:rFonts w:ascii="Times" w:hAnsi="Times"/>
          <w:i/>
          <w:sz w:val="24"/>
        </w:rPr>
        <w:t>Sustainability Linked Loan Principles</w:t>
      </w:r>
      <w:r>
        <w:rPr>
          <w:rFonts w:ascii="Times New Roman;Times;serif" w:hAnsi="Times New Roman;Times;serif"/>
          <w:sz w:val="24"/>
        </w:rPr>
        <w:t xml:space="preserve">” </w:t>
      </w:r>
      <w:r>
        <w:rPr>
          <w:rFonts w:ascii="Times" w:hAnsi="Times"/>
          <w:sz w:val="24"/>
        </w:rPr>
        <w:t>means the Sustainability Linked Loan Principles (as published in May 2021 and updated on July 19, 2021 by the Loan Market Association, Asia Pacific Loan Market Association and Loan Syndications &amp; Trading Association) or such other principles and metrics mutually agreed to by the Borrower and the Sustainability Structuring Agent (each acting reasonably).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Swap Obligation</w:t>
      </w:r>
      <w:r>
        <w:rPr>
          <w:rFonts w:ascii="Times New Roman;Times;serif" w:hAnsi="Times New Roman;Times;serif"/>
          <w:sz w:val="24"/>
        </w:rPr>
        <w:t xml:space="preserve">” </w:t>
      </w:r>
      <w:r>
        <w:rPr>
          <w:rFonts w:ascii="Times" w:hAnsi="Times"/>
          <w:sz w:val="24"/>
        </w:rPr>
        <w:t>means, with respect to any Guarantor, any obligation to pay or perform under any agreement, contract or transaction that constitutes a “swap” within the meaning of Section 1a(47) of the Commodity Exchange Act.</w:t>
      </w:r>
    </w:p>
    <w:p>
      <w:pPr>
        <w:pStyle w:val="TextBody"/>
        <w:bidi w:val="0"/>
        <w:spacing w:before="0" w:after="240"/>
        <w:ind w:left="0" w:right="0" w:firstLine="720"/>
        <w:jc w:val="both"/>
        <w:rPr/>
      </w:pPr>
      <w:r>
        <w:rPr/>
        <w:t>“</w:t>
      </w:r>
      <w:r>
        <w:rPr>
          <w:rFonts w:ascii="Times" w:hAnsi="Times"/>
          <w:i/>
          <w:sz w:val="24"/>
        </w:rPr>
        <w:t>Swing Line” </w:t>
      </w:r>
      <w:r>
        <w:rPr>
          <w:rFonts w:ascii="Times" w:hAnsi="Times"/>
          <w:sz w:val="24"/>
        </w:rPr>
        <w:t>means the credit facility for making one or more Swing Loans described in Section 1.17 hereof.</w:t>
      </w:r>
    </w:p>
    <w:p>
      <w:pPr>
        <w:pStyle w:val="TextBody"/>
        <w:bidi w:val="0"/>
        <w:spacing w:before="0" w:after="240"/>
        <w:ind w:left="0" w:right="0" w:firstLine="720"/>
        <w:jc w:val="both"/>
        <w:rPr/>
      </w:pPr>
      <w:r>
        <w:rPr/>
        <w:t>“</w:t>
      </w:r>
      <w:r>
        <w:rPr>
          <w:rFonts w:ascii="Times" w:hAnsi="Times"/>
          <w:i/>
          <w:sz w:val="24"/>
        </w:rPr>
        <w:t>Swing Line Lender”</w:t>
      </w:r>
      <w:r>
        <w:rPr>
          <w:rFonts w:ascii="Times New Roman;Times;serif" w:hAnsi="Times New Roman;Times;serif"/>
          <w:sz w:val="24"/>
        </w:rPr>
        <w:t xml:space="preserve"> </w:t>
      </w:r>
      <w:r>
        <w:rPr>
          <w:rFonts w:ascii="Times" w:hAnsi="Times"/>
          <w:sz w:val="24"/>
        </w:rPr>
        <w:t>means KeyBank, acting in its capacity as the Lender of Swing Loans hereunder, or any successor Lender acting in such capacity appointed pursuant to Section 12.12 hereof.</w:t>
      </w:r>
    </w:p>
    <w:p>
      <w:pPr>
        <w:pStyle w:val="TextBody"/>
        <w:bidi w:val="0"/>
        <w:spacing w:before="0" w:after="240"/>
        <w:ind w:left="0" w:right="0" w:firstLine="720"/>
        <w:jc w:val="both"/>
        <w:rPr/>
      </w:pPr>
      <w:r>
        <w:rPr/>
        <w:t>“</w:t>
      </w:r>
      <w:r>
        <w:rPr>
          <w:rFonts w:ascii="Times" w:hAnsi="Times"/>
          <w:i/>
          <w:sz w:val="24"/>
        </w:rPr>
        <w:t>Swing Line Sublimit”</w:t>
      </w:r>
      <w:r>
        <w:rPr>
          <w:rFonts w:ascii="Times New Roman;Times;serif" w:hAnsi="Times New Roman;Times;serif"/>
          <w:sz w:val="24"/>
        </w:rPr>
        <w:t xml:space="preserve"> </w:t>
      </w:r>
      <w:r>
        <w:rPr>
          <w:rFonts w:ascii="Times" w:hAnsi="Times"/>
          <w:sz w:val="24"/>
        </w:rPr>
        <w:t>means $20,000,000.00, as reduced pursuant to the terms hereof.</w:t>
      </w:r>
    </w:p>
    <w:p>
      <w:pPr>
        <w:pStyle w:val="TextBody"/>
        <w:bidi w:val="0"/>
        <w:spacing w:before="0" w:after="240"/>
        <w:ind w:left="0" w:right="0" w:firstLine="720"/>
        <w:jc w:val="both"/>
        <w:rPr/>
      </w:pPr>
      <w:r>
        <w:rPr/>
        <w:t>“</w:t>
      </w:r>
      <w:r>
        <w:rPr>
          <w:rFonts w:ascii="Times" w:hAnsi="Times"/>
          <w:i/>
          <w:sz w:val="24"/>
        </w:rPr>
        <w:t xml:space="preserve">Swing Loan” </w:t>
      </w:r>
      <w:r>
        <w:rPr>
          <w:rFonts w:ascii="Times" w:hAnsi="Times"/>
          <w:sz w:val="24"/>
        </w:rPr>
        <w:t xml:space="preserve">and </w:t>
      </w:r>
      <w:r>
        <w:rPr>
          <w:rFonts w:ascii="Times New Roman;Times;serif" w:hAnsi="Times New Roman;Times;serif"/>
          <w:sz w:val="24"/>
        </w:rPr>
        <w:t>“</w:t>
      </w:r>
      <w:r>
        <w:rPr>
          <w:rFonts w:ascii="Times" w:hAnsi="Times"/>
          <w:i/>
          <w:sz w:val="24"/>
        </w:rPr>
        <w:t>Swing Loans”</w:t>
      </w:r>
      <w:r>
        <w:rPr>
          <w:rFonts w:ascii="Times New Roman;Times;serif" w:hAnsi="Times New Roman;Times;serif"/>
          <w:sz w:val="24"/>
        </w:rPr>
        <w:t xml:space="preserve"> </w:t>
      </w:r>
      <w:r>
        <w:rPr>
          <w:rFonts w:ascii="Times" w:hAnsi="Times"/>
          <w:sz w:val="24"/>
        </w:rPr>
        <w:t>each is defined in Section 1.17 hereof.</w:t>
      </w:r>
    </w:p>
    <w:p>
      <w:pPr>
        <w:pStyle w:val="TextBody"/>
        <w:bidi w:val="0"/>
        <w:spacing w:before="0" w:after="240"/>
        <w:ind w:left="0" w:right="0" w:firstLine="720"/>
        <w:jc w:val="both"/>
        <w:rPr/>
      </w:pPr>
      <w:r>
        <w:rPr/>
        <w:t>“</w:t>
      </w:r>
      <w:r>
        <w:rPr>
          <w:rFonts w:ascii="Times" w:hAnsi="Times"/>
          <w:i/>
          <w:sz w:val="24"/>
        </w:rPr>
        <w:t>Swing Note”</w:t>
      </w:r>
      <w:r>
        <w:rPr>
          <w:rFonts w:ascii="Times New Roman;Times;serif" w:hAnsi="Times New Roman;Times;serif"/>
          <w:sz w:val="24"/>
        </w:rPr>
        <w:t xml:space="preserve"> </w:t>
      </w:r>
      <w:r>
        <w:rPr>
          <w:rFonts w:ascii="Times" w:hAnsi="Times"/>
          <w:sz w:val="24"/>
        </w:rPr>
        <w:t>is defined in Section 1.10(d) hereof.</w:t>
      </w:r>
    </w:p>
    <w:p>
      <w:pPr>
        <w:pStyle w:val="TextBody"/>
        <w:bidi w:val="0"/>
        <w:spacing w:before="0" w:after="240"/>
        <w:ind w:left="0" w:right="0" w:firstLine="720"/>
        <w:jc w:val="both"/>
        <w:rPr/>
      </w:pPr>
      <w:r>
        <w:rPr/>
        <w:t>“</w:t>
      </w:r>
      <w:r>
        <w:rPr>
          <w:rFonts w:ascii="Times" w:hAnsi="Times"/>
          <w:i/>
          <w:sz w:val="24"/>
        </w:rPr>
        <w:t>Tangible Net Worth”</w:t>
      </w:r>
      <w:r>
        <w:rPr>
          <w:rFonts w:ascii="Times New Roman;Times;serif" w:hAnsi="Times New Roman;Times;serif"/>
          <w:sz w:val="24"/>
        </w:rPr>
        <w:t xml:space="preserve"> </w:t>
      </w:r>
      <w:r>
        <w:rPr>
          <w:rFonts w:ascii="Times" w:hAnsi="Times"/>
          <w:sz w:val="24"/>
        </w:rPr>
        <w:t xml:space="preserve">means for each applicable period, total shareholder’s equity and any non-controlling equity interests on the Parent’s consolidated balance sheet as reported in its Form 10-K or 10-Q for such period, </w:t>
      </w:r>
      <w:r>
        <w:rPr>
          <w:rFonts w:ascii="Times" w:hAnsi="Times"/>
          <w:sz w:val="24"/>
          <w:u w:val="single"/>
        </w:rPr>
        <w:t>plus</w:t>
      </w:r>
      <w:r>
        <w:rPr>
          <w:rFonts w:ascii="Times New Roman;Times;serif" w:hAnsi="Times New Roman;Times;serif"/>
          <w:sz w:val="24"/>
        </w:rPr>
        <w:t xml:space="preserve"> </w:t>
      </w:r>
      <w:r>
        <w:rPr>
          <w:rFonts w:ascii="Times" w:hAnsi="Times"/>
          <w:sz w:val="24"/>
        </w:rPr>
        <w:t>(i)</w:t>
      </w:r>
      <w:r>
        <w:rPr>
          <w:rFonts w:ascii="Times New Roman;Times;serif" w:hAnsi="Times New Roman;Times;serif"/>
          <w:sz w:val="24"/>
        </w:rPr>
        <w:t xml:space="preserve"> </w:t>
      </w:r>
      <w:r>
        <w:rPr>
          <w:rFonts w:ascii="Times" w:hAnsi="Times"/>
          <w:sz w:val="24"/>
        </w:rPr>
        <w:t xml:space="preserve">accumulated depreciation and amortization and (ii) unrealized losses related to marketable securities, </w:t>
      </w:r>
      <w:r>
        <w:rPr>
          <w:rFonts w:ascii="Times" w:hAnsi="Times"/>
          <w:sz w:val="24"/>
          <w:u w:val="single"/>
        </w:rPr>
        <w:t>minus</w:t>
      </w:r>
      <w:r>
        <w:rPr>
          <w:rFonts w:ascii="Times" w:hAnsi="Times"/>
          <w:sz w:val="24"/>
        </w:rPr>
        <w:t>, to the extent included when determining stockholders’ equity, (x) all unrealized gains related to marketable securities and (y) all amounts appearing on the assets side of the Parent’s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pStyle w:val="TextBody"/>
        <w:bidi w:val="0"/>
        <w:spacing w:before="0" w:after="240"/>
        <w:ind w:left="0" w:right="0" w:firstLine="720"/>
        <w:jc w:val="both"/>
        <w:rPr/>
      </w:pPr>
      <w:r>
        <w:rPr/>
        <w:t>“</w:t>
      </w:r>
      <w:r>
        <w:rPr>
          <w:rFonts w:ascii="Times" w:hAnsi="Times"/>
          <w:i/>
          <w:sz w:val="24"/>
        </w:rPr>
        <w:t>Taxes”</w:t>
      </w:r>
      <w:r>
        <w:rPr>
          <w:rFonts w:ascii="Times New Roman;Times;serif" w:hAnsi="Times New Roman;Times;serif"/>
          <w:sz w:val="24"/>
        </w:rPr>
        <w:t xml:space="preserve"> </w:t>
      </w:r>
      <w:r>
        <w:rPr>
          <w:rFonts w:ascii="Times" w:hAnsi="Times"/>
          <w:sz w:val="24"/>
        </w:rPr>
        <w:t>means all present or future taxes, levies, imposts, duties, deductions, withholdings (including back 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w:hAnsi="Times"/>
          <w:i/>
          <w:sz w:val="24"/>
        </w:rPr>
        <w:t xml:space="preserve">Tenant” </w:t>
      </w:r>
      <w:r>
        <w:rPr>
          <w:rFonts w:ascii="Times" w:hAnsi="Times"/>
          <w:sz w:val="24"/>
        </w:rPr>
        <w:t>means any Person leasing, subleasing or otherwise occupying any portion of a Property under a Lease or other occupancy agreement with the Borrower or a Subsidiary that is the direct owner of such Property.</w:t>
      </w:r>
    </w:p>
    <w:p>
      <w:pPr>
        <w:pStyle w:val="TextBody"/>
        <w:bidi w:val="0"/>
        <w:spacing w:before="0" w:after="240"/>
        <w:ind w:left="0" w:right="0" w:firstLine="720"/>
        <w:jc w:val="both"/>
        <w:rPr/>
      </w:pPr>
      <w:r>
        <w:rPr/>
        <w:t>“</w:t>
      </w:r>
      <w:r>
        <w:rPr>
          <w:rFonts w:ascii="Times" w:hAnsi="Times"/>
          <w:i/>
          <w:sz w:val="24"/>
        </w:rPr>
        <w:t>Term Commitment</w:t>
      </w:r>
      <w:r>
        <w:rPr>
          <w:rFonts w:ascii="Times New Roman;Times;serif" w:hAnsi="Times New Roman;Times;serif"/>
          <w:sz w:val="24"/>
        </w:rPr>
        <w:t xml:space="preserve">” </w:t>
      </w:r>
      <w:r>
        <w:rPr>
          <w:rFonts w:ascii="Times" w:hAnsi="Times"/>
          <w:sz w:val="24"/>
        </w:rPr>
        <w:t>means, as to any Term Lender, its 2027 Term Loan Commitment and Incremental Term Loan Commitment.</w:t>
      </w:r>
    </w:p>
    <w:p>
      <w:pPr>
        <w:pStyle w:val="TextBody"/>
        <w:bidi w:val="0"/>
        <w:spacing w:before="0" w:after="240"/>
        <w:ind w:left="0" w:right="0" w:firstLine="720"/>
        <w:jc w:val="both"/>
        <w:rPr/>
      </w:pPr>
      <w:r>
        <w:rPr/>
        <w:t>“</w:t>
      </w:r>
      <w:r>
        <w:rPr>
          <w:rFonts w:ascii="Times" w:hAnsi="Times"/>
          <w:i/>
          <w:sz w:val="24"/>
        </w:rPr>
        <w:t>Term Facility</w:t>
      </w:r>
      <w:r>
        <w:rPr>
          <w:rFonts w:ascii="Times New Roman;Times;serif" w:hAnsi="Times New Roman;Times;serif"/>
          <w:sz w:val="24"/>
        </w:rPr>
        <w:t xml:space="preserve">” </w:t>
      </w:r>
      <w:r>
        <w:rPr>
          <w:rFonts w:ascii="Times" w:hAnsi="Times"/>
          <w:sz w:val="24"/>
        </w:rPr>
        <w:t>means the 2027 Term Facility and any Incremental Term Loan Facility.</w:t>
      </w:r>
    </w:p>
    <w:p>
      <w:pPr>
        <w:pStyle w:val="TextBody"/>
        <w:bidi w:val="0"/>
        <w:spacing w:before="0" w:after="240"/>
        <w:ind w:left="0" w:right="0" w:firstLine="720"/>
        <w:jc w:val="both"/>
        <w:rPr/>
      </w:pPr>
      <w:r>
        <w:rPr/>
        <w:t>“</w:t>
      </w:r>
      <w:r>
        <w:rPr>
          <w:rFonts w:ascii="Times" w:hAnsi="Times"/>
          <w:i/>
          <w:sz w:val="24"/>
        </w:rPr>
        <w:t>Term Lender</w:t>
      </w:r>
      <w:r>
        <w:rPr>
          <w:rFonts w:ascii="Times New Roman;Times;serif" w:hAnsi="Times New Roman;Times;serif"/>
          <w:sz w:val="24"/>
        </w:rPr>
        <w:t xml:space="preserve">” </w:t>
      </w:r>
      <w:r>
        <w:rPr>
          <w:rFonts w:ascii="Times" w:hAnsi="Times"/>
          <w:sz w:val="24"/>
        </w:rPr>
        <w:t>means, any Lender that has a Term Commitment or holds Term Loans at such time.</w:t>
      </w:r>
    </w:p>
    <w:p>
      <w:pPr>
        <w:pStyle w:val="TextBody"/>
        <w:bidi w:val="0"/>
        <w:spacing w:before="0" w:after="240"/>
        <w:ind w:left="0" w:right="0" w:firstLine="720"/>
        <w:jc w:val="both"/>
        <w:rPr/>
      </w:pPr>
      <w:r>
        <w:rPr/>
        <w:t>“</w:t>
      </w:r>
      <w:r>
        <w:rPr>
          <w:rFonts w:ascii="Times" w:hAnsi="Times"/>
          <w:i/>
          <w:sz w:val="24"/>
        </w:rPr>
        <w:t>Term Loan”</w:t>
      </w:r>
      <w:r>
        <w:rPr>
          <w:rFonts w:ascii="Times New Roman;Times;serif" w:hAnsi="Times New Roman;Times;serif"/>
          <w:sz w:val="24"/>
        </w:rPr>
        <w:t xml:space="preserve"> </w:t>
      </w:r>
      <w:r>
        <w:rPr>
          <w:rFonts w:ascii="Times" w:hAnsi="Times"/>
          <w:sz w:val="24"/>
        </w:rPr>
        <w:t xml:space="preserve">means the 2027 Term Loans and any other Incremental Term Loans made pursuant to Section 1.15 hereof and each includes a Base Rate Loan or a SOFR Loan, each of which is a </w:t>
      </w:r>
      <w:r>
        <w:rPr>
          <w:rFonts w:ascii="Times New Roman;Times;serif" w:hAnsi="Times New Roman;Times;serif"/>
          <w:sz w:val="24"/>
        </w:rPr>
        <w:t>“</w:t>
      </w:r>
      <w:r>
        <w:rPr>
          <w:rFonts w:ascii="Times" w:hAnsi="Times"/>
          <w:i/>
          <w:sz w:val="24"/>
        </w:rPr>
        <w:t>type”</w:t>
      </w:r>
      <w:r>
        <w:rPr>
          <w:rFonts w:ascii="Times New Roman;Times;serif" w:hAnsi="Times New Roman;Times;serif"/>
          <w:sz w:val="24"/>
        </w:rPr>
        <w:t xml:space="preserve"> </w:t>
      </w:r>
      <w:r>
        <w:rPr>
          <w:rFonts w:ascii="Times" w:hAnsi="Times"/>
          <w:sz w:val="24"/>
        </w:rPr>
        <w:t>of Term Loan hereunder.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Term Loan Maturity Date</w:t>
      </w:r>
      <w:r>
        <w:rPr>
          <w:rFonts w:ascii="Times New Roman;Times;serif" w:hAnsi="Times New Roman;Times;serif"/>
          <w:sz w:val="24"/>
        </w:rPr>
        <w:t xml:space="preserve">” </w:t>
      </w:r>
      <w:r>
        <w:rPr>
          <w:rFonts w:ascii="Times" w:hAnsi="Times"/>
          <w:sz w:val="24"/>
        </w:rPr>
        <w:t>means (a) with respect to the 2027 Term Facility, January 31, 2027, and (b) with respect to any Incremental Term Loan Facility, the maturity date for such Incremental Term Loan Facility as set forth in the applicable Incremental Term Loan Amendment; provided, however, that, in each case, if such date is not a Business Day, the Maturity Date shall be the next preceding Business Day.</w:t>
      </w:r>
    </w:p>
    <w:p>
      <w:pPr>
        <w:pStyle w:val="TextBody"/>
        <w:bidi w:val="0"/>
        <w:spacing w:before="0" w:after="240"/>
        <w:ind w:left="0" w:right="0" w:firstLine="720"/>
        <w:jc w:val="both"/>
        <w:rPr/>
      </w:pPr>
      <w:r>
        <w:rPr/>
        <w:t>“</w:t>
      </w:r>
      <w:r>
        <w:rPr>
          <w:rFonts w:ascii="Times" w:hAnsi="Times"/>
          <w:i/>
          <w:sz w:val="24"/>
        </w:rPr>
        <w:t>Term SOFR</w:t>
      </w:r>
      <w:r>
        <w:rPr>
          <w:rFonts w:ascii="Times New Roman;Times;serif" w:hAnsi="Times New Roman;Times;serif"/>
          <w:sz w:val="24"/>
        </w:rPr>
        <w:t xml:space="preserve">” </w:t>
      </w:r>
      <w:r>
        <w:rPr>
          <w:rFonts w:ascii="Times" w:hAnsi="Times"/>
          <w:sz w:val="24"/>
        </w:rPr>
        <w:t xml:space="preserve">means, </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(a) for any calculation with respect to a Term SOFR Loan, the Term SOFR Reference Rate for a tenor comparable to the applicable Interest Period on the day (such day, the “Term SOFR Lookback Day”) that is two SOFR Business Days prior to the first day of such Interest Period, as such rate is published by the Term SOFR Administrator; </w:t>
      </w:r>
      <w:r>
        <w:rPr>
          <w:rFonts w:ascii="Times" w:hAnsi="Times"/>
          <w:sz w:val="24"/>
          <w:u w:val="single"/>
        </w:rPr>
        <w:t>provided</w:t>
      </w:r>
      <w:r>
        <w:rPr>
          <w:rFonts w:ascii="Times" w:hAnsi="Times"/>
          <w:sz w:val="24"/>
        </w:rPr>
        <w:t xml:space="preserve">, </w:t>
      </w:r>
      <w:r>
        <w:rPr>
          <w:rFonts w:ascii="Times" w:hAnsi="Times"/>
          <w:sz w:val="24"/>
          <w:u w:val="single"/>
        </w:rPr>
        <w:t>however</w:t>
      </w:r>
      <w:r>
        <w:rPr>
          <w:rFonts w:ascii="Times" w:hAnsi="Times"/>
          <w:sz w:val="24"/>
        </w:rPr>
        <w:t xml:space="preserve">, that if as of 5:00 p.m. (New York City time) on any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Term SOFR Lookback Day, and </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(b) for any calculation with respect to a Base Rate Loan on any day, the Term SOFR Reference Rate for a tenor of one month on the day (such day, the “Base Rate Term SOFR Lookback Day”) that is two SOFR Business Days prior to such day, as such rate is published by the Term SOFR Administrator; </w:t>
      </w:r>
      <w:r>
        <w:rPr>
          <w:rFonts w:ascii="Times" w:hAnsi="Times"/>
          <w:sz w:val="24"/>
          <w:u w:val="single"/>
        </w:rPr>
        <w:t>provided</w:t>
      </w:r>
      <w:r>
        <w:rPr>
          <w:rFonts w:ascii="Times" w:hAnsi="Times"/>
          <w:sz w:val="24"/>
        </w:rPr>
        <w:t xml:space="preserve">, </w:t>
      </w:r>
      <w:r>
        <w:rPr>
          <w:rFonts w:ascii="Times" w:hAnsi="Times"/>
          <w:sz w:val="24"/>
          <w:u w:val="single"/>
        </w:rPr>
        <w:t>however</w:t>
      </w:r>
      <w:r>
        <w:rPr>
          <w:rFonts w:ascii="Times" w:hAnsi="Times"/>
          <w:sz w:val="24"/>
        </w:rPr>
        <w:t>, that if as of 5:00 p.m. (New York City time) on any Base Rate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Base Rate Term SOFR Lookback Day.</w:t>
      </w:r>
    </w:p>
    <w:p>
      <w:pPr>
        <w:pStyle w:val="TextBody"/>
        <w:bidi w:val="0"/>
        <w:spacing w:before="0" w:after="240"/>
        <w:ind w:left="0" w:right="0" w:firstLine="720"/>
        <w:jc w:val="left"/>
        <w:rPr/>
      </w:pPr>
      <w:r>
        <w:rPr/>
        <w:t>“</w:t>
      </w:r>
      <w:r>
        <w:rPr>
          <w:rFonts w:ascii="Times New Roman;Times;serif" w:hAnsi="Times New Roman;Times;serif"/>
          <w:i/>
          <w:sz w:val="24"/>
        </w:rPr>
        <w:t>Term SOFR Administrator</w:t>
      </w:r>
      <w:r>
        <w:rPr>
          <w:rFonts w:ascii="Times New Roman;Times;serif" w:hAnsi="Times New Roman;Times;serif"/>
          <w:sz w:val="24"/>
        </w:rPr>
        <w:t>” means CBA (or a successor administrator of the Term SOFR Reference Rate, as selected by the Administrative Agent in its reasonable discretion).</w:t>
      </w:r>
    </w:p>
    <w:p>
      <w:pPr>
        <w:pStyle w:val="TextBody"/>
        <w:bidi w:val="0"/>
        <w:spacing w:before="0" w:after="240"/>
        <w:ind w:left="0" w:right="0" w:firstLine="720"/>
        <w:jc w:val="left"/>
        <w:rPr/>
      </w:pPr>
      <w:r>
        <w:rPr/>
        <w:t>“</w:t>
      </w:r>
      <w:r>
        <w:rPr>
          <w:rFonts w:ascii="Times New Roman;Times;serif" w:hAnsi="Times New Roman;Times;serif"/>
          <w:i/>
          <w:sz w:val="24"/>
        </w:rPr>
        <w:t>Term SOFR Loan</w:t>
      </w:r>
      <w:r>
        <w:rPr>
          <w:rFonts w:ascii="Times New Roman;Times;serif" w:hAnsi="Times New Roman;Times;serif"/>
          <w:sz w:val="24"/>
        </w:rPr>
        <w:t>” means each Loan bearing interest at a rate based upon Adjusted Term SOFR (other than pursuant to clause (iii) of the definition of Base Rate).</w:t>
      </w:r>
    </w:p>
    <w:p>
      <w:pPr>
        <w:pStyle w:val="TextBody"/>
        <w:bidi w:val="0"/>
        <w:spacing w:before="0" w:after="240"/>
        <w:ind w:left="0" w:right="0" w:firstLine="720"/>
        <w:jc w:val="both"/>
        <w:rPr/>
      </w:pPr>
      <w:r>
        <w:rPr/>
        <w:t>“</w:t>
      </w:r>
      <w:r>
        <w:rPr>
          <w:rFonts w:ascii="Times" w:hAnsi="Times"/>
          <w:i/>
          <w:sz w:val="24"/>
        </w:rPr>
        <w:t>Term SOFR Reference Rate</w:t>
      </w:r>
      <w:r>
        <w:rPr>
          <w:rFonts w:ascii="Times New Roman;Times;serif" w:hAnsi="Times New Roman;Times;serif"/>
          <w:sz w:val="24"/>
        </w:rPr>
        <w:t xml:space="preserve">” </w:t>
      </w:r>
      <w:r>
        <w:rPr>
          <w:rFonts w:ascii="Times" w:hAnsi="Times"/>
          <w:sz w:val="24"/>
        </w:rPr>
        <w:t>means the forward-looking term rate based on SOFR.</w:t>
      </w:r>
    </w:p>
    <w:p>
      <w:pPr>
        <w:pStyle w:val="TextBody"/>
        <w:bidi w:val="0"/>
        <w:spacing w:before="0" w:after="0"/>
        <w:ind w:left="0" w:right="0" w:firstLine="720"/>
        <w:jc w:val="both"/>
        <w:rPr/>
      </w:pPr>
      <w:r>
        <w:rPr/>
        <w:t>“</w:t>
      </w:r>
      <w:r>
        <w:rPr>
          <w:rFonts w:ascii="Times" w:hAnsi="Times"/>
          <w:i/>
          <w:sz w:val="24"/>
        </w:rPr>
        <w:t>Total Asset Value”</w:t>
      </w:r>
      <w:r>
        <w:rPr>
          <w:rFonts w:ascii="Times New Roman;Times;serif" w:hAnsi="Times New Roman;Times;serif"/>
          <w:sz w:val="24"/>
        </w:rPr>
        <w:t xml:space="preserve"> </w:t>
      </w:r>
      <w:r>
        <w:rPr>
          <w:rFonts w:ascii="Times" w:hAnsi="Times"/>
          <w:sz w:val="24"/>
        </w:rPr>
        <w:t xml:space="preserve">means, as of the end of any Rolling Period, an amount equal to the sum of (a) for all Properties owned by the Borrower and its Subsidiaries for more than twelve (12) months, the quotient of (i) the Property NOI from such Properties divided by (ii) the Capitalization Rate </w:t>
      </w:r>
      <w:r>
        <w:rPr>
          <w:rFonts w:ascii="Times" w:hAnsi="Times"/>
          <w:i/>
          <w:sz w:val="24"/>
        </w:rPr>
        <w:t>plus</w:t>
      </w:r>
      <w:r>
        <w:rPr>
          <w:rFonts w:ascii="Times New Roman;Times;serif" w:hAnsi="Times New Roman;Times;serif"/>
          <w:sz w:val="24"/>
        </w:rPr>
        <w:t xml:space="preserve"> </w:t>
      </w:r>
      <w:r>
        <w:rPr>
          <w:rFonts w:ascii="Times" w:hAnsi="Times"/>
          <w:sz w:val="24"/>
        </w:rPr>
        <w:t xml:space="preserve">(b) for all Properties owned by the Borrower and its Subsidiaries for twelve (12) months or less, the lesser of (i) the book value (as defined in GAAP) of any such property or (ii), the value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w:hAnsi="Times"/>
          <w:sz w:val="24"/>
        </w:rPr>
        <w:t xml:space="preserve">of any such Property as determined by the calculation in clause (a) above measured on an annualized basis rather than for the most recently ended period of four quarters </w:t>
      </w:r>
      <w:r>
        <w:rPr>
          <w:rFonts w:ascii="Times" w:hAnsi="Times"/>
          <w:i/>
          <w:sz w:val="24"/>
        </w:rPr>
        <w:t>plus</w:t>
      </w:r>
      <w:r>
        <w:rPr>
          <w:rFonts w:ascii="Times New Roman;Times;serif" w:hAnsi="Times New Roman;Times;serif"/>
          <w:sz w:val="24"/>
        </w:rPr>
        <w:t xml:space="preserve"> </w:t>
      </w:r>
      <w:r>
        <w:rPr>
          <w:rFonts w:ascii="Times" w:hAnsi="Times"/>
          <w:sz w:val="24"/>
        </w:rPr>
        <w:t xml:space="preserve">(c) the aggregate book value of all unimproved land holdings and/or construction in progress owned by the Borrower and its Subsidiaries </w:t>
      </w:r>
      <w:r>
        <w:rPr>
          <w:rFonts w:ascii="Times" w:hAnsi="Times"/>
          <w:i/>
          <w:sz w:val="24"/>
        </w:rPr>
        <w:t>plus</w:t>
      </w:r>
      <w:r>
        <w:rPr>
          <w:rFonts w:ascii="Times New Roman;Times;serif" w:hAnsi="Times New Roman;Times;serif"/>
          <w:sz w:val="24"/>
        </w:rPr>
        <w:t xml:space="preserve"> </w:t>
      </w:r>
      <w:r>
        <w:rPr>
          <w:rFonts w:ascii="Times" w:hAnsi="Times"/>
          <w:sz w:val="24"/>
        </w:rPr>
        <w:t>(d) cash, 1031 Cash Proceeds, cash equivalents and marketable securities owned by the Borrower and its Subsidiaries that are not (other than 1031 Cash Proceeds) then being held in or subject to escrow in connection with funding commitments of the Borrower or such Subsidiary</w:t>
      </w:r>
      <w:bookmarkStart w:id="1492" w:name="_cp_change_30"/>
      <w:bookmarkEnd w:id="1492"/>
      <w:r>
        <w:rPr>
          <w:rFonts w:ascii="Times New Roman;Times;serif" w:hAnsi="Times New Roman;Times;serif"/>
          <w:color w:val="0000FF"/>
          <w:sz w:val="24"/>
          <w:u w:val="single"/>
        </w:rPr>
        <w:t xml:space="preserve"> </w:t>
      </w:r>
      <w:r>
        <w:rPr>
          <w:rFonts w:ascii="Times" w:hAnsi="Times"/>
          <w:i/>
          <w:color w:val="0000FF"/>
          <w:sz w:val="24"/>
        </w:rPr>
        <w:t xml:space="preserve">plus </w:t>
      </w:r>
      <w:r>
        <w:rPr>
          <w:rFonts w:ascii="Times" w:hAnsi="Times"/>
          <w:color w:val="0000FF"/>
          <w:sz w:val="24"/>
          <w:u w:val="single"/>
        </w:rPr>
        <w:t>(e) to the extent not already included in clauses (a) through (d), investments consisting of structured debt products, preferred equity, mortgage loans (other than leases structured as mortgages due to reimbursement requirements), mezzanine loans and notes receivable, including without limitation, Mortgage Receivables, owned by the Borrower and its Subsidiaries</w:t>
      </w:r>
      <w:r>
        <w:rPr>
          <w:rFonts w:ascii="Times" w:hAnsi="Times"/>
          <w:sz w:val="24"/>
        </w:rPr>
        <w:t xml:space="preserve">; </w:t>
      </w:r>
      <w:r>
        <w:rPr>
          <w:rFonts w:ascii="Times" w:hAnsi="Times"/>
          <w:i/>
          <w:sz w:val="24"/>
        </w:rPr>
        <w:t>provided</w:t>
      </w:r>
      <w:r>
        <w:rPr>
          <w:rFonts w:ascii="Times New Roman;Times;serif" w:hAnsi="Times New Roman;Times;serif"/>
          <w:sz w:val="24"/>
        </w:rPr>
        <w:t xml:space="preserve"> </w:t>
      </w:r>
      <w:r>
        <w:rPr>
          <w:rFonts w:ascii="Times" w:hAnsi="Times"/>
          <w:sz w:val="24"/>
        </w:rPr>
        <w:t xml:space="preserve">that, for purposes of calculating the Total Asset Value (A) cash investments in joint ventures shall not exceed in the aggregate at any one time outstanding an amount equal to 15% of the Total Asset Value of Parent and its Subsidiaries at such time, with any amounts in excess of 15% of the Total Asset Value being excluded from the calculation of Total Asset Value; (B) investments in Assets Under Development shall not exceed in the aggregate at any one time outstanding an amount equal to 15% of the Total Asset Value of Parent and its Subsidiaries at such time, with any amounts in excess of 15% of the Total Asset Value being excluded from the calculation of Total Asset Value; (C) investments in Land Assets shall not exceed in the aggregate at any one time outstanding an amount equal to 5% of the Total Asset Value of Parent and its Subsidiaries at such time, with any amounts in excess of 5% of the Total Asset Value being excluded from the calculation of Total Asset Value; (D) </w:t>
      </w:r>
      <w:bookmarkStart w:id="1493" w:name="_Hlk184324173"/>
      <w:bookmarkEnd w:id="1493"/>
      <w:r>
        <w:rPr>
          <w:rFonts w:ascii="Times" w:hAnsi="Times"/>
          <w:sz w:val="24"/>
        </w:rPr>
        <w:t>investments consisting of structured debt products, preferred equity, mortgage loans (other than leases structured as mortgages due to reimbursement requirements), mezzanine loans and notes receivable</w:t>
      </w:r>
      <w:bookmarkStart w:id="1494" w:name="_cp_change_31"/>
      <w:bookmarkEnd w:id="1494"/>
      <w:r>
        <w:rPr>
          <w:rFonts w:ascii="Times" w:hAnsi="Times"/>
          <w:color w:val="0000FF"/>
          <w:sz w:val="24"/>
          <w:u w:val="single"/>
        </w:rPr>
        <w:t>, including without limitation, Mortgage Receivables,</w:t>
      </w:r>
      <w:r>
        <w:rPr>
          <w:rFonts w:ascii="Times New Roman;Times;serif" w:hAnsi="Times New Roman;Times;serif"/>
          <w:sz w:val="24"/>
        </w:rPr>
        <w:t xml:space="preserve"> </w:t>
      </w:r>
      <w:r>
        <w:rPr>
          <w:rFonts w:ascii="Times" w:hAnsi="Times"/>
          <w:sz w:val="24"/>
        </w:rPr>
        <w:t xml:space="preserve">shall not exceed in the aggregate at any one time outstanding an amount equal to </w:t>
      </w:r>
      <w:bookmarkStart w:id="1495" w:name="_cp_change_32"/>
      <w:bookmarkEnd w:id="1495"/>
      <w:r>
        <w:rPr>
          <w:rFonts w:ascii="Times" w:hAnsi="Times"/>
          <w:color w:val="FF0000"/>
          <w:sz w:val="24"/>
        </w:rPr>
        <w:t>10</w:t>
      </w:r>
      <w:bookmarkStart w:id="1496" w:name="_cp_change_33"/>
      <w:bookmarkEnd w:id="1496"/>
      <w:r>
        <w:rPr>
          <w:rFonts w:ascii="Times" w:hAnsi="Times"/>
          <w:color w:val="0000FF"/>
          <w:sz w:val="24"/>
          <w:u w:val="single"/>
        </w:rPr>
        <w:t>15</w:t>
      </w:r>
      <w:r>
        <w:rPr>
          <w:rFonts w:ascii="Times" w:hAnsi="Times"/>
          <w:sz w:val="24"/>
        </w:rPr>
        <w:t xml:space="preserve">% of the Total Asset Value of Parent and its Subsidiaries at such time, with any amounts in excess of </w:t>
      </w:r>
      <w:bookmarkStart w:id="1497" w:name="_cp_change_34"/>
      <w:bookmarkEnd w:id="1497"/>
      <w:r>
        <w:rPr>
          <w:rFonts w:ascii="Times" w:hAnsi="Times"/>
          <w:color w:val="FF0000"/>
          <w:sz w:val="24"/>
        </w:rPr>
        <w:t>10</w:t>
      </w:r>
      <w:bookmarkStart w:id="1498" w:name="_cp_change_35"/>
      <w:bookmarkEnd w:id="1498"/>
      <w:r>
        <w:rPr>
          <w:rFonts w:ascii="Times" w:hAnsi="Times"/>
          <w:color w:val="0000FF"/>
          <w:sz w:val="24"/>
          <w:u w:val="single"/>
        </w:rPr>
        <w:t>15</w:t>
      </w:r>
      <w:r>
        <w:rPr>
          <w:rFonts w:ascii="Times" w:hAnsi="Times"/>
          <w:sz w:val="24"/>
        </w:rPr>
        <w:t>% of the Total Asset Value being excluded from the calculation of Total Asset Value; (E) investments in Public Investments shall not exceed in the aggregate at any one time outstanding an amount equal to 15% of the Total Asset Value of Parent and its Subsidiaries at such time, with any amounts in excess of 15% of the Total Asset Value being excluded from the calculation of Total Asset Value; and (F) the aggregate amount of investments described in clauses (A) through (E) above shall not exceed in the aggregate at any one time outstanding an amount equal to 30% of the Total Asset Value of Parent and its Subsidiaries at such time, with any amounts in excess of 30% of the Total Asset Value being excluded from the calculation of Total Asset Value.</w:t>
      </w:r>
    </w:p>
    <w:p>
      <w:pPr>
        <w:pStyle w:val="TextBody"/>
        <w:bidi w:val="0"/>
        <w:spacing w:before="0" w:after="240"/>
        <w:ind w:left="0" w:right="0" w:firstLine="720"/>
        <w:jc w:val="both"/>
        <w:rPr/>
      </w:pPr>
      <w:r>
        <w:rPr/>
        <w:t>“</w:t>
      </w:r>
      <w:r>
        <w:rPr>
          <w:rFonts w:ascii="Times" w:hAnsi="Times"/>
          <w:i/>
          <w:sz w:val="24"/>
        </w:rPr>
        <w:t>Total Indebtedness”</w:t>
      </w:r>
      <w:r>
        <w:rPr>
          <w:rFonts w:ascii="Times New Roman;Times;serif" w:hAnsi="Times New Roman;Times;serif"/>
          <w:sz w:val="24"/>
        </w:rPr>
        <w:t xml:space="preserve"> </w:t>
      </w:r>
      <w:r>
        <w:rPr>
          <w:rFonts w:ascii="Times" w:hAnsi="Times"/>
          <w:sz w:val="24"/>
        </w:rPr>
        <w:t>means, as of a given date, all liabilities of Parent and its Subsidiaries which would, in conformity with GAAP, be properly classified as a liability on a consolidated balance sheet of Parent and its Subsidiaries as of such date, excluding any amounts categorized as accrued expenses, accrued dividends, deposits held, deferred revenues, minority interests and other liabilities not directly associated with the borrowing of money.</w:t>
      </w:r>
    </w:p>
    <w:p>
      <w:pPr>
        <w:pStyle w:val="TextBody"/>
        <w:bidi w:val="0"/>
        <w:spacing w:before="0" w:after="240"/>
        <w:ind w:left="0" w:right="0" w:firstLine="720"/>
        <w:jc w:val="both"/>
        <w:rPr/>
      </w:pPr>
      <w:r>
        <w:rPr/>
        <w:t>“</w:t>
      </w:r>
      <w:r>
        <w:rPr>
          <w:rFonts w:ascii="Times" w:hAnsi="Times"/>
          <w:i/>
          <w:sz w:val="24"/>
        </w:rPr>
        <w:t>Total Outstandings</w:t>
      </w:r>
      <w:r>
        <w:rPr>
          <w:rFonts w:ascii="Times New Roman;Times;serif" w:hAnsi="Times New Roman;Times;serif"/>
          <w:sz w:val="24"/>
        </w:rPr>
        <w:t xml:space="preserve">” </w:t>
      </w:r>
      <w:r>
        <w:rPr>
          <w:rFonts w:ascii="Times" w:hAnsi="Times"/>
          <w:sz w:val="24"/>
        </w:rPr>
        <w:t>means the aggregate Outstanding Amount of all Loans for all Facilities and all L/C Obligations.</w:t>
      </w:r>
    </w:p>
    <w:p>
      <w:pPr>
        <w:pStyle w:val="TextBody"/>
        <w:bidi w:val="0"/>
        <w:spacing w:before="0" w:after="240"/>
        <w:ind w:left="0" w:right="0" w:firstLine="720"/>
        <w:jc w:val="both"/>
        <w:rPr/>
      </w:pPr>
      <w:r>
        <w:rPr/>
        <w:t>“</w:t>
      </w:r>
      <w:r>
        <w:rPr>
          <w:rFonts w:ascii="Times" w:hAnsi="Times"/>
          <w:i/>
          <w:sz w:val="24"/>
        </w:rPr>
        <w:t>Truist Term Loan Agreement</w:t>
      </w:r>
      <w:r>
        <w:rPr>
          <w:rFonts w:ascii="Times New Roman;Times;serif" w:hAnsi="Times New Roman;Times;serif"/>
          <w:sz w:val="24"/>
        </w:rPr>
        <w:t xml:space="preserve">” </w:t>
      </w:r>
      <w:r>
        <w:rPr>
          <w:rFonts w:ascii="Times" w:hAnsi="Times"/>
          <w:sz w:val="24"/>
        </w:rPr>
        <w:t>means that certain Term Loan Agreement, dated as of May 21, 2021, by and among Borrower, Parent, Truist Bank, as administrative agent, and the lenders party thereto from time to time.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UCC”</w:t>
      </w:r>
      <w:r>
        <w:rPr>
          <w:rFonts w:ascii="Times New Roman;Times;serif" w:hAnsi="Times New Roman;Times;serif"/>
          <w:sz w:val="24"/>
        </w:rPr>
        <w:t xml:space="preserve"> </w:t>
      </w:r>
      <w:r>
        <w:rPr>
          <w:rFonts w:ascii="Times" w:hAnsi="Times"/>
          <w:sz w:val="24"/>
        </w:rPr>
        <w:t>means the Uniform Commercial Code as in effect in the State of New York.</w:t>
      </w:r>
    </w:p>
    <w:p>
      <w:pPr>
        <w:pStyle w:val="TextBody"/>
        <w:bidi w:val="0"/>
        <w:spacing w:before="0" w:after="240"/>
        <w:ind w:left="0" w:right="0" w:firstLine="720"/>
        <w:jc w:val="both"/>
        <w:rPr/>
      </w:pPr>
      <w:r>
        <w:rPr/>
        <w:t>“</w:t>
      </w:r>
      <w:r>
        <w:rPr>
          <w:rFonts w:ascii="Times" w:hAnsi="Times"/>
          <w:i/>
          <w:sz w:val="24"/>
        </w:rPr>
        <w:t>UK Financial Institution</w:t>
      </w:r>
      <w:r>
        <w:rPr>
          <w:rFonts w:ascii="Times New Roman;Times;serif" w:hAnsi="Times New Roman;Times;serif"/>
          <w:sz w:val="24"/>
        </w:rPr>
        <w:t xml:space="preserve">” </w:t>
      </w:r>
      <w:r>
        <w:rPr>
          <w:rFonts w:ascii="Times" w:hAnsi="Times"/>
          <w:sz w:val="24"/>
        </w:rPr>
        <w:t>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w:hAnsi="Times"/>
          <w:i/>
          <w:sz w:val="24"/>
        </w:rPr>
        <w:t>UK Resolution Authority</w:t>
      </w:r>
      <w:r>
        <w:rPr>
          <w:rFonts w:ascii="Times New Roman;Times;serif" w:hAnsi="Times New Roman;Times;serif"/>
          <w:sz w:val="24"/>
        </w:rPr>
        <w:t xml:space="preserve">” </w:t>
      </w:r>
      <w:r>
        <w:rPr>
          <w:rFonts w:ascii="Times" w:hAnsi="Times"/>
          <w:sz w:val="24"/>
        </w:rPr>
        <w:t>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w:hAnsi="Times"/>
          <w:i/>
          <w:sz w:val="24"/>
        </w:rPr>
        <w:t>Unadjusted Benchmark Replacement</w:t>
      </w:r>
      <w:r>
        <w:rPr>
          <w:rFonts w:ascii="Times New Roman;Times;serif" w:hAnsi="Times New Roman;Times;serif"/>
          <w:sz w:val="24"/>
        </w:rPr>
        <w:t xml:space="preserve">” </w:t>
      </w:r>
      <w:r>
        <w:rPr>
          <w:rFonts w:ascii="Times" w:hAnsi="Times"/>
          <w:sz w:val="24"/>
        </w:rPr>
        <w:t>means the applicable Benchmark Replacement excluding the related Benchmark Replacement Adjustment.</w:t>
      </w:r>
    </w:p>
    <w:p>
      <w:pPr>
        <w:pStyle w:val="TextBody"/>
        <w:bidi w:val="0"/>
        <w:spacing w:before="0" w:after="240"/>
        <w:ind w:left="0" w:right="0" w:firstLine="720"/>
        <w:jc w:val="both"/>
        <w:rPr/>
      </w:pPr>
      <w:r>
        <w:rPr/>
        <w:t>“</w:t>
      </w:r>
      <w:r>
        <w:rPr>
          <w:rFonts w:ascii="Times" w:hAnsi="Times"/>
          <w:i/>
          <w:sz w:val="24"/>
        </w:rPr>
        <w:t>Unencumbered Asset</w:t>
      </w:r>
      <w:r>
        <w:rPr>
          <w:rFonts w:ascii="Times New Roman;Times;serif" w:hAnsi="Times New Roman;Times;serif"/>
          <w:sz w:val="24"/>
        </w:rPr>
        <w:t xml:space="preserve">” </w:t>
      </w:r>
      <w:r>
        <w:rPr>
          <w:rFonts w:ascii="Times" w:hAnsi="Times"/>
          <w:sz w:val="24"/>
        </w:rPr>
        <w:t xml:space="preserve">means, as of any date of determination, each </w:t>
      </w:r>
      <w:bookmarkStart w:id="1499" w:name="_cp_change_36"/>
      <w:bookmarkEnd w:id="1499"/>
      <w:r>
        <w:rPr>
          <w:rFonts w:ascii="Times" w:hAnsi="Times"/>
          <w:color w:val="008000"/>
          <w:sz w:val="24"/>
        </w:rPr>
        <w:t xml:space="preserve">Eligible Property that has been designated as an “Unencumbered </w:t>
      </w:r>
      <w:bookmarkStart w:id="1500" w:name="_cp_change_38"/>
      <w:bookmarkEnd w:id="1500"/>
      <w:r>
        <w:rPr>
          <w:rFonts w:ascii="Times" w:hAnsi="Times"/>
          <w:color w:val="008000"/>
          <w:sz w:val="24"/>
        </w:rPr>
        <w:t>Asset” in accordance with the provisions of this Agreement and has not otherwise been excluded or removed from the Unencumbered Pool.</w:t>
      </w:r>
      <w:bookmarkStart w:id="1501" w:name="_cp_change_40"/>
      <w:bookmarkEnd w:id="1501"/>
      <w:r>
        <w:rPr>
          <w:rFonts w:ascii="Times" w:hAnsi="Times"/>
          <w:color w:val="0000FF"/>
          <w:sz w:val="24"/>
          <w:u w:val="single"/>
        </w:rPr>
        <w:t>Unencumbered Real Property Asset and each Unencumbered Mortgage Receivable.</w:t>
      </w:r>
    </w:p>
    <w:p>
      <w:pPr>
        <w:pStyle w:val="TextBody"/>
        <w:bidi w:val="0"/>
        <w:spacing w:before="0" w:after="240"/>
        <w:ind w:left="0" w:right="0" w:firstLine="720"/>
        <w:jc w:val="both"/>
        <w:rPr/>
      </w:pPr>
      <w:r>
        <w:rPr/>
        <w:t>“</w:t>
      </w:r>
      <w:r>
        <w:rPr>
          <w:rFonts w:ascii="Times" w:hAnsi="Times"/>
          <w:i/>
          <w:sz w:val="24"/>
        </w:rPr>
        <w:t>Unencumbered Asset Value”</w:t>
      </w:r>
      <w:r>
        <w:rPr>
          <w:rFonts w:ascii="Times New Roman;Times;serif" w:hAnsi="Times New Roman;Times;serif"/>
          <w:sz w:val="24"/>
        </w:rPr>
        <w:t xml:space="preserve"> </w:t>
      </w:r>
      <w:r>
        <w:rPr>
          <w:rFonts w:ascii="Times" w:hAnsi="Times"/>
          <w:sz w:val="24"/>
        </w:rPr>
        <w:t xml:space="preserve">means an amount equal to the sum of (a) for all Unencumbered </w:t>
      </w:r>
      <w:bookmarkStart w:id="1502" w:name="_cp_change_41"/>
      <w:bookmarkEnd w:id="1502"/>
      <w:r>
        <w:rPr>
          <w:rFonts w:ascii="Times" w:hAnsi="Times"/>
          <w:color w:val="0000FF"/>
          <w:sz w:val="24"/>
          <w:u w:val="single"/>
        </w:rPr>
        <w:t xml:space="preserve">Real Property </w:t>
      </w:r>
      <w:r>
        <w:rPr>
          <w:rFonts w:ascii="Times" w:hAnsi="Times"/>
          <w:sz w:val="24"/>
        </w:rPr>
        <w:t xml:space="preserve">Assets owned for more than twelve (12) months, the quotient of (i) the Unencumbered Pool NOI </w:t>
      </w:r>
      <w:bookmarkStart w:id="1503" w:name="_cp_change_42"/>
      <w:bookmarkEnd w:id="1503"/>
      <w:r>
        <w:rPr>
          <w:rFonts w:ascii="Times" w:hAnsi="Times"/>
          <w:color w:val="0000FF"/>
          <w:sz w:val="24"/>
          <w:u w:val="single"/>
        </w:rPr>
        <w:t xml:space="preserve">for such Unencumbered Real Property Assets </w:t>
      </w:r>
      <w:r>
        <w:rPr>
          <w:rFonts w:ascii="Times" w:hAnsi="Times"/>
          <w:sz w:val="24"/>
        </w:rPr>
        <w:t xml:space="preserve">divided by (ii) the Capitalization Rate </w:t>
      </w:r>
      <w:r>
        <w:rPr>
          <w:rFonts w:ascii="Times" w:hAnsi="Times"/>
          <w:i/>
          <w:sz w:val="24"/>
        </w:rPr>
        <w:t>plus</w:t>
      </w:r>
      <w:r>
        <w:rPr>
          <w:rFonts w:ascii="Times New Roman;Times;serif" w:hAnsi="Times New Roman;Times;serif"/>
          <w:sz w:val="24"/>
        </w:rPr>
        <w:t xml:space="preserve"> </w:t>
      </w:r>
      <w:r>
        <w:rPr>
          <w:rFonts w:ascii="Times" w:hAnsi="Times"/>
          <w:sz w:val="24"/>
        </w:rPr>
        <w:t xml:space="preserve">(b) for all Unencumbered </w:t>
      </w:r>
      <w:bookmarkStart w:id="1504" w:name="_cp_change_43"/>
      <w:bookmarkEnd w:id="1504"/>
      <w:r>
        <w:rPr>
          <w:rFonts w:ascii="Times" w:hAnsi="Times"/>
          <w:color w:val="0000FF"/>
          <w:sz w:val="24"/>
          <w:u w:val="single"/>
        </w:rPr>
        <w:t xml:space="preserve">Real Property </w:t>
      </w:r>
      <w:r>
        <w:rPr>
          <w:rFonts w:ascii="Times" w:hAnsi="Times"/>
          <w:sz w:val="24"/>
        </w:rPr>
        <w:t xml:space="preserve">Assets owned for twelve (12) months or less, the lesser of (i) the undepreciated costs of any such Unencumbered </w:t>
      </w:r>
      <w:bookmarkStart w:id="1505" w:name="_cp_change_44"/>
      <w:bookmarkEnd w:id="1505"/>
      <w:r>
        <w:rPr>
          <w:rFonts w:ascii="Times" w:hAnsi="Times"/>
          <w:color w:val="0000FF"/>
          <w:sz w:val="24"/>
          <w:u w:val="single"/>
        </w:rPr>
        <w:t xml:space="preserve">Real Property </w:t>
      </w:r>
      <w:r>
        <w:rPr>
          <w:rFonts w:ascii="Times" w:hAnsi="Times"/>
          <w:sz w:val="24"/>
        </w:rPr>
        <w:t xml:space="preserve">Asset and (ii), the value of any such Unencumbered </w:t>
      </w:r>
      <w:bookmarkStart w:id="1506" w:name="_cp_change_45"/>
      <w:bookmarkEnd w:id="1506"/>
      <w:r>
        <w:rPr>
          <w:rFonts w:ascii="Times" w:hAnsi="Times"/>
          <w:color w:val="0000FF"/>
          <w:sz w:val="24"/>
          <w:u w:val="single"/>
        </w:rPr>
        <w:t xml:space="preserve">Real Property </w:t>
      </w:r>
      <w:r>
        <w:rPr>
          <w:rFonts w:ascii="Times" w:hAnsi="Times"/>
          <w:sz w:val="24"/>
        </w:rPr>
        <w:t>Asset as determined by the calculation in clause (a) above measured on an annualized basis rather than for the most recently ended period of four quarters</w:t>
      </w:r>
      <w:bookmarkStart w:id="1507" w:name="_cp_change_46"/>
      <w:bookmarkEnd w:id="1507"/>
      <w:r>
        <w:rPr>
          <w:rFonts w:ascii="Times" w:hAnsi="Times"/>
          <w:color w:val="0000FF"/>
          <w:sz w:val="24"/>
          <w:u w:val="single"/>
        </w:rPr>
        <w:t xml:space="preserve">, </w:t>
      </w:r>
      <w:r>
        <w:rPr>
          <w:rFonts w:ascii="Times" w:hAnsi="Times"/>
          <w:i/>
          <w:color w:val="0000FF"/>
          <w:sz w:val="24"/>
        </w:rPr>
        <w:t>plus</w:t>
      </w:r>
      <w:r>
        <w:rPr>
          <w:rFonts w:ascii="Times New Roman;Times;serif" w:hAnsi="Times New Roman;Times;serif"/>
          <w:color w:val="0000FF"/>
          <w:sz w:val="24"/>
          <w:u w:val="single"/>
        </w:rPr>
        <w:t xml:space="preserve"> </w:t>
      </w:r>
      <w:r>
        <w:rPr>
          <w:rFonts w:ascii="Times" w:hAnsi="Times"/>
          <w:color w:val="0000FF"/>
          <w:sz w:val="24"/>
          <w:u w:val="single"/>
        </w:rPr>
        <w:t>(c) the book value of Unencumbered Mortgage Receivables as of such date in accordance with GAAP</w:t>
      </w:r>
      <w:r>
        <w:rPr>
          <w:rFonts w:ascii="Times" w:hAnsi="Times"/>
          <w:sz w:val="24"/>
        </w:rPr>
        <w:t xml:space="preserve">; </w:t>
      </w:r>
      <w:r>
        <w:rPr>
          <w:rFonts w:ascii="Times" w:hAnsi="Times"/>
          <w:i/>
          <w:sz w:val="24"/>
        </w:rPr>
        <w:t>provided</w:t>
      </w:r>
      <w:r>
        <w:rPr>
          <w:rFonts w:ascii="Times New Roman;Times;serif" w:hAnsi="Times New Roman;Times;serif"/>
          <w:sz w:val="24"/>
        </w:rPr>
        <w:t xml:space="preserve"> </w:t>
      </w:r>
      <w:r>
        <w:rPr>
          <w:rFonts w:ascii="Times" w:hAnsi="Times"/>
          <w:sz w:val="24"/>
        </w:rPr>
        <w:t>that Unencumbered Asset Value shall be reduced by excluding a portion of the Property NOI</w:t>
      </w:r>
      <w:bookmarkStart w:id="1508" w:name="_cp_change_47"/>
      <w:bookmarkEnd w:id="1508"/>
      <w:r>
        <w:rPr>
          <w:rFonts w:ascii="Times New Roman;Times;serif" w:hAnsi="Times New Roman;Times;serif"/>
          <w:color w:val="FF0000"/>
          <w:sz w:val="24"/>
        </w:rPr>
        <w:t xml:space="preserve"> </w:t>
      </w:r>
      <w:r>
        <w:rPr>
          <w:rFonts w:ascii="Times" w:hAnsi="Times"/>
          <w:color w:val="FF0000"/>
          <w:sz w:val="24"/>
        </w:rPr>
        <w:t>or</w:t>
      </w:r>
      <w:bookmarkStart w:id="1509" w:name="_cp_change_48"/>
      <w:bookmarkEnd w:id="1509"/>
      <w:r>
        <w:rPr>
          <w:rFonts w:ascii="Times" w:hAnsi="Times"/>
          <w:color w:val="0000FF"/>
          <w:sz w:val="24"/>
          <w:u w:val="single"/>
        </w:rPr>
        <w:t>,</w:t>
      </w:r>
      <w:r>
        <w:rPr>
          <w:rFonts w:ascii="Times New Roman;Times;serif" w:hAnsi="Times New Roman;Times;serif"/>
          <w:sz w:val="24"/>
        </w:rPr>
        <w:t xml:space="preserve"> </w:t>
      </w:r>
      <w:r>
        <w:rPr>
          <w:rFonts w:ascii="Times" w:hAnsi="Times"/>
          <w:sz w:val="24"/>
        </w:rPr>
        <w:t>cost</w:t>
      </w:r>
      <w:bookmarkStart w:id="1510" w:name="_cp_change_49"/>
      <w:bookmarkEnd w:id="1510"/>
      <w:r>
        <w:rPr>
          <w:rFonts w:ascii="Times" w:hAnsi="Times"/>
          <w:color w:val="0000FF"/>
          <w:sz w:val="24"/>
          <w:u w:val="single"/>
        </w:rPr>
        <w:t>, or book value, as applicable,</w:t>
      </w:r>
      <w:r>
        <w:rPr>
          <w:rFonts w:ascii="Times New Roman;Times;serif" w:hAnsi="Times New Roman;Times;serif"/>
          <w:sz w:val="24"/>
        </w:rPr>
        <w:t xml:space="preserve"> </w:t>
      </w:r>
      <w:r>
        <w:rPr>
          <w:rFonts w:ascii="Times" w:hAnsi="Times"/>
          <w:sz w:val="24"/>
        </w:rPr>
        <w:t>of any Unencumbered Assets attributable to any Unencumbered Assets that exceed the concentration limits in the Unencumbered Pool Requirements.</w:t>
      </w:r>
    </w:p>
    <w:p>
      <w:pPr>
        <w:pStyle w:val="TextBody"/>
        <w:bidi w:val="0"/>
        <w:spacing w:before="0" w:after="240"/>
        <w:ind w:left="0" w:right="0" w:firstLine="720"/>
        <w:jc w:val="both"/>
        <w:rPr/>
      </w:pPr>
      <w:bookmarkStart w:id="1511" w:name="_cp_change_51"/>
      <w:bookmarkEnd w:id="1511"/>
      <w:r>
        <w:rPr>
          <w:color w:val="0000FF"/>
          <w:u w:val="single"/>
        </w:rPr>
        <w:t>“</w:t>
      </w:r>
      <w:r>
        <w:rPr>
          <w:rFonts w:ascii="Times" w:hAnsi="Times"/>
          <w:i/>
          <w:color w:val="0000FF"/>
          <w:sz w:val="24"/>
        </w:rPr>
        <w:t>Unencumbered Mortgage Receivable</w:t>
      </w:r>
      <w:r>
        <w:rPr>
          <w:rFonts w:ascii="Times New Roman;Times;serif" w:hAnsi="Times New Roman;Times;serif"/>
          <w:color w:val="0000FF"/>
          <w:sz w:val="24"/>
          <w:u w:val="single"/>
        </w:rPr>
        <w:t xml:space="preserve">” </w:t>
      </w:r>
      <w:bookmarkStart w:id="1512" w:name="_Hlk183420205"/>
      <w:bookmarkEnd w:id="1512"/>
      <w:r>
        <w:rPr>
          <w:rFonts w:ascii="Times" w:hAnsi="Times"/>
          <w:color w:val="0000FF"/>
          <w:sz w:val="24"/>
          <w:u w:val="single"/>
        </w:rPr>
        <w:t>means, as of any date of determination, each Eligible Mortgage Receivable that has been designated as an “Unencumbered Mortgage Receivable” in accordance with the provisions of this Agreement and has not otherwise been excluded or removed from the Unencumbered Pool.</w:t>
      </w:r>
      <w:bookmarkStart w:id="1513" w:name="_cp_change_50"/>
      <w:bookmarkEnd w:id="1513"/>
    </w:p>
    <w:p>
      <w:pPr>
        <w:pStyle w:val="TextBody"/>
        <w:bidi w:val="0"/>
        <w:spacing w:before="0" w:after="240"/>
        <w:ind w:left="0" w:right="0" w:firstLine="720"/>
        <w:jc w:val="both"/>
        <w:rPr/>
      </w:pPr>
      <w:r>
        <w:rPr/>
        <w:t>“</w:t>
      </w:r>
      <w:r>
        <w:rPr>
          <w:rFonts w:ascii="Times" w:hAnsi="Times"/>
          <w:i/>
          <w:sz w:val="24"/>
        </w:rPr>
        <w:t>Unencumbered Pool</w:t>
      </w:r>
      <w:r>
        <w:rPr>
          <w:rFonts w:ascii="Times New Roman;Times;serif" w:hAnsi="Times New Roman;Times;serif"/>
          <w:sz w:val="24"/>
        </w:rPr>
        <w:t xml:space="preserve">” </w:t>
      </w:r>
      <w:r>
        <w:rPr>
          <w:rFonts w:ascii="Times" w:hAnsi="Times"/>
          <w:sz w:val="24"/>
        </w:rPr>
        <w:t>means, as of any date of determination, the collective reference to all Unencumbered Assets as of such date.</w:t>
      </w:r>
    </w:p>
    <w:p>
      <w:pPr>
        <w:pStyle w:val="TextBody"/>
        <w:bidi w:val="0"/>
        <w:spacing w:before="0" w:after="240"/>
        <w:ind w:left="0" w:right="0" w:firstLine="720"/>
        <w:jc w:val="both"/>
        <w:rPr/>
      </w:pPr>
      <w:r>
        <w:rPr/>
        <w:t>“</w:t>
      </w:r>
      <w:r>
        <w:rPr>
          <w:rFonts w:ascii="Times" w:hAnsi="Times"/>
          <w:i/>
          <w:sz w:val="24"/>
        </w:rPr>
        <w:t>Unencumbered Pool Determination Date</w:t>
      </w:r>
      <w:r>
        <w:rPr>
          <w:rFonts w:ascii="Times New Roman;Times;serif" w:hAnsi="Times New Roman;Times;serif"/>
          <w:sz w:val="24"/>
        </w:rPr>
        <w:t xml:space="preserve">” </w:t>
      </w:r>
      <w:r>
        <w:rPr>
          <w:rFonts w:ascii="Times" w:hAnsi="Times"/>
          <w:sz w:val="24"/>
        </w:rPr>
        <w:t>means each date on which the Unencumbered Pool is certified in writing to the Administrative Agent, as follows:</w:t>
      </w:r>
    </w:p>
    <w:p>
      <w:pPr>
        <w:pStyle w:val="TextBody"/>
        <w:bidi w:val="0"/>
        <w:spacing w:before="0" w:after="240"/>
        <w:ind w:left="720" w:right="0" w:hanging="0"/>
        <w:jc w:val="both"/>
        <w:rPr>
          <w:rFonts w:ascii="Times New Roman;Times;serif" w:hAnsi="Times New Roman;Times;serif"/>
          <w:sz w:val="24"/>
        </w:rPr>
      </w:pPr>
      <w:r>
        <w:rPr>
          <w:rFonts w:ascii="Times" w:hAnsi="Times"/>
          <w:sz w:val="24"/>
        </w:rPr>
        <w:t>(a)</w:t>
      </w:r>
      <w:r>
        <w:rPr>
          <w:rFonts w:ascii="Times" w:hAnsi="Times"/>
          <w:i/>
          <w:sz w:val="24"/>
        </w:rPr>
        <w:t>Quarterly</w:t>
      </w:r>
      <w:r>
        <w:rPr>
          <w:rFonts w:ascii="Times" w:hAnsi="Times"/>
          <w:sz w:val="24"/>
        </w:rPr>
        <w:t>.  As of the last day of each</w:t>
      </w:r>
      <w:r>
        <w:rPr>
          <w:rFonts w:ascii="Times New Roman;Times;serif" w:hAnsi="Times New Roman;Times;serif"/>
          <w:sz w:val="24"/>
        </w:rPr>
        <w:t xml:space="preserve"> </w:t>
      </w:r>
      <w:r>
        <w:rPr>
          <w:rFonts w:ascii="Times" w:hAnsi="Times"/>
          <w:sz w:val="24"/>
        </w:rPr>
        <w:t xml:space="preserve">Fiscal Quarter. </w:t>
      </w:r>
    </w:p>
    <w:p>
      <w:pPr>
        <w:pStyle w:val="TextBody"/>
        <w:bidi w:val="0"/>
        <w:spacing w:before="0" w:after="240"/>
        <w:ind w:left="720" w:right="0" w:hanging="0"/>
        <w:jc w:val="both"/>
        <w:rPr>
          <w:rFonts w:ascii="Times New Roman;Times;serif" w:hAnsi="Times New Roman;Times;serif"/>
          <w:sz w:val="24"/>
        </w:rPr>
      </w:pPr>
      <w:r>
        <w:rPr>
          <w:rFonts w:ascii="Times" w:hAnsi="Times"/>
          <w:sz w:val="24"/>
        </w:rPr>
        <w:t>(b)</w:t>
      </w:r>
      <w:r>
        <w:rPr>
          <w:rFonts w:ascii="Times" w:hAnsi="Times"/>
          <w:i/>
          <w:sz w:val="24"/>
        </w:rPr>
        <w:t>Property Adjustments</w:t>
      </w:r>
      <w:r>
        <w:rPr>
          <w:rFonts w:ascii="Times" w:hAnsi="Times"/>
          <w:sz w:val="24"/>
        </w:rPr>
        <w:t>.  Following each addition or deletion of an Unencumbered Assets, the Unencumbered Asset Value shall be adjusted accordingly.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Unencumbered Pool NOI” </w:t>
      </w:r>
      <w:r>
        <w:rPr>
          <w:rFonts w:ascii="Times" w:hAnsi="Times"/>
          <w:sz w:val="24"/>
        </w:rPr>
        <w:t xml:space="preserve">means for the most recent Rolling Period, the aggregate Property NOI attributable to the Unencumbered </w:t>
      </w:r>
      <w:bookmarkStart w:id="1514" w:name="_cp_change_52"/>
      <w:bookmarkEnd w:id="1514"/>
      <w:r>
        <w:rPr>
          <w:rFonts w:ascii="Times" w:hAnsi="Times"/>
          <w:color w:val="0000FF"/>
          <w:sz w:val="24"/>
          <w:u w:val="single"/>
        </w:rPr>
        <w:t xml:space="preserve">Real Property </w:t>
      </w:r>
      <w:r>
        <w:rPr>
          <w:rFonts w:ascii="Times" w:hAnsi="Times"/>
          <w:sz w:val="24"/>
        </w:rPr>
        <w:t>Assets.</w:t>
      </w:r>
    </w:p>
    <w:p>
      <w:pPr>
        <w:pStyle w:val="TextBody"/>
        <w:bidi w:val="0"/>
        <w:spacing w:before="0" w:after="240"/>
        <w:ind w:left="0" w:right="0" w:firstLine="720"/>
        <w:jc w:val="both"/>
        <w:rPr/>
      </w:pPr>
      <w:r>
        <w:rPr/>
        <w:t>“</w:t>
      </w:r>
      <w:r>
        <w:rPr>
          <w:rFonts w:ascii="Times" w:hAnsi="Times"/>
          <w:i/>
          <w:sz w:val="24"/>
        </w:rPr>
        <w:t>Unencumbered Pool Requirements”</w:t>
      </w:r>
      <w:r>
        <w:rPr>
          <w:rFonts w:ascii="Times New Roman;Times;serif" w:hAnsi="Times New Roman;Times;serif"/>
          <w:sz w:val="24"/>
        </w:rPr>
        <w:t xml:space="preserve"> </w:t>
      </w:r>
      <w:r>
        <w:rPr>
          <w:rFonts w:ascii="Times" w:hAnsi="Times"/>
          <w:sz w:val="24"/>
        </w:rPr>
        <w:t xml:space="preserve">means with respect to determining compliance with the covenants set forth in Sections 8.20(e) and 8.20(f), collectively that (a) at all times the Unencumbered Pool shall have no less than twenty (20) Unencumbered </w:t>
      </w:r>
      <w:bookmarkStart w:id="1515" w:name="_cp_change_53"/>
      <w:bookmarkEnd w:id="1515"/>
      <w:r>
        <w:rPr>
          <w:rFonts w:ascii="Times" w:hAnsi="Times"/>
          <w:color w:val="0000FF"/>
          <w:sz w:val="24"/>
          <w:u w:val="single"/>
        </w:rPr>
        <w:t xml:space="preserve">Real Property </w:t>
      </w:r>
      <w:r>
        <w:rPr>
          <w:rFonts w:ascii="Times" w:hAnsi="Times"/>
          <w:sz w:val="24"/>
        </w:rPr>
        <w:t xml:space="preserve">Assets; (b) the Unencumbered Asset Value shall at all times be equal to or in excess of $200,000,000; (c) no more than 25% of the Unencumbered Asset Value may be attributable to any one Unencumbered Asset (for the avoidance of doubt, an Unencumbered Asset that exceeds this sublimit may be included in the calculation of Unencumbered Asset Value; </w:t>
      </w:r>
      <w:r>
        <w:rPr>
          <w:rFonts w:ascii="Times" w:hAnsi="Times"/>
          <w:i/>
          <w:sz w:val="24"/>
        </w:rPr>
        <w:t>provided, that</w:t>
      </w:r>
      <w:r>
        <w:rPr>
          <w:rFonts w:ascii="Times New Roman;Times;serif" w:hAnsi="Times New Roman;Times;serif"/>
          <w:sz w:val="24"/>
        </w:rPr>
        <w:t xml:space="preserve"> </w:t>
      </w:r>
      <w:r>
        <w:rPr>
          <w:rFonts w:ascii="Times" w:hAnsi="Times"/>
          <w:sz w:val="24"/>
        </w:rPr>
        <w:t xml:space="preserve">any amount over 25% of the Unencumbered Asset Value is excluded from the calculation of the Unencumbered Asset Value); (d) no more than 20% of Unencumbered Asset Value may be attributable to any single Tenant, unless such Tenant’s Rating is equal to or better than BBB-/Baa3 from S&amp;P or Moody’s (a </w:t>
      </w:r>
      <w:r>
        <w:rPr>
          <w:rFonts w:ascii="Times New Roman;Times;serif" w:hAnsi="Times New Roman;Times;serif"/>
          <w:sz w:val="24"/>
        </w:rPr>
        <w:t>“</w:t>
      </w:r>
      <w:r>
        <w:rPr>
          <w:rFonts w:ascii="Times" w:hAnsi="Times"/>
          <w:i/>
          <w:sz w:val="24"/>
        </w:rPr>
        <w:t>Prime Tenant”</w:t>
      </w:r>
      <w:r>
        <w:rPr>
          <w:rFonts w:ascii="Times" w:hAnsi="Times"/>
          <w:sz w:val="24"/>
        </w:rPr>
        <w:t>), respectively (for the avoidance of doubt, to the extent that any single Tenant, other than a Prime Tenant, exceeds this sublimit, the related Unencumbered Assets</w:t>
      </w:r>
      <w:r>
        <w:rPr>
          <w:rFonts w:ascii="Times New Roman;Times;serif" w:hAnsi="Times New Roman;Times;serif"/>
          <w:sz w:val="24"/>
        </w:rPr>
        <w:t xml:space="preserve"> </w:t>
      </w:r>
      <w:r>
        <w:rPr>
          <w:rFonts w:ascii="Times" w:hAnsi="Times"/>
          <w:sz w:val="24"/>
        </w:rPr>
        <w:t xml:space="preserve">may be included in the calculation of Unencumbered Asset Value in an amount of up to 20% of the Unencumbered Asset Value); (e) no more than 15% of Unencumbered Asset Value may be attributable to Unencumbered </w:t>
      </w:r>
      <w:bookmarkStart w:id="1516" w:name="_cp_change_54"/>
      <w:bookmarkEnd w:id="1516"/>
      <w:r>
        <w:rPr>
          <w:rFonts w:ascii="Times" w:hAnsi="Times"/>
          <w:color w:val="0000FF"/>
          <w:sz w:val="24"/>
          <w:u w:val="single"/>
        </w:rPr>
        <w:t xml:space="preserve">Real Property </w:t>
      </w:r>
      <w:r>
        <w:rPr>
          <w:rFonts w:ascii="Times" w:hAnsi="Times"/>
          <w:sz w:val="24"/>
        </w:rPr>
        <w:t xml:space="preserve">Assets constituting Acceptable Leasehold Interests (for the avoidance of doubt, an Unencumbered </w:t>
      </w:r>
      <w:bookmarkStart w:id="1517" w:name="_cp_change_55"/>
      <w:bookmarkEnd w:id="1517"/>
      <w:r>
        <w:rPr>
          <w:rFonts w:ascii="Times" w:hAnsi="Times"/>
          <w:color w:val="0000FF"/>
          <w:sz w:val="24"/>
          <w:u w:val="single"/>
        </w:rPr>
        <w:t xml:space="preserve">Real Property </w:t>
      </w:r>
      <w:r>
        <w:rPr>
          <w:rFonts w:ascii="Times" w:hAnsi="Times"/>
          <w:sz w:val="24"/>
        </w:rPr>
        <w:t xml:space="preserve">Asset that exceeds this sublimit may be included in the calculation of Unencumbered Asset Value; </w:t>
      </w:r>
      <w:r>
        <w:rPr>
          <w:rFonts w:ascii="Times" w:hAnsi="Times"/>
          <w:i/>
          <w:sz w:val="24"/>
        </w:rPr>
        <w:t>provided</w:t>
      </w:r>
      <w:r>
        <w:rPr>
          <w:rFonts w:ascii="Times" w:hAnsi="Times"/>
          <w:sz w:val="24"/>
        </w:rPr>
        <w:t xml:space="preserve">, that any amount over 15% of the Unencumbered Asset Value is excluded from the calculation of the Unencumbered Asset Value); (f) the Unencumbered </w:t>
      </w:r>
      <w:bookmarkStart w:id="1518" w:name="_cp_change_56"/>
      <w:bookmarkEnd w:id="1518"/>
      <w:r>
        <w:rPr>
          <w:rFonts w:ascii="Times" w:hAnsi="Times"/>
          <w:color w:val="0000FF"/>
          <w:sz w:val="24"/>
          <w:u w:val="single"/>
        </w:rPr>
        <w:t xml:space="preserve">Real Property </w:t>
      </w:r>
      <w:r>
        <w:rPr>
          <w:rFonts w:ascii="Times" w:hAnsi="Times"/>
          <w:sz w:val="24"/>
        </w:rPr>
        <w:t xml:space="preserve">Assets must have an aggregate Occupancy Rate of at least 85%; </w:t>
      </w:r>
      <w:bookmarkStart w:id="1519" w:name="_cp_change_57"/>
      <w:bookmarkEnd w:id="1519"/>
      <w:r>
        <w:rPr>
          <w:rFonts w:ascii="Times" w:hAnsi="Times"/>
          <w:color w:val="FF0000"/>
          <w:sz w:val="24"/>
        </w:rPr>
        <w:t xml:space="preserve">and </w:t>
      </w:r>
      <w:r>
        <w:rPr>
          <w:rFonts w:ascii="Times" w:hAnsi="Times"/>
          <w:sz w:val="24"/>
        </w:rPr>
        <w:t xml:space="preserve">(g) no more than 25% of the Unencumbered Asset Value may be attributable to Unencumbered </w:t>
      </w:r>
      <w:bookmarkStart w:id="1520" w:name="_cp_change_58"/>
      <w:bookmarkEnd w:id="1520"/>
      <w:r>
        <w:rPr>
          <w:rFonts w:ascii="Times" w:hAnsi="Times"/>
          <w:color w:val="0000FF"/>
          <w:sz w:val="24"/>
          <w:u w:val="single"/>
        </w:rPr>
        <w:t xml:space="preserve">Real Property </w:t>
      </w:r>
      <w:r>
        <w:rPr>
          <w:rFonts w:ascii="Times" w:hAnsi="Times"/>
          <w:sz w:val="24"/>
        </w:rPr>
        <w:t xml:space="preserve">Assets which are located in the same MSA (for the avoidance of doubt, an Unencumbered </w:t>
      </w:r>
      <w:bookmarkStart w:id="1521" w:name="_cp_change_59"/>
      <w:bookmarkEnd w:id="1521"/>
      <w:r>
        <w:rPr>
          <w:rFonts w:ascii="Times" w:hAnsi="Times"/>
          <w:color w:val="0000FF"/>
          <w:sz w:val="24"/>
          <w:u w:val="single"/>
        </w:rPr>
        <w:t xml:space="preserve">Real Property </w:t>
      </w:r>
      <w:r>
        <w:rPr>
          <w:rFonts w:ascii="Times" w:hAnsi="Times"/>
          <w:sz w:val="24"/>
        </w:rPr>
        <w:t xml:space="preserve">Asset that exceeds this sublimit may be included in the calculation of Unencumbered Asset Value; </w:t>
      </w:r>
      <w:r>
        <w:rPr>
          <w:rFonts w:ascii="Times" w:hAnsi="Times"/>
          <w:i/>
          <w:sz w:val="24"/>
        </w:rPr>
        <w:t>provided</w:t>
      </w:r>
      <w:r>
        <w:rPr>
          <w:rFonts w:ascii="Times" w:hAnsi="Times"/>
          <w:sz w:val="24"/>
        </w:rPr>
        <w:t>, that any amount over 25% of the Unencumbered Asset Value is excluded from the calculation of the Unencumbered Asset Value)</w:t>
      </w:r>
      <w:bookmarkStart w:id="1522" w:name="_cp_change_60"/>
      <w:bookmarkEnd w:id="1522"/>
      <w:r>
        <w:rPr>
          <w:rFonts w:ascii="Times" w:hAnsi="Times"/>
          <w:color w:val="FF0000"/>
          <w:sz w:val="24"/>
        </w:rPr>
        <w:t>.</w:t>
      </w:r>
      <w:bookmarkStart w:id="1523" w:name="_cp_change_61"/>
      <w:bookmarkEnd w:id="1523"/>
      <w:r>
        <w:rPr>
          <w:rFonts w:ascii="Times" w:hAnsi="Times"/>
          <w:color w:val="0000FF"/>
          <w:sz w:val="24"/>
          <w:u w:val="single"/>
        </w:rPr>
        <w:t xml:space="preserve">; (h) no more than 10% of the Unencumbered Asset Value may be attributable to Unencumbered Mortgage Receivables in the aggregate (for the avoidance of doubt, an Unencumbered Mortgage Receivable that exceeds this sublimit may be included in the calculation of Unencumbered Asset Value; </w:t>
      </w:r>
      <w:r>
        <w:rPr>
          <w:rFonts w:ascii="Times" w:hAnsi="Times"/>
          <w:i/>
          <w:color w:val="0000FF"/>
          <w:sz w:val="24"/>
        </w:rPr>
        <w:t>provided</w:t>
      </w:r>
      <w:r>
        <w:rPr>
          <w:rFonts w:ascii="Times" w:hAnsi="Times"/>
          <w:color w:val="0000FF"/>
          <w:sz w:val="24"/>
          <w:u w:val="single"/>
        </w:rPr>
        <w:t xml:space="preserve">, that any amount over 10% of the Unencumbered Asset Value is excluded from the calculation of the Unencumbered Asset Value); and (i) no more than 10% of the aggregate amount of the Unencumbered Pool Total Income may be attributable to cash interest income from Unencumbered Mortgage Receivables in the aggregate (for the avoidance of doubt, an Unencumbered Mortgage Receivable that exceeds this sublimit may be included in the calculation of Unencumbered Pool Total Income; </w:t>
      </w:r>
      <w:r>
        <w:rPr>
          <w:rFonts w:ascii="Times" w:hAnsi="Times"/>
          <w:i/>
          <w:color w:val="0000FF"/>
          <w:sz w:val="24"/>
        </w:rPr>
        <w:t>provided</w:t>
      </w:r>
      <w:r>
        <w:rPr>
          <w:rFonts w:ascii="Times" w:hAnsi="Times"/>
          <w:color w:val="0000FF"/>
          <w:sz w:val="24"/>
          <w:u w:val="single"/>
        </w:rPr>
        <w:t>, that any amount over 10% of the Unencumbered Pool Total Income attributable to Unencumbered Mortgage Receivables is excluded from the calculation of the Unencumbered Pool Total Income).</w:t>
      </w:r>
    </w:p>
    <w:p>
      <w:pPr>
        <w:pStyle w:val="TextBody"/>
        <w:bidi w:val="0"/>
        <w:spacing w:before="0" w:after="240"/>
        <w:ind w:left="0" w:right="0" w:firstLine="720"/>
        <w:jc w:val="both"/>
        <w:rPr/>
      </w:pPr>
      <w:bookmarkStart w:id="1524" w:name="_cp_change_63"/>
      <w:bookmarkEnd w:id="1524"/>
      <w:r>
        <w:rPr>
          <w:color w:val="0000FF"/>
          <w:u w:val="single"/>
        </w:rPr>
        <w:t>“</w:t>
      </w:r>
      <w:r>
        <w:rPr>
          <w:rFonts w:ascii="Times" w:hAnsi="Times"/>
          <w:i/>
          <w:color w:val="0000FF"/>
          <w:sz w:val="24"/>
        </w:rPr>
        <w:t>Unencumbered Pool Total Income</w:t>
      </w:r>
      <w:r>
        <w:rPr>
          <w:rFonts w:ascii="Times New Roman;Times;serif" w:hAnsi="Times New Roman;Times;serif"/>
          <w:color w:val="0000FF"/>
          <w:sz w:val="24"/>
          <w:u w:val="single"/>
        </w:rPr>
        <w:t xml:space="preserve">” </w:t>
      </w:r>
      <w:r>
        <w:rPr>
          <w:rFonts w:ascii="Times" w:hAnsi="Times"/>
          <w:color w:val="0000FF"/>
          <w:sz w:val="24"/>
          <w:u w:val="single"/>
        </w:rPr>
        <w:t xml:space="preserve">means for the most recent Rolling Period, the sum of (i) Unencumbered Pool NOI </w:t>
      </w:r>
      <w:r>
        <w:rPr>
          <w:rFonts w:ascii="Times" w:hAnsi="Times"/>
          <w:i/>
          <w:color w:val="0000FF"/>
          <w:sz w:val="24"/>
        </w:rPr>
        <w:t>plus</w:t>
      </w:r>
      <w:r>
        <w:rPr>
          <w:rFonts w:ascii="Times New Roman;Times;serif" w:hAnsi="Times New Roman;Times;serif"/>
          <w:color w:val="0000FF"/>
          <w:sz w:val="24"/>
          <w:u w:val="single"/>
        </w:rPr>
        <w:t xml:space="preserve"> </w:t>
      </w:r>
      <w:r>
        <w:rPr>
          <w:rFonts w:ascii="Times" w:hAnsi="Times"/>
          <w:color w:val="0000FF"/>
          <w:sz w:val="24"/>
          <w:u w:val="single"/>
        </w:rPr>
        <w:t xml:space="preserve">(ii) cash interest income actually received from Unencumbered Mortgage Receivables, in each case, for such Rolling Period; </w:t>
      </w:r>
      <w:r>
        <w:rPr>
          <w:rFonts w:ascii="Times" w:hAnsi="Times"/>
          <w:i/>
          <w:color w:val="0000FF"/>
          <w:sz w:val="24"/>
        </w:rPr>
        <w:t>provided</w:t>
      </w:r>
      <w:r>
        <w:rPr>
          <w:rFonts w:ascii="Times New Roman;Times;serif" w:hAnsi="Times New Roman;Times;serif"/>
          <w:color w:val="0000FF"/>
          <w:sz w:val="24"/>
          <w:u w:val="single"/>
        </w:rPr>
        <w:t xml:space="preserve"> </w:t>
      </w:r>
      <w:r>
        <w:rPr>
          <w:rFonts w:ascii="Times" w:hAnsi="Times"/>
          <w:color w:val="0000FF"/>
          <w:sz w:val="24"/>
          <w:u w:val="single"/>
        </w:rPr>
        <w:t>that Unencumbered Pool Total Income shall be reduced by excluding a portion of the cash interest income any Unencumbered Mortgage Receivables attributable to any Unencumbered Mortgage Receivables that exceed the concentration limits in the Unencumbered Pool Requirements.</w:t>
      </w:r>
      <w:bookmarkStart w:id="1525" w:name="_cp_change_62"/>
      <w:bookmarkEnd w:id="1525"/>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1526" w:name="_cp_change_64"/>
      <w:bookmarkEnd w:id="1526"/>
      <w:r>
        <w:rPr>
          <w:color w:val="0000FF"/>
          <w:u w:val="single"/>
        </w:rPr>
        <w:t>“</w:t>
      </w:r>
      <w:r>
        <w:rPr>
          <w:rFonts w:ascii="Times" w:hAnsi="Times"/>
          <w:i/>
          <w:color w:val="0000FF"/>
          <w:sz w:val="24"/>
        </w:rPr>
        <w:t>Unencumbered Real Property Asset</w:t>
      </w:r>
      <w:r>
        <w:rPr>
          <w:rFonts w:ascii="Times New Roman;Times;serif" w:hAnsi="Times New Roman;Times;serif"/>
          <w:color w:val="0000FF"/>
          <w:sz w:val="24"/>
          <w:u w:val="single"/>
        </w:rPr>
        <w:t xml:space="preserve">” </w:t>
      </w:r>
      <w:r>
        <w:rPr>
          <w:rFonts w:ascii="Times" w:hAnsi="Times"/>
          <w:color w:val="0000FF"/>
          <w:sz w:val="24"/>
          <w:u w:val="single"/>
        </w:rPr>
        <w:t xml:space="preserve">means, as of any date of determination, each </w:t>
      </w:r>
      <w:bookmarkStart w:id="1527" w:name="_cp_change_65"/>
      <w:bookmarkEnd w:id="1527"/>
      <w:r>
        <w:rPr>
          <w:rFonts w:ascii="Times" w:hAnsi="Times"/>
          <w:color w:val="008000"/>
          <w:sz w:val="24"/>
          <w:u w:val="single"/>
        </w:rPr>
        <w:t xml:space="preserve">Eligible Property that has been designated as an “Unencumbered </w:t>
      </w:r>
      <w:bookmarkStart w:id="1528" w:name="_cp_change_67"/>
      <w:bookmarkEnd w:id="1528"/>
      <w:r>
        <w:rPr>
          <w:rFonts w:ascii="Times" w:hAnsi="Times"/>
          <w:color w:val="0000FF"/>
          <w:sz w:val="24"/>
          <w:u w:val="single"/>
        </w:rPr>
        <w:t xml:space="preserve">Real Property </w:t>
      </w:r>
      <w:bookmarkStart w:id="1529" w:name="_cp_change_68"/>
      <w:bookmarkEnd w:id="1529"/>
      <w:r>
        <w:rPr>
          <w:rFonts w:ascii="Times" w:hAnsi="Times"/>
          <w:color w:val="008000"/>
          <w:sz w:val="24"/>
          <w:u w:val="single"/>
        </w:rPr>
        <w:t>Asset” in accordance with the provisions of this Agreement and has not otherwise been excluded or removed from the Unencumbered Pool.</w:t>
      </w:r>
      <w:bookmarkStart w:id="1530" w:name="_cp_change_70"/>
      <w:bookmarkEnd w:id="1530"/>
    </w:p>
    <w:p>
      <w:pPr>
        <w:pStyle w:val="TextBody"/>
        <w:bidi w:val="0"/>
        <w:spacing w:before="0" w:after="240"/>
        <w:ind w:left="0" w:right="0" w:firstLine="720"/>
        <w:jc w:val="both"/>
        <w:rPr/>
      </w:pPr>
      <w:r>
        <w:rPr/>
        <w:t>“</w:t>
      </w:r>
      <w:r>
        <w:rPr>
          <w:rFonts w:ascii="Times" w:hAnsi="Times"/>
          <w:i/>
          <w:sz w:val="24"/>
        </w:rPr>
        <w:t>Unfunded Vested Liabilities”</w:t>
      </w:r>
      <w:r>
        <w:rPr>
          <w:rFonts w:ascii="Times New Roman;Times;serif" w:hAnsi="Times New Roman;Times;serif"/>
          <w:sz w:val="24"/>
        </w:rPr>
        <w:t xml:space="preserve"> </w:t>
      </w:r>
      <w:r>
        <w:rPr>
          <w:rFonts w:ascii="Times" w:hAnsi="Times"/>
          <w:sz w:val="24"/>
        </w:rPr>
        <w:t>means, for any Plan at any time, the amount (if any) by 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pStyle w:val="TextBody"/>
        <w:bidi w:val="0"/>
        <w:spacing w:before="0" w:after="240"/>
        <w:ind w:left="0" w:right="0" w:firstLine="720"/>
        <w:jc w:val="both"/>
        <w:rPr/>
      </w:pPr>
      <w:r>
        <w:rPr/>
        <w:t>“</w:t>
      </w:r>
      <w:r>
        <w:rPr>
          <w:rFonts w:ascii="Times" w:hAnsi="Times"/>
          <w:i/>
          <w:sz w:val="24"/>
        </w:rPr>
        <w:t>Unsecured Indebtedness</w:t>
      </w:r>
      <w:r>
        <w:rPr>
          <w:rFonts w:ascii="Times New Roman;Times;serif" w:hAnsi="Times New Roman;Times;serif"/>
          <w:sz w:val="24"/>
        </w:rPr>
        <w:t xml:space="preserve">” </w:t>
      </w:r>
      <w:r>
        <w:rPr>
          <w:rFonts w:ascii="Times" w:hAnsi="Times"/>
          <w:sz w:val="24"/>
        </w:rPr>
        <w:t>means, all Indebtedness for Borrowed Money of the Parent and its Subsidiaries that does not constitute Secured Indebtedness.</w:t>
      </w:r>
    </w:p>
    <w:p>
      <w:pPr>
        <w:pStyle w:val="TextBody"/>
        <w:bidi w:val="0"/>
        <w:spacing w:before="0" w:after="240"/>
        <w:ind w:left="0" w:right="0" w:firstLine="720"/>
        <w:jc w:val="both"/>
        <w:rPr/>
      </w:pPr>
      <w:bookmarkStart w:id="1531" w:name="_Hlk115350273"/>
      <w:bookmarkEnd w:id="1531"/>
      <w:r>
        <w:rPr/>
        <w:t>“</w:t>
      </w:r>
      <w:r>
        <w:rPr>
          <w:rFonts w:ascii="Times" w:hAnsi="Times"/>
          <w:i/>
          <w:sz w:val="24"/>
        </w:rPr>
        <w:t>Unsecured Interest Expense</w:t>
      </w:r>
      <w:r>
        <w:rPr>
          <w:rFonts w:ascii="Times New Roman;Times;serif" w:hAnsi="Times New Roman;Times;serif"/>
          <w:sz w:val="24"/>
        </w:rPr>
        <w:t xml:space="preserve">” </w:t>
      </w:r>
      <w:r>
        <w:rPr>
          <w:rFonts w:ascii="Times" w:hAnsi="Times"/>
          <w:sz w:val="24"/>
        </w:rPr>
        <w:t>means, as of any date of determination and for any period, the annual interest expense that would have been payable on all Unsecured Indebtedness during such period assuming an interest rate equal to the greater of (i) the weighted average interest rate for such period applicable to all Unsecured Indebtedness as of such date of determination, (ii) 5.75% per annum and (iii) the 10-year treasury rate on the last day of such period plus 1.75%.</w:t>
      </w:r>
    </w:p>
    <w:p>
      <w:pPr>
        <w:pStyle w:val="TextBody"/>
        <w:bidi w:val="0"/>
        <w:spacing w:before="0" w:after="200"/>
        <w:ind w:left="0" w:right="0" w:firstLine="720"/>
        <w:jc w:val="both"/>
        <w:rPr/>
      </w:pPr>
      <w:r>
        <w:rPr/>
        <w:t>“</w:t>
      </w:r>
      <w:r>
        <w:rPr>
          <w:rFonts w:ascii="Times" w:hAnsi="Times"/>
          <w:i/>
          <w:sz w:val="24"/>
        </w:rPr>
        <w:t>Unused Revolving Credit Commitments”</w:t>
      </w:r>
      <w:r>
        <w:rPr>
          <w:rFonts w:ascii="Times New Roman;Times;serif" w:hAnsi="Times New Roman;Times;serif"/>
          <w:sz w:val="24"/>
        </w:rPr>
        <w:t xml:space="preserve"> </w:t>
      </w:r>
      <w:r>
        <w:rPr>
          <w:rFonts w:ascii="Times" w:hAnsi="Times"/>
          <w:sz w:val="24"/>
        </w:rPr>
        <w:t>means, at any time, the difference between the Revolving Credit Commitments then in effect and the aggregate outstanding principal amount of Revolving Loans and L/C Obligations.</w:t>
      </w:r>
    </w:p>
    <w:p>
      <w:pPr>
        <w:pStyle w:val="TextBody"/>
        <w:bidi w:val="0"/>
        <w:spacing w:before="0" w:after="200"/>
        <w:ind w:left="0" w:right="0" w:firstLine="720"/>
        <w:jc w:val="both"/>
        <w:rPr/>
      </w:pPr>
      <w:r>
        <w:rPr/>
        <w:t>“</w:t>
      </w:r>
      <w:r>
        <w:rPr>
          <w:rFonts w:ascii="Times" w:hAnsi="Times"/>
          <w:i/>
          <w:sz w:val="24"/>
        </w:rPr>
        <w:t>U.S. Dollars”</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w:t>
      </w:r>
      <w:r>
        <w:rPr>
          <w:rFonts w:ascii="Times New Roman;Times;serif" w:hAnsi="Times New Roman;Times;serif"/>
          <w:sz w:val="24"/>
        </w:rPr>
        <w:t xml:space="preserve"> </w:t>
      </w:r>
      <w:r>
        <w:rPr>
          <w:rFonts w:ascii="Times" w:hAnsi="Times"/>
          <w:sz w:val="24"/>
        </w:rPr>
        <w:t>each means the lawful currency of the United States of America.</w:t>
      </w:r>
    </w:p>
    <w:p>
      <w:pPr>
        <w:pStyle w:val="TextBody"/>
        <w:bidi w:val="0"/>
        <w:spacing w:before="0" w:after="200"/>
        <w:ind w:left="0" w:right="0" w:firstLine="720"/>
        <w:jc w:val="both"/>
        <w:rPr/>
      </w:pPr>
      <w:r>
        <w:rPr/>
        <w:t>“</w:t>
      </w:r>
      <w:r>
        <w:rPr>
          <w:rFonts w:ascii="Times" w:hAnsi="Times"/>
          <w:i/>
          <w:sz w:val="24"/>
        </w:rPr>
        <w:t>Voting Stock”</w:t>
      </w:r>
      <w:r>
        <w:rPr>
          <w:rFonts w:ascii="Times New Roman;Times;serif" w:hAnsi="Times New Roman;Times;serif"/>
          <w:sz w:val="24"/>
        </w:rPr>
        <w:t xml:space="preserve"> </w:t>
      </w:r>
      <w:r>
        <w:rPr>
          <w:rFonts w:ascii="Times" w:hAnsi="Times"/>
          <w:sz w:val="24"/>
        </w:rPr>
        <w:t>of any Person means capital stock or other equity interests of any class or classes (however designated) having ordinary power for the election of directors or other similar governing body of such Person, other than stock or other equity interests having such power only by reason of the happening of a contingency.</w:t>
      </w:r>
    </w:p>
    <w:p>
      <w:pPr>
        <w:pStyle w:val="TextBody"/>
        <w:bidi w:val="0"/>
        <w:spacing w:before="0" w:after="200"/>
        <w:ind w:left="0" w:right="0" w:firstLine="720"/>
        <w:jc w:val="both"/>
        <w:rPr/>
      </w:pPr>
      <w:r>
        <w:rPr/>
        <w:t>“</w:t>
      </w:r>
      <w:r>
        <w:rPr>
          <w:rFonts w:ascii="Times" w:hAnsi="Times"/>
          <w:i/>
          <w:sz w:val="24"/>
        </w:rPr>
        <w:t>Welfare Plan”</w:t>
      </w:r>
      <w:r>
        <w:rPr>
          <w:rFonts w:ascii="Times New Roman;Times;serif" w:hAnsi="Times New Roman;Times;serif"/>
          <w:sz w:val="24"/>
        </w:rPr>
        <w:t xml:space="preserve"> </w:t>
      </w:r>
      <w:r>
        <w:rPr>
          <w:rFonts w:ascii="Times" w:hAnsi="Times"/>
          <w:sz w:val="24"/>
        </w:rPr>
        <w:t>means a “welfare plan” as defined in Section 3(1) of ERISA.</w:t>
      </w:r>
    </w:p>
    <w:p>
      <w:pPr>
        <w:pStyle w:val="TextBody"/>
        <w:bidi w:val="0"/>
        <w:spacing w:before="0" w:after="200"/>
        <w:ind w:left="0" w:right="0" w:firstLine="720"/>
        <w:jc w:val="both"/>
        <w:rPr/>
      </w:pPr>
      <w:r>
        <w:rPr/>
        <w:t>“</w:t>
      </w:r>
      <w:r>
        <w:rPr>
          <w:rFonts w:ascii="Times" w:hAnsi="Times"/>
          <w:i/>
          <w:sz w:val="24"/>
        </w:rPr>
        <w:t>Wholly-owned Subsidiary”</w:t>
      </w:r>
      <w:r>
        <w:rPr>
          <w:rFonts w:ascii="Times New Roman;Times;serif" w:hAnsi="Times New Roman;Times;serif"/>
          <w:sz w:val="24"/>
        </w:rPr>
        <w:t xml:space="preserve"> </w:t>
      </w:r>
      <w:r>
        <w:rPr>
          <w:rFonts w:ascii="Times" w:hAnsi="Times"/>
          <w:sz w:val="24"/>
        </w:rPr>
        <w:t>means a Subsidiary of which all of the issued and outstanding shares of capital stock (other than directors’ qualifying shares as required by law) or other equity interests are owned by the Borrower and/or one or more Wholly-owned Subsidiaries within the meaning of this definition.</w:t>
      </w:r>
    </w:p>
    <w:p>
      <w:pPr>
        <w:pStyle w:val="TextBody"/>
        <w:bidi w:val="0"/>
        <w:spacing w:before="0" w:after="0"/>
        <w:ind w:left="0" w:right="0" w:firstLine="720"/>
        <w:jc w:val="both"/>
        <w:rPr/>
      </w:pPr>
      <w:r>
        <w:rPr/>
        <w:t>“</w:t>
      </w:r>
      <w:r>
        <w:rPr>
          <w:rFonts w:ascii="Times" w:hAnsi="Times"/>
          <w:i/>
          <w:sz w:val="24"/>
        </w:rPr>
        <w:t>Write-Down and Conversion Powers”</w:t>
      </w:r>
      <w:r>
        <w:rPr>
          <w:rFonts w:ascii="Times New Roman;Times;serif" w:hAnsi="Times New Roman;Times;serif"/>
          <w:sz w:val="24"/>
        </w:rPr>
        <w:t xml:space="preserve"> </w:t>
      </w:r>
      <w:r>
        <w:rPr>
          <w:rFonts w:ascii="Times" w:hAnsi="Times"/>
          <w:sz w:val="24"/>
        </w:rPr>
        <w:t xml:space="preserve">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w:hAnsi="Times"/>
          <w:sz w:val="24"/>
        </w:rPr>
      </w:pPr>
      <w:r>
        <w:rPr>
          <w:rFonts w:ascii="Times" w:hAnsi="Times"/>
          <w:sz w:val="24"/>
        </w:rPr>
        <w:t>suspend any obligation in respect of that liability or any of the powers under that Bail-In Legislation that are related to or ancillary to any of those powers.</w:t>
      </w:r>
    </w:p>
    <w:p>
      <w:pPr>
        <w:pStyle w:val="TextBody"/>
        <w:bidi w:val="0"/>
        <w:spacing w:before="0" w:after="200"/>
        <w:ind w:left="0" w:right="0" w:hanging="0"/>
        <w:jc w:val="both"/>
        <w:rPr/>
      </w:pPr>
      <w:r>
        <w:rPr/>
        <w:t>●</w:t>
      </w:r>
      <w:bookmarkStart w:id="1532" w:name="_Toc115421253"/>
      <w:bookmarkEnd w:id="1532"/>
      <w:r>
        <w:rPr>
          <w:rFonts w:ascii="Times New Roman;Times;serif" w:hAnsi="Times New Roman;Times;serif"/>
          <w:sz w:val="24"/>
          <w:u w:val="single"/>
        </w:rPr>
        <w:t>Interpretation</w:t>
      </w:r>
      <w:r>
        <w:rPr>
          <w:rFonts w:ascii="Times New Roman;Times;serif" w:hAnsi="Times New Roman;Times;serif"/>
          <w:i/>
          <w:sz w:val="24"/>
        </w:rPr>
        <w:t>.</w:t>
      </w:r>
    </w:p>
    <w:p>
      <w:pPr>
        <w:pStyle w:val="TextBody"/>
        <w:bidi w:val="0"/>
        <w:spacing w:before="0" w:after="200"/>
        <w:jc w:val="both"/>
        <w:rPr>
          <w:rFonts w:ascii="Times New Roman;Times;serif" w:hAnsi="Times New Roman;Times;serif"/>
          <w:sz w:val="24"/>
        </w:rPr>
      </w:pPr>
      <w:r>
        <w:rPr>
          <w:rFonts w:ascii="Times New Roman;Times;serif" w:hAnsi="Times New Roman;Times;serif"/>
          <w:sz w:val="24"/>
        </w:rPr>
        <w:t>The foregoing definitions are equally applicable to both the singular and plural forms of the terms defined. The words “</w:t>
      </w:r>
      <w:r>
        <w:rPr>
          <w:rFonts w:ascii="Times New Roman;Times;serif" w:hAnsi="Times New Roman;Times;serif"/>
          <w:i/>
          <w:sz w:val="24"/>
        </w:rPr>
        <w:t>hereof”</w:t>
      </w:r>
      <w:r>
        <w:rPr>
          <w:rFonts w:ascii="Times New Roman;Times;serif" w:hAnsi="Times New Roman;Times;serif"/>
          <w:sz w:val="24"/>
        </w:rPr>
        <w:t>, “</w:t>
      </w:r>
      <w:r>
        <w:rPr>
          <w:rFonts w:ascii="Times New Roman;Times;serif" w:hAnsi="Times New Roman;Times;serif"/>
          <w:i/>
          <w:sz w:val="24"/>
        </w:rPr>
        <w:t>herein”</w:t>
      </w:r>
      <w:r>
        <w:rPr>
          <w:rFonts w:ascii="Times New Roman;Times;serif" w:hAnsi="Times New Roman;Times;serif"/>
          <w:sz w:val="24"/>
        </w:rPr>
        <w:t>, and “</w:t>
      </w:r>
      <w:r>
        <w:rPr>
          <w:rFonts w:ascii="Times New Roman;Times;serif" w:hAnsi="Times New Roman;Times;serif"/>
          <w:i/>
          <w:sz w:val="24"/>
        </w:rPr>
        <w:t xml:space="preserve">hereunder” </w:t>
      </w:r>
      <w:r>
        <w:rPr>
          <w:rFonts w:ascii="Times New Roman;Times;serif" w:hAnsi="Times New Roman;Times;serif"/>
          <w:sz w:val="24"/>
        </w:rPr>
        <w:t>and words 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pStyle w:val="TextBody"/>
        <w:bidi w:val="0"/>
        <w:spacing w:before="0" w:after="240"/>
        <w:ind w:left="0" w:right="0" w:hanging="0"/>
        <w:jc w:val="both"/>
        <w:rPr/>
      </w:pPr>
      <w:r>
        <w:rPr/>
        <w:t>●</w:t>
      </w:r>
      <w:bookmarkStart w:id="1533" w:name="_Toc115421254"/>
      <w:bookmarkEnd w:id="1533"/>
      <w:r>
        <w:rPr>
          <w:rFonts w:ascii="Times New Roman;Times;serif" w:hAnsi="Times New Roman;Times;serif"/>
          <w:sz w:val="24"/>
          <w:u w:val="single"/>
        </w:rPr>
        <w:t>Change in Accounting Principles</w:t>
      </w:r>
      <w:r>
        <w:rPr>
          <w:rFonts w:ascii="Times New Roman;Times;serif" w:hAnsi="Times New Roman;Times;serif"/>
          <w:i/>
          <w:sz w:val="24"/>
        </w:rPr>
        <w:t>.</w:t>
      </w:r>
      <w:r>
        <w:rPr>
          <w:rFonts w:ascii="Times New Roman;Times;serif" w:hAnsi="Times New Roman;Times;serif"/>
          <w:sz w:val="24"/>
        </w:rPr>
        <w:t xml:space="preserve">  If, after the date of this Agreement, 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Parent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pStyle w:val="TextBody"/>
        <w:bidi w:val="0"/>
        <w:spacing w:before="0" w:after="240"/>
        <w:ind w:left="0" w:right="0" w:hanging="0"/>
        <w:jc w:val="both"/>
        <w:rPr/>
      </w:pPr>
      <w:r>
        <w:rPr/>
        <w:t>●</w:t>
      </w:r>
      <w:bookmarkStart w:id="1534" w:name="_Toc115421255"/>
      <w:bookmarkStart w:id="1535" w:name="_Toc97558763"/>
      <w:bookmarkStart w:id="1536" w:name="_Toc93574607"/>
      <w:bookmarkEnd w:id="1534"/>
      <w:bookmarkEnd w:id="1535"/>
      <w:bookmarkEnd w:id="1536"/>
      <w:r>
        <w:rPr>
          <w:rFonts w:ascii="Times New Roman;Times;serif" w:hAnsi="Times New Roman;Times;serif"/>
          <w:sz w:val="24"/>
          <w:u w:val="single"/>
        </w:rPr>
        <w:t>Rates</w:t>
      </w:r>
      <w:r>
        <w:rPr>
          <w:rFonts w:ascii="Times New Roman;Times;serif" w:hAnsi="Times New Roman;Times;serif"/>
          <w:sz w:val="24"/>
        </w:rPr>
        <w:t xml:space="preserve">. The interest rate on Loans denominated in U.S. Dollars may 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Base Rate, Daily Simple SOFR, Adjusted Daily Simple SOFR,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Daily Simple SOFR, Adjusted Daily Simple SOFR, the Term SOFR Reference Rate, Adjusted Term SOFR, Term SOFR or any other Benchmark prior to its discontinuance or unavailability, or (b) the effect, implementation or composition of any Conforming Changes.  The Administrative Agent and its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affiliates or other related entities may engage in transactions that affect the calculation of the Base Rate, Daily Simple SOFR, Adjusted Daily Simple SOFR,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Daily Simple SOFR, Adjusted Daily Simple SOFR,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connection with the use or administration of Daily Simple SOFR and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Daily Simple SOFR and Term SOFR.</w:t>
      </w:r>
    </w:p>
    <w:p>
      <w:pPr>
        <w:pStyle w:val="TextBody"/>
        <w:bidi w:val="0"/>
        <w:spacing w:before="0" w:after="0"/>
        <w:ind w:left="0" w:right="0" w:hanging="0"/>
        <w:jc w:val="both"/>
        <w:rPr/>
      </w:pPr>
      <w:r>
        <w:rPr/>
        <w:t>●</w:t>
      </w:r>
      <w:bookmarkStart w:id="1537" w:name="_Toc115421256"/>
      <w:bookmarkEnd w:id="1537"/>
      <w:r>
        <w:rPr>
          <w:rFonts w:ascii="Times New Roman;Times;serif" w:hAnsi="Times New Roman;Times;serif"/>
          <w:sz w:val="24"/>
          <w:u w:val="single"/>
        </w:rPr>
        <w:t>Divisions</w:t>
      </w:r>
      <w:r>
        <w:rPr>
          <w:rFonts w:ascii="Times New Roman;Times;serif" w:hAnsi="Times New Roman;Times;serif"/>
          <w:sz w:val="24"/>
        </w:rPr>
        <w:t>.  For all purposes under the Loan Documents, in connection with a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ind w:left="720" w:right="0" w:hanging="0"/>
        <w:jc w:val="both"/>
        <w:rPr/>
      </w:pPr>
      <w:r>
        <w:rPr>
          <w:caps/>
        </w:rPr>
        <w:t>●</w:t>
      </w:r>
      <w:bookmarkStart w:id="1538" w:name="_Toc115421257"/>
      <w:bookmarkEnd w:id="1538"/>
      <w:r>
        <w:rPr>
          <w:rFonts w:ascii="Times New Roman;Times;serif" w:hAnsi="Times New Roman;Times;serif"/>
          <w:caps/>
          <w:sz w:val="24"/>
        </w:rPr>
        <w:t>Representations and Warranties.</w:t>
      </w:r>
    </w:p>
    <w:p>
      <w:pPr>
        <w:pStyle w:val="TextBody"/>
        <w:bidi w:val="0"/>
        <w:spacing w:before="0" w:after="200"/>
        <w:ind w:left="0" w:right="0" w:firstLine="720"/>
        <w:jc w:val="both"/>
        <w:rPr>
          <w:rFonts w:ascii="Times" w:hAnsi="Times"/>
          <w:sz w:val="24"/>
        </w:rPr>
      </w:pPr>
      <w:r>
        <w:rPr>
          <w:rFonts w:ascii="Times" w:hAnsi="Times"/>
          <w:sz w:val="24"/>
        </w:rPr>
        <w:t>The Borrower represents and warrants to the Administrative Agent, and the Lenders as follows:</w:t>
      </w:r>
    </w:p>
    <w:p>
      <w:pPr>
        <w:pStyle w:val="TextBody"/>
        <w:bidi w:val="0"/>
        <w:spacing w:before="0" w:after="200"/>
        <w:ind w:left="0" w:right="0" w:hanging="0"/>
        <w:jc w:val="both"/>
        <w:rPr/>
      </w:pPr>
      <w:r>
        <w:rPr/>
        <w:t>●</w:t>
      </w:r>
      <w:bookmarkStart w:id="1539" w:name="_Toc115421258"/>
      <w:bookmarkEnd w:id="1539"/>
      <w:r>
        <w:rPr>
          <w:rFonts w:ascii="Times New Roman;Times;serif" w:hAnsi="Times New Roman;Times;serif"/>
          <w:sz w:val="24"/>
          <w:u w:val="single"/>
        </w:rPr>
        <w:t>Organization and Qualification; Limited Operations</w:t>
      </w:r>
      <w:r>
        <w:rPr>
          <w:rFonts w:ascii="Times New Roman;Times;serif" w:hAnsi="Times New Roman;Times;serif"/>
          <w:i/>
          <w:sz w:val="24"/>
        </w:rPr>
        <w:t>.</w:t>
      </w:r>
    </w:p>
    <w:p>
      <w:pPr>
        <w:pStyle w:val="TextBody"/>
        <w:bidi w:val="0"/>
        <w:spacing w:before="0" w:after="200"/>
        <w:jc w:val="both"/>
        <w:rPr>
          <w:rFonts w:ascii="Times New Roman;Times;serif" w:hAnsi="Times New Roman;Times;serif"/>
          <w:sz w:val="24"/>
        </w:rPr>
      </w:pPr>
      <w:r>
        <w:rPr>
          <w:rFonts w:ascii="Times New Roman;Times;serif" w:hAnsi="Times New Roman;Times;serif"/>
          <w:sz w:val="24"/>
        </w:rPr>
        <w:t xml:space="preserve">The Borrower is duly organized, validly existing, and in good standing as a limited partnership under the laws of the State of Delaware.  The Parent is duly organized, validly existing, and in good standing as a corporation under the laws of the State of Maryland.  Each of Parent and the Borrower has full and adequate power to own their respective Properties and </w:t>
      </w:r>
      <w:bookmarkStart w:id="1540" w:name="_cp_change_71"/>
      <w:bookmarkEnd w:id="1540"/>
      <w:r>
        <w:rPr>
          <w:rFonts w:ascii="Times New Roman;Times;serif" w:hAnsi="Times New Roman;Times;serif"/>
          <w:color w:val="0000FF"/>
          <w:sz w:val="24"/>
          <w:u w:val="single"/>
        </w:rPr>
        <w:t xml:space="preserve">other assets and </w:t>
      </w:r>
      <w:r>
        <w:rPr>
          <w:rFonts w:ascii="Times New Roman;Times;serif" w:hAnsi="Times New Roman;Times;serif"/>
          <w:sz w:val="24"/>
        </w:rPr>
        <w:t xml:space="preserve">conduct their respective businesses as now conducted, and are duly licensed or qualified and in good standing in each jurisdiction in which the nature of their respective businesses conducted by them or the nature of the Properties </w:t>
      </w:r>
      <w:bookmarkStart w:id="1541" w:name="_cp_change_72"/>
      <w:bookmarkEnd w:id="1541"/>
      <w:r>
        <w:rPr>
          <w:rFonts w:ascii="Times New Roman;Times;serif" w:hAnsi="Times New Roman;Times;serif"/>
          <w:color w:val="0000FF"/>
          <w:sz w:val="24"/>
          <w:u w:val="single"/>
        </w:rPr>
        <w:t xml:space="preserve">and other assets </w:t>
      </w:r>
      <w:r>
        <w:rPr>
          <w:rFonts w:ascii="Times New Roman;Times;serif" w:hAnsi="Times New Roman;Times;serif"/>
          <w:sz w:val="24"/>
        </w:rPr>
        <w:t>owned or leased by them requires such licensing or qualifying and where the failure to be so qualified could reasonably be expected to have, in each instance, a Material Adverse Effect.</w:t>
      </w:r>
    </w:p>
    <w:p>
      <w:pPr>
        <w:pStyle w:val="TextBody"/>
        <w:bidi w:val="0"/>
        <w:spacing w:before="0" w:after="200"/>
        <w:ind w:left="0" w:right="0" w:hanging="0"/>
        <w:jc w:val="both"/>
        <w:rPr/>
      </w:pPr>
      <w:r>
        <w:rPr/>
        <w:t>●</w:t>
      </w:r>
      <w:bookmarkStart w:id="1542" w:name="_Toc115421259"/>
      <w:bookmarkEnd w:id="1542"/>
      <w:r>
        <w:rPr>
          <w:rFonts w:ascii="Times New Roman;Times;serif" w:hAnsi="Times New Roman;Times;serif"/>
          <w:sz w:val="24"/>
          <w:u w:val="single"/>
        </w:rPr>
        <w:t>Subsidiaries</w:t>
      </w:r>
      <w:r>
        <w:rPr>
          <w:rFonts w:ascii="Times New Roman;Times;serif" w:hAnsi="Times New Roman;Times;serif"/>
          <w:sz w:val="24"/>
        </w:rPr>
        <w:t xml:space="preserve">.  Each Subsidiary is duly organized, validly existing, and in good standing under the laws of the jurisdiction in which it is organized, has full and adequate power to own its Property and </w:t>
      </w:r>
      <w:bookmarkStart w:id="1543" w:name="_cp_change_73"/>
      <w:bookmarkEnd w:id="1543"/>
      <w:r>
        <w:rPr>
          <w:rFonts w:ascii="Times New Roman;Times;serif" w:hAnsi="Times New Roman;Times;serif"/>
          <w:color w:val="0000FF"/>
          <w:sz w:val="24"/>
          <w:u w:val="single"/>
        </w:rPr>
        <w:t xml:space="preserve">other assets and </w:t>
      </w:r>
      <w:r>
        <w:rPr>
          <w:rFonts w:ascii="Times New Roman;Times;serif" w:hAnsi="Times New Roman;Times;serif"/>
          <w:sz w:val="24"/>
        </w:rPr>
        <w:t xml:space="preserve">conduct its business as now conducted, and is duly licensed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 xml:space="preserve">or qualified and in good standing in each jurisdiction in which the nature of the business conducted by it or the nature of the Property </w:t>
      </w:r>
      <w:bookmarkStart w:id="1544" w:name="_cp_change_74"/>
      <w:bookmarkEnd w:id="1544"/>
      <w:r>
        <w:rPr>
          <w:rFonts w:ascii="Times New Roman;Times;serif" w:hAnsi="Times New Roman;Times;serif"/>
          <w:color w:val="0000FF"/>
          <w:sz w:val="24"/>
          <w:u w:val="single"/>
        </w:rPr>
        <w:t xml:space="preserve">or other assets </w:t>
      </w:r>
      <w:r>
        <w:rPr>
          <w:rFonts w:ascii="Times New Roman;Times;serif" w:hAnsi="Times New Roman;Times;serif"/>
          <w:sz w:val="24"/>
        </w:rPr>
        <w:t>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pStyle w:val="TextBody"/>
        <w:bidi w:val="0"/>
        <w:spacing w:before="0" w:after="240"/>
        <w:ind w:left="0" w:right="0" w:hanging="0"/>
        <w:jc w:val="both"/>
        <w:rPr/>
      </w:pPr>
      <w:r>
        <w:rPr/>
        <w:t>●</w:t>
      </w:r>
      <w:bookmarkStart w:id="1545" w:name="_Toc115421260"/>
      <w:bookmarkEnd w:id="1545"/>
      <w:r>
        <w:rPr>
          <w:rFonts w:ascii="Times New Roman;Times;serif" w:hAnsi="Times New Roman;Times;serif"/>
          <w:sz w:val="24"/>
          <w:u w:val="single"/>
        </w:rPr>
        <w:t>Authority and Validity of Obligations</w:t>
      </w:r>
      <w:r>
        <w:rPr>
          <w:rFonts w:ascii="Times New Roman;Times;serif" w:hAnsi="Times New Roman;Times;serif"/>
          <w:sz w:val="24"/>
        </w:rPr>
        <w:t>.  The Borrower has full right and 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Times New Roman;Times;serif" w:hAnsi="Times New Roman;Times;serif"/>
          <w:i/>
          <w:sz w:val="24"/>
        </w:rPr>
        <w:t>e.g.,</w:t>
      </w:r>
      <w:r>
        <w:rPr>
          <w:rFonts w:ascii="Times New Roman;Times;serif" w:hAnsi="Times New Roman;Times;serif"/>
          <w:sz w:val="24"/>
        </w:rPr>
        <w:t xml:space="preserve"> charter, certificate or articles of incorporation and by-laws, certificate or articles of association and operating agreement, partnership agreement, or other similar organizational documents) of the Borrower or any Material Subsidiary, (b) contravene or constitute a default under any covenant, indenture or agreement of or affecting the Borrower or any Material Subsidiary or any of their </w:t>
      </w:r>
      <w:bookmarkStart w:id="1546" w:name="_cp_change_75"/>
      <w:bookmarkEnd w:id="1546"/>
      <w:r>
        <w:rPr>
          <w:rFonts w:ascii="Times New Roman;Times;serif" w:hAnsi="Times New Roman;Times;serif"/>
          <w:color w:val="FF0000"/>
          <w:sz w:val="24"/>
        </w:rPr>
        <w:t>Property</w:t>
      </w:r>
      <w:bookmarkStart w:id="1547" w:name="_cp_change_76"/>
      <w:bookmarkEnd w:id="1547"/>
      <w:r>
        <w:rPr>
          <w:rFonts w:ascii="Times New Roman;Times;serif" w:hAnsi="Times New Roman;Times;serif"/>
          <w:color w:val="0000FF"/>
          <w:sz w:val="24"/>
          <w:u w:val="single"/>
        </w:rPr>
        <w:t>Properties or other assets</w:t>
      </w:r>
      <w:r>
        <w:rPr>
          <w:rFonts w:ascii="Times New Roman;Times;serif" w:hAnsi="Times New Roman;Times;serif"/>
          <w:sz w:val="24"/>
        </w:rPr>
        <w:t xml:space="preserve">, in each case where such contravention or default, individually or in the aggregate, could reasonably be expected to have a Material Adverse Effect, or (c) result in the creation or imposition of any Lien on any Property </w:t>
      </w:r>
      <w:bookmarkStart w:id="1548" w:name="_cp_change_77"/>
      <w:bookmarkEnd w:id="1548"/>
      <w:r>
        <w:rPr>
          <w:rFonts w:ascii="Times New Roman;Times;serif" w:hAnsi="Times New Roman;Times;serif"/>
          <w:color w:val="0000FF"/>
          <w:sz w:val="24"/>
          <w:u w:val="single"/>
        </w:rPr>
        <w:t xml:space="preserve">or other assets </w:t>
      </w:r>
      <w:r>
        <w:rPr>
          <w:rFonts w:ascii="Times New Roman;Times;serif" w:hAnsi="Times New Roman;Times;serif"/>
          <w:sz w:val="24"/>
        </w:rPr>
        <w:t>of the Borrower or any Material Subsidiary (other than in favor of the Administrative Agent for its benefit and the benefit of the Lenders).</w:t>
      </w:r>
    </w:p>
    <w:p>
      <w:pPr>
        <w:pStyle w:val="TextBody"/>
        <w:bidi w:val="0"/>
        <w:spacing w:before="0" w:after="240"/>
        <w:ind w:left="0" w:right="0" w:hanging="0"/>
        <w:jc w:val="both"/>
        <w:rPr/>
      </w:pPr>
      <w:r>
        <w:rPr/>
        <w:t>●</w:t>
      </w:r>
      <w:bookmarkStart w:id="1549" w:name="_Toc115421261"/>
      <w:bookmarkEnd w:id="1549"/>
      <w:r>
        <w:rPr>
          <w:rFonts w:ascii="Times New Roman;Times;serif" w:hAnsi="Times New Roman;Times;serif"/>
          <w:sz w:val="24"/>
          <w:u w:val="single"/>
        </w:rPr>
        <w:t>Use of Proceeds; Margin Stock</w:t>
      </w:r>
      <w:r>
        <w:rPr>
          <w:rFonts w:ascii="Times New Roman;Times;serif" w:hAnsi="Times New Roman;Times;serif"/>
          <w:sz w:val="24"/>
        </w:rPr>
        <w:t xml:space="preserve">.  The Borrower shall use the proceeds of the Loans and Letters of Credit for its general corporate purposes, to refinance existing indebtedness, finance capital expenditures, real estate related investments (including investments permitted pursuant to Section 8.8 hereof), working capital and stock buybacks and for such other legal and proper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pStyle w:val="TextBody"/>
        <w:bidi w:val="0"/>
        <w:spacing w:before="0" w:after="240"/>
        <w:ind w:left="0" w:right="0" w:hanging="0"/>
        <w:jc w:val="both"/>
        <w:rPr/>
      </w:pPr>
      <w:r>
        <w:rPr/>
        <w:t>●</w:t>
      </w:r>
      <w:bookmarkStart w:id="1550" w:name="_Toc115421262"/>
      <w:bookmarkEnd w:id="1550"/>
      <w:r>
        <w:rPr>
          <w:rFonts w:ascii="Times New Roman;Times;serif" w:hAnsi="Times New Roman;Times;serif"/>
          <w:sz w:val="24"/>
          <w:u w:val="single"/>
        </w:rPr>
        <w:t>Financial Reports</w:t>
      </w:r>
      <w:r>
        <w:rPr>
          <w:rFonts w:ascii="Times New Roman;Times;serif" w:hAnsi="Times New Roman;Times;serif"/>
          <w:sz w:val="24"/>
        </w:rPr>
        <w:t>.  The consolidated results of operations of Parent for the year ended December 31, 2021 and the three months ended June 30, 2022, and accompanying notes thereto, which consolidated financial statements are accompanied by the unqualified audit report of independent public accountants, heretofore furnished to the Administrative Agent and the Lenders, fairly present the consolidated financial condition of Parent as at said date and the consolidated results of its operations and cash flows for the period then ended in conformity with GAAP applied on a consistent basis.  Neither Parent nor Borrower has any contingent liabilities which are material to it and are required to be set forth in its consolidated financial statements or notes thereto in accordance with GAAP other than as indicated on such consolidated financial statements and notes thereto and projected financial statements, including with respect to future periods, on the consolidated financial statements and projected financial statements furnished pursuant to Section 8.5 hereof.  </w:t>
      </w:r>
    </w:p>
    <w:p>
      <w:pPr>
        <w:pStyle w:val="TextBody"/>
        <w:bidi w:val="0"/>
        <w:spacing w:before="0" w:after="240"/>
        <w:ind w:left="0" w:right="0" w:hanging="0"/>
        <w:jc w:val="both"/>
        <w:rPr/>
      </w:pPr>
      <w:r>
        <w:rPr/>
        <w:t>●</w:t>
      </w:r>
      <w:bookmarkStart w:id="1551" w:name="_Toc115421263"/>
      <w:bookmarkEnd w:id="1551"/>
      <w:r>
        <w:rPr>
          <w:rFonts w:ascii="Times New Roman;Times;serif" w:hAnsi="Times New Roman;Times;serif"/>
          <w:sz w:val="24"/>
          <w:u w:val="single"/>
        </w:rPr>
        <w:t>No Material Adverse Effect</w:t>
      </w:r>
      <w:r>
        <w:rPr>
          <w:rFonts w:ascii="Times New Roman;Times;serif" w:hAnsi="Times New Roman;Times;serif"/>
          <w:i/>
          <w:sz w:val="24"/>
        </w:rPr>
        <w:t>.  </w:t>
      </w:r>
      <w:r>
        <w:rPr>
          <w:rFonts w:ascii="Times New Roman;Times;serif" w:hAnsi="Times New Roman;Times;serif"/>
          <w:sz w:val="24"/>
        </w:rPr>
        <w:t>Except as set forth on Schedule 6.6, since the date of delivery of the most recent financial statements delivered to the Administrative Agent pursuant to Section 8.5(c), there has been no event or circumstance individually or in the aggregate that has had or would reasonably be expected to have a Material Adverse Effect.</w:t>
      </w:r>
    </w:p>
    <w:p>
      <w:pPr>
        <w:pStyle w:val="TextBody"/>
        <w:bidi w:val="0"/>
        <w:spacing w:before="0" w:after="240"/>
        <w:ind w:left="0" w:right="0" w:hanging="0"/>
        <w:jc w:val="both"/>
        <w:rPr/>
      </w:pPr>
      <w:r>
        <w:rPr/>
        <w:t>●</w:t>
      </w:r>
      <w:bookmarkStart w:id="1552" w:name="_Toc115421264"/>
      <w:bookmarkEnd w:id="1552"/>
      <w:r>
        <w:rPr>
          <w:rFonts w:ascii="Times New Roman;Times;serif" w:hAnsi="Times New Roman;Times;serif"/>
          <w:sz w:val="24"/>
          <w:u w:val="single"/>
        </w:rPr>
        <w:t>Full Disclosure</w:t>
      </w:r>
      <w:r>
        <w:rPr>
          <w:rFonts w:ascii="Times New Roman;Times;serif" w:hAnsi="Times New Roman;Times;serif"/>
          <w:sz w:val="24"/>
        </w:rPr>
        <w:t>.  The statements and information furnished to the Administrative Agent and the Lenders in connection with the negotiation of this Agreement and the other Loan Documents and the commitments by the Lenders to provide all or part of the financing contemplated hereby do not contain any untrue statements (known by Borrower to be untrue) of a material fact known to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 the Borrower believed to be reasonable and (b) the financial information provided to the Administrative Agent and the Lenders is governed by Section 6.5 hereof.  The information included in the Beneficial Ownership Certification, as updated in accordance with Section 6.5(k), is true and correct in all respects.</w:t>
      </w:r>
    </w:p>
    <w:p>
      <w:pPr>
        <w:pStyle w:val="TextBody"/>
        <w:bidi w:val="0"/>
        <w:spacing w:before="0" w:after="240"/>
        <w:ind w:left="0" w:right="0" w:hanging="0"/>
        <w:jc w:val="both"/>
        <w:rPr/>
      </w:pPr>
      <w:r>
        <w:rPr/>
        <w:t>●</w:t>
      </w:r>
      <w:bookmarkStart w:id="1553" w:name="_Toc115421265"/>
      <w:bookmarkEnd w:id="1553"/>
      <w:r>
        <w:rPr>
          <w:rFonts w:ascii="Times New Roman;Times;serif" w:hAnsi="Times New Roman;Times;serif"/>
          <w:sz w:val="24"/>
          <w:u w:val="single"/>
        </w:rPr>
        <w:t>Trademarks, Franchises, and Licenses</w:t>
      </w:r>
      <w:r>
        <w:rPr>
          <w:rFonts w:ascii="Times New Roman;Times;serif" w:hAnsi="Times New Roman;Times;serif"/>
          <w:sz w:val="24"/>
        </w:rPr>
        <w:t xml:space="preserve">.  To Borrower’s knowledge, the 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trade style, copyright or other proprietary right of any other Person, which conflict could reasonably be expected to have a Material Adverse Effect.</w:t>
      </w:r>
    </w:p>
    <w:p>
      <w:pPr>
        <w:pStyle w:val="TextBody"/>
        <w:bidi w:val="0"/>
        <w:spacing w:before="0" w:after="240"/>
        <w:ind w:left="0" w:right="0" w:hanging="0"/>
        <w:jc w:val="both"/>
        <w:rPr/>
      </w:pPr>
      <w:r>
        <w:rPr/>
        <w:t>●</w:t>
      </w:r>
      <w:bookmarkStart w:id="1554" w:name="_Toc115421266"/>
      <w:bookmarkEnd w:id="1554"/>
      <w:r>
        <w:rPr>
          <w:rFonts w:ascii="Times New Roman;Times;serif" w:hAnsi="Times New Roman;Times;serif"/>
          <w:sz w:val="24"/>
          <w:u w:val="single"/>
        </w:rPr>
        <w:t>Governmental Authority and Licensing</w:t>
      </w:r>
      <w:r>
        <w:rPr>
          <w:rFonts w:ascii="Times New Roman;Times;serif" w:hAnsi="Times New Roman;Times;serif"/>
          <w:sz w:val="24"/>
        </w:rPr>
        <w:t>.  The Borrower and its 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pStyle w:val="TextBody"/>
        <w:bidi w:val="0"/>
        <w:spacing w:before="0" w:after="240"/>
        <w:ind w:left="0" w:right="0" w:hanging="0"/>
        <w:jc w:val="both"/>
        <w:rPr/>
      </w:pPr>
      <w:r>
        <w:rPr/>
        <w:t>●</w:t>
      </w:r>
      <w:bookmarkStart w:id="1555" w:name="_Toc115421267"/>
      <w:bookmarkEnd w:id="1555"/>
      <w:r>
        <w:rPr>
          <w:rFonts w:ascii="Times New Roman;Times;serif" w:hAnsi="Times New Roman;Times;serif"/>
          <w:sz w:val="24"/>
          <w:u w:val="single"/>
        </w:rPr>
        <w:t>Good Title</w:t>
      </w:r>
      <w:r>
        <w:rPr>
          <w:rFonts w:ascii="Times New Roman;Times;serif" w:hAnsi="Times New Roman;Times;serif"/>
          <w:sz w:val="24"/>
        </w:rPr>
        <w:t>.  The Borrower and its Subsidiaries have good and defensible title (or valid leasehold interests) to each Unencumbered Asset and their other material assets as reflected on the most recent consolidated balance sheet of Parent and its Subsidiaries furnished to the Administrative Agent and the Lenders (except for sales of assets in the ordinary course of business), subject to no Liens other than such thereof as are permitted by Section 8.7 hereof.</w:t>
      </w:r>
    </w:p>
    <w:p>
      <w:pPr>
        <w:pStyle w:val="TextBody"/>
        <w:bidi w:val="0"/>
        <w:spacing w:before="0" w:after="240"/>
        <w:ind w:left="0" w:right="0" w:hanging="0"/>
        <w:jc w:val="both"/>
        <w:rPr/>
      </w:pPr>
      <w:r>
        <w:rPr/>
        <w:t>●</w:t>
      </w:r>
      <w:bookmarkStart w:id="1556" w:name="_Toc115421268"/>
      <w:bookmarkEnd w:id="1556"/>
      <w:r>
        <w:rPr>
          <w:rFonts w:ascii="Times New Roman;Times;serif" w:hAnsi="Times New Roman;Times;serif"/>
          <w:sz w:val="24"/>
          <w:u w:val="single"/>
        </w:rPr>
        <w:t>Litigation and Other Controversies</w:t>
      </w:r>
      <w:r>
        <w:rPr>
          <w:rFonts w:ascii="Times New Roman;Times;serif" w:hAnsi="Times New Roman;Times;serif"/>
          <w:i/>
          <w:sz w:val="24"/>
        </w:rPr>
        <w:t>.</w:t>
      </w:r>
      <w:r>
        <w:rPr>
          <w:rFonts w:ascii="Times New Roman;Times;serif" w:hAnsi="Times New Roman;Times;serif"/>
          <w:sz w:val="24"/>
        </w:rPr>
        <w:t xml:space="preserve">  Except as set forth on Schedule 6.11, there is no litigation or governmental or arbitration proceeding or labor controversy pending, nor to the knowledge of the Borrower threatened, against the Borrower or any Subsidiary or any of their Property </w:t>
      </w:r>
      <w:bookmarkStart w:id="1557" w:name="_cp_change_78"/>
      <w:bookmarkEnd w:id="1557"/>
      <w:r>
        <w:rPr>
          <w:rFonts w:ascii="Times New Roman;Times;serif" w:hAnsi="Times New Roman;Times;serif"/>
          <w:color w:val="0000FF"/>
          <w:sz w:val="24"/>
          <w:u w:val="single"/>
        </w:rPr>
        <w:t xml:space="preserve">or other assets </w:t>
      </w:r>
      <w:r>
        <w:rPr>
          <w:rFonts w:ascii="Times New Roman;Times;serif" w:hAnsi="Times New Roman;Times;serif"/>
          <w:sz w:val="24"/>
        </w:rPr>
        <w:t>which individually or in the aggregate, could reasonably be expected to have a Material Adverse Effect.</w:t>
      </w:r>
    </w:p>
    <w:p>
      <w:pPr>
        <w:pStyle w:val="TextBody"/>
        <w:bidi w:val="0"/>
        <w:spacing w:before="0" w:after="240"/>
        <w:ind w:left="0" w:right="0" w:hanging="0"/>
        <w:jc w:val="both"/>
        <w:rPr/>
      </w:pPr>
      <w:r>
        <w:rPr/>
        <w:t>●</w:t>
      </w:r>
      <w:bookmarkStart w:id="1558" w:name="_Toc115421269"/>
      <w:bookmarkEnd w:id="1558"/>
      <w:r>
        <w:rPr>
          <w:rFonts w:ascii="Times New Roman;Times;serif" w:hAnsi="Times New Roman;Times;serif"/>
          <w:sz w:val="24"/>
          <w:u w:val="single"/>
        </w:rPr>
        <w:t>Taxes</w:t>
      </w:r>
      <w:r>
        <w:rPr>
          <w:rFonts w:ascii="Times New Roman;Times;serif" w:hAnsi="Times New Roman;Times;serif"/>
          <w:sz w:val="24"/>
        </w:rPr>
        <w:t xml:space="preserve">.  All material tax returns required to be filed by Parent or any Subsidiary in any jurisdiction have, in fact, been filed, and all taxes, assessments, fees, and other governmental charges upon Parent or any Subsidiary or upon any of its Property, </w:t>
      </w:r>
      <w:bookmarkStart w:id="1559" w:name="_cp_change_79"/>
      <w:bookmarkEnd w:id="1559"/>
      <w:r>
        <w:rPr>
          <w:rFonts w:ascii="Times New Roman;Times;serif" w:hAnsi="Times New Roman;Times;serif"/>
          <w:color w:val="0000FF"/>
          <w:sz w:val="24"/>
          <w:u w:val="single"/>
        </w:rPr>
        <w:t xml:space="preserve">other assets, </w:t>
      </w:r>
      <w:r>
        <w:rPr>
          <w:rFonts w:ascii="Times New Roman;Times;serif" w:hAnsi="Times New Roman;Times;serif"/>
          <w:sz w:val="24"/>
        </w:rPr>
        <w:t>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Parent has not received written notice of any proposed additional tax assessment against Parent or its Subsidiaries for which adequate provisions in accordance with GAAP have not been made on their accounts.  Adequate provisions in accordance with GAAP for taxes on the books of Parent and each Subsidiary have been made for all open years, and for its current fiscal period.</w:t>
      </w:r>
    </w:p>
    <w:p>
      <w:pPr>
        <w:pStyle w:val="TextBody"/>
        <w:bidi w:val="0"/>
        <w:spacing w:before="0" w:after="240"/>
        <w:ind w:left="0" w:right="0" w:hanging="0"/>
        <w:jc w:val="both"/>
        <w:rPr/>
      </w:pPr>
      <w:r>
        <w:rPr/>
        <w:t>●</w:t>
      </w:r>
      <w:bookmarkStart w:id="1560" w:name="_Toc115421270"/>
      <w:bookmarkEnd w:id="1560"/>
      <w:r>
        <w:rPr>
          <w:rFonts w:ascii="Times New Roman;Times;serif" w:hAnsi="Times New Roman;Times;serif"/>
          <w:sz w:val="24"/>
          <w:u w:val="single"/>
        </w:rPr>
        <w:t>Approvals</w:t>
      </w:r>
      <w:r>
        <w:rPr>
          <w:rFonts w:ascii="Times New Roman;Times;serif" w:hAnsi="Times New Roman;Times;serif"/>
          <w:sz w:val="24"/>
        </w:rPr>
        <w:t>.  Except those already received, no authorization, consent, license or exemption from, or filing or registration with, any court or governmental department, agency or instrumentality, nor any approval or consent of any other Person, is or will be necessary to the valid execution, delivery or performance by the Borrower or any Guarantor of any Loan Document.</w:t>
      </w:r>
    </w:p>
    <w:p>
      <w:pPr>
        <w:pStyle w:val="TextBody"/>
        <w:bidi w:val="0"/>
        <w:spacing w:before="0" w:after="240"/>
        <w:ind w:left="0" w:right="0" w:hanging="0"/>
        <w:jc w:val="both"/>
        <w:rPr/>
      </w:pPr>
      <w:r>
        <w:rPr/>
        <w:t>●</w:t>
      </w:r>
      <w:bookmarkStart w:id="1561" w:name="_Toc115421271"/>
      <w:bookmarkEnd w:id="1561"/>
      <w:r>
        <w:rPr>
          <w:rFonts w:ascii="Times New Roman;Times;serif" w:hAnsi="Times New Roman;Times;serif"/>
          <w:sz w:val="24"/>
          <w:u w:val="single"/>
        </w:rPr>
        <w:t>Affiliate Transactions</w:t>
      </w:r>
      <w:r>
        <w:rPr>
          <w:rFonts w:ascii="Times New Roman;Times;serif" w:hAnsi="Times New Roman;Times;serif"/>
          <w:i/>
          <w:sz w:val="24"/>
        </w:rPr>
        <w:t>.</w:t>
      </w:r>
      <w:r>
        <w:rPr>
          <w:rFonts w:ascii="Times New Roman;Times;serif" w:hAnsi="Times New Roman;Times;serif"/>
          <w:sz w:val="24"/>
        </w:rPr>
        <w:t xml:space="preserve">  Except as permitted by Section 8.14 hereof, none of 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1562" w:name="_Toc115421272"/>
      <w:bookmarkEnd w:id="1562"/>
      <w:r>
        <w:rPr>
          <w:rFonts w:ascii="Times New Roman;Times;serif" w:hAnsi="Times New Roman;Times;serif"/>
          <w:sz w:val="24"/>
          <w:u w:val="single"/>
        </w:rPr>
        <w:t>Investment Company</w:t>
      </w:r>
      <w:r>
        <w:rPr>
          <w:rFonts w:ascii="Times New Roman;Times;serif" w:hAnsi="Times New Roman;Times;serif"/>
          <w:i/>
          <w:sz w:val="24"/>
        </w:rPr>
        <w:t>.</w:t>
      </w:r>
      <w:r>
        <w:rPr>
          <w:rFonts w:ascii="Times New Roman;Times;serif" w:hAnsi="Times New Roman;Times;serif"/>
          <w:sz w:val="24"/>
        </w:rPr>
        <w:t xml:space="preserve">  None of the Borrower or any Subsidiary is an “investment company” or a company “controlled” by an “investment company” within the meaning of the Investment Company Act of 1940, as amended.  </w:t>
      </w:r>
    </w:p>
    <w:p>
      <w:pPr>
        <w:pStyle w:val="TextBody"/>
        <w:bidi w:val="0"/>
        <w:spacing w:before="0" w:after="240"/>
        <w:ind w:left="0" w:right="0" w:hanging="0"/>
        <w:jc w:val="both"/>
        <w:rPr/>
      </w:pPr>
      <w:r>
        <w:rPr/>
        <w:t>●</w:t>
      </w:r>
      <w:bookmarkStart w:id="1563" w:name="_Toc115421273"/>
      <w:bookmarkEnd w:id="1563"/>
      <w:r>
        <w:rPr>
          <w:rFonts w:ascii="Times New Roman;Times;serif" w:hAnsi="Times New Roman;Times;serif"/>
          <w:sz w:val="24"/>
          <w:u w:val="single"/>
        </w:rPr>
        <w:t>ERISA</w:t>
      </w:r>
      <w:r>
        <w:rPr>
          <w:rFonts w:ascii="Times New Roman;Times;serif" w:hAnsi="Times New Roman;Times;serif"/>
          <w:sz w:val="24"/>
        </w:rPr>
        <w:t>.  The Borrower and each other member of their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pStyle w:val="TextBody"/>
        <w:bidi w:val="0"/>
        <w:spacing w:before="0" w:after="240"/>
        <w:ind w:left="0" w:right="0" w:hanging="0"/>
        <w:jc w:val="both"/>
        <w:rPr/>
      </w:pPr>
      <w:r>
        <w:rPr/>
        <w:t>●</w:t>
      </w:r>
      <w:bookmarkStart w:id="1564" w:name="_Toc115421274"/>
      <w:bookmarkEnd w:id="1564"/>
      <w:r>
        <w:rPr>
          <w:rFonts w:ascii="Times New Roman;Times;serif" w:hAnsi="Times New Roman;Times;serif"/>
          <w:sz w:val="24"/>
          <w:u w:val="single"/>
        </w:rPr>
        <w:t>Compliance with Laws</w:t>
      </w:r>
      <w:r>
        <w:rPr>
          <w:rFonts w:ascii="Times New Roman;Times;serif" w:hAnsi="Times New Roman;Times;serif"/>
          <w:sz w:val="24"/>
        </w:rPr>
        <w:t>.  </w:t>
      </w:r>
    </w:p>
    <w:p>
      <w:pPr>
        <w:pStyle w:val="TextBody"/>
        <w:bidi w:val="0"/>
        <w:spacing w:before="0" w:after="240"/>
        <w:ind w:left="0" w:right="0" w:hanging="0"/>
        <w:jc w:val="both"/>
        <w:rPr/>
      </w:pPr>
      <w:r>
        <w:rPr/>
        <w:t>●</w:t>
      </w:r>
      <w:r>
        <w:rPr>
          <w:rFonts w:ascii="Times New Roman;Times;serif" w:hAnsi="Times New Roman;Times;serif"/>
          <w:sz w:val="24"/>
        </w:rPr>
        <w:t>The Borrower and its Subsidiaries are in compliance with the requirements of all federal, state and local laws, rules and regulations applicable to or pertaining to their Property</w:t>
      </w:r>
      <w:bookmarkStart w:id="1565" w:name="_cp_change_80"/>
      <w:bookmarkEnd w:id="1565"/>
      <w:r>
        <w:rPr>
          <w:rFonts w:ascii="Times New Roman;Times;serif" w:hAnsi="Times New Roman;Times;serif"/>
          <w:color w:val="0000FF"/>
          <w:sz w:val="24"/>
          <w:u w:val="single"/>
        </w:rPr>
        <w:t>, assets,</w:t>
      </w:r>
      <w:r>
        <w:rPr>
          <w:rFonts w:ascii="Times New Roman;Times;serif" w:hAnsi="Times New Roman;Times;serif"/>
          <w:sz w:val="24"/>
        </w:rPr>
        <w:t xml:space="preserve">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 </w:t>
      </w:r>
    </w:p>
    <w:p>
      <w:pPr>
        <w:pStyle w:val="TextBody"/>
        <w:bidi w:val="0"/>
        <w:spacing w:before="0" w:after="240"/>
        <w:ind w:left="0" w:right="0" w:hanging="0"/>
        <w:jc w:val="both"/>
        <w:rPr/>
      </w:pPr>
      <w:r>
        <w:rPr/>
        <w:t>●</w:t>
      </w:r>
      <w:r>
        <w:rPr>
          <w:rFonts w:ascii="Times New Roman;Times;serif" w:hAnsi="Times New Roman;Times;serif"/>
          <w:sz w:val="24"/>
        </w:rPr>
        <w:t xml:space="preserve">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 (v) 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w:t>
      </w:r>
      <w:r>
        <w:rPr>
          <w:rFonts w:ascii="Times New Roman;Times;serif" w:hAnsi="Times New Roman;Times;serif"/>
          <w:i/>
          <w:sz w:val="24"/>
        </w:rPr>
        <w:t xml:space="preserve">provided </w:t>
      </w:r>
      <w:r>
        <w:rPr>
          <w:rFonts w:ascii="Times New Roman;Times;serif" w:hAnsi="Times New Roman;Times;serif"/>
          <w:sz w:val="24"/>
        </w:rPr>
        <w:t>that the Administrative Agent shall be entitled to make only one (1) such request per property during the initial term of this Agreement unless an Event of Default has occurred and is continuing.</w:t>
      </w:r>
    </w:p>
    <w:p>
      <w:pPr>
        <w:pStyle w:val="TextBody"/>
        <w:bidi w:val="0"/>
        <w:spacing w:before="0" w:after="0"/>
        <w:ind w:left="0" w:right="0" w:hanging="0"/>
        <w:jc w:val="both"/>
        <w:rPr/>
      </w:pPr>
      <w:r>
        <w:rPr/>
        <w:t>●</w:t>
      </w:r>
      <w:r>
        <w:rPr>
          <w:rFonts w:ascii="Times New Roman;Times;serif" w:hAnsi="Times New Roman;Times;serif"/>
          <w:sz w:val="24"/>
        </w:rPr>
        <w:t>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pStyle w:val="TextBody"/>
        <w:bidi w:val="0"/>
        <w:spacing w:before="0" w:after="240"/>
        <w:ind w:left="0" w:right="0" w:hanging="0"/>
        <w:jc w:val="both"/>
        <w:rPr/>
      </w:pPr>
      <w:r>
        <w:rPr/>
        <w:t>●</w:t>
      </w:r>
      <w:bookmarkStart w:id="1566" w:name="_Toc115421275"/>
      <w:bookmarkEnd w:id="1566"/>
      <w:r>
        <w:rPr>
          <w:rFonts w:ascii="Times New Roman;Times;serif" w:hAnsi="Times New Roman;Times;serif"/>
          <w:sz w:val="24"/>
          <w:u w:val="single"/>
        </w:rPr>
        <w:t>OFAC</w:t>
      </w: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0"/>
        <w:ind w:left="0" w:right="0" w:hanging="0"/>
        <w:jc w:val="both"/>
        <w:rPr/>
      </w:pPr>
      <w:r>
        <w:rPr/>
        <w:t>●</w:t>
      </w:r>
      <w:r>
        <w:rPr>
          <w:rFonts w:ascii="Times New Roman;Times;serif" w:hAnsi="Times New Roman;Times;serif"/>
          <w:sz w:val="24"/>
        </w:rPr>
        <w:t>The Borrower is in compliance, in all material respects, with the requirements of all OFAC Sanctions Programs applicable to it, (b) each Subsidiary of the Borrower is in compliance, in all material respects, with the requirements of all OFAC Sanctions Programs applicable to such Subsidiary, (c) the Borrower has provided to the Administrative Agent and the Lenders all information regarding the Borrower and its Affiliates and Subsidiaries necessary for the Administrative Agent and the Lenders to comply with all applicable OFAC Sanctions Programs, and (d) neither the Borrower nor any of its Affiliates or Subsidiaries nor, to the knowledge of Borrower, any officer, director or Affiliate of any such Person or any of its Subsidiaries, is a person, that is, or is owned or controlled by Persons that are (i) the target of any OFAC Sanctions Programs or (ii) located, organized or resident in a country or territory that is, or whose government is, the subject of any OFAC Sanctions Programs.</w:t>
      </w:r>
    </w:p>
    <w:p>
      <w:pPr>
        <w:pStyle w:val="TextBody"/>
        <w:bidi w:val="0"/>
        <w:spacing w:before="0" w:after="240"/>
        <w:ind w:left="0" w:right="0" w:hanging="0"/>
        <w:jc w:val="both"/>
        <w:rPr/>
      </w:pPr>
      <w:r>
        <w:rPr/>
        <w:t>●</w:t>
      </w:r>
      <w:bookmarkStart w:id="1567" w:name="_Toc115421276"/>
      <w:bookmarkEnd w:id="1567"/>
      <w:r>
        <w:rPr>
          <w:rFonts w:ascii="Times New Roman;Times;serif" w:hAnsi="Times New Roman;Times;serif"/>
          <w:sz w:val="24"/>
          <w:u w:val="single"/>
        </w:rPr>
        <w:t>Other Agreements</w:t>
      </w:r>
      <w:r>
        <w:rPr>
          <w:rFonts w:ascii="Times New Roman;Times;serif" w:hAnsi="Times New Roman;Times;serif"/>
          <w:sz w:val="24"/>
        </w:rPr>
        <w:t xml:space="preserve">.  Neither the Borrower nor any Subsidiary is in default under the terms of any covenant, indenture or agreement of or affecting such Person or any of its </w:t>
      </w:r>
      <w:bookmarkStart w:id="1568" w:name="_cp_change_81"/>
      <w:bookmarkEnd w:id="1568"/>
      <w:r>
        <w:rPr>
          <w:rFonts w:ascii="Times New Roman;Times;serif" w:hAnsi="Times New Roman;Times;serif"/>
          <w:color w:val="FF0000"/>
          <w:sz w:val="24"/>
        </w:rPr>
        <w:t>Property</w:t>
      </w:r>
      <w:bookmarkStart w:id="1569" w:name="_cp_change_82"/>
      <w:bookmarkEnd w:id="1569"/>
      <w:r>
        <w:rPr>
          <w:rFonts w:ascii="Times New Roman;Times;serif" w:hAnsi="Times New Roman;Times;serif"/>
          <w:color w:val="0000FF"/>
          <w:sz w:val="24"/>
          <w:u w:val="single"/>
        </w:rPr>
        <w:t>Properties or other assets</w:t>
      </w:r>
      <w:r>
        <w:rPr>
          <w:rFonts w:ascii="Times New Roman;Times;serif" w:hAnsi="Times New Roman;Times;serif"/>
          <w:sz w:val="24"/>
        </w:rPr>
        <w:t xml:space="preserve">, which default could reasonably be expected to have a Material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Adverse Effect.  Neither the Borrower nor any Subsidiary shall enter into an amendment or modification of any contract or agreement which could, in the Responsible Officer’s business judgment, reasonably be expected to have a Material Adverse Effect.</w:t>
      </w:r>
    </w:p>
    <w:p>
      <w:pPr>
        <w:pStyle w:val="TextBody"/>
        <w:bidi w:val="0"/>
        <w:spacing w:before="0" w:after="240"/>
        <w:ind w:left="0" w:right="0" w:hanging="0"/>
        <w:jc w:val="both"/>
        <w:rPr/>
      </w:pPr>
      <w:r>
        <w:rPr/>
        <w:t>●</w:t>
      </w:r>
      <w:bookmarkStart w:id="1570" w:name="_Toc115421277"/>
      <w:bookmarkEnd w:id="1570"/>
      <w:r>
        <w:rPr>
          <w:rFonts w:ascii="Times New Roman;Times;serif" w:hAnsi="Times New Roman;Times;serif"/>
          <w:sz w:val="24"/>
          <w:u w:val="single"/>
        </w:rPr>
        <w:t>Solvency</w:t>
      </w:r>
      <w:r>
        <w:rPr>
          <w:rFonts w:ascii="Times New Roman;Times;serif" w:hAnsi="Times New Roman;Times;serif"/>
          <w:sz w:val="24"/>
        </w:rPr>
        <w:t>.  The Borrower and its Subsidiaries are solvent, able to pay their debts as they become due, and have sufficient capital to carry on their business and all businesses in which they are about to engage.  </w:t>
      </w:r>
    </w:p>
    <w:p>
      <w:pPr>
        <w:pStyle w:val="TextBody"/>
        <w:bidi w:val="0"/>
        <w:spacing w:before="0" w:after="240"/>
        <w:ind w:left="0" w:right="0" w:hanging="0"/>
        <w:jc w:val="both"/>
        <w:rPr/>
      </w:pPr>
      <w:r>
        <w:rPr/>
        <w:t>●</w:t>
      </w:r>
      <w:bookmarkStart w:id="1571" w:name="_Toc115421278"/>
      <w:bookmarkEnd w:id="1571"/>
      <w:r>
        <w:rPr>
          <w:rFonts w:ascii="Times New Roman;Times;serif" w:hAnsi="Times New Roman;Times;serif"/>
          <w:sz w:val="24"/>
          <w:u w:val="single"/>
        </w:rPr>
        <w:t>No Default</w:t>
      </w:r>
      <w:r>
        <w:rPr>
          <w:rFonts w:ascii="Times New Roman;Times;serif" w:hAnsi="Times New Roman;Times;serif"/>
          <w:i/>
          <w:sz w:val="24"/>
        </w:rPr>
        <w:t>.  </w:t>
      </w:r>
      <w:r>
        <w:rPr>
          <w:rFonts w:ascii="Times New Roman;Times;serif" w:hAnsi="Times New Roman;Times;serif"/>
          <w:sz w:val="24"/>
        </w:rPr>
        <w:t>No Default or Event of Default has occurred and is continuing.</w:t>
      </w:r>
    </w:p>
    <w:p>
      <w:pPr>
        <w:pStyle w:val="TextBody"/>
        <w:bidi w:val="0"/>
        <w:spacing w:before="0" w:after="240"/>
        <w:ind w:left="0" w:right="0" w:hanging="0"/>
        <w:jc w:val="both"/>
        <w:rPr/>
      </w:pPr>
      <w:r>
        <w:rPr/>
        <w:t>●</w:t>
      </w:r>
      <w:bookmarkStart w:id="1572" w:name="_Toc115421279"/>
      <w:bookmarkEnd w:id="1572"/>
      <w:r>
        <w:rPr>
          <w:rFonts w:ascii="Times New Roman;Times;serif" w:hAnsi="Times New Roman;Times;serif"/>
          <w:sz w:val="24"/>
          <w:u w:val="single"/>
        </w:rPr>
        <w:t>No Broker Fees</w:t>
      </w:r>
      <w:r>
        <w:rPr>
          <w:rFonts w:ascii="Times New Roman;Times;serif" w:hAnsi="Times New Roman;Times;serif"/>
          <w:i/>
          <w:sz w:val="24"/>
        </w:rPr>
        <w:t>.</w:t>
      </w:r>
      <w:r>
        <w:rPr>
          <w:rFonts w:ascii="Times New Roman;Times;serif" w:hAnsi="Times New Roman;Times;serif"/>
          <w:sz w:val="24"/>
        </w:rPr>
        <w:t xml:space="preserve">  No broker’s or finder’s fee or commission will be payable 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pStyle w:val="TextBody"/>
        <w:bidi w:val="0"/>
        <w:spacing w:before="0" w:after="240"/>
        <w:ind w:left="0" w:right="0" w:hanging="0"/>
        <w:jc w:val="both"/>
        <w:rPr/>
      </w:pPr>
      <w:r>
        <w:rPr/>
        <w:t>●</w:t>
      </w:r>
      <w:bookmarkStart w:id="1573" w:name="_Toc115421280"/>
      <w:bookmarkEnd w:id="1573"/>
      <w:r>
        <w:rPr>
          <w:rFonts w:ascii="Times New Roman;Times;serif" w:hAnsi="Times New Roman;Times;serif"/>
          <w:sz w:val="24"/>
          <w:u w:val="single"/>
        </w:rPr>
        <w:t>Condition of Property; Casualties; Condemnation</w:t>
      </w:r>
      <w:r>
        <w:rPr>
          <w:rFonts w:ascii="Times New Roman;Times;serif" w:hAnsi="Times New Roman;Times;serif"/>
          <w:sz w:val="24"/>
        </w:rPr>
        <w:t xml:space="preserve">.  Except as set forth in Schedule 6.23, each Property owned by the Borrower and each Subsidiary, in all material respects (a) is in good repair, working order and condition, normal wear and tear excepted, (b) 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 </w:t>
      </w:r>
      <w:r>
        <w:rPr>
          <w:rFonts w:ascii="Times New Roman;Times;serif" w:hAnsi="Times New Roman;Times;serif"/>
          <w:i/>
          <w:sz w:val="24"/>
        </w:rPr>
        <w:t>provided</w:t>
      </w:r>
      <w:r>
        <w:rPr>
          <w:rFonts w:ascii="Times New Roman;Times;serif" w:hAnsi="Times New Roman;Times;serif"/>
          <w:sz w:val="24"/>
        </w:rPr>
        <w:t xml:space="preserve"> that the Administrative Agent shall be entitled to make only one (1) such request during the initial term of this Agreement unless an Event of Default has occurred and is continuing.</w:t>
      </w:r>
    </w:p>
    <w:p>
      <w:pPr>
        <w:pStyle w:val="TextBody"/>
        <w:bidi w:val="0"/>
        <w:spacing w:before="0" w:after="240"/>
        <w:ind w:left="0" w:right="0" w:hanging="0"/>
        <w:jc w:val="both"/>
        <w:rPr/>
      </w:pPr>
      <w:r>
        <w:rPr/>
        <w:t>●</w:t>
      </w:r>
      <w:bookmarkStart w:id="1574" w:name="_Toc115421281"/>
      <w:bookmarkEnd w:id="1574"/>
      <w:r>
        <w:rPr>
          <w:rFonts w:ascii="Times New Roman;Times;serif" w:hAnsi="Times New Roman;Times;serif"/>
          <w:sz w:val="24"/>
          <w:u w:val="single"/>
        </w:rPr>
        <w:t>Legal Requirements and Zoning</w:t>
      </w:r>
      <w:r>
        <w:rPr>
          <w:rFonts w:ascii="Times New Roman;Times;serif" w:hAnsi="Times New Roman;Times;serif"/>
          <w:sz w:val="24"/>
        </w:rPr>
        <w:t xml:space="preserve">.  To Borrower’s knowledge, the use and operation of each Property owned by the Borrower and its Subsidiaries constitutes a legal use (including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  </w:t>
      </w:r>
    </w:p>
    <w:p>
      <w:pPr>
        <w:pStyle w:val="TextBody"/>
        <w:bidi w:val="0"/>
        <w:spacing w:before="0" w:after="240"/>
        <w:ind w:left="0" w:right="0" w:hanging="0"/>
        <w:jc w:val="both"/>
        <w:rPr/>
      </w:pPr>
      <w:r>
        <w:rPr/>
        <w:t>●</w:t>
      </w:r>
      <w:bookmarkStart w:id="1575" w:name="_Toc115421282"/>
      <w:bookmarkEnd w:id="1575"/>
      <w:r>
        <w:rPr>
          <w:rFonts w:ascii="Times New Roman;Times;serif" w:hAnsi="Times New Roman;Times;serif"/>
          <w:sz w:val="24"/>
          <w:u w:val="single"/>
        </w:rPr>
        <w:t>No Defaults; Landlord is in Compliance with Leases</w:t>
      </w:r>
      <w:r>
        <w:rPr>
          <w:rFonts w:ascii="Times New Roman;Times;serif" w:hAnsi="Times New Roman;Times;serif"/>
          <w:sz w:val="24"/>
        </w:rPr>
        <w:t>.  Except as disclosed to the Administrative Agent in writing in accordance with Section 8.5(l) hereof, none of the tenants occupying Properties owned by the Borrower, Material Subsidiaries or any other Subsidiary of the Borrower are in default for a period in excess of sixty (60) days or “materially past due” (in accordance with customary commercial practice) on the monthly contractual rent payments.</w:t>
      </w:r>
    </w:p>
    <w:p>
      <w:pPr>
        <w:pStyle w:val="TextBody"/>
        <w:bidi w:val="0"/>
        <w:spacing w:before="0" w:after="240"/>
        <w:ind w:left="0" w:right="0" w:hanging="0"/>
        <w:jc w:val="both"/>
        <w:rPr/>
      </w:pPr>
      <w:r>
        <w:rPr/>
        <w:t>●</w:t>
      </w:r>
      <w:bookmarkStart w:id="1576" w:name="_Toc115421283"/>
      <w:bookmarkEnd w:id="1576"/>
      <w:r>
        <w:rPr>
          <w:rFonts w:ascii="Times New Roman;Times;serif" w:hAnsi="Times New Roman;Times;serif"/>
          <w:sz w:val="24"/>
          <w:u w:val="single"/>
        </w:rPr>
        <w:t>Affected Financial Institution</w:t>
      </w:r>
      <w:r>
        <w:rPr>
          <w:rFonts w:ascii="Times New Roman;Times;serif" w:hAnsi="Times New Roman;Times;serif"/>
          <w:sz w:val="24"/>
        </w:rPr>
        <w:t>.  Neither Borrower nor any Subsidiary is an Affected Financial Institution.</w:t>
      </w:r>
    </w:p>
    <w:p>
      <w:pPr>
        <w:pStyle w:val="TextBody"/>
        <w:bidi w:val="0"/>
        <w:spacing w:before="0" w:after="240"/>
        <w:ind w:left="0" w:right="0" w:hanging="0"/>
        <w:jc w:val="both"/>
        <w:rPr/>
      </w:pPr>
      <w:r>
        <w:rPr/>
        <w:t>●</w:t>
      </w:r>
      <w:bookmarkStart w:id="1577" w:name="_Toc115421284"/>
      <w:bookmarkEnd w:id="1577"/>
      <w:r>
        <w:rPr>
          <w:rFonts w:ascii="Times New Roman;Times;serif" w:hAnsi="Times New Roman;Times;serif"/>
          <w:sz w:val="24"/>
          <w:u w:val="single"/>
        </w:rPr>
        <w:t>REIT Status</w:t>
      </w:r>
      <w:r>
        <w:rPr>
          <w:rFonts w:ascii="Times New Roman;Times;serif" w:hAnsi="Times New Roman;Times;serif"/>
          <w:sz w:val="24"/>
        </w:rPr>
        <w:t>.  Parent has elected to be taxed as a REIT and will continue to operate in a manner so as to qualify as a REIT, and (b) will not revoke its election to be taxed as a REIT.</w:t>
      </w:r>
    </w:p>
    <w:p>
      <w:pPr>
        <w:pStyle w:val="TextBody"/>
        <w:bidi w:val="0"/>
        <w:spacing w:before="0" w:after="0"/>
        <w:ind w:left="0" w:right="0" w:hanging="0"/>
        <w:jc w:val="both"/>
        <w:rPr/>
      </w:pPr>
      <w:r>
        <w:rPr/>
        <w:t>●</w:t>
      </w:r>
      <w:bookmarkStart w:id="1578" w:name="_Toc115421285"/>
      <w:bookmarkEnd w:id="1578"/>
      <w:r>
        <w:rPr>
          <w:rFonts w:ascii="Times New Roman;Times;serif" w:hAnsi="Times New Roman;Times;serif"/>
          <w:sz w:val="24"/>
          <w:u w:val="single"/>
        </w:rPr>
        <w:t>Covered Entities</w:t>
      </w:r>
      <w:r>
        <w:rPr>
          <w:rFonts w:ascii="Times New Roman;Times;serif" w:hAnsi="Times New Roman;Times;serif"/>
          <w:sz w:val="24"/>
        </w:rPr>
        <w:t>.  Borrower is not a Covered Entity.</w:t>
      </w:r>
    </w:p>
    <w:p>
      <w:pPr>
        <w:pStyle w:val="TextBody"/>
        <w:bidi w:val="0"/>
        <w:spacing w:before="0" w:after="240"/>
        <w:ind w:left="720" w:right="0" w:hanging="0"/>
        <w:jc w:val="both"/>
        <w:rPr/>
      </w:pPr>
      <w:r>
        <w:rPr>
          <w:caps/>
        </w:rPr>
        <w:t>●</w:t>
      </w:r>
      <w:bookmarkStart w:id="1579" w:name="_Toc115421286"/>
      <w:bookmarkStart w:id="1580" w:name="_Ref70341278"/>
      <w:bookmarkStart w:id="1581" w:name="_Ref70341174"/>
      <w:bookmarkStart w:id="1582" w:name="_Ref70341110"/>
      <w:bookmarkEnd w:id="1579"/>
      <w:bookmarkEnd w:id="1580"/>
      <w:bookmarkEnd w:id="1581"/>
      <w:bookmarkEnd w:id="1582"/>
      <w:r>
        <w:rPr>
          <w:rFonts w:ascii="Times New Roman;Times;serif" w:hAnsi="Times New Roman;Times;serif"/>
          <w:caps/>
          <w:sz w:val="24"/>
        </w:rPr>
        <w:t>Conditions Precedent.</w:t>
      </w:r>
    </w:p>
    <w:p>
      <w:pPr>
        <w:pStyle w:val="TextBody"/>
        <w:bidi w:val="0"/>
        <w:spacing w:before="0" w:after="240"/>
        <w:ind w:left="0" w:right="0" w:hanging="0"/>
        <w:jc w:val="both"/>
        <w:rPr/>
      </w:pPr>
      <w:r>
        <w:rPr/>
        <w:t>●</w:t>
      </w:r>
      <w:bookmarkStart w:id="1583" w:name="_Toc115421287"/>
      <w:bookmarkEnd w:id="1583"/>
      <w:r>
        <w:rPr>
          <w:rFonts w:ascii="Times New Roman;Times;serif" w:hAnsi="Times New Roman;Times;serif"/>
          <w:sz w:val="24"/>
          <w:u w:val="single"/>
        </w:rPr>
        <w:t>All Credit Events</w:t>
      </w:r>
      <w:r>
        <w:rPr>
          <w:rFonts w:ascii="Times New Roman;Times;serif" w:hAnsi="Times New Roman;Times;serif"/>
          <w:sz w:val="24"/>
        </w:rPr>
        <w:t>.  At the time of each Credit Event hereunder:</w:t>
      </w:r>
    </w:p>
    <w:p>
      <w:pPr>
        <w:pStyle w:val="TextBody"/>
        <w:bidi w:val="0"/>
        <w:spacing w:before="0" w:after="240"/>
        <w:ind w:left="0" w:right="0" w:hanging="0"/>
        <w:jc w:val="both"/>
        <w:rPr/>
      </w:pPr>
      <w:r>
        <w:rPr/>
        <w:t>●</w:t>
      </w:r>
      <w:r>
        <w:rPr>
          <w:rFonts w:ascii="Times New Roman;Times;serif" w:hAnsi="Times New Roman;Times;serif"/>
          <w:sz w:val="24"/>
        </w:rPr>
        <w:t>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pStyle w:val="TextBody"/>
        <w:bidi w:val="0"/>
        <w:spacing w:before="0" w:after="240"/>
        <w:ind w:left="0" w:right="0" w:hanging="0"/>
        <w:jc w:val="both"/>
        <w:rPr/>
      </w:pPr>
      <w:r>
        <w:rPr/>
        <w:t>●</w:t>
      </w:r>
      <w:r>
        <w:rPr>
          <w:rFonts w:ascii="Times New Roman;Times;serif" w:hAnsi="Times New Roman;Times;serif"/>
          <w:sz w:val="24"/>
        </w:rPr>
        <w:t>no Default or Event of Default shall have occurred and be continuing or would occur as a result of such Credit Event and, after giving effect to such Credit Event, the sum of the aggregate principal amount of Revolving Loans, Swing Loans and L/C Obligations outstanding, when taken together with the aggregate principal amount of Term Loans then outstanding, shall not exceed the Adjusted Availability;  </w:t>
      </w:r>
    </w:p>
    <w:p>
      <w:pPr>
        <w:pStyle w:val="TextBody"/>
        <w:bidi w:val="0"/>
        <w:spacing w:before="0" w:after="240"/>
        <w:ind w:left="0" w:right="0" w:hanging="0"/>
        <w:jc w:val="both"/>
        <w:rPr/>
      </w:pPr>
      <w:r>
        <w:rPr/>
        <w:t>●</w:t>
      </w:r>
      <w:r>
        <w:rPr>
          <w:rFonts w:ascii="Times New Roman;Times;serif" w:hAnsi="Times New Roman;Times;serif"/>
          <w:sz w:val="24"/>
        </w:rPr>
        <w:t xml:space="preserve">in the case of a Borrowing the Administrative Agent shall have received the notice required by Section 1.6 hereof, in the case of the issuance of any Letter of Credit, the L/C Issuer shall have received a duly completed Application for such Letter of Credit together with any fees called for by Section 2.1(b) hereof, and, in the case of an extension or increase in the amount of a Letter of Credit, a written request therefor in a form acceptable to the L/C Issuer together with fees called for by Section 2.1(b) hereof; </w:t>
      </w:r>
    </w:p>
    <w:p>
      <w:pPr>
        <w:pStyle w:val="TextBody"/>
        <w:bidi w:val="0"/>
        <w:ind w:left="0" w:right="0" w:hanging="0"/>
        <w:jc w:val="both"/>
        <w:rPr/>
      </w:pPr>
      <w:r>
        <w:rPr/>
        <w:t>●</w:t>
      </w:r>
      <w:r>
        <w:rPr>
          <w:rFonts w:ascii="Times New Roman;Times;serif" w:hAnsi="Times New Roman;Times;serif"/>
          <w:sz w:val="24"/>
        </w:rPr>
        <w:t xml:space="preserve">such Credit Event shall not violate any order, judgment or decree of any court or other authority or any provision of law or regulation applicable to the Administrative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Agent, the L/C Issuer or any Lender (including, without limitation, Regulation U of the Board of Governors of the Federal Reserve System) as then in effect; and</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Each request for a Borrowing hereunder and each request for the issuance of, increase in the amount of, or extension of the expiration date of, a Letter of Credit shall be deemed to be a representation and warranty by the Borrower on the date on such Credit Event as to the facts specified in subsections (a) through (c), inclusive, of this Section 7.1; </w:t>
      </w:r>
      <w:r>
        <w:rPr>
          <w:rFonts w:ascii="Times" w:hAnsi="Times"/>
          <w:i/>
          <w:sz w:val="24"/>
        </w:rPr>
        <w:t xml:space="preserve">provided, however, </w:t>
      </w:r>
      <w:r>
        <w:rPr>
          <w:rFonts w:ascii="Times" w:hAnsi="Times"/>
          <w:sz w:val="24"/>
        </w:rPr>
        <w:t>that the Lenders may continue to make advances under the Revolving Facility, in the sole discretion of the Lenders with Revolving Credit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pStyle w:val="TextBody"/>
        <w:bidi w:val="0"/>
        <w:spacing w:before="0" w:after="240"/>
        <w:ind w:left="0" w:right="0" w:hanging="0"/>
        <w:jc w:val="both"/>
        <w:rPr/>
      </w:pPr>
      <w:r>
        <w:rPr/>
        <w:t>●</w:t>
      </w:r>
      <w:bookmarkStart w:id="1584" w:name="_Toc115421288"/>
      <w:bookmarkEnd w:id="1584"/>
      <w:r>
        <w:rPr>
          <w:rFonts w:ascii="Times New Roman;Times;serif" w:hAnsi="Times New Roman;Times;serif"/>
          <w:sz w:val="24"/>
          <w:u w:val="single"/>
        </w:rPr>
        <w:t>Closing Date Credit Event</w:t>
      </w:r>
      <w:r>
        <w:rPr>
          <w:rFonts w:ascii="Times New Roman;Times;serif" w:hAnsi="Times New Roman;Times;serif"/>
          <w:i/>
          <w:sz w:val="24"/>
        </w:rPr>
        <w:t>.</w:t>
      </w:r>
      <w:r>
        <w:rPr>
          <w:rFonts w:ascii="Times New Roman;Times;serif" w:hAnsi="Times New Roman;Times;serif"/>
          <w:sz w:val="24"/>
        </w:rPr>
        <w:t xml:space="preserve">  Before or concurrently with any Credit Event on the Closing Date:</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this Agreement duly executed by the Borrower, the Material Subsidiaries, as Guarantors, and the Lenders.</w:t>
      </w:r>
    </w:p>
    <w:p>
      <w:pPr>
        <w:pStyle w:val="TextBody"/>
        <w:bidi w:val="0"/>
        <w:spacing w:before="0" w:after="240"/>
        <w:ind w:left="0" w:right="0" w:hanging="0"/>
        <w:jc w:val="both"/>
        <w:rPr/>
      </w:pPr>
      <w:r>
        <w:rPr/>
        <w:t>●</w:t>
      </w:r>
      <w:r>
        <w:rPr>
          <w:rFonts w:ascii="Times New Roman;Times;serif" w:hAnsi="Times New Roman;Times;serif"/>
          <w:sz w:val="24"/>
        </w:rPr>
        <w:t>[Intentionally Omitted];</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copies of the Borrower’s, the Parent’s and each Material Subsidiaries articles of incorporation and bylaws (or comparable organizational documents) and any amendments thereto, certified in each instance by its Secretary or Assistant Secretary;</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copies of resolutions of the Borrower’s, Parent’s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Parent’s and each Material Subsidiary’s behalf, all certified in each instance by its Secretary or Assistant Secretary or other Authorized Representative;</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copies of the certificates of good standing for the Borrower, Parent and each Material Subsidiary (dated no earlier than forty-five (45) days prior to the date hereof) from the office of the secretary of the state of its incorporation or organization and of each state in which it is required to the qualified to do business as a foreign corporation or organization under Sections 6.1 or 6.2;</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a list of the Borrower’s Authorized Representatives;</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the initial fees called for by Section 2.1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the capital and organizational structure of the Borrower and its Subsidiaries shall be reasonably satisfactory to the Administrative Agent;</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a Compliance Certificate dated as of the Closing Date which shall evidence compliance with the covenants set forth in Section 8.20 and 8.21 after giving effect to the making of the Credit Events on the Closing Date and any repayment of or advances under the Existing Credit Agreement occurring on such date;</w:t>
      </w:r>
    </w:p>
    <w:p>
      <w:pPr>
        <w:pStyle w:val="TextBody"/>
        <w:bidi w:val="0"/>
        <w:spacing w:before="0" w:after="240"/>
        <w:ind w:left="0" w:right="0" w:hanging="0"/>
        <w:jc w:val="both"/>
        <w:rPr/>
      </w:pPr>
      <w:r>
        <w:rPr/>
        <w:t>●</w:t>
      </w:r>
      <w:r>
        <w:rPr>
          <w:rFonts w:ascii="Times New Roman;Times;serif" w:hAnsi="Times New Roman;Times;serif"/>
          <w:sz w:val="24"/>
        </w:rPr>
        <w:t xml:space="preserve">the Administrative Agent shall have received financing statement, tax, and judgment lien search results against the Borrower and the Parent evidencing the absence of Liens on its Property </w:t>
      </w:r>
      <w:bookmarkStart w:id="1585" w:name="_cp_change_83"/>
      <w:bookmarkEnd w:id="1585"/>
      <w:r>
        <w:rPr>
          <w:rFonts w:ascii="Times New Roman;Times;serif" w:hAnsi="Times New Roman;Times;serif"/>
          <w:color w:val="0000FF"/>
          <w:sz w:val="24"/>
          <w:u w:val="single"/>
        </w:rPr>
        <w:t xml:space="preserve">and other assets </w:t>
      </w:r>
      <w:r>
        <w:rPr>
          <w:rFonts w:ascii="Times New Roman;Times;serif" w:hAnsi="Times New Roman;Times;serif"/>
          <w:sz w:val="24"/>
        </w:rPr>
        <w:t>except as Permitted Liens or as otherwise permitted by Section 8.8 hereof;</w:t>
      </w:r>
    </w:p>
    <w:p>
      <w:pPr>
        <w:pStyle w:val="TextBody"/>
        <w:bidi w:val="0"/>
        <w:spacing w:before="0" w:after="240"/>
        <w:ind w:left="0" w:right="0" w:hanging="0"/>
        <w:jc w:val="both"/>
        <w:rPr/>
      </w:pPr>
      <w:r>
        <w:rPr/>
        <w:t>●</w:t>
      </w:r>
      <w:r>
        <w:rPr>
          <w:rFonts w:ascii="Times New Roman;Times;serif" w:hAnsi="Times New Roman;Times;serif"/>
          <w:sz w:val="24"/>
        </w:rPr>
        <w:t xml:space="preserve">the Administrative Agent shall have received a written opinion of counsel to the Borrower, Parent and each Material Subsidiary, in form and substance reasonably satisfactory to the Administrative Agent; </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such other agreements, instruments, documents, certificates, and opinions as the Administrative Agent may reasonably request;</w:t>
      </w:r>
    </w:p>
    <w:p>
      <w:pPr>
        <w:pStyle w:val="TextBody"/>
        <w:bidi w:val="0"/>
        <w:spacing w:before="0" w:after="240"/>
        <w:ind w:left="0" w:right="0" w:hanging="0"/>
        <w:jc w:val="both"/>
        <w:rPr/>
      </w:pPr>
      <w:r>
        <w:rPr/>
        <w:t>●</w:t>
      </w:r>
      <w:r>
        <w:rPr>
          <w:rFonts w:ascii="Times New Roman;Times;serif" w:hAnsi="Times New Roman;Times;serif"/>
          <w:sz w:val="24"/>
        </w:rPr>
        <w:t>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w:t>
      </w:r>
      <w:r>
        <w:rPr>
          <w:rFonts w:ascii="Times New Roman;Times;serif" w:hAnsi="Times New Roman;Times;serif"/>
          <w:i/>
          <w:sz w:val="24"/>
        </w:rPr>
        <w:t>know your customer”</w:t>
      </w:r>
      <w:r>
        <w:rPr>
          <w:rFonts w:ascii="Times New Roman;Times;serif" w:hAnsi="Times New Roman;Times;serif"/>
          <w:sz w:val="24"/>
        </w:rPr>
        <w:t xml:space="preserve"> or similar rules and regulations;</w:t>
      </w:r>
    </w:p>
    <w:p>
      <w:pPr>
        <w:pStyle w:val="TextBody"/>
        <w:bidi w:val="0"/>
        <w:spacing w:before="0" w:after="240"/>
        <w:ind w:left="0" w:right="0" w:hanging="0"/>
        <w:jc w:val="both"/>
        <w:rPr/>
      </w:pPr>
      <w:r>
        <w:rPr/>
        <w:t>●</w:t>
      </w:r>
      <w:r>
        <w:rPr>
          <w:rFonts w:ascii="Times New Roman;Times;serif" w:hAnsi="Times New Roman;Times;serif"/>
          <w:sz w:val="24"/>
        </w:rPr>
        <w:t xml:space="preserve">the Administrative Agent shall have received pay-off and lien release letters (except with respect to any Permitted Liens) from secured creditors of the Borrower and each Subsidiary setting forth, among other things, the total amount of indebtedness outstanding and owing to them (or outstanding letters of credit issued for the account of the Borrower or any Subsidiary) and containing an undertaking to cause to be delivered to the Administrative Agent UCC termination statements and any other lien release instruments necessary to release their Liens on the assets of the Borrower and each Subsidiary, which pay-off and lien release letters shall be in form and substance reasonably acceptable to the Administrative Agent; </w:t>
      </w:r>
    </w:p>
    <w:p>
      <w:pPr>
        <w:pStyle w:val="TextBody"/>
        <w:bidi w:val="0"/>
        <w:spacing w:before="0" w:after="240"/>
        <w:ind w:left="0" w:right="0" w:hanging="0"/>
        <w:jc w:val="both"/>
        <w:rPr/>
      </w:pPr>
      <w:r>
        <w:rPr/>
        <w:t>●</w:t>
      </w:r>
      <w:r>
        <w:rPr>
          <w:rFonts w:ascii="Times New Roman;Times;serif" w:hAnsi="Times New Roman;Times;serif"/>
          <w:sz w:val="24"/>
        </w:rPr>
        <w:t>the secured creditors of the Borrower and each Subsidiary shall have deposited in escrow UCC termination statements and other lien release instruments necessary to release their Liens (other than Permitted Liens) on the assets of the Borrower and each Subsidiary;</w:t>
      </w:r>
    </w:p>
    <w:p>
      <w:pPr>
        <w:pStyle w:val="TextBody"/>
        <w:bidi w:val="0"/>
        <w:spacing w:before="0" w:after="240"/>
        <w:ind w:left="0" w:right="0" w:hanging="0"/>
        <w:jc w:val="both"/>
        <w:rPr/>
      </w:pPr>
      <w:r>
        <w:rPr/>
        <w:t xml:space="preserve">● </w:t>
      </w:r>
      <w:r>
        <w:rPr>
          <w:rFonts w:ascii="Times New Roman;Times;serif" w:hAnsi="Times New Roman;Times;serif"/>
          <w:sz w:val="24"/>
        </w:rPr>
        <w:t>all Indebtedness under the Existing Credit Agreement shall have been repaid in full and the Existing Credit Agreement shall have been terminated;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4"/>
        </w:rPr>
        <w:t>at least five days prior to the Closing Date, if the Borrower qualifies as a “legal entity customer” under the Beneficial Ownership Regulation, the Borrower shall deliver a Beneficial Ownership Certification in relation to it.</w:t>
      </w:r>
    </w:p>
    <w:p>
      <w:pPr>
        <w:pStyle w:val="TextBody"/>
        <w:bidi w:val="0"/>
        <w:ind w:left="0" w:right="0" w:hanging="0"/>
        <w:jc w:val="both"/>
        <w:rPr/>
      </w:pPr>
      <w:r>
        <w:rPr/>
        <w:t>●</w:t>
      </w:r>
      <w:bookmarkStart w:id="1586" w:name="_Toc115421289"/>
      <w:bookmarkEnd w:id="1586"/>
      <w:r>
        <w:rPr>
          <w:rFonts w:ascii="Times New Roman;Times;serif" w:hAnsi="Times New Roman;Times;serif"/>
          <w:i/>
          <w:sz w:val="24"/>
        </w:rPr>
        <w:t>Unencumbered Assets</w:t>
      </w:r>
      <w:r>
        <w:rPr>
          <w:rFonts w:ascii="Times New Roman;Times;serif" w:hAnsi="Times New Roman;Times;serif"/>
          <w:sz w:val="24"/>
          <w:u w:val="single"/>
        </w:rPr>
        <w:t xml:space="preserve"> Additions and Deletions to the Unencumbered Pool</w:t>
      </w:r>
      <w:r>
        <w:rPr>
          <w:rFonts w:ascii="Times New Roman;Times;serif" w:hAnsi="Times New Roman;Times;serif"/>
          <w:i/>
          <w:sz w:val="24"/>
        </w:rPr>
        <w:t>.  </w:t>
      </w:r>
      <w:r>
        <w:rPr>
          <w:rFonts w:ascii="Times New Roman;Times;serif" w:hAnsi="Times New Roman;Times;serif"/>
          <w:sz w:val="24"/>
        </w:rPr>
        <w:t xml:space="preserve">As of the </w:t>
      </w:r>
      <w:bookmarkStart w:id="1587" w:name="_cp_change_84"/>
      <w:bookmarkEnd w:id="1587"/>
      <w:r>
        <w:rPr>
          <w:rFonts w:ascii="Times New Roman;Times;serif" w:hAnsi="Times New Roman;Times;serif"/>
          <w:color w:val="FF0000"/>
          <w:sz w:val="24"/>
        </w:rPr>
        <w:t>Closing</w:t>
      </w:r>
      <w:bookmarkStart w:id="1588" w:name="_cp_change_85"/>
      <w:bookmarkEnd w:id="1588"/>
      <w:r>
        <w:rPr>
          <w:rFonts w:ascii="Times New Roman;Times;serif" w:hAnsi="Times New Roman;Times;serif"/>
          <w:color w:val="0000FF"/>
          <w:sz w:val="24"/>
          <w:u w:val="single"/>
        </w:rPr>
        <w:t>First Amendment Effective</w:t>
      </w:r>
      <w:r>
        <w:rPr>
          <w:rFonts w:ascii="Times New Roman;Times;serif" w:hAnsi="Times New Roman;Times;serif"/>
          <w:sz w:val="24"/>
        </w:rPr>
        <w:t xml:space="preserve"> Date, the Borrower represents and warrants to the Lenders and the Administrative Agent that the Initial </w:t>
      </w:r>
      <w:bookmarkStart w:id="1589" w:name="_cp_change_86"/>
      <w:bookmarkEnd w:id="1589"/>
      <w:r>
        <w:rPr>
          <w:rFonts w:ascii="Times New Roman;Times;serif" w:hAnsi="Times New Roman;Times;serif"/>
          <w:color w:val="FF0000"/>
          <w:sz w:val="24"/>
        </w:rPr>
        <w:t>Properties</w:t>
      </w:r>
      <w:bookmarkStart w:id="1590" w:name="_cp_change_87"/>
      <w:bookmarkEnd w:id="1590"/>
      <w:r>
        <w:rPr>
          <w:rFonts w:ascii="Times New Roman;Times;serif" w:hAnsi="Times New Roman;Times;serif"/>
          <w:color w:val="0000FF"/>
          <w:sz w:val="24"/>
          <w:u w:val="single"/>
        </w:rPr>
        <w:t>Unencumbered Assets</w:t>
      </w:r>
      <w:r>
        <w:rPr>
          <w:rFonts w:ascii="Times New Roman;Times;serif" w:hAnsi="Times New Roman;Times;serif"/>
          <w:sz w:val="24"/>
        </w:rPr>
        <w:t xml:space="preserve"> qualify as Eligible </w:t>
      </w:r>
      <w:bookmarkStart w:id="1591" w:name="_cp_change_88"/>
      <w:bookmarkEnd w:id="1591"/>
      <w:r>
        <w:rPr>
          <w:rFonts w:ascii="Times New Roman;Times;serif" w:hAnsi="Times New Roman;Times;serif"/>
          <w:color w:val="FF0000"/>
          <w:sz w:val="24"/>
        </w:rPr>
        <w:t>Properties</w:t>
      </w:r>
      <w:bookmarkStart w:id="1592" w:name="_cp_change_89"/>
      <w:bookmarkEnd w:id="1592"/>
      <w:r>
        <w:rPr>
          <w:rFonts w:ascii="Times New Roman;Times;serif" w:hAnsi="Times New Roman;Times;serif"/>
          <w:color w:val="0000FF"/>
          <w:sz w:val="24"/>
          <w:u w:val="single"/>
        </w:rPr>
        <w:t>Assets</w:t>
      </w:r>
      <w:r>
        <w:rPr>
          <w:rFonts w:ascii="Times New Roman;Times;serif" w:hAnsi="Times New Roman;Times;serif"/>
          <w:sz w:val="24"/>
        </w:rPr>
        <w:t xml:space="preserve"> and that the information provided on Schedule 1.1 is true and correct in all material respects.</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Upon not less than 10 Business Days prior written notice from the Borrower to the Administrative Agent, the Borrower can designate that an Eligible </w:t>
      </w:r>
      <w:bookmarkStart w:id="1593" w:name="_cp_change_90"/>
      <w:bookmarkEnd w:id="1593"/>
      <w:r>
        <w:rPr>
          <w:rFonts w:ascii="Times" w:hAnsi="Times"/>
          <w:color w:val="FF0000"/>
          <w:sz w:val="24"/>
        </w:rPr>
        <w:t>Property</w:t>
      </w:r>
      <w:bookmarkStart w:id="1594" w:name="_cp_change_91"/>
      <w:bookmarkEnd w:id="1594"/>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 xml:space="preserve">be added (subject to the other requirements for a Property </w:t>
      </w:r>
      <w:bookmarkStart w:id="1595" w:name="_cp_change_92"/>
      <w:bookmarkEnd w:id="1595"/>
      <w:r>
        <w:rPr>
          <w:rFonts w:ascii="Times" w:hAnsi="Times"/>
          <w:color w:val="0000FF"/>
          <w:sz w:val="24"/>
          <w:u w:val="single"/>
        </w:rPr>
        <w:t xml:space="preserve">or Mortgage Receivable </w:t>
      </w:r>
      <w:r>
        <w:rPr>
          <w:rFonts w:ascii="Times" w:hAnsi="Times"/>
          <w:sz w:val="24"/>
        </w:rPr>
        <w:t xml:space="preserve">qualifying as an Eligible </w:t>
      </w:r>
      <w:bookmarkStart w:id="1596" w:name="_cp_change_93"/>
      <w:bookmarkEnd w:id="1596"/>
      <w:r>
        <w:rPr>
          <w:rFonts w:ascii="Times" w:hAnsi="Times"/>
          <w:color w:val="FF0000"/>
          <w:sz w:val="24"/>
        </w:rPr>
        <w:t>Property</w:t>
      </w:r>
      <w:bookmarkStart w:id="1597" w:name="_cp_change_94"/>
      <w:bookmarkEnd w:id="1597"/>
      <w:r>
        <w:rPr>
          <w:rFonts w:ascii="Times" w:hAnsi="Times"/>
          <w:color w:val="0000FF"/>
          <w:sz w:val="24"/>
          <w:u w:val="single"/>
        </w:rPr>
        <w:t>Asset</w:t>
      </w:r>
      <w:r>
        <w:rPr>
          <w:rFonts w:ascii="Times" w:hAnsi="Times"/>
          <w:sz w:val="24"/>
        </w:rPr>
        <w:t xml:space="preserve">) or deleted as an Unencumbered Asset.  Such notice shall be accompanied by a certification that the applicable Property </w:t>
      </w:r>
      <w:bookmarkStart w:id="1598" w:name="_cp_change_95"/>
      <w:bookmarkEnd w:id="1598"/>
      <w:r>
        <w:rPr>
          <w:rFonts w:ascii="Times" w:hAnsi="Times"/>
          <w:color w:val="0000FF"/>
          <w:sz w:val="24"/>
          <w:u w:val="single"/>
        </w:rPr>
        <w:t xml:space="preserve">or Mortgage Receivable </w:t>
      </w:r>
      <w:r>
        <w:rPr>
          <w:rFonts w:ascii="Times" w:hAnsi="Times"/>
          <w:sz w:val="24"/>
        </w:rPr>
        <w:t xml:space="preserve">meets the requirements of an Eligible </w:t>
      </w:r>
      <w:bookmarkStart w:id="1599" w:name="_cp_change_96"/>
      <w:bookmarkEnd w:id="1599"/>
      <w:r>
        <w:rPr>
          <w:rFonts w:ascii="Times" w:hAnsi="Times"/>
          <w:color w:val="FF0000"/>
          <w:sz w:val="24"/>
        </w:rPr>
        <w:t>Property</w:t>
      </w:r>
      <w:bookmarkStart w:id="1600" w:name="_cp_change_97"/>
      <w:bookmarkEnd w:id="1600"/>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 xml:space="preserve">and a Compliance Certificate setting forth the calculations evidencing compliance with the covenants set forth in Section 8.20 and 8.21, as of the addition or deletion of the designated Property </w:t>
      </w:r>
      <w:bookmarkStart w:id="1601" w:name="_cp_change_98"/>
      <w:bookmarkEnd w:id="1601"/>
      <w:r>
        <w:rPr>
          <w:rFonts w:ascii="Times" w:hAnsi="Times"/>
          <w:color w:val="0000FF"/>
          <w:sz w:val="24"/>
          <w:u w:val="single"/>
        </w:rPr>
        <w:t xml:space="preserve">or Mortgage Receivable </w:t>
      </w:r>
      <w:r>
        <w:rPr>
          <w:rFonts w:ascii="Times" w:hAnsi="Times"/>
          <w:sz w:val="24"/>
        </w:rPr>
        <w:t xml:space="preserve">as an Unencumbered Asset, and with respect to a deletion, Borrower’s certification in such detail as reasonably required by the Administrative Agent that no Default or Event of Default exists under this Agreement and such deletion shall not (A) cause the Unencumbered Pool to violate the Unencumbered Pool Requirements, (B) cause a Default, or (C) cause or result in the Borrower failing to comply with any of the covenants contained in Section 8.20 and 8.21 hereof.  Each addition shall be an Eligible </w:t>
      </w:r>
      <w:bookmarkStart w:id="1602" w:name="_cp_change_99"/>
      <w:bookmarkEnd w:id="1602"/>
      <w:r>
        <w:rPr>
          <w:rFonts w:ascii="Times" w:hAnsi="Times"/>
          <w:color w:val="FF0000"/>
          <w:sz w:val="24"/>
        </w:rPr>
        <w:t>Property</w:t>
      </w:r>
      <w:bookmarkStart w:id="1603" w:name="_cp_change_100"/>
      <w:bookmarkEnd w:id="1603"/>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 xml:space="preserve">in a minimum amount equal to $500,000 of Unencumbered Asset Value, or shall be comprised of more than one qualifying Eligible </w:t>
      </w:r>
      <w:bookmarkStart w:id="1604" w:name="_cp_change_101"/>
      <w:bookmarkEnd w:id="1604"/>
      <w:r>
        <w:rPr>
          <w:rFonts w:ascii="Times" w:hAnsi="Times"/>
          <w:color w:val="FF0000"/>
          <w:sz w:val="24"/>
        </w:rPr>
        <w:t>Properties</w:t>
      </w:r>
      <w:bookmarkStart w:id="1605" w:name="_cp_change_102"/>
      <w:bookmarkEnd w:id="1605"/>
      <w:r>
        <w:rPr>
          <w:rFonts w:ascii="Times" w:hAnsi="Times"/>
          <w:color w:val="0000FF"/>
          <w:sz w:val="24"/>
          <w:u w:val="single"/>
        </w:rPr>
        <w:t>Assets</w:t>
      </w:r>
      <w:r>
        <w:rPr>
          <w:rFonts w:ascii="Times New Roman;Times;serif" w:hAnsi="Times New Roman;Times;serif"/>
          <w:sz w:val="24"/>
        </w:rPr>
        <w:t xml:space="preserve"> </w:t>
      </w:r>
      <w:r>
        <w:rPr>
          <w:rFonts w:ascii="Times" w:hAnsi="Times"/>
          <w:sz w:val="24"/>
        </w:rPr>
        <w:t xml:space="preserve">that in the aggregate have a minimum amount equal to $1,000,000 of Unencumbered Asset Value.  All additions of a Property </w:t>
      </w:r>
      <w:bookmarkStart w:id="1606" w:name="_cp_change_103"/>
      <w:bookmarkEnd w:id="1606"/>
      <w:r>
        <w:rPr>
          <w:rFonts w:ascii="Times" w:hAnsi="Times"/>
          <w:color w:val="0000FF"/>
          <w:sz w:val="24"/>
          <w:u w:val="single"/>
        </w:rPr>
        <w:t xml:space="preserve">or Mortgage Receivable </w:t>
      </w:r>
      <w:r>
        <w:rPr>
          <w:rFonts w:ascii="Times" w:hAnsi="Times"/>
          <w:sz w:val="24"/>
        </w:rPr>
        <w:t xml:space="preserve">that does not satisfy the requirements to be an Eligible </w:t>
      </w:r>
      <w:bookmarkStart w:id="1607" w:name="_cp_change_104"/>
      <w:bookmarkEnd w:id="1607"/>
      <w:r>
        <w:rPr>
          <w:rFonts w:ascii="Times" w:hAnsi="Times"/>
          <w:color w:val="FF0000"/>
          <w:sz w:val="24"/>
        </w:rPr>
        <w:t>Property</w:t>
      </w:r>
      <w:bookmarkStart w:id="1608" w:name="_cp_change_105"/>
      <w:bookmarkEnd w:id="1608"/>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shall be subject to reasonable approval by the  Required Lenders.</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If no Default exists at the time of any deletion of a Property </w:t>
      </w:r>
      <w:bookmarkStart w:id="1609" w:name="_cp_change_106"/>
      <w:bookmarkEnd w:id="1609"/>
      <w:r>
        <w:rPr>
          <w:rFonts w:ascii="Times" w:hAnsi="Times"/>
          <w:color w:val="0000FF"/>
          <w:sz w:val="24"/>
          <w:u w:val="single"/>
        </w:rPr>
        <w:t xml:space="preserve">or Mortgage Receivable </w:t>
      </w:r>
      <w:r>
        <w:rPr>
          <w:rFonts w:ascii="Times" w:hAnsi="Times"/>
          <w:sz w:val="24"/>
        </w:rPr>
        <w:t xml:space="preserve">from qualifying as an Eligible </w:t>
      </w:r>
      <w:bookmarkStart w:id="1610" w:name="_cp_change_107"/>
      <w:bookmarkEnd w:id="1610"/>
      <w:r>
        <w:rPr>
          <w:rFonts w:ascii="Times" w:hAnsi="Times"/>
          <w:color w:val="FF0000"/>
          <w:sz w:val="24"/>
        </w:rPr>
        <w:t>Property</w:t>
      </w:r>
      <w:bookmarkStart w:id="1611" w:name="_cp_change_108"/>
      <w:bookmarkEnd w:id="1611"/>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included in calculating the Gross Availability and the Adjusted Availability, as applicable, any Material Subsidiary which owned such Property</w:t>
      </w:r>
      <w:bookmarkStart w:id="1612" w:name="_cp_change_109"/>
      <w:bookmarkEnd w:id="1612"/>
      <w:r>
        <w:rPr>
          <w:rFonts w:ascii="Times New Roman;Times;serif" w:hAnsi="Times New Roman;Times;serif"/>
          <w:color w:val="0000FF"/>
          <w:sz w:val="24"/>
          <w:u w:val="single"/>
        </w:rPr>
        <w:t xml:space="preserve"> </w:t>
      </w:r>
      <w:r>
        <w:rPr>
          <w:rFonts w:ascii="Times" w:hAnsi="Times"/>
          <w:color w:val="0000FF"/>
          <w:sz w:val="24"/>
          <w:u w:val="single"/>
        </w:rPr>
        <w:t>or Mortgage Receivable</w:t>
      </w:r>
      <w:r>
        <w:rPr>
          <w:rFonts w:ascii="Times" w:hAnsi="Times"/>
          <w:sz w:val="24"/>
        </w:rPr>
        <w:t xml:space="preserve">, but that does not otherwise own any other Eligible </w:t>
      </w:r>
      <w:bookmarkStart w:id="1613" w:name="_cp_change_110"/>
      <w:bookmarkEnd w:id="1613"/>
      <w:r>
        <w:rPr>
          <w:rFonts w:ascii="Times" w:hAnsi="Times"/>
          <w:color w:val="FF0000"/>
          <w:sz w:val="24"/>
        </w:rPr>
        <w:t>Property</w:t>
      </w:r>
      <w:bookmarkStart w:id="1614" w:name="_cp_change_111"/>
      <w:bookmarkEnd w:id="1614"/>
      <w:r>
        <w:rPr>
          <w:rFonts w:ascii="Times" w:hAnsi="Times"/>
          <w:color w:val="0000FF"/>
          <w:sz w:val="24"/>
          <w:u w:val="single"/>
        </w:rPr>
        <w:t>Asset</w:t>
      </w:r>
      <w:r>
        <w:rPr>
          <w:rFonts w:ascii="Times" w:hAnsi="Times"/>
          <w:sz w:val="24"/>
        </w:rPr>
        <w:t>, shall be released from its obligations under its Guaranty.</w:t>
      </w:r>
    </w:p>
    <w:p>
      <w:pPr>
        <w:pStyle w:val="TextBody"/>
        <w:bidi w:val="0"/>
        <w:ind w:left="720" w:right="0" w:hanging="0"/>
        <w:jc w:val="both"/>
        <w:rPr/>
      </w:pPr>
      <w:r>
        <w:rPr>
          <w:caps/>
        </w:rPr>
        <w:t>●</w:t>
      </w:r>
      <w:bookmarkStart w:id="1615" w:name="_Toc115421290"/>
      <w:bookmarkEnd w:id="1615"/>
      <w:r>
        <w:rPr>
          <w:rFonts w:ascii="Times New Roman;Times;serif" w:hAnsi="Times New Roman;Times;serif"/>
          <w:caps/>
          <w:sz w:val="24"/>
        </w:rPr>
        <w:t>Covenants.</w:t>
      </w:r>
    </w:p>
    <w:p>
      <w:pPr>
        <w:pStyle w:val="TextBody"/>
        <w:bidi w:val="0"/>
        <w:spacing w:before="0" w:after="240"/>
        <w:ind w:left="0" w:right="0" w:firstLine="720"/>
        <w:jc w:val="both"/>
        <w:rPr>
          <w:rFonts w:ascii="Times" w:hAnsi="Times"/>
          <w:sz w:val="24"/>
        </w:rPr>
      </w:pPr>
      <w:r>
        <w:rPr>
          <w:rFonts w:ascii="Times" w:hAnsi="Times"/>
          <w:sz w:val="24"/>
        </w:rPr>
        <w:t>The Borrower agrees that, so long as any Loan is outstanding by the Borrower hereunder, except to the extent compliance in any case or cases is cured or waived in writing pursuant to the terms of Section 12.13 hereof:</w:t>
      </w:r>
    </w:p>
    <w:p>
      <w:pPr>
        <w:pStyle w:val="TextBody"/>
        <w:bidi w:val="0"/>
        <w:ind w:left="0" w:right="0" w:hanging="0"/>
        <w:jc w:val="both"/>
        <w:rPr/>
      </w:pPr>
      <w:r>
        <w:rPr/>
        <w:t>●</w:t>
      </w:r>
      <w:bookmarkStart w:id="1616" w:name="_Toc115421291"/>
      <w:bookmarkEnd w:id="1616"/>
      <w:r>
        <w:rPr>
          <w:rFonts w:ascii="Times New Roman;Times;serif" w:hAnsi="Times New Roman;Times;serif"/>
          <w:sz w:val="24"/>
          <w:u w:val="single"/>
        </w:rPr>
        <w:t>Maintenance of Existence</w:t>
      </w:r>
      <w:r>
        <w:rPr>
          <w:rFonts w:ascii="Times New Roman;Times;serif" w:hAnsi="Times New Roman;Times;serif"/>
          <w:i/>
          <w:sz w:val="24"/>
        </w:rPr>
        <w:t>.</w:t>
      </w:r>
      <w:r>
        <w:rPr>
          <w:rFonts w:ascii="Times New Roman;Times;serif" w:hAnsi="Times New Roman;Times;serif"/>
          <w:sz w:val="24"/>
        </w:rPr>
        <w:t xml:space="preserve">  (i) The Borrower shall, and shall cause each 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business except where such failure to preserve and keep in force and effect could not reasonably be expected to have a Material Adverse Effect.</w:t>
      </w:r>
    </w:p>
    <w:p>
      <w:pPr>
        <w:pStyle w:val="TextBody"/>
        <w:bidi w:val="0"/>
        <w:spacing w:before="0" w:after="240"/>
        <w:ind w:left="0" w:right="0" w:hanging="0"/>
        <w:jc w:val="both"/>
        <w:rPr>
          <w:rFonts w:ascii="Times" w:hAnsi="Times"/>
          <w:sz w:val="24"/>
        </w:rPr>
      </w:pPr>
      <w:r>
        <w:rPr>
          <w:rFonts w:ascii="Times" w:hAnsi="Times"/>
          <w:sz w:val="24"/>
        </w:rPr>
        <w:t>(ii)(a) At least one class of common stock of Parent shall at all times be duly listed on the New York Stock Exchange, the NYSE American or The NASDAQ Stock Market and (b) the Parent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pStyle w:val="TextBody"/>
        <w:bidi w:val="0"/>
        <w:spacing w:before="0" w:after="240"/>
        <w:ind w:left="0" w:right="0" w:hanging="0"/>
        <w:jc w:val="both"/>
        <w:rPr/>
      </w:pPr>
      <w:r>
        <w:rPr/>
        <w:t>●</w:t>
      </w:r>
      <w:bookmarkStart w:id="1617" w:name="_Toc115421292"/>
      <w:bookmarkEnd w:id="1617"/>
      <w:r>
        <w:rPr>
          <w:rFonts w:ascii="Times New Roman;Times;serif" w:hAnsi="Times New Roman;Times;serif"/>
          <w:sz w:val="24"/>
          <w:u w:val="single"/>
        </w:rPr>
        <w:t>Maintenance of Properties, Agreements</w:t>
      </w:r>
      <w:r>
        <w:rPr>
          <w:rFonts w:ascii="Times New Roman;Times;serif" w:hAnsi="Times New Roman;Times;serif"/>
          <w:i/>
          <w:sz w:val="24"/>
        </w:rPr>
        <w:t>.</w:t>
      </w:r>
      <w:r>
        <w:rPr>
          <w:rFonts w:ascii="Times New Roman;Times;serif" w:hAnsi="Times New Roman;Times;serif"/>
          <w:sz w:val="24"/>
        </w:rPr>
        <w:t xml:space="preserve">  The Borrower and each Guarantor shall cause each of its tenants to maintain, preserve, and keep all of the Borrower’s and each Guarantor’s </w:t>
      </w:r>
      <w:bookmarkStart w:id="1618" w:name="_cp_change_112"/>
      <w:bookmarkEnd w:id="1618"/>
      <w:r>
        <w:rPr>
          <w:rFonts w:ascii="Times New Roman;Times;serif" w:hAnsi="Times New Roman;Times;serif"/>
          <w:color w:val="FF0000"/>
          <w:sz w:val="24"/>
        </w:rPr>
        <w:t>Property</w:t>
      </w:r>
      <w:bookmarkStart w:id="1619" w:name="_cp_change_113"/>
      <w:bookmarkEnd w:id="1619"/>
      <w:r>
        <w:rPr>
          <w:rFonts w:ascii="Times New Roman;Times;serif" w:hAnsi="Times New Roman;Times;serif"/>
          <w:color w:val="0000FF"/>
          <w:sz w:val="24"/>
          <w:u w:val="single"/>
        </w:rPr>
        <w:t>Properties and other assets</w:t>
      </w:r>
      <w:r>
        <w:rPr>
          <w:rFonts w:ascii="Times New Roman;Times;serif" w:hAnsi="Times New Roman;Times;serif"/>
          <w:sz w:val="24"/>
        </w:rPr>
        <w:t xml:space="preserve"> in working condition and order (ordinary wear and tear excepted) in all material respects, and Borrower and each Guarantor shall from time to time make all needful and proper repairs, renewals, replacements, additions, and betterments to its </w:t>
      </w:r>
      <w:bookmarkStart w:id="1620" w:name="_cp_change_114"/>
      <w:bookmarkEnd w:id="1620"/>
      <w:r>
        <w:rPr>
          <w:rFonts w:ascii="Times New Roman;Times;serif" w:hAnsi="Times New Roman;Times;serif"/>
          <w:color w:val="FF0000"/>
          <w:sz w:val="24"/>
        </w:rPr>
        <w:t>Property</w:t>
      </w:r>
      <w:bookmarkStart w:id="1621" w:name="_cp_change_115"/>
      <w:bookmarkEnd w:id="1621"/>
      <w:r>
        <w:rPr>
          <w:rFonts w:ascii="Times New Roman;Times;serif" w:hAnsi="Times New Roman;Times;serif"/>
          <w:color w:val="0000FF"/>
          <w:sz w:val="24"/>
          <w:u w:val="single"/>
        </w:rPr>
        <w:t>Properties and other assets</w:t>
      </w:r>
      <w:r>
        <w:rPr>
          <w:rFonts w:ascii="Times New Roman;Times;serif" w:hAnsi="Times New Roman;Times;serif"/>
          <w:sz w:val="24"/>
        </w:rPr>
        <w:t xml:space="preserve">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Parent in its business judgment or due to any breach by the other party thereto) and shall not modify or amend any material contract or agreement that would cause a Material Adverse Effect.</w:t>
      </w:r>
    </w:p>
    <w:p>
      <w:pPr>
        <w:pStyle w:val="TextBody"/>
        <w:bidi w:val="0"/>
        <w:spacing w:before="0" w:after="240"/>
        <w:ind w:left="0" w:right="0" w:hanging="0"/>
        <w:jc w:val="both"/>
        <w:rPr/>
      </w:pPr>
      <w:r>
        <w:rPr/>
        <w:t>●</w:t>
      </w:r>
      <w:bookmarkStart w:id="1622" w:name="_Toc115421293"/>
      <w:bookmarkEnd w:id="1622"/>
      <w:r>
        <w:rPr>
          <w:rFonts w:ascii="Times New Roman;Times;serif" w:hAnsi="Times New Roman;Times;serif"/>
          <w:sz w:val="24"/>
          <w:u w:val="single"/>
        </w:rPr>
        <w:t>Taxes and Assessment</w:t>
      </w:r>
      <w:r>
        <w:rPr>
          <w:rFonts w:ascii="Times New Roman;Times;serif" w:hAnsi="Times New Roman;Times;serif"/>
          <w:i/>
          <w:sz w:val="24"/>
        </w:rPr>
        <w:t>s</w:t>
      </w:r>
      <w:r>
        <w:rPr>
          <w:rFonts w:ascii="Times New Roman;Times;serif" w:hAnsi="Times New Roman;Times;serif"/>
          <w:sz w:val="24"/>
        </w:rPr>
        <w:t xml:space="preserve">.  The Borrower and each Guarantor shall, or shall cause its tenants to, duly pay and discharge all taxes, rates, assessments, fees, and governmental charges upon or against it or its </w:t>
      </w:r>
      <w:bookmarkStart w:id="1623" w:name="_cp_change_116"/>
      <w:bookmarkEnd w:id="1623"/>
      <w:r>
        <w:rPr>
          <w:rFonts w:ascii="Times New Roman;Times;serif" w:hAnsi="Times New Roman;Times;serif"/>
          <w:color w:val="FF0000"/>
          <w:sz w:val="24"/>
        </w:rPr>
        <w:t>Property</w:t>
      </w:r>
      <w:bookmarkStart w:id="1624" w:name="_cp_change_117"/>
      <w:bookmarkEnd w:id="1624"/>
      <w:r>
        <w:rPr>
          <w:rFonts w:ascii="Times New Roman;Times;serif" w:hAnsi="Times New Roman;Times;serif"/>
          <w:color w:val="0000FF"/>
          <w:sz w:val="24"/>
          <w:u w:val="single"/>
        </w:rPr>
        <w:t>Properties or other assets</w:t>
      </w:r>
      <w:r>
        <w:rPr>
          <w:rFonts w:ascii="Times New Roman;Times;serif" w:hAnsi="Times New Roman;Times;serif"/>
          <w:sz w:val="24"/>
        </w:rPr>
        <w:t>,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pStyle w:val="TextBody"/>
        <w:bidi w:val="0"/>
        <w:spacing w:before="0" w:after="240"/>
        <w:ind w:left="0" w:right="0" w:hanging="0"/>
        <w:jc w:val="both"/>
        <w:rPr/>
      </w:pPr>
      <w:r>
        <w:rPr/>
        <w:t>●</w:t>
      </w:r>
      <w:bookmarkStart w:id="1625" w:name="_Toc115421294"/>
      <w:bookmarkEnd w:id="1625"/>
      <w:r>
        <w:rPr>
          <w:rFonts w:ascii="Times New Roman;Times;serif" w:hAnsi="Times New Roman;Times;serif"/>
          <w:sz w:val="24"/>
          <w:u w:val="single"/>
        </w:rPr>
        <w:t>Insurance</w:t>
      </w:r>
      <w:r>
        <w:rPr>
          <w:rFonts w:ascii="Times New Roman;Times;serif" w:hAnsi="Times New Roman;Times;serif"/>
          <w:i/>
          <w:sz w:val="24"/>
        </w:rPr>
        <w:t>.</w:t>
      </w:r>
      <w:r>
        <w:rPr>
          <w:rFonts w:ascii="Times New Roman;Times;serif" w:hAnsi="Times New Roman;Times;serif"/>
          <w:sz w:val="24"/>
        </w:rPr>
        <w:t xml:space="preserve">  Except where the Tenant of a Property shall maintain insurance pursuant to the terms of its Lease, the Borrower shall insure and keep insured, and shall cause each Subsidiary to insure and keep insured, with good and responsible insurance companies all insurable </w:t>
      </w:r>
      <w:bookmarkStart w:id="1626" w:name="_cp_change_118"/>
      <w:bookmarkEnd w:id="1626"/>
      <w:r>
        <w:rPr>
          <w:rFonts w:ascii="Times New Roman;Times;serif" w:hAnsi="Times New Roman;Times;serif"/>
          <w:color w:val="FF0000"/>
          <w:sz w:val="24"/>
        </w:rPr>
        <w:t>Property</w:t>
      </w:r>
      <w:bookmarkStart w:id="1627" w:name="_cp_change_119"/>
      <w:bookmarkEnd w:id="1627"/>
      <w:r>
        <w:rPr>
          <w:rFonts w:ascii="Times New Roman;Times;serif" w:hAnsi="Times New Roman;Times;serif"/>
          <w:color w:val="0000FF"/>
          <w:sz w:val="24"/>
          <w:u w:val="single"/>
        </w:rPr>
        <w:t>Properties and other assets</w:t>
      </w:r>
      <w:r>
        <w:rPr>
          <w:rFonts w:ascii="Times New Roman;Times;serif" w:hAnsi="Times New Roman;Times;serif"/>
          <w:sz w:val="24"/>
        </w:rPr>
        <w:t xml:space="preserve"> owned by it which is of a character usually insured by Persons similarly situated and operating like Properties against loss or damage from such hazards and risks, and in such amounts, as are insured by Persons similarly situated and operating like Properties;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  </w:t>
      </w:r>
    </w:p>
    <w:p>
      <w:pPr>
        <w:pStyle w:val="TextBody"/>
        <w:bidi w:val="0"/>
        <w:spacing w:before="0" w:after="240"/>
        <w:ind w:left="0" w:right="0" w:hanging="0"/>
        <w:jc w:val="both"/>
        <w:rPr/>
      </w:pPr>
      <w:r>
        <w:rPr/>
        <w:t>●</w:t>
      </w:r>
      <w:bookmarkStart w:id="1628" w:name="_Toc115421295"/>
      <w:bookmarkEnd w:id="1628"/>
      <w:r>
        <w:rPr>
          <w:rFonts w:ascii="Times New Roman;Times;serif" w:hAnsi="Times New Roman;Times;serif"/>
          <w:sz w:val="24"/>
          <w:u w:val="single"/>
        </w:rPr>
        <w:t>Financial Reports</w:t>
      </w:r>
      <w:r>
        <w:rPr>
          <w:rFonts w:ascii="Times New Roman;Times;serif" w:hAnsi="Times New Roman;Times;serif"/>
          <w:i/>
          <w:sz w:val="24"/>
        </w:rPr>
        <w:t>.</w:t>
      </w:r>
      <w:r>
        <w:rPr>
          <w:rFonts w:ascii="Times New Roman;Times;serif" w:hAnsi="Times New Roman;Times;serif"/>
          <w:sz w:val="24"/>
        </w:rPr>
        <w:t xml:space="preserve">  The Borrower shall, and shall cause Parent and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as the Administrative Agent or such Lender may reasonably request; and without any request, shall furnish to the Administrative Agent for distribution to the Lenders:</w:t>
      </w:r>
    </w:p>
    <w:p>
      <w:pPr>
        <w:pStyle w:val="TextBody"/>
        <w:bidi w:val="0"/>
        <w:spacing w:before="0" w:after="240"/>
        <w:ind w:left="0" w:right="0" w:hanging="0"/>
        <w:jc w:val="both"/>
        <w:rPr/>
      </w:pPr>
      <w:r>
        <w:rPr/>
        <w:t>●</w:t>
      </w:r>
      <w:r>
        <w:rPr>
          <w:rFonts w:ascii="Times New Roman;Times;serif" w:hAnsi="Times New Roman;Times;serif"/>
          <w:sz w:val="24"/>
        </w:rPr>
        <w:t xml:space="preserve">as soon as available, and in any event no later than ninety (90) days after the last day of each fiscal year of Parent, a copy of the consolidated and consolidating balance sheet of Parent and its Subsidiaries as of the last day of the fiscal year then ended and the consolidated and consolidating statements of income, retained earnings, and cash flows of Parent 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Parent and reasonably satisfactory to the Administrative Agent, to the effect that the consolidated financial statements have been prepared in accordance with GAAP and present fairly in accordance with GAAP the consolidated financial condition of Parent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w:t>
      </w:r>
    </w:p>
    <w:p>
      <w:pPr>
        <w:pStyle w:val="TextBody"/>
        <w:bidi w:val="0"/>
        <w:spacing w:before="0" w:after="240"/>
        <w:ind w:left="0" w:right="0" w:hanging="0"/>
        <w:jc w:val="both"/>
        <w:rPr/>
      </w:pPr>
      <w:r>
        <w:rPr/>
        <w:t>●</w:t>
      </w:r>
      <w:r>
        <w:rPr>
          <w:rFonts w:ascii="Times New Roman;Times;serif" w:hAnsi="Times New Roman;Times;serif"/>
          <w:sz w:val="24"/>
        </w:rPr>
        <w:t>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pStyle w:val="TextBody"/>
        <w:bidi w:val="0"/>
        <w:spacing w:before="0" w:after="240"/>
        <w:ind w:left="0" w:right="0" w:hanging="0"/>
        <w:jc w:val="both"/>
        <w:rPr/>
      </w:pPr>
      <w:r>
        <w:rPr/>
        <w:t>●</w:t>
      </w:r>
      <w:r>
        <w:rPr>
          <w:rFonts w:ascii="Times New Roman;Times;serif" w:hAnsi="Times New Roman;Times;serif"/>
          <w:sz w:val="24"/>
        </w:rPr>
        <w:t>as soon as available, and in any event no later than forty-five (45) days after the last day of each fiscal quarter of each fiscal year of Parent (or ninety (90) days after the last day of each fiscal year of Parent), a copy of the consolidated and consolidating balance sheet of Parent and its Subsidiaries as of the last day of such fiscal quarter and the consolidated and consolidating statements of income, retained earnings, and cash flows of Parent and its Subsidiaries for the fiscal quarter and for the fiscal year-to-date period then ended, each in reasonable detail showing in comparative form the figures for the corresponding date and period in the previous fiscal year, prepared by Parent in accordance with GAAP (subject to the absence of footnote disclosures and year-end audit adjustments) and certified to by its chief financial officer or another officer of Parent reasonably acceptable to the Administrative Agent;</w:t>
      </w:r>
    </w:p>
    <w:p>
      <w:pPr>
        <w:pStyle w:val="TextBody"/>
        <w:bidi w:val="0"/>
        <w:spacing w:before="0" w:after="240"/>
        <w:ind w:left="0" w:right="0" w:hanging="0"/>
        <w:jc w:val="both"/>
        <w:rPr/>
      </w:pPr>
      <w:r>
        <w:rPr/>
        <w:t>●</w:t>
      </w:r>
      <w:bookmarkStart w:id="1629" w:name="_Ref70340828"/>
      <w:bookmarkEnd w:id="1629"/>
      <w:r>
        <w:rPr>
          <w:rFonts w:ascii="Times New Roman;Times;serif" w:hAnsi="Times New Roman;Times;serif"/>
          <w:sz w:val="24"/>
        </w:rPr>
        <w:t>[Intentionally Omitted];</w:t>
      </w:r>
    </w:p>
    <w:p>
      <w:pPr>
        <w:pStyle w:val="TextBody"/>
        <w:bidi w:val="0"/>
        <w:spacing w:before="0" w:after="240"/>
        <w:ind w:left="0" w:right="0" w:hanging="0"/>
        <w:jc w:val="both"/>
        <w:rPr/>
      </w:pPr>
      <w:r>
        <w:rPr/>
        <w:t>●</w:t>
      </w:r>
      <w:r>
        <w:rPr>
          <w:rFonts w:ascii="Times New Roman;Times;serif" w:hAnsi="Times New Roman;Times;serif"/>
          <w:sz w:val="24"/>
        </w:rPr>
        <w:t>with each of the financial statements delivered pursuant to subsections (a) and (b) above, a Compliance Certificate (“</w:t>
      </w:r>
      <w:r>
        <w:rPr>
          <w:rFonts w:ascii="Times New Roman;Times;serif" w:hAnsi="Times New Roman;Times;serif"/>
          <w:i/>
          <w:sz w:val="24"/>
        </w:rPr>
        <w:t>Compliance Certificate”</w:t>
      </w:r>
      <w:r>
        <w:rPr>
          <w:rFonts w:ascii="Times New Roman;Times;serif" w:hAnsi="Times New Roman;Times;serif"/>
          <w:sz w:val="24"/>
        </w:rPr>
        <w:t xml:space="preserve">) in the form attached hereto as Exhibit E signed by the chief financial officer of Parent or another officer of Parent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promptly after receipt thereof, any additional written reports, management letters or other detailed information contained in writing concerning significant aspects of Parent’s or any Subsidiary’s operations and financial affairs given to it by its independent public accountants;</w:t>
      </w:r>
    </w:p>
    <w:p>
      <w:pPr>
        <w:pStyle w:val="TextBody"/>
        <w:bidi w:val="0"/>
        <w:spacing w:before="0" w:after="240"/>
        <w:ind w:left="0" w:right="0" w:hanging="0"/>
        <w:jc w:val="both"/>
        <w:rPr/>
      </w:pPr>
      <w:r>
        <w:rPr/>
        <w:t>●</w:t>
      </w:r>
      <w:r>
        <w:rPr>
          <w:rFonts w:ascii="Times New Roman;Times;serif" w:hAnsi="Times New Roman;Times;serif"/>
          <w:sz w:val="24"/>
        </w:rPr>
        <w:t>promptly after the sending or filing thereof, copies of each financial statement, report, notice or proxy statement sent by Parent or any Subsidiary to its stockholders or other equity holders, and upon written request from the Administrative Agent, copies of each regular, periodic or special report, registration statement or prospectus (including all Form 10-K, Form 10-Q and Form 8-K reports) filed by Parent or any Subsidiary with any securities exchange or the Securities and Exchange Commission or any successor agency;</w:t>
      </w:r>
    </w:p>
    <w:p>
      <w:pPr>
        <w:pStyle w:val="TextBody"/>
        <w:bidi w:val="0"/>
        <w:spacing w:before="0" w:after="240"/>
        <w:ind w:left="0" w:right="0" w:hanging="0"/>
        <w:jc w:val="both"/>
        <w:rPr/>
      </w:pPr>
      <w:r>
        <w:rPr/>
        <w:t>●</w:t>
      </w:r>
      <w:r>
        <w:rPr>
          <w:rFonts w:ascii="Times New Roman;Times;serif" w:hAnsi="Times New Roman;Times;serif"/>
          <w:sz w:val="24"/>
        </w:rPr>
        <w:t>promptly after receipt thereof, a copy of each audit made by any regulatory agency of the books and records of Parent or any Subsidiary or of notice of any material noncompliance with any applicable law, regulation or guideline relating to Parent or any Subsidiary, or their respective businesses;  </w:t>
      </w:r>
    </w:p>
    <w:p>
      <w:pPr>
        <w:pStyle w:val="TextBody"/>
        <w:bidi w:val="0"/>
        <w:spacing w:before="0" w:after="240"/>
        <w:ind w:left="0" w:right="0" w:hanging="0"/>
        <w:jc w:val="both"/>
        <w:rPr/>
      </w:pPr>
      <w:r>
        <w:rPr/>
        <w:t>●</w:t>
      </w:r>
      <w:r>
        <w:rPr>
          <w:rFonts w:ascii="Times New Roman;Times;serif" w:hAnsi="Times New Roman;Times;serif"/>
          <w:sz w:val="24"/>
        </w:rPr>
        <w:t>[Intentionally Omitted];</w:t>
      </w:r>
    </w:p>
    <w:p>
      <w:pPr>
        <w:pStyle w:val="TextBody"/>
        <w:bidi w:val="0"/>
        <w:spacing w:before="0" w:after="240"/>
        <w:ind w:left="0" w:right="0" w:hanging="0"/>
        <w:jc w:val="both"/>
        <w:rPr/>
      </w:pPr>
      <w:r>
        <w:rPr/>
        <w:t>●</w:t>
      </w:r>
      <w:r>
        <w:rPr>
          <w:rFonts w:ascii="Times New Roman;Times;serif" w:hAnsi="Times New Roman;Times;serif"/>
          <w:sz w:val="24"/>
        </w:rPr>
        <w:t>notice of any Change of Control;</w:t>
      </w:r>
    </w:p>
    <w:p>
      <w:pPr>
        <w:pStyle w:val="TextBody"/>
        <w:bidi w:val="0"/>
        <w:spacing w:before="0" w:after="240"/>
        <w:ind w:left="0" w:right="0" w:hanging="0"/>
        <w:jc w:val="both"/>
        <w:rPr/>
      </w:pPr>
      <w:r>
        <w:rPr/>
        <w:t>●</w:t>
      </w:r>
      <w:r>
        <w:rPr>
          <w:rFonts w:ascii="Times New Roman;Times;serif" w:hAnsi="Times New Roman;Times;serif"/>
          <w:sz w:val="24"/>
        </w:rPr>
        <w:t xml:space="preserve">promptly after knowledge thereof shall have come to the attention of any Responsible Officer of Parent, written notice of (i) any threatened (in writing) or pending litigation or governmental or arbitration proceeding or labor controversy against Parent or any Subsidiary or any of their Property </w:t>
      </w:r>
      <w:bookmarkStart w:id="1630" w:name="_cp_change_120"/>
      <w:bookmarkEnd w:id="1630"/>
      <w:r>
        <w:rPr>
          <w:rFonts w:ascii="Times New Roman;Times;serif" w:hAnsi="Times New Roman;Times;serif"/>
          <w:color w:val="0000FF"/>
          <w:sz w:val="24"/>
          <w:u w:val="single"/>
        </w:rPr>
        <w:t xml:space="preserve">or other assets </w:t>
      </w:r>
      <w:r>
        <w:rPr>
          <w:rFonts w:ascii="Times New Roman;Times;serif" w:hAnsi="Times New Roman;Times;serif"/>
          <w:sz w:val="24"/>
        </w:rPr>
        <w:t>which could reasonably be expected to have a Material Adverse Effect, (ii) 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of such certification;</w:t>
      </w:r>
    </w:p>
    <w:p>
      <w:pPr>
        <w:pStyle w:val="TextBody"/>
        <w:bidi w:val="0"/>
        <w:spacing w:before="0" w:after="240"/>
        <w:ind w:left="0" w:right="0" w:hanging="0"/>
        <w:jc w:val="both"/>
        <w:rPr/>
      </w:pPr>
      <w:r>
        <w:rPr/>
        <w:t>●</w:t>
      </w:r>
      <w:r>
        <w:rPr>
          <w:rFonts w:ascii="Times New Roman;Times;serif" w:hAnsi="Times New Roman;Times;serif"/>
          <w:sz w:val="24"/>
        </w:rPr>
        <w:t>within forty-five (45) days of the end of each of the first three (3) fiscal quarters and within 90 days after the close of the last fiscal quarter of the year (i) a list of all newly formed or acquired Subsidiaries during such quarter (such list shall contain the information relative to such new Subsidiaries as set forth in Schedule 6.2 hereto), and (ii)  a copy of any notice of a material default by the Borrower or any Guarantor from any ground lessor during such quarter;</w:t>
      </w:r>
    </w:p>
    <w:p>
      <w:pPr>
        <w:pStyle w:val="TextBody"/>
        <w:bidi w:val="0"/>
        <w:spacing w:before="0" w:after="240"/>
        <w:ind w:left="0" w:right="0" w:hanging="0"/>
        <w:jc w:val="both"/>
        <w:rPr/>
      </w:pPr>
      <w:r>
        <w:rPr/>
        <w:t>●</w:t>
      </w:r>
      <w:r>
        <w:rPr>
          <w:rFonts w:ascii="Times New Roman;Times;serif" w:hAnsi="Times New Roman;Times;serif"/>
          <w:sz w:val="24"/>
        </w:rPr>
        <w:t xml:space="preserve">promptly after knowledge thereof shall have come to the attention of any Responsible Officer of Parent, written notice to </w:t>
      </w:r>
      <w:bookmarkStart w:id="1631" w:name="_cp_change_121"/>
      <w:bookmarkEnd w:id="1631"/>
      <w:r>
        <w:rPr>
          <w:rFonts w:ascii="Times New Roman;Times;serif" w:hAnsi="Times New Roman;Times;serif"/>
          <w:color w:val="FF0000"/>
          <w:sz w:val="24"/>
        </w:rPr>
        <w:t>each Lender if</w:t>
      </w:r>
      <w:bookmarkStart w:id="1632" w:name="_cp_change_122"/>
      <w:bookmarkEnd w:id="1632"/>
      <w:r>
        <w:rPr>
          <w:rFonts w:ascii="Times New Roman;Times;serif" w:hAnsi="Times New Roman;Times;serif"/>
          <w:color w:val="0000FF"/>
          <w:sz w:val="24"/>
          <w:u w:val="single"/>
        </w:rPr>
        <w:t>the Administrative Agent if (i)</w:t>
      </w:r>
      <w:r>
        <w:rPr>
          <w:rFonts w:ascii="Times New Roman;Times;serif" w:hAnsi="Times New Roman;Times;serif"/>
          <w:sz w:val="24"/>
        </w:rPr>
        <w:t xml:space="preserve"> amounts payable under a Lease of any Eligible Property or portion thereof included in the Unencumbered Asset Value is more than sixty (60) days past due</w:t>
      </w:r>
      <w:bookmarkStart w:id="1633" w:name="_cp_change_123"/>
      <w:bookmarkEnd w:id="1633"/>
      <w:r>
        <w:rPr>
          <w:rFonts w:ascii="Times New Roman;Times;serif" w:hAnsi="Times New Roman;Times;serif"/>
          <w:color w:val="0000FF"/>
          <w:sz w:val="24"/>
          <w:u w:val="single"/>
        </w:rPr>
        <w:t>, (ii) amounts payable under an Unencumbered Mortgage Receivable is more than sixty (60) days past due, or (iii) any Unencumbered Asset fails to qualify as an Eligible Asset</w:t>
      </w:r>
      <w:r>
        <w:rPr>
          <w:rFonts w:ascii="Times New Roman;Times;serif" w:hAnsi="Times New Roman;Times;serif"/>
          <w:sz w:val="24"/>
        </w:rPr>
        <w:t>; and</w:t>
      </w:r>
    </w:p>
    <w:p>
      <w:pPr>
        <w:pStyle w:val="TextBody"/>
        <w:bidi w:val="0"/>
        <w:ind w:left="0" w:right="0" w:hanging="0"/>
        <w:jc w:val="both"/>
        <w:rPr/>
      </w:pPr>
      <w:r>
        <w:rPr/>
        <w:t>●</w:t>
      </w:r>
      <w:r>
        <w:rPr>
          <w:rFonts w:ascii="Times New Roman;Times;serif" w:hAnsi="Times New Roman;Times;serif"/>
          <w:sz w:val="24"/>
        </w:rPr>
        <w:t>promptly after the request of any Lender, any other information or report reasonably requested by a Lender;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w:hAnsi="Times"/>
          <w:i/>
          <w:sz w:val="24"/>
        </w:rPr>
        <w:t>provided, however</w:t>
      </w:r>
      <w:r>
        <w:rPr>
          <w:rFonts w:ascii="Times" w:hAnsi="Times"/>
          <w:sz w:val="24"/>
        </w:rPr>
        <w:t>, to the extent such items set forth above are filed with the Securities and Exchange Commission or otherwise are publicly available, the Borrower shall be deemed to have satisfied this covenant once it provides notice to the Administrative Agent of such availability.</w:t>
      </w:r>
    </w:p>
    <w:p>
      <w:pPr>
        <w:pStyle w:val="TextBody"/>
        <w:bidi w:val="0"/>
        <w:spacing w:before="0" w:after="240"/>
        <w:ind w:left="0" w:right="0" w:hanging="0"/>
        <w:jc w:val="both"/>
        <w:rPr/>
      </w:pPr>
      <w:r>
        <w:rPr/>
        <w:t>●</w:t>
      </w:r>
      <w:bookmarkStart w:id="1634" w:name="_Toc115421296"/>
      <w:bookmarkEnd w:id="1634"/>
      <w:r>
        <w:rPr>
          <w:rFonts w:ascii="Times New Roman;Times;serif" w:hAnsi="Times New Roman;Times;serif"/>
          <w:sz w:val="24"/>
          <w:u w:val="single"/>
        </w:rPr>
        <w:t>Inspection</w:t>
      </w:r>
      <w:r>
        <w:rPr>
          <w:rFonts w:ascii="Times New Roman;Times;serif" w:hAnsi="Times New Roman;Times;serif"/>
          <w:sz w:val="24"/>
        </w:rPr>
        <w:t xml:space="preserve">.  The Borrower shall, and shall cause Parent and each Subsidiary to, permit the Administrative Agent, each Lender and each of their duly authorized representatives and agents during normal business hours to visit and inspect any of its </w:t>
      </w:r>
      <w:bookmarkStart w:id="1635" w:name="_cp_change_124"/>
      <w:bookmarkEnd w:id="1635"/>
      <w:r>
        <w:rPr>
          <w:rFonts w:ascii="Times New Roman;Times;serif" w:hAnsi="Times New Roman;Times;serif"/>
          <w:color w:val="FF0000"/>
          <w:sz w:val="24"/>
        </w:rPr>
        <w:t>Property</w:t>
      </w:r>
      <w:bookmarkStart w:id="1636" w:name="_cp_change_125"/>
      <w:bookmarkEnd w:id="1636"/>
      <w:r>
        <w:rPr>
          <w:rFonts w:ascii="Times New Roman;Times;serif" w:hAnsi="Times New Roman;Times;serif"/>
          <w:color w:val="0000FF"/>
          <w:sz w:val="24"/>
          <w:u w:val="single"/>
        </w:rPr>
        <w:t>Properties</w:t>
      </w:r>
      <w:r>
        <w:rPr>
          <w:rFonts w:ascii="Times New Roman;Times;serif" w:hAnsi="Times New Roman;Times;serif"/>
          <w:sz w:val="24"/>
        </w:rPr>
        <w:t>,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Parent hereby authorizes such accountants with Parent present to discuss with the Administrative Agent and such Lenders the finances and affairs of the Parent and its Subsidiaries) at such reasonable times and intervals as the Administrative Agent or any such Lender may designate and, so long as no Default or Event of Default exists, with reasonable prior notice to Parent.  The Administrative Agent, and Lenders shall use reasonable efforts to coordinate inspections undertaken in accordance with this Section 8.6 to reduce the administrative burden of such inspections on the Parent and their Subsidiaries.</w:t>
      </w:r>
    </w:p>
    <w:p>
      <w:pPr>
        <w:pStyle w:val="TextBody"/>
        <w:bidi w:val="0"/>
        <w:spacing w:before="0" w:after="240"/>
        <w:ind w:left="0" w:right="0" w:hanging="0"/>
        <w:jc w:val="both"/>
        <w:rPr/>
      </w:pPr>
      <w:r>
        <w:rPr/>
        <w:t>●</w:t>
      </w:r>
      <w:bookmarkStart w:id="1637" w:name="_Toc115421297"/>
      <w:bookmarkEnd w:id="1637"/>
      <w:r>
        <w:rPr>
          <w:rFonts w:ascii="Times New Roman;Times;serif" w:hAnsi="Times New Roman;Times;serif"/>
          <w:sz w:val="24"/>
          <w:u w:val="single"/>
        </w:rPr>
        <w:t>Liens</w:t>
      </w:r>
      <w:r>
        <w:rPr>
          <w:rFonts w:ascii="Times New Roman;Times;serif" w:hAnsi="Times New Roman;Times;serif"/>
          <w:i/>
          <w:sz w:val="24"/>
        </w:rPr>
        <w:t>.</w:t>
      </w:r>
      <w:r>
        <w:rPr>
          <w:rFonts w:ascii="Times New Roman;Times;serif" w:hAnsi="Times New Roman;Times;serif"/>
          <w:sz w:val="24"/>
        </w:rPr>
        <w:t xml:space="preserve">  The Borrower shall not, nor shall it permit any Subsidiary to, create, incur or permit to exist any Lien of any kind on any Property </w:t>
      </w:r>
      <w:bookmarkStart w:id="1638" w:name="_cp_change_126"/>
      <w:bookmarkEnd w:id="1638"/>
      <w:r>
        <w:rPr>
          <w:rFonts w:ascii="Times New Roman;Times;serif" w:hAnsi="Times New Roman;Times;serif"/>
          <w:color w:val="0000FF"/>
          <w:sz w:val="24"/>
          <w:u w:val="single"/>
        </w:rPr>
        <w:t xml:space="preserve">or other assets </w:t>
      </w:r>
      <w:r>
        <w:rPr>
          <w:rFonts w:ascii="Times New Roman;Times;serif" w:hAnsi="Times New Roman;Times;serif"/>
          <w:sz w:val="24"/>
        </w:rPr>
        <w:t xml:space="preserve">owned by any such Person; </w:t>
      </w:r>
      <w:r>
        <w:rPr>
          <w:rFonts w:ascii="Times New Roman;Times;serif" w:hAnsi="Times New Roman;Times;serif"/>
          <w:i/>
          <w:sz w:val="24"/>
        </w:rPr>
        <w:t>provided, however,</w:t>
      </w:r>
      <w:r>
        <w:rPr>
          <w:rFonts w:ascii="Times New Roman;Times;serif" w:hAnsi="Times New Roman;Times;serif"/>
          <w:sz w:val="24"/>
        </w:rPr>
        <w:t xml:space="preserve"> that the foregoing shall not apply to nor operate to prevent any Permitted Liens.</w:t>
      </w:r>
    </w:p>
    <w:p>
      <w:pPr>
        <w:pStyle w:val="TextBody"/>
        <w:bidi w:val="0"/>
        <w:spacing w:before="0" w:after="240"/>
        <w:ind w:left="0" w:right="0" w:hanging="0"/>
        <w:jc w:val="both"/>
        <w:rPr/>
      </w:pPr>
      <w:r>
        <w:rPr/>
        <w:t>●</w:t>
      </w:r>
      <w:bookmarkStart w:id="1639" w:name="_Toc115421298"/>
      <w:bookmarkEnd w:id="1639"/>
      <w:r>
        <w:rPr>
          <w:rFonts w:ascii="Times New Roman;Times;serif" w:hAnsi="Times New Roman;Times;serif"/>
          <w:sz w:val="24"/>
          <w:u w:val="single"/>
        </w:rPr>
        <w:t>Investments, Acquisitions, Loans and Advances</w:t>
      </w:r>
      <w:r>
        <w:rPr>
          <w:rFonts w:ascii="Times New Roman;Times;serif" w:hAnsi="Times New Roman;Times;serif"/>
          <w:sz w:val="24"/>
        </w:rPr>
        <w:t xml:space="preserve">.  The Borrower shall not, nor shall it permit any Subsidiary to (i) directly or indirectly, make, retain or have outstanding any of the following any investments (whether through the purchase of stock or obligations or otherwise) in any Person, </w:t>
      </w:r>
      <w:bookmarkStart w:id="1640" w:name="_cp_change_127"/>
      <w:bookmarkEnd w:id="1640"/>
      <w:r>
        <w:rPr>
          <w:rFonts w:ascii="Times New Roman;Times;serif" w:hAnsi="Times New Roman;Times;serif"/>
          <w:color w:val="FF0000"/>
          <w:sz w:val="24"/>
        </w:rPr>
        <w:t>real property</w:t>
      </w:r>
      <w:bookmarkStart w:id="1641" w:name="_cp_change_128"/>
      <w:bookmarkEnd w:id="1641"/>
      <w:r>
        <w:rPr>
          <w:rFonts w:ascii="Times New Roman;Times;serif" w:hAnsi="Times New Roman;Times;serif"/>
          <w:color w:val="0000FF"/>
          <w:sz w:val="24"/>
          <w:u w:val="single"/>
        </w:rPr>
        <w:t>Property</w:t>
      </w:r>
      <w:r>
        <w:rPr>
          <w:rFonts w:ascii="Times New Roman;Times;serif" w:hAnsi="Times New Roman;Times;serif"/>
          <w:sz w:val="24"/>
        </w:rPr>
        <w:t xml:space="preserve"> or improvements on </w:t>
      </w:r>
      <w:bookmarkStart w:id="1642" w:name="_cp_change_129"/>
      <w:bookmarkEnd w:id="1642"/>
      <w:r>
        <w:rPr>
          <w:rFonts w:ascii="Times New Roman;Times;serif" w:hAnsi="Times New Roman;Times;serif"/>
          <w:color w:val="FF0000"/>
          <w:sz w:val="24"/>
        </w:rPr>
        <w:t>real property</w:t>
      </w:r>
      <w:bookmarkStart w:id="1643" w:name="_cp_change_130"/>
      <w:bookmarkEnd w:id="1643"/>
      <w:r>
        <w:rPr>
          <w:rFonts w:ascii="Times New Roman;Times;serif" w:hAnsi="Times New Roman;Times;serif"/>
          <w:color w:val="0000FF"/>
          <w:sz w:val="24"/>
          <w:u w:val="single"/>
        </w:rPr>
        <w:t>Property</w:t>
      </w:r>
      <w:r>
        <w:rPr>
          <w:rFonts w:ascii="Times New Roman;Times;serif" w:hAnsi="Times New Roman;Times;serif"/>
          <w:sz w:val="24"/>
        </w:rPr>
        <w:t xml:space="preserve">, or any loans, advances, lines of credit, mortgage loans or other financings (including pursuant to sale/leaseback transactions) to any other Person, or (ii) acquire any </w:t>
      </w:r>
      <w:bookmarkStart w:id="1644" w:name="_cp_change_131"/>
      <w:bookmarkEnd w:id="1644"/>
      <w:r>
        <w:rPr>
          <w:rFonts w:ascii="Times New Roman;Times;serif" w:hAnsi="Times New Roman;Times;serif"/>
          <w:color w:val="FF0000"/>
          <w:sz w:val="24"/>
        </w:rPr>
        <w:t>real property</w:t>
      </w:r>
      <w:bookmarkStart w:id="1645" w:name="_cp_change_132"/>
      <w:bookmarkEnd w:id="1645"/>
      <w:r>
        <w:rPr>
          <w:rFonts w:ascii="Times New Roman;Times;serif" w:hAnsi="Times New Roman;Times;serif"/>
          <w:color w:val="0000FF"/>
          <w:sz w:val="24"/>
          <w:u w:val="single"/>
        </w:rPr>
        <w:t>Property</w:t>
      </w:r>
      <w:r>
        <w:rPr>
          <w:rFonts w:ascii="Times New Roman;Times;serif" w:hAnsi="Times New Roman;Times;serif"/>
          <w:sz w:val="24"/>
        </w:rPr>
        <w:t xml:space="preserve">, improvements on </w:t>
      </w:r>
      <w:bookmarkStart w:id="1646" w:name="_cp_change_133"/>
      <w:bookmarkEnd w:id="1646"/>
      <w:r>
        <w:rPr>
          <w:rFonts w:ascii="Times New Roman;Times;serif" w:hAnsi="Times New Roman;Times;serif"/>
          <w:color w:val="FF0000"/>
          <w:sz w:val="24"/>
        </w:rPr>
        <w:t>real property</w:t>
      </w:r>
      <w:bookmarkStart w:id="1647" w:name="_cp_change_134"/>
      <w:bookmarkEnd w:id="1647"/>
      <w:r>
        <w:rPr>
          <w:rFonts w:ascii="Times New Roman;Times;serif" w:hAnsi="Times New Roman;Times;serif"/>
          <w:color w:val="0000FF"/>
          <w:sz w:val="24"/>
          <w:u w:val="single"/>
        </w:rPr>
        <w:t>Property</w:t>
      </w:r>
      <w:r>
        <w:rPr>
          <w:rFonts w:ascii="Times New Roman;Times;serif" w:hAnsi="Times New Roman;Times;serif"/>
          <w:sz w:val="24"/>
        </w:rPr>
        <w:t xml:space="preserve"> or all or any substantial part of the assets or business of any other Person or division thereof; </w:t>
      </w:r>
      <w:r>
        <w:rPr>
          <w:rFonts w:ascii="Times New Roman;Times;serif" w:hAnsi="Times New Roman;Times;serif"/>
          <w:i/>
          <w:sz w:val="24"/>
        </w:rPr>
        <w:t>provided, however,</w:t>
      </w:r>
      <w:r>
        <w:rPr>
          <w:rFonts w:ascii="Times New Roman;Times;serif" w:hAnsi="Times New Roman;Times;serif"/>
          <w:sz w:val="24"/>
        </w:rPr>
        <w:t xml:space="preserve"> that the foregoing shall not apply to nor operate to prevent, with respect to the Borrower or any Subsidiary, any of the following:</w:t>
      </w:r>
    </w:p>
    <w:p>
      <w:pPr>
        <w:pStyle w:val="TextBody"/>
        <w:bidi w:val="0"/>
        <w:spacing w:before="0" w:after="240"/>
        <w:ind w:left="0" w:right="0" w:hanging="0"/>
        <w:jc w:val="both"/>
        <w:rPr/>
      </w:pPr>
      <w:r>
        <w:rPr/>
        <w:t>●</w:t>
      </w:r>
      <w:r>
        <w:rPr>
          <w:rFonts w:ascii="Times New Roman;Times;serif" w:hAnsi="Times New Roman;Times;serif"/>
          <w:sz w:val="24"/>
        </w:rPr>
        <w:t>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pStyle w:val="TextBody"/>
        <w:bidi w:val="0"/>
        <w:spacing w:before="0" w:after="240"/>
        <w:ind w:left="0" w:right="0" w:hanging="0"/>
        <w:jc w:val="both"/>
        <w:rPr/>
      </w:pPr>
      <w:r>
        <w:rPr/>
        <w:t>●</w:t>
      </w:r>
      <w:r>
        <w:rPr>
          <w:rFonts w:ascii="Times New Roman;Times;serif" w:hAnsi="Times New Roman;Times;serif"/>
          <w:sz w:val="24"/>
        </w:rPr>
        <w:t>investments in commercial paper with a Rating of at least P-1 by Moody’s and at least A-1 by S&amp;P maturing within one (1) year of the date of issuance thereof;</w:t>
      </w:r>
    </w:p>
    <w:p>
      <w:pPr>
        <w:pStyle w:val="TextBody"/>
        <w:bidi w:val="0"/>
        <w:spacing w:before="0" w:after="240"/>
        <w:ind w:left="0" w:right="0" w:hanging="0"/>
        <w:jc w:val="both"/>
        <w:rPr/>
      </w:pPr>
      <w:r>
        <w:rPr/>
        <w:t>●</w:t>
      </w:r>
      <w:r>
        <w:rPr>
          <w:rFonts w:ascii="Times New Roman;Times;serif" w:hAnsi="Times New Roman;Times;serif"/>
          <w:sz w:val="24"/>
        </w:rPr>
        <w:t>interest bearing assets or investments in certificates of deposit issued by any Lender or by any United States commercial bank having capital and surplus of not less than $100,000,000 which have a maturity of one (1) year or less;</w:t>
      </w:r>
    </w:p>
    <w:p>
      <w:pPr>
        <w:pStyle w:val="TextBody"/>
        <w:bidi w:val="0"/>
        <w:spacing w:before="0" w:after="240"/>
        <w:ind w:left="0" w:right="0" w:hanging="0"/>
        <w:jc w:val="both"/>
        <w:rPr/>
      </w:pPr>
      <w:r>
        <w:rPr/>
        <w:t>●</w:t>
      </w:r>
      <w:r>
        <w:rPr>
          <w:rFonts w:ascii="Times New Roman;Times;serif" w:hAnsi="Times New Roman;Times;serif"/>
          <w:sz w:val="24"/>
        </w:rPr>
        <w:t xml:space="preserve">investments in repurchase obligations with a term of not more than seven (7) days for underlying securities of the types described in subsection (a) above entered into with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any bank meeting the qualifications specified in subsection (c) above, provided all such agreements require physical delivery of the securities securing such repurchase agreement, except those delivered through the Federal Reserve Book Entry System;</w:t>
      </w:r>
    </w:p>
    <w:p>
      <w:pPr>
        <w:pStyle w:val="TextBody"/>
        <w:bidi w:val="0"/>
        <w:spacing w:before="0" w:after="240"/>
        <w:ind w:left="0" w:right="0" w:hanging="0"/>
        <w:jc w:val="both"/>
        <w:rPr/>
      </w:pPr>
      <w:r>
        <w:rPr/>
        <w:t>●</w:t>
      </w:r>
      <w:r>
        <w:rPr>
          <w:rFonts w:ascii="Times New Roman;Times;serif" w:hAnsi="Times New Roman;Times;serif"/>
          <w:sz w:val="24"/>
        </w:rPr>
        <w:t>investments in money market funds that invest solely, and which are restricted by their respective charters to invest solely, in investments of the type described in the immediately preceding subsections (a), (b), (c), and (d) above;</w:t>
      </w:r>
    </w:p>
    <w:p>
      <w:pPr>
        <w:pStyle w:val="TextBody"/>
        <w:bidi w:val="0"/>
        <w:spacing w:before="0" w:after="240"/>
        <w:ind w:left="0" w:right="0" w:hanging="0"/>
        <w:jc w:val="both"/>
        <w:rPr/>
      </w:pPr>
      <w:r>
        <w:rPr/>
        <w:t>●</w:t>
      </w:r>
      <w:r>
        <w:rPr>
          <w:rFonts w:ascii="Times New Roman;Times;serif" w:hAnsi="Times New Roman;Times;serif"/>
          <w:sz w:val="24"/>
        </w:rPr>
        <w:t>the Borrower’s investments from time to time in its Subsidiaries, and investments made from time to time by a Subsidiary in one or more of its Subsidiaries;</w:t>
      </w:r>
    </w:p>
    <w:p>
      <w:pPr>
        <w:pStyle w:val="TextBody"/>
        <w:bidi w:val="0"/>
        <w:spacing w:before="0" w:after="240"/>
        <w:ind w:left="0" w:right="0" w:hanging="0"/>
        <w:jc w:val="both"/>
        <w:rPr/>
      </w:pPr>
      <w:r>
        <w:rPr/>
        <w:t>●</w:t>
      </w:r>
      <w:r>
        <w:rPr>
          <w:rFonts w:ascii="Times New Roman;Times;serif" w:hAnsi="Times New Roman;Times;serif"/>
          <w:sz w:val="24"/>
        </w:rPr>
        <w:t>intercompany advances made from time to time among the Borrower and its Subsidiaries in the ordinary course of business to finance working capital needs;</w:t>
      </w:r>
    </w:p>
    <w:p>
      <w:pPr>
        <w:pStyle w:val="TextBody"/>
        <w:bidi w:val="0"/>
        <w:spacing w:before="0" w:after="240"/>
        <w:ind w:left="0" w:right="0" w:hanging="0"/>
        <w:jc w:val="both"/>
        <w:rPr/>
      </w:pPr>
      <w:r>
        <w:rPr/>
        <w:t>●</w:t>
      </w:r>
      <w:r>
        <w:rPr>
          <w:rFonts w:ascii="Times New Roman;Times;serif" w:hAnsi="Times New Roman;Times;serif"/>
          <w:sz w:val="24"/>
        </w:rPr>
        <w:t>investments from time to time in individual Properties, including Eligible Properties</w:t>
      </w:r>
      <w:bookmarkStart w:id="1648" w:name="_cp_change_135"/>
      <w:bookmarkEnd w:id="1648"/>
      <w:r>
        <w:rPr>
          <w:rFonts w:ascii="Times New Roman;Times;serif" w:hAnsi="Times New Roman;Times;serif"/>
          <w:color w:val="FF0000"/>
          <w:sz w:val="24"/>
        </w:rPr>
        <w:t>, or in</w:t>
      </w:r>
      <w:r>
        <w:rPr>
          <w:rFonts w:ascii="Times New Roman;Times;serif" w:hAnsi="Times New Roman;Times;serif"/>
          <w:sz w:val="24"/>
        </w:rPr>
        <w:t xml:space="preserve"> </w:t>
      </w:r>
      <w:bookmarkStart w:id="1649" w:name="_cp_change_136"/>
      <w:bookmarkEnd w:id="1649"/>
      <w:r>
        <w:rPr>
          <w:rFonts w:ascii="Times New Roman;Times;serif" w:hAnsi="Times New Roman;Times;serif"/>
          <w:color w:val="0000FF"/>
          <w:sz w:val="24"/>
          <w:u w:val="single"/>
        </w:rPr>
        <w:t>and Acceptable Leasehold Interests, Land Assets, and Assets Under Development, or in joint venture or other</w:t>
      </w:r>
      <w:r>
        <w:rPr>
          <w:rFonts w:ascii="Times New Roman;Times;serif" w:hAnsi="Times New Roman;Times;serif"/>
          <w:sz w:val="24"/>
        </w:rPr>
        <w:t xml:space="preserve"> entities which own such individual Properties, including Eligible Properties</w:t>
      </w:r>
      <w:bookmarkStart w:id="1650" w:name="_cp_change_137"/>
      <w:bookmarkEnd w:id="1650"/>
      <w:r>
        <w:rPr>
          <w:rFonts w:ascii="Times New Roman;Times;serif" w:hAnsi="Times New Roman;Times;serif"/>
          <w:color w:val="0000FF"/>
          <w:sz w:val="24"/>
          <w:u w:val="single"/>
        </w:rPr>
        <w:t>, Acceptable Leasehold Interests, Land Assets, and Assets Under Development</w:t>
      </w:r>
      <w:r>
        <w:rPr>
          <w:rFonts w:ascii="Times New Roman;Times;serif" w:hAnsi="Times New Roman;Times;serif"/>
          <w:sz w:val="24"/>
        </w:rPr>
        <w:t xml:space="preserve">, provided that such investment does not cause a breach of the financial covenants set forth in Section 8.20 hereof; </w:t>
      </w:r>
    </w:p>
    <w:p>
      <w:pPr>
        <w:pStyle w:val="TextBody"/>
        <w:bidi w:val="0"/>
        <w:ind w:left="0" w:right="0" w:hanging="0"/>
        <w:jc w:val="both"/>
        <w:rPr/>
      </w:pPr>
      <w:r>
        <w:rPr/>
        <w:t>●</w:t>
      </w:r>
      <w:bookmarkStart w:id="1651" w:name="_Ref114676318"/>
      <w:bookmarkEnd w:id="1651"/>
      <w:r>
        <w:rPr>
          <w:rFonts w:ascii="Times New Roman;Times;serif" w:hAnsi="Times New Roman;Times;serif"/>
          <w:sz w:val="24"/>
        </w:rPr>
        <w:t xml:space="preserve">investments in (x) corporate debt issued by any real estate company or real estate investment trust and (y) Stock or Stock Equivalents issued by any real estate company or real estate investment trust, so long as in each case the real estate company or real estate investment trust is listed on the New York Stock Exchange, the NYSE American or The NASDAQ Stock Market (investments described in this clause (y), collectively, “Public Investments”); </w:t>
      </w:r>
      <w:bookmarkStart w:id="1652" w:name="_cp_change_138"/>
      <w:bookmarkEnd w:id="1652"/>
      <w:r>
        <w:rPr>
          <w:rFonts w:ascii="Times New Roman;Times;serif" w:hAnsi="Times New Roman;Times;serif"/>
          <w:color w:val="FF0000"/>
          <w:sz w:val="24"/>
        </w:rPr>
        <w:t>and</w:t>
      </w:r>
    </w:p>
    <w:p>
      <w:pPr>
        <w:pStyle w:val="TextBody"/>
        <w:bidi w:val="0"/>
        <w:spacing w:before="0" w:after="240"/>
        <w:ind w:left="0" w:right="0" w:firstLine="1440"/>
        <w:jc w:val="both"/>
        <w:rPr>
          <w:rFonts w:ascii="Times New Roman;Times;serif" w:hAnsi="Times New Roman;Times;serif"/>
          <w:color w:val="0000FF"/>
          <w:sz w:val="24"/>
          <w:u w:val="single"/>
        </w:rPr>
      </w:pPr>
      <w:bookmarkStart w:id="1653" w:name="_cp_change_141"/>
      <w:bookmarkStart w:id="1654" w:name="_cp_change_139"/>
      <w:bookmarkEnd w:id="1653"/>
      <w:bookmarkEnd w:id="1654"/>
      <w:r>
        <w:rPr>
          <w:rFonts w:ascii="Times New Roman;Times;serif" w:hAnsi="Times New Roman;Times;serif"/>
          <w:color w:val="0000FF"/>
          <w:sz w:val="24"/>
          <w:u w:val="single"/>
        </w:rPr>
        <w:t>investments from time to time in mortgages, deeds of trust, deeds to secure debt or similar instruments that are a lien upon Property, Mortgage Receivables, mezzanine loans, notes receivable, and investments in preferred equity securities; provided that, such investment does not cause a breach of the financial covenants set forth in Section 8.20 hereof; and</w:t>
      </w:r>
      <w:bookmarkStart w:id="1655" w:name="_cp_change_140"/>
      <w:bookmarkEnd w:id="1655"/>
    </w:p>
    <w:p>
      <w:pPr>
        <w:pStyle w:val="TextBody"/>
        <w:bidi w:val="0"/>
        <w:spacing w:before="0" w:after="240"/>
        <w:ind w:left="0" w:right="0" w:firstLine="1440"/>
        <w:jc w:val="both"/>
        <w:rPr>
          <w:rFonts w:ascii="Times New Roman;Times;serif" w:hAnsi="Times New Roman;Times;serif"/>
          <w:sz w:val="24"/>
        </w:rPr>
      </w:pPr>
      <w:bookmarkStart w:id="1656" w:name="_cp_change_143"/>
      <w:bookmarkStart w:id="1657" w:name="_cp_change_144"/>
      <w:bookmarkEnd w:id="1656"/>
      <w:bookmarkEnd w:id="1657"/>
      <w:r>
        <w:rPr>
          <w:rFonts w:ascii="Times New Roman;Times;serif" w:hAnsi="Times New Roman;Times;serif"/>
          <w:color w:val="FF0000"/>
          <w:sz w:val="24"/>
        </w:rPr>
        <w:t xml:space="preserve">(j) </w:t>
      </w:r>
      <w:r>
        <w:rPr>
          <w:rFonts w:ascii="Times New Roman;Times;serif" w:hAnsi="Times New Roman;Times;serif"/>
          <w:sz w:val="24"/>
        </w:rPr>
        <w:t>repurchases (including tender offers (</w:t>
      </w:r>
      <w:r>
        <w:rPr>
          <w:rFonts w:ascii="Times New Roman;Times;serif" w:hAnsi="Times New Roman;Times;serif"/>
          <w:i/>
          <w:sz w:val="24"/>
        </w:rPr>
        <w:t>e.g.</w:t>
      </w:r>
      <w:r>
        <w:rPr>
          <w:rFonts w:ascii="Times New Roman;Times;serif" w:hAnsi="Times New Roman;Times;serif"/>
          <w:sz w:val="24"/>
        </w:rPr>
        <w:t xml:space="preserve"> Dutch or modified Dutch tender offers)) of Parent’s stock in accordance with the provisions of this Agreement. </w:t>
      </w:r>
    </w:p>
    <w:p>
      <w:pPr>
        <w:pStyle w:val="TextBody"/>
        <w:bidi w:val="0"/>
        <w:spacing w:before="0" w:after="240"/>
        <w:ind w:left="0" w:right="0" w:hanging="0"/>
        <w:jc w:val="both"/>
        <w:rPr>
          <w:rFonts w:ascii="Times" w:hAnsi="Times"/>
          <w:sz w:val="24"/>
        </w:rPr>
      </w:pPr>
      <w:r>
        <w:rPr>
          <w:rFonts w:ascii="Times" w:hAnsi="Times"/>
          <w:sz w:val="24"/>
        </w:rPr>
        <w:t>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pStyle w:val="TextBody"/>
        <w:bidi w:val="0"/>
        <w:spacing w:before="0" w:after="240"/>
        <w:ind w:left="0" w:right="0" w:hanging="0"/>
        <w:jc w:val="both"/>
        <w:rPr/>
      </w:pPr>
      <w:r>
        <w:rPr/>
        <w:t>●</w:t>
      </w:r>
      <w:bookmarkStart w:id="1658" w:name="_Toc115421299"/>
      <w:bookmarkEnd w:id="1658"/>
      <w:r>
        <w:rPr>
          <w:rFonts w:ascii="Times New Roman;Times;serif" w:hAnsi="Times New Roman;Times;serif"/>
          <w:sz w:val="24"/>
          <w:u w:val="single"/>
        </w:rPr>
        <w:t>Mergers, Consolidations and Sales</w:t>
      </w:r>
      <w:r>
        <w:rPr>
          <w:rFonts w:ascii="Times New Roman;Times;serif" w:hAnsi="Times New Roman;Times;serif"/>
          <w:i/>
          <w:sz w:val="24"/>
        </w:rPr>
        <w:t>.</w:t>
      </w:r>
      <w:r>
        <w:rPr>
          <w:rFonts w:ascii="Times New Roman;Times;serif" w:hAnsi="Times New Roman;Times;serif"/>
          <w:sz w:val="24"/>
        </w:rPr>
        <w:t xml:space="preserve">  Except with the prior written consent of the Required Lenders (which shall not be unreasonably withheld, conditioned or delayed), the Borrower shall not, nor shall it permit Parent or any Subsidiary to, be a party to any merger or consolidation, or sell, transfer, lease or otherwise dispose of all or substantially all of its Property</w:t>
      </w:r>
      <w:bookmarkStart w:id="1659" w:name="_cp_change_145"/>
      <w:bookmarkEnd w:id="1659"/>
      <w:r>
        <w:rPr>
          <w:rFonts w:ascii="Times New Roman;Times;serif" w:hAnsi="Times New Roman;Times;serif"/>
          <w:color w:val="0000FF"/>
          <w:sz w:val="24"/>
          <w:u w:val="single"/>
        </w:rPr>
        <w:t xml:space="preserve"> or other assets</w:t>
      </w:r>
      <w:r>
        <w:rPr>
          <w:rFonts w:ascii="Times New Roman;Times;serif" w:hAnsi="Times New Roman;Times;serif"/>
          <w:sz w:val="24"/>
        </w:rPr>
        <w:t xml:space="preserve">; </w:t>
      </w:r>
      <w:r>
        <w:rPr>
          <w:rFonts w:ascii="Times New Roman;Times;serif" w:hAnsi="Times New Roman;Times;serif"/>
          <w:i/>
          <w:sz w:val="24"/>
        </w:rPr>
        <w:t>provided, however,</w:t>
      </w:r>
      <w:r>
        <w:rPr>
          <w:rFonts w:ascii="Times New Roman;Times;serif" w:hAnsi="Times New Roman;Times;serif"/>
          <w:sz w:val="24"/>
        </w:rPr>
        <w:t xml:space="preserve"> so long as the Borrower and Subsidiaries are in compliance with all covenants and agreements in this Agreement and no Default or Event of Default then exist, this Section shall not apply to nor operate to prevent: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 xml:space="preserve">the sale, transfer, lease or other disposition of Property </w:t>
      </w:r>
      <w:bookmarkStart w:id="1660" w:name="_cp_change_146"/>
      <w:bookmarkEnd w:id="1660"/>
      <w:r>
        <w:rPr>
          <w:rFonts w:ascii="Times New Roman;Times;serif" w:hAnsi="Times New Roman;Times;serif"/>
          <w:color w:val="0000FF"/>
          <w:sz w:val="24"/>
          <w:u w:val="single"/>
        </w:rPr>
        <w:t xml:space="preserve">and other assets </w:t>
      </w:r>
      <w:r>
        <w:rPr>
          <w:rFonts w:ascii="Times New Roman;Times;serif" w:hAnsi="Times New Roman;Times;serif"/>
          <w:sz w:val="24"/>
        </w:rPr>
        <w:t xml:space="preserve">of the Borrower and its Subsidiaries to one another in the ordinary course of its business; </w:t>
      </w:r>
    </w:p>
    <w:p>
      <w:pPr>
        <w:pStyle w:val="TextBody"/>
        <w:bidi w:val="0"/>
        <w:spacing w:before="0" w:after="240"/>
        <w:ind w:left="0" w:right="0" w:hanging="0"/>
        <w:jc w:val="both"/>
        <w:rPr/>
      </w:pPr>
      <w:r>
        <w:rPr/>
        <w:t>●</w:t>
      </w:r>
      <w:r>
        <w:rPr>
          <w:rFonts w:ascii="Times New Roman;Times;serif" w:hAnsi="Times New Roman;Times;serif"/>
          <w:sz w:val="24"/>
        </w:rPr>
        <w:t xml:space="preserve">the merger of any Subsidiary with and into the Borrower or any other Subsidiary, </w:t>
      </w:r>
      <w:r>
        <w:rPr>
          <w:rFonts w:ascii="Times New Roman;Times;serif" w:hAnsi="Times New Roman;Times;serif"/>
          <w:i/>
          <w:sz w:val="24"/>
        </w:rPr>
        <w:t>provided</w:t>
      </w:r>
      <w:r>
        <w:rPr>
          <w:rFonts w:ascii="Times New Roman;Times;serif" w:hAnsi="Times New Roman;Times;serif"/>
          <w:sz w:val="24"/>
        </w:rPr>
        <w:t xml:space="preserve"> that, in the case of any merger involving the Borrower, the Borrower is the corporation surviving the merger;</w:t>
      </w:r>
    </w:p>
    <w:p>
      <w:pPr>
        <w:pStyle w:val="TextBody"/>
        <w:bidi w:val="0"/>
        <w:spacing w:before="0" w:after="240"/>
        <w:ind w:left="0" w:right="0" w:hanging="0"/>
        <w:jc w:val="both"/>
        <w:rPr/>
      </w:pPr>
      <w:r>
        <w:rPr/>
        <w:t>●</w:t>
      </w:r>
      <w:r>
        <w:rPr>
          <w:rFonts w:ascii="Times New Roman;Times;serif" w:hAnsi="Times New Roman;Times;serif"/>
          <w:sz w:val="24"/>
        </w:rPr>
        <w:t>the sale, transfer or other disposition of any tangible personal property that, in the reasonable business judgment of the Borrower or its Subsidiary, has become obsolete or worn out, and which is disposed of in the ordinary course of business; and</w:t>
      </w:r>
    </w:p>
    <w:p>
      <w:pPr>
        <w:pStyle w:val="TextBody"/>
        <w:bidi w:val="0"/>
        <w:spacing w:before="0" w:after="240"/>
        <w:ind w:left="0" w:right="0" w:hanging="0"/>
        <w:jc w:val="both"/>
        <w:rPr/>
      </w:pPr>
      <w:r>
        <w:rPr/>
        <w:t>●</w:t>
      </w:r>
      <w:r>
        <w:rPr>
          <w:rFonts w:ascii="Times New Roman;Times;serif" w:hAnsi="Times New Roman;Times;serif"/>
          <w:sz w:val="24"/>
        </w:rPr>
        <w:t>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w:t>
      </w:r>
    </w:p>
    <w:p>
      <w:pPr>
        <w:pStyle w:val="TextBody"/>
        <w:bidi w:val="0"/>
        <w:spacing w:before="0" w:after="240"/>
        <w:ind w:left="0" w:right="0" w:hanging="0"/>
        <w:jc w:val="both"/>
        <w:rPr/>
      </w:pPr>
      <w:r>
        <w:rPr/>
        <w:t>●</w:t>
      </w:r>
      <w:r>
        <w:rPr>
          <w:rFonts w:ascii="Times New Roman;Times;serif" w:hAnsi="Times New Roman;Times;serif"/>
          <w:sz w:val="24"/>
        </w:rPr>
        <w:t>any merger if it results in the simultaneous payoff in immediately available funds of the Obligations; and</w:t>
      </w:r>
    </w:p>
    <w:p>
      <w:pPr>
        <w:pStyle w:val="TextBody"/>
        <w:bidi w:val="0"/>
        <w:spacing w:before="0" w:after="0"/>
        <w:ind w:left="0" w:right="0" w:hanging="0"/>
        <w:jc w:val="both"/>
        <w:rPr/>
      </w:pPr>
      <w:r>
        <w:rPr/>
        <w:t>●</w:t>
      </w:r>
      <w:r>
        <w:rPr>
          <w:rFonts w:ascii="Times New Roman;Times;serif" w:hAnsi="Times New Roman;Times;serif"/>
          <w:sz w:val="24"/>
        </w:rPr>
        <w:t>any merger or consolidation, directly or indirectly, with any other Person so long as (i) Parent, the Borrower and the Subsidiaries, as applicable, shall be the survivor thereof; (ii) the Borrower shall have given the Administrative Agent and the Lenders at least fifteen (15) Business Days’ prior written notice of such consolidation or merger; (iii) immediately prior thereto, and immediately thereafter and after giving effect thereto, no Default or Event of Default has occurred or would result therefrom; and (iv) at the time the Borrower gives notice pursuant to clause (ii) of this subsection, the Borrower shall have delivered to the Administrative Agent for distribution to each of the Lenders a Compliance Certificate, calculated on a pro forma basis based on information then available to the Borrower, evidencing the continued compliance by Parent, the Borrower and the Subsidiaries with the terms and conditions of this Agreement and the other Loan Documents, including, without limitation, the financial covenants contained in Section 8.20, after giving effect to such consolidation or merger.</w:t>
      </w:r>
    </w:p>
    <w:p>
      <w:pPr>
        <w:pStyle w:val="TextBody"/>
        <w:bidi w:val="0"/>
        <w:spacing w:before="0" w:after="240"/>
        <w:ind w:left="0" w:right="0" w:hanging="0"/>
        <w:jc w:val="both"/>
        <w:rPr/>
      </w:pPr>
      <w:r>
        <w:rPr/>
        <w:t>●</w:t>
      </w:r>
      <w:bookmarkStart w:id="1661" w:name="_Toc115421300"/>
      <w:bookmarkEnd w:id="1661"/>
      <w:r>
        <w:rPr>
          <w:rFonts w:ascii="Times New Roman;Times;serif" w:hAnsi="Times New Roman;Times;serif"/>
          <w:sz w:val="24"/>
          <w:u w:val="single"/>
        </w:rPr>
        <w:t>Maintenance of Subsidiaries</w:t>
      </w:r>
      <w:r>
        <w:rPr>
          <w:rFonts w:ascii="Times New Roman;Times;serif" w:hAnsi="Times New Roman;Times;serif"/>
          <w:sz w:val="24"/>
        </w:rPr>
        <w:t xml:space="preserve">.  The Borrower shall not assign, sell or transfer, nor shall it permit any Material Subsidiary to issue, assign, sell or transfer, any shares of capital stock or other equity interests of a Material Subsidiary; </w:t>
      </w:r>
      <w:r>
        <w:rPr>
          <w:rFonts w:ascii="Times New Roman;Times;serif" w:hAnsi="Times New Roman;Times;serif"/>
          <w:i/>
          <w:sz w:val="24"/>
        </w:rPr>
        <w:t>provided, however,</w:t>
      </w:r>
      <w:r>
        <w:rPr>
          <w:rFonts w:ascii="Times New Roman;Times;serif" w:hAnsi="Times New Roman;Times;serif"/>
          <w:sz w:val="24"/>
        </w:rPr>
        <w:t xml:space="preserve"> 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pStyle w:val="TextBody"/>
        <w:bidi w:val="0"/>
        <w:spacing w:before="0" w:after="240"/>
        <w:ind w:left="0" w:right="0" w:hanging="0"/>
        <w:jc w:val="both"/>
        <w:rPr/>
      </w:pPr>
      <w:r>
        <w:rPr/>
        <w:t>●</w:t>
      </w:r>
      <w:bookmarkStart w:id="1662" w:name="_Toc115421301"/>
      <w:bookmarkEnd w:id="1662"/>
      <w:r>
        <w:rPr>
          <w:rFonts w:ascii="Times New Roman;Times;serif" w:hAnsi="Times New Roman;Times;serif"/>
          <w:sz w:val="24"/>
          <w:u w:val="single"/>
        </w:rPr>
        <w:t>ERISA</w:t>
      </w:r>
      <w:r>
        <w:rPr>
          <w:rFonts w:ascii="Times New Roman;Times;serif" w:hAnsi="Times New Roman;Times;serif"/>
          <w:i/>
          <w:sz w:val="24"/>
        </w:rPr>
        <w:t>.</w:t>
      </w:r>
      <w:r>
        <w:rPr>
          <w:rFonts w:ascii="Times New Roman;Times;serif" w:hAnsi="Times New Roman;Times;serif"/>
          <w:sz w:val="24"/>
        </w:rPr>
        <w:t xml:space="preserve">  The Borrower shall, and shall cause each Subsidiary to, promptly pay and discharge all obligations and liabilities arising under ERISA in excess of $1,000,000 of a character which if unpaid or unperformed could reasonably be expected to result in the imposition of a Lien against any of its </w:t>
      </w:r>
      <w:bookmarkStart w:id="1663" w:name="_cp_change_147"/>
      <w:bookmarkEnd w:id="1663"/>
      <w:r>
        <w:rPr>
          <w:rFonts w:ascii="Times New Roman;Times;serif" w:hAnsi="Times New Roman;Times;serif"/>
          <w:color w:val="FF0000"/>
          <w:sz w:val="24"/>
        </w:rPr>
        <w:t>Property</w:t>
      </w:r>
      <w:bookmarkStart w:id="1664" w:name="_cp_change_148"/>
      <w:bookmarkEnd w:id="1664"/>
      <w:r>
        <w:rPr>
          <w:rFonts w:ascii="Times New Roman;Times;serif" w:hAnsi="Times New Roman;Times;serif"/>
          <w:color w:val="0000FF"/>
          <w:sz w:val="24"/>
          <w:u w:val="single"/>
        </w:rPr>
        <w:t>Properties or other assets</w:t>
      </w:r>
      <w:r>
        <w:rPr>
          <w:rFonts w:ascii="Times New Roman;Times;serif" w:hAnsi="Times New Roman;Times;serif"/>
          <w:sz w:val="24"/>
        </w:rPr>
        <w:t xml:space="preserve">.  Upon the Borrower or a Subsidiary obtaining knowledge of any of the following events, the Borrower shall, and shall cause each Subsidiary to, promptly notify the Administrative Agent and each Lender of:  (a) the occurrence of any reportable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pStyle w:val="TextBody"/>
        <w:bidi w:val="0"/>
        <w:spacing w:before="0" w:after="240"/>
        <w:ind w:left="0" w:right="0" w:hanging="0"/>
        <w:jc w:val="both"/>
        <w:rPr/>
      </w:pPr>
      <w:r>
        <w:rPr/>
        <w:t>●</w:t>
      </w:r>
      <w:bookmarkStart w:id="1665" w:name="_Toc115421302"/>
      <w:bookmarkEnd w:id="1665"/>
      <w:r>
        <w:rPr>
          <w:rFonts w:ascii="Times New Roman;Times;serif" w:hAnsi="Times New Roman;Times;serif"/>
          <w:sz w:val="24"/>
          <w:u w:val="single"/>
        </w:rPr>
        <w:t>Compliance with Laws</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 xml:space="preserve">The Borrower shall, and shall cause each Subsidiary to, comply in all material respects with the requirements of all federal, state, and local laws, rules, regulations, ordinances and orders applicable to or pertaining to its </w:t>
      </w:r>
      <w:bookmarkStart w:id="1666" w:name="_cp_change_149"/>
      <w:bookmarkEnd w:id="1666"/>
      <w:r>
        <w:rPr>
          <w:rFonts w:ascii="Times New Roman;Times;serif" w:hAnsi="Times New Roman;Times;serif"/>
          <w:color w:val="FF0000"/>
          <w:sz w:val="24"/>
        </w:rPr>
        <w:t>Property</w:t>
      </w:r>
      <w:bookmarkStart w:id="1667" w:name="_cp_change_150"/>
      <w:bookmarkEnd w:id="1667"/>
      <w:r>
        <w:rPr>
          <w:rFonts w:ascii="Times New Roman;Times;serif" w:hAnsi="Times New Roman;Times;serif"/>
          <w:color w:val="0000FF"/>
          <w:sz w:val="24"/>
          <w:u w:val="single"/>
        </w:rPr>
        <w:t>Properties, assets,</w:t>
      </w:r>
      <w:r>
        <w:rPr>
          <w:rFonts w:ascii="Times New Roman;Times;serif" w:hAnsi="Times New Roman;Times;serif"/>
          <w:sz w:val="24"/>
        </w:rPr>
        <w:t xml:space="preserve"> or business operations, where any such non-compliance, individually or in the aggregate, could reasonably be expected to have a Material Adverse Effect.</w:t>
      </w:r>
    </w:p>
    <w:p>
      <w:pPr>
        <w:pStyle w:val="TextBody"/>
        <w:bidi w:val="0"/>
        <w:ind w:left="0" w:right="0" w:hanging="0"/>
        <w:jc w:val="both"/>
        <w:rPr/>
      </w:pPr>
      <w:r>
        <w:rPr/>
        <w:t>●</w:t>
      </w:r>
      <w:r>
        <w:rPr>
          <w:rFonts w:ascii="Times New Roman;Times;serif" w:hAnsi="Times New Roman;Times;serif"/>
          <w:sz w:val="24"/>
        </w:rPr>
        <w:t xml:space="preserve">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pStyle w:val="TextBody"/>
        <w:bidi w:val="0"/>
        <w:spacing w:before="0" w:after="240"/>
        <w:ind w:left="0" w:right="0" w:hanging="0"/>
        <w:jc w:val="both"/>
        <w:rPr/>
      </w:pPr>
      <w:r>
        <w:rPr/>
        <w:t>●</w:t>
      </w:r>
      <w:bookmarkStart w:id="1668" w:name="_Toc115421303"/>
      <w:bookmarkEnd w:id="1668"/>
      <w:r>
        <w:rPr>
          <w:rFonts w:ascii="Times New Roman;Times;serif" w:hAnsi="Times New Roman;Times;serif"/>
          <w:sz w:val="24"/>
          <w:u w:val="single"/>
        </w:rPr>
        <w:t>Compliance with OFAC Sanctions Programs and Anti-Corruption Laws</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pStyle w:val="TextBody"/>
        <w:bidi w:val="0"/>
        <w:spacing w:before="0" w:after="240"/>
        <w:ind w:left="0" w:right="0" w:hanging="0"/>
        <w:jc w:val="both"/>
        <w:rPr/>
      </w:pPr>
      <w:r>
        <w:rPr/>
        <w:t>●</w:t>
      </w:r>
      <w:r>
        <w:rPr>
          <w:rFonts w:ascii="Times New Roman;Times;serif" w:hAnsi="Times New Roman;Times;serif"/>
          <w:sz w:val="24"/>
        </w:rPr>
        <w:t>The Borrower shall provide the Administrative Agent and the Lenders any information regarding the Borrower, its Affiliates, and its Subsidiaries necessary for the Administrative Agent and the Lenders to comply with all applicable OFAC Sanctions Programs; subject however, in the case of Affiliates, to the Borrower’s ability to provide information applicable to them.  </w:t>
      </w:r>
    </w:p>
    <w:p>
      <w:pPr>
        <w:pStyle w:val="TextBody"/>
        <w:bidi w:val="0"/>
        <w:spacing w:before="0" w:after="240"/>
        <w:ind w:left="0" w:right="0" w:hanging="0"/>
        <w:jc w:val="both"/>
        <w:rPr/>
      </w:pPr>
      <w:r>
        <w:rPr/>
        <w:t>●</w:t>
      </w:r>
      <w:r>
        <w:rPr>
          <w:rFonts w:ascii="Times New Roman;Times;serif" w:hAnsi="Times New Roman;Times;serif"/>
          <w:sz w:val="24"/>
        </w:rPr>
        <w:t>If a Responsible Officer of the Borrower obtains actual knowledge or receives any written notice that the Borrower, any Subsidiary of Borrower, or any officer, director or Affiliate of Borrower or any Subsidiary or that any Person that owns or controls any such Person is the target of any OFAC Sanctions Programs or is located, organized or resident in a country or territory that is, or whose government is, the subject of any OFAC Sanctions Programs (such occurrence, an “</w:t>
      </w:r>
      <w:r>
        <w:rPr>
          <w:rFonts w:ascii="Times New Roman;Times;serif" w:hAnsi="Times New Roman;Times;serif"/>
          <w:i/>
          <w:sz w:val="24"/>
        </w:rPr>
        <w:t>OFAC Event”</w:t>
      </w:r>
      <w:r>
        <w:rPr>
          <w:rFonts w:ascii="Times New Roman;Times;serif" w:hAnsi="Times New Roman;Times;serif"/>
          <w:sz w:val="24"/>
        </w:rPr>
        <w: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pStyle w:val="TextBody"/>
        <w:bidi w:val="0"/>
        <w:spacing w:before="0" w:after="240"/>
        <w:ind w:left="0" w:right="0" w:hanging="0"/>
        <w:jc w:val="both"/>
        <w:rPr/>
      </w:pPr>
      <w:r>
        <w:rPr/>
        <w:t>●</w:t>
      </w:r>
      <w:r>
        <w:rPr>
          <w:rFonts w:ascii="Times New Roman;Times;serif" w:hAnsi="Times New Roman;Times;serif"/>
          <w:sz w:val="24"/>
        </w:rPr>
        <w:t>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pStyle w:val="TextBody"/>
        <w:bidi w:val="0"/>
        <w:spacing w:before="0" w:after="240"/>
        <w:ind w:left="0" w:right="0" w:hanging="0"/>
        <w:jc w:val="both"/>
        <w:rPr/>
      </w:pPr>
      <w:r>
        <w:rPr/>
        <w:t>●</w:t>
      </w:r>
      <w:r>
        <w:rPr>
          <w:rFonts w:ascii="Times New Roman;Times;serif" w:hAnsi="Times New Roman;Times;serif"/>
          <w:sz w:val="24"/>
        </w:rPr>
        <w:t>Borrower will not, nor will it permit any Subsidiary to, violate any Anti-Corruption Law in any material respect.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4"/>
        </w:rPr>
        <w:t>Borrower and each Subsidiary will maintain in effect policies and procedures designed to ensure compliance by such Persons, their Subsidiaries, and their respective directors, officers, employees, and agents with applicable Anti-Corruption Laws.</w:t>
      </w:r>
    </w:p>
    <w:p>
      <w:pPr>
        <w:pStyle w:val="TextBody"/>
        <w:bidi w:val="0"/>
        <w:spacing w:before="0" w:after="240"/>
        <w:ind w:left="0" w:right="0" w:hanging="0"/>
        <w:jc w:val="both"/>
        <w:rPr/>
      </w:pPr>
      <w:r>
        <w:rPr/>
        <w:t>●</w:t>
      </w:r>
      <w:bookmarkStart w:id="1669" w:name="_Toc115421304"/>
      <w:bookmarkEnd w:id="1669"/>
      <w:r>
        <w:rPr>
          <w:rFonts w:ascii="Times New Roman;Times;serif" w:hAnsi="Times New Roman;Times;serif"/>
          <w:sz w:val="24"/>
          <w:u w:val="single"/>
        </w:rPr>
        <w:t>Burdensome Contracts With Affiliates</w:t>
      </w:r>
      <w:r>
        <w:rPr>
          <w:rFonts w:ascii="Times New Roman;Times;serif" w:hAnsi="Times New Roman;Times;serif"/>
          <w:i/>
          <w:sz w:val="24"/>
        </w:rPr>
        <w:t xml:space="preserve">. </w:t>
      </w:r>
      <w:r>
        <w:rPr>
          <w:rFonts w:ascii="Times New Roman;Times;serif" w:hAnsi="Times New Roman;Times;serif"/>
          <w:sz w:val="24"/>
        </w:rPr>
        <w:t>Except (a) compensation, bonus and benefit arrangements with employees, officers and directors approved by Parent’s board of directors or committee thereof, (b) transactions permitted by Section 8.9 hereof, (c) transactions in the ordinary course of business of the Borrower, Parent or its Subsidiaries or (d) transactions approved by the Parent’s board of directors and reasonably acceptable to the Administrative Agent, the Borrower shall not, nor shall it permit Parent or any Subsidiary to, enter into any contract, agreement or business arrangement with any of its Affiliates on terms and conditions which are less favorable to the Borrower, Parent or such Subsidiary than would be usual and customary in similar contracts, agreements or business arrangements between Persons not affiliated with each other.</w:t>
      </w:r>
    </w:p>
    <w:p>
      <w:pPr>
        <w:pStyle w:val="TextBody"/>
        <w:bidi w:val="0"/>
        <w:spacing w:before="0" w:after="240"/>
        <w:ind w:left="0" w:right="0" w:hanging="0"/>
        <w:jc w:val="both"/>
        <w:rPr/>
      </w:pPr>
      <w:r>
        <w:rPr/>
        <w:t>●</w:t>
      </w:r>
      <w:bookmarkStart w:id="1670" w:name="_Toc115421305"/>
      <w:bookmarkEnd w:id="1670"/>
      <w:r>
        <w:rPr>
          <w:rFonts w:ascii="Times New Roman;Times;serif" w:hAnsi="Times New Roman;Times;serif"/>
          <w:sz w:val="24"/>
          <w:u w:val="single"/>
        </w:rPr>
        <w:t>No Changes in Fiscal Year</w:t>
      </w:r>
      <w:r>
        <w:rPr>
          <w:rFonts w:ascii="Times New Roman;Times;serif" w:hAnsi="Times New Roman;Times;serif"/>
          <w:i/>
          <w:sz w:val="24"/>
        </w:rPr>
        <w:t>.</w:t>
      </w:r>
      <w:r>
        <w:rPr>
          <w:rFonts w:ascii="Times New Roman;Times;serif" w:hAnsi="Times New Roman;Times;serif"/>
          <w:sz w:val="24"/>
        </w:rPr>
        <w:t xml:space="preserve">  The Fiscal Year of the Parent and its Subsidiaries ends on December 31 of each year; and the Borrower shall not, nor shall it permit Parent or any Subsidiary to, change its Fiscal Year from its present basis.</w:t>
      </w:r>
    </w:p>
    <w:p>
      <w:pPr>
        <w:pStyle w:val="TextBody"/>
        <w:bidi w:val="0"/>
        <w:spacing w:before="0" w:after="240"/>
        <w:ind w:left="0" w:right="0" w:hanging="0"/>
        <w:jc w:val="both"/>
        <w:rPr/>
      </w:pPr>
      <w:r>
        <w:rPr/>
        <w:t>●</w:t>
      </w:r>
      <w:bookmarkStart w:id="1671" w:name="_Toc115421306"/>
      <w:bookmarkEnd w:id="1671"/>
      <w:r>
        <w:rPr>
          <w:rFonts w:ascii="Times New Roman;Times;serif" w:hAnsi="Times New Roman;Times;serif"/>
          <w:sz w:val="24"/>
          <w:u w:val="single"/>
        </w:rPr>
        <w:t>Formation of Subsidiaries</w:t>
      </w:r>
      <w:r>
        <w:rPr>
          <w:rFonts w:ascii="Times New Roman;Times;serif" w:hAnsi="Times New Roman;Times;serif"/>
          <w:i/>
          <w:sz w:val="24"/>
        </w:rPr>
        <w:t>.</w:t>
      </w:r>
      <w:r>
        <w:rPr>
          <w:rFonts w:ascii="Times New Roman;Times;serif" w:hAnsi="Times New Roman;Times;serif"/>
          <w:sz w:val="24"/>
        </w:rPr>
        <w:t xml:space="preserve">  Promptly upon the formation or acquisition of any Material Subsidiary, the Borrower shall provide the Administrative Agent and the Lenders notice thereof and timely comply with the requirements of Sections 4.2 and 8.24 hereof.</w:t>
      </w:r>
    </w:p>
    <w:p>
      <w:pPr>
        <w:pStyle w:val="TextBody"/>
        <w:bidi w:val="0"/>
        <w:spacing w:before="0" w:after="240"/>
        <w:ind w:left="0" w:right="0" w:hanging="0"/>
        <w:jc w:val="both"/>
        <w:rPr/>
      </w:pPr>
      <w:r>
        <w:rPr/>
        <w:t>●</w:t>
      </w:r>
      <w:bookmarkStart w:id="1672" w:name="_Toc115421307"/>
      <w:bookmarkEnd w:id="1672"/>
      <w:r>
        <w:rPr>
          <w:rFonts w:ascii="Times New Roman;Times;serif" w:hAnsi="Times New Roman;Times;serif"/>
          <w:sz w:val="24"/>
          <w:u w:val="single"/>
        </w:rPr>
        <w:t>Change in the Nature of Business</w:t>
      </w:r>
      <w:r>
        <w:rPr>
          <w:rFonts w:ascii="Times New Roman;Times;serif" w:hAnsi="Times New Roman;Times;serif"/>
          <w:i/>
          <w:sz w:val="24"/>
        </w:rPr>
        <w:t>.  </w:t>
      </w:r>
      <w:r>
        <w:rPr>
          <w:rFonts w:ascii="Times New Roman;Times;serif" w:hAnsi="Times New Roman;Times;serif"/>
          <w:sz w:val="24"/>
        </w:rPr>
        <w:t>The Borrower shall not, nor shall it permit any Subsidiary to, engage in any business or activity if as a result the general nature of the business of the Borrower or any Subsidiary would be changed in any material respect from the general nature of the business engaged in by it as of the Closing Date.</w:t>
      </w:r>
    </w:p>
    <w:p>
      <w:pPr>
        <w:pStyle w:val="TextBody"/>
        <w:bidi w:val="0"/>
        <w:spacing w:before="0" w:after="240"/>
        <w:ind w:left="0" w:right="0" w:hanging="0"/>
        <w:jc w:val="both"/>
        <w:rPr/>
      </w:pPr>
      <w:r>
        <w:rPr/>
        <w:t>●</w:t>
      </w:r>
      <w:bookmarkStart w:id="1673" w:name="_Toc115421308"/>
      <w:bookmarkEnd w:id="1673"/>
      <w:r>
        <w:rPr>
          <w:rFonts w:ascii="Times New Roman;Times;serif" w:hAnsi="Times New Roman;Times;serif"/>
          <w:sz w:val="24"/>
          <w:u w:val="single"/>
        </w:rPr>
        <w:t>Use of Proceeds</w:t>
      </w:r>
      <w:r>
        <w:rPr>
          <w:rFonts w:ascii="Times New Roman;Times;serif" w:hAnsi="Times New Roman;Times;serif"/>
          <w:sz w:val="24"/>
        </w:rPr>
        <w:t>.  The Borrower shall use the credit extended under this Agreement solely for the purposes set forth in, or otherwise permitted by, Section 6.4 hereof.</w:t>
      </w:r>
    </w:p>
    <w:p>
      <w:pPr>
        <w:pStyle w:val="TextBody"/>
        <w:bidi w:val="0"/>
        <w:spacing w:before="0" w:after="240"/>
        <w:ind w:left="0" w:right="0" w:hanging="0"/>
        <w:jc w:val="both"/>
        <w:rPr/>
      </w:pPr>
      <w:r>
        <w:rPr/>
        <w:t>●</w:t>
      </w:r>
      <w:bookmarkStart w:id="1674" w:name="_Toc115421309"/>
      <w:bookmarkEnd w:id="1674"/>
      <w:r>
        <w:rPr>
          <w:rFonts w:ascii="Times New Roman;Times;serif" w:hAnsi="Times New Roman;Times;serif"/>
          <w:sz w:val="24"/>
          <w:u w:val="single"/>
        </w:rPr>
        <w:t>No Restrictions</w:t>
      </w:r>
      <w:r>
        <w:rPr>
          <w:rFonts w:ascii="Times New Roman;Times;serif" w:hAnsi="Times New Roman;Times;serif"/>
          <w:sz w:val="24"/>
        </w:rPr>
        <w:t xml:space="preserve">.  Except as provided herein,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 (other than limitations on Restricted Payments comparable to those in Section 8.25 in any documentation evidencing any Other Unsecured Indebtedness), (b) pay any indebtedness owed to the Borrower or any other Subsidiary, (c) make loans or advances to the Borrower or any other Subsidiary, (d) transfer any of its </w:t>
      </w:r>
      <w:bookmarkStart w:id="1675" w:name="_cp_change_151"/>
      <w:bookmarkEnd w:id="1675"/>
      <w:r>
        <w:rPr>
          <w:rFonts w:ascii="Times New Roman;Times;serif" w:hAnsi="Times New Roman;Times;serif"/>
          <w:color w:val="FF0000"/>
          <w:sz w:val="24"/>
        </w:rPr>
        <w:t>Property</w:t>
      </w:r>
      <w:bookmarkStart w:id="1676" w:name="_cp_change_152"/>
      <w:bookmarkEnd w:id="1676"/>
      <w:r>
        <w:rPr>
          <w:rFonts w:ascii="Times New Roman;Times;serif" w:hAnsi="Times New Roman;Times;serif"/>
          <w:color w:val="0000FF"/>
          <w:sz w:val="24"/>
          <w:u w:val="single"/>
        </w:rPr>
        <w:t>Properties or other assets</w:t>
      </w:r>
      <w:r>
        <w:rPr>
          <w:rFonts w:ascii="Times New Roman;Times;serif" w:hAnsi="Times New Roman;Times;serif"/>
          <w:sz w:val="24"/>
        </w:rPr>
        <w:t xml:space="preserve"> to the Borrower or any other Subsidiary (other than limitations on transfers comparable to those in Section 8.9 in any documentation evidencing any Other Unsecured Indebtedness)</w:t>
      </w:r>
      <w:r>
        <w:rPr>
          <w:rFonts w:ascii="Times New Roman;Times;serif" w:hAnsi="Times New Roman;Times;serif"/>
          <w:i/>
          <w:sz w:val="24"/>
        </w:rPr>
        <w:t>; provided however, that</w:t>
      </w:r>
      <w:r>
        <w:rPr>
          <w:rFonts w:ascii="Times New Roman;Times;serif" w:hAnsi="Times New Roman;Times;serif"/>
          <w:sz w:val="24"/>
        </w:rPr>
        <w:t xml:space="preserve"> 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pStyle w:val="TextBody"/>
        <w:bidi w:val="0"/>
        <w:spacing w:before="0" w:after="240"/>
        <w:ind w:left="0" w:right="0" w:hanging="0"/>
        <w:jc w:val="both"/>
        <w:rPr/>
      </w:pPr>
      <w:r>
        <w:rPr/>
        <w:t>●</w:t>
      </w:r>
      <w:bookmarkStart w:id="1677" w:name="_Toc115421310"/>
      <w:bookmarkStart w:id="1678" w:name="_Ref113883288"/>
      <w:bookmarkEnd w:id="1677"/>
      <w:bookmarkEnd w:id="1678"/>
      <w:r>
        <w:rPr>
          <w:rFonts w:ascii="Times New Roman;Times;serif" w:hAnsi="Times New Roman;Times;serif"/>
          <w:sz w:val="24"/>
          <w:u w:val="single"/>
        </w:rPr>
        <w:t>Financial Covenants</w:t>
      </w: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u w:val="single"/>
        </w:rPr>
        <w:t>Maximum Total Indebtedness to Total Asset Value Ratio</w:t>
      </w:r>
      <w:r>
        <w:rPr>
          <w:rFonts w:ascii="Times New Roman;Times;serif" w:hAnsi="Times New Roman;Times;serif"/>
          <w:sz w:val="24"/>
        </w:rPr>
        <w:t xml:space="preserve">.  As of the last day of each Fiscal Quarter of the Borrower, the Borrower shall not permit the ratio of Total Indebtedness to Total Asset Value to be greater than 0.60 to 1.00; </w:t>
      </w:r>
      <w:r>
        <w:rPr>
          <w:rFonts w:ascii="Times New Roman;Times;serif" w:hAnsi="Times New Roman;Times;serif"/>
          <w:sz w:val="24"/>
          <w:u w:val="single"/>
        </w:rPr>
        <w:t>provided</w:t>
      </w:r>
      <w:r>
        <w:rPr>
          <w:rFonts w:ascii="Times New Roman;Times;serif" w:hAnsi="Times New Roman;Times;serif"/>
          <w:sz w:val="24"/>
        </w:rPr>
        <w:t>, that such ratio may increase to up to 0.65 to 1.00 in connection with a Material Acquisition so long as (a) the Borrower completed a Material Acquisition during the quarter in which such ratio first exceeded 0.60 to 1.00, (b) such ratio does not exceed 0.60 to 1.00 for a period of more than three (3) fiscal quarters immediately following the fiscal quarter in which such Material Acquisition was completed, (c) the Borrower has not maintained compliance with this Section 8.20(a) or Section 8.20(e) in reliance on this proviso more than two times during the term of this Agreement, and (d) such ratio is not greater than 0.65 to 1.00 at any time.</w:t>
      </w:r>
    </w:p>
    <w:p>
      <w:pPr>
        <w:pStyle w:val="TextBody"/>
        <w:bidi w:val="0"/>
        <w:spacing w:before="0" w:after="240"/>
        <w:ind w:left="0" w:right="0" w:hanging="0"/>
        <w:jc w:val="both"/>
        <w:rPr/>
      </w:pPr>
      <w:r>
        <w:rPr/>
        <w:t>●</w:t>
      </w:r>
      <w:r>
        <w:rPr>
          <w:rFonts w:ascii="Times New Roman;Times;serif" w:hAnsi="Times New Roman;Times;serif"/>
          <w:sz w:val="24"/>
          <w:u w:val="single"/>
        </w:rPr>
        <w:t>Maximum Secured Indebtedness to Total Asset Value Ratio</w:t>
      </w:r>
      <w:r>
        <w:rPr>
          <w:rFonts w:ascii="Times New Roman;Times;serif" w:hAnsi="Times New Roman;Times;serif"/>
          <w:sz w:val="24"/>
        </w:rPr>
        <w:t>.  As of the last day of each Fiscal Quarter of the Borrower, the Borrower shall not permit the ratio of Secured Indebtedness to Total Asset Value to be greater than 0.40 to 1.00.</w:t>
      </w:r>
    </w:p>
    <w:p>
      <w:pPr>
        <w:pStyle w:val="TextBody"/>
        <w:bidi w:val="0"/>
        <w:spacing w:before="0" w:after="240"/>
        <w:ind w:left="0" w:right="0" w:hanging="0"/>
        <w:jc w:val="both"/>
        <w:rPr/>
      </w:pPr>
      <w:r>
        <w:rPr/>
        <w:t>●</w:t>
      </w:r>
      <w:r>
        <w:rPr>
          <w:rFonts w:ascii="Times New Roman;Times;serif" w:hAnsi="Times New Roman;Times;serif"/>
          <w:sz w:val="24"/>
          <w:u w:val="single"/>
        </w:rPr>
        <w:t>Minimum EBITDA to Fixed Charges Ratio</w:t>
      </w:r>
      <w:r>
        <w:rPr>
          <w:rFonts w:ascii="Times New Roman;Times;serif" w:hAnsi="Times New Roman;Times;serif"/>
          <w:i/>
          <w:sz w:val="24"/>
        </w:rPr>
        <w:t>.</w:t>
      </w:r>
      <w:r>
        <w:rPr>
          <w:rFonts w:ascii="Times New Roman;Times;serif" w:hAnsi="Times New Roman;Times;serif"/>
          <w:sz w:val="24"/>
        </w:rPr>
        <w:t xml:space="preserve">  As of the last day of each Fiscal Quarter of the Borrower, the Borrower shall not permit the ratio of EBITDA for the applicable Rolling Period to Fixed Charges for such Rolling Period to be less than 1.50 to 1.0.</w:t>
      </w:r>
    </w:p>
    <w:p>
      <w:pPr>
        <w:pStyle w:val="TextBody"/>
        <w:bidi w:val="0"/>
        <w:spacing w:before="0" w:after="240"/>
        <w:ind w:left="0" w:right="0" w:hanging="0"/>
        <w:jc w:val="both"/>
        <w:rPr/>
      </w:pPr>
      <w:r>
        <w:rPr/>
        <w:t>●</w:t>
      </w:r>
      <w:r>
        <w:rPr>
          <w:rFonts w:ascii="Times New Roman;Times;serif" w:hAnsi="Times New Roman;Times;serif"/>
          <w:sz w:val="24"/>
          <w:u w:val="single"/>
        </w:rPr>
        <w:t>Maximum Secured Recourse Indebtedness to Total Asset Value Ratio</w:t>
      </w:r>
      <w:r>
        <w:rPr>
          <w:rFonts w:ascii="Times New Roman;Times;serif" w:hAnsi="Times New Roman;Times;serif"/>
          <w:sz w:val="24"/>
        </w:rPr>
        <w:t>.  As of the last day of each Fiscal Quarter of the Borrower, the Borrower shall not permit the ratio of Secured Recourse Indebtedness to Total Asset Value to be greater than 0.10 to 1.0.</w:t>
      </w:r>
    </w:p>
    <w:p>
      <w:pPr>
        <w:pStyle w:val="TextBody"/>
        <w:bidi w:val="0"/>
        <w:spacing w:before="0" w:after="240"/>
        <w:ind w:left="0" w:right="0" w:hanging="0"/>
        <w:jc w:val="both"/>
        <w:rPr/>
      </w:pPr>
      <w:r>
        <w:rPr/>
        <w:t>●</w:t>
      </w:r>
      <w:r>
        <w:rPr>
          <w:rFonts w:ascii="Times New Roman;Times;serif" w:hAnsi="Times New Roman;Times;serif"/>
          <w:sz w:val="24"/>
          <w:u w:val="single"/>
        </w:rPr>
        <w:t>Maximum Unsecured Indebtedness to Unencumbered Asset Value Ratio</w:t>
      </w:r>
      <w:r>
        <w:rPr>
          <w:rFonts w:ascii="Times New Roman;Times;serif" w:hAnsi="Times New Roman;Times;serif"/>
          <w:sz w:val="24"/>
        </w:rPr>
        <w:t xml:space="preserve">.  As of the last day of each Fiscal Quarter of the Borrower, the Borrower shall not permit the ratio of Unsecured Indebtedness to Unencumbered Asset Value to be greater than 0.60 to 1.00; </w:t>
      </w:r>
      <w:r>
        <w:rPr>
          <w:rFonts w:ascii="Times New Roman;Times;serif" w:hAnsi="Times New Roman;Times;serif"/>
          <w:sz w:val="24"/>
          <w:u w:val="single"/>
        </w:rPr>
        <w:t>provided</w:t>
      </w:r>
      <w:r>
        <w:rPr>
          <w:rFonts w:ascii="Times New Roman;Times;serif" w:hAnsi="Times New Roman;Times;serif"/>
          <w:sz w:val="24"/>
        </w:rPr>
        <w:t>, that such ratio may increase to up to 0.65 to 1.00 in connection with a Material Acquisition so long as (a) the Borrower completed a Material Acquisition during the quarter in which such ratio first exceeded 0.60 to 1.00, (b) such ratio does not exceed 0.60 to 1.00 for a period of more than three (3) fiscal quarters immediately following the fiscal quarter in which such Material Acquisition was completed, (c) the Borrower has not maintained compliance with this Section 8.20(e) or Section 8.20(a) in reliance on this proviso more than two times during the term of this Agreement, and (d) such ratio is not greater than 0.65 to 1.00 at any time.</w:t>
      </w:r>
    </w:p>
    <w:p>
      <w:pPr>
        <w:pStyle w:val="TextBody"/>
        <w:bidi w:val="0"/>
        <w:spacing w:before="0" w:after="240"/>
        <w:ind w:left="0" w:right="0" w:hanging="0"/>
        <w:jc w:val="both"/>
        <w:rPr/>
      </w:pPr>
      <w:r>
        <w:rPr/>
        <w:t>●</w:t>
      </w:r>
      <w:r>
        <w:rPr>
          <w:rFonts w:ascii="Times New Roman;Times;serif" w:hAnsi="Times New Roman;Times;serif"/>
          <w:sz w:val="24"/>
          <w:u w:val="single"/>
        </w:rPr>
        <w:t xml:space="preserve">Minimum </w:t>
      </w:r>
      <w:bookmarkStart w:id="1679" w:name="_cp_change_153"/>
      <w:bookmarkEnd w:id="1679"/>
      <w:r>
        <w:rPr>
          <w:rFonts w:ascii="Times New Roman;Times;serif" w:hAnsi="Times New Roman;Times;serif"/>
          <w:color w:val="FF0000"/>
          <w:sz w:val="24"/>
          <w:u w:val="single"/>
        </w:rPr>
        <w:t>Property NOI</w:t>
      </w:r>
      <w:bookmarkStart w:id="1680" w:name="_cp_change_154"/>
      <w:bookmarkEnd w:id="1680"/>
      <w:r>
        <w:rPr>
          <w:rFonts w:ascii="Times New Roman;Times;serif" w:hAnsi="Times New Roman;Times;serif"/>
          <w:color w:val="0000FF"/>
          <w:sz w:val="24"/>
          <w:u w:val="single"/>
        </w:rPr>
        <w:t>Income from Unencumbered Assets</w:t>
      </w:r>
      <w:r>
        <w:rPr>
          <w:rFonts w:ascii="Times New Roman;Times;serif" w:hAnsi="Times New Roman;Times;serif"/>
          <w:sz w:val="24"/>
          <w:u w:val="single"/>
        </w:rPr>
        <w:t xml:space="preserve"> to Unsecured Interest Expense Ratio</w:t>
      </w:r>
      <w:r>
        <w:rPr>
          <w:rFonts w:ascii="Times New Roman;Times;serif" w:hAnsi="Times New Roman;Times;serif"/>
          <w:i/>
          <w:sz w:val="24"/>
        </w:rPr>
        <w:t>.</w:t>
      </w:r>
      <w:r>
        <w:rPr>
          <w:rFonts w:ascii="Times New Roman;Times;serif" w:hAnsi="Times New Roman;Times;serif"/>
          <w:sz w:val="24"/>
        </w:rPr>
        <w:t xml:space="preserve">  As of the last day of each Fiscal Quarter of the Borrower, the Borrower shall not permit the ratio of </w:t>
      </w:r>
      <w:bookmarkStart w:id="1681" w:name="_cp_change_155"/>
      <w:bookmarkEnd w:id="1681"/>
      <w:r>
        <w:rPr>
          <w:rFonts w:ascii="Times New Roman;Times;serif" w:hAnsi="Times New Roman;Times;serif"/>
          <w:color w:val="0000FF"/>
          <w:sz w:val="24"/>
          <w:u w:val="single"/>
        </w:rPr>
        <w:t xml:space="preserve">(i) the </w:t>
      </w:r>
      <w:r>
        <w:rPr>
          <w:rFonts w:ascii="Times New Roman;Times;serif" w:hAnsi="Times New Roman;Times;serif"/>
          <w:sz w:val="24"/>
        </w:rPr>
        <w:t xml:space="preserve">Unencumbered Pool </w:t>
      </w:r>
      <w:bookmarkStart w:id="1682" w:name="_cp_change_156"/>
      <w:bookmarkEnd w:id="1682"/>
      <w:r>
        <w:rPr>
          <w:rFonts w:ascii="Times New Roman;Times;serif" w:hAnsi="Times New Roman;Times;serif"/>
          <w:color w:val="FF0000"/>
          <w:sz w:val="24"/>
        </w:rPr>
        <w:t>NOI</w:t>
      </w:r>
      <w:bookmarkStart w:id="1683" w:name="_cp_change_157"/>
      <w:bookmarkEnd w:id="1683"/>
      <w:r>
        <w:rPr>
          <w:rFonts w:ascii="Times New Roman;Times;serif" w:hAnsi="Times New Roman;Times;serif"/>
          <w:color w:val="0000FF"/>
          <w:sz w:val="24"/>
          <w:u w:val="single"/>
        </w:rPr>
        <w:t>Total Income</w:t>
      </w:r>
      <w:r>
        <w:rPr>
          <w:rFonts w:ascii="Times New Roman;Times;serif" w:hAnsi="Times New Roman;Times;serif"/>
          <w:sz w:val="24"/>
        </w:rPr>
        <w:t xml:space="preserve"> for the applicable Rolling Period to </w:t>
      </w:r>
      <w:bookmarkStart w:id="1684" w:name="_cp_change_158"/>
      <w:bookmarkEnd w:id="1684"/>
      <w:r>
        <w:rPr>
          <w:rFonts w:ascii="Times New Roman;Times;serif" w:hAnsi="Times New Roman;Times;serif"/>
          <w:color w:val="0000FF"/>
          <w:sz w:val="24"/>
          <w:u w:val="single"/>
        </w:rPr>
        <w:t xml:space="preserve">(ii) </w:t>
      </w:r>
      <w:r>
        <w:rPr>
          <w:rFonts w:ascii="Times New Roman;Times;serif" w:hAnsi="Times New Roman;Times;serif"/>
          <w:sz w:val="24"/>
        </w:rPr>
        <w:t>Unsecured Interest Expense for such Rolling Period to be less than 1.75 to 1.0</w:t>
      </w:r>
      <w:bookmarkStart w:id="1685" w:name="_Hlk115351521"/>
      <w:bookmarkEnd w:id="1685"/>
      <w:r>
        <w:rPr>
          <w:rFonts w:ascii="Times New Roman;Times;serif" w:hAnsi="Times New Roman;Times;serif"/>
          <w:sz w:val="24"/>
        </w:rPr>
        <w:t>.</w:t>
      </w:r>
    </w:p>
    <w:p>
      <w:pPr>
        <w:pStyle w:val="TextBody"/>
        <w:bidi w:val="0"/>
        <w:spacing w:before="0" w:after="0"/>
        <w:ind w:left="0" w:right="0" w:hanging="0"/>
        <w:jc w:val="both"/>
        <w:rPr/>
      </w:pPr>
      <w:r>
        <w:rPr/>
        <w:t>●</w:t>
      </w:r>
      <w:r>
        <w:rPr>
          <w:rFonts w:ascii="Times New Roman;Times;serif" w:hAnsi="Times New Roman;Times;serif"/>
          <w:sz w:val="24"/>
          <w:u w:val="single"/>
        </w:rPr>
        <w:t>Maintenance of Net Worth</w:t>
      </w:r>
      <w:r>
        <w:rPr>
          <w:rFonts w:ascii="Times New Roman;Times;serif" w:hAnsi="Times New Roman;Times;serif"/>
          <w:sz w:val="24"/>
        </w:rPr>
        <w:t xml:space="preserve">.  The Borrower shall, as of the last day of each Fiscal Quarter, maintain a Tangible Net Worth of not less than the sum of (a) $212,500,000 </w:t>
      </w:r>
      <w:r>
        <w:rPr>
          <w:rFonts w:ascii="Times New Roman;Times;serif" w:hAnsi="Times New Roman;Times;serif"/>
          <w:sz w:val="24"/>
          <w:u w:val="single"/>
        </w:rPr>
        <w:t>plus</w:t>
      </w:r>
      <w:r>
        <w:rPr>
          <w:rFonts w:ascii="Times New Roman;Times;serif" w:hAnsi="Times New Roman;Times;serif"/>
          <w:sz w:val="24"/>
        </w:rPr>
        <w:t xml:space="preserve"> (b) 75% of the aggregate net proceeds received by Parent or any of its Subsidiaries in connection with any offering of Stock or Stock Equivalents of the Borrower, Parent or the Subsidiaries since June 30, 2022.</w:t>
      </w:r>
    </w:p>
    <w:p>
      <w:pPr>
        <w:pStyle w:val="TextBody"/>
        <w:bidi w:val="0"/>
        <w:spacing w:before="0" w:after="240"/>
        <w:ind w:left="0" w:right="0" w:hanging="0"/>
        <w:jc w:val="both"/>
        <w:rPr/>
      </w:pPr>
      <w:r>
        <w:rPr/>
        <w:t>●</w:t>
      </w:r>
      <w:bookmarkStart w:id="1686" w:name="_Toc115421311"/>
      <w:bookmarkStart w:id="1687" w:name="_Ref83720982"/>
      <w:bookmarkEnd w:id="1686"/>
      <w:bookmarkEnd w:id="1687"/>
      <w:r>
        <w:rPr>
          <w:rFonts w:ascii="Times New Roman;Times;serif" w:hAnsi="Times New Roman;Times;serif"/>
          <w:sz w:val="24"/>
          <w:u w:val="single"/>
        </w:rPr>
        <w:t>Pool Covenants</w:t>
      </w:r>
      <w:r>
        <w:rPr>
          <w:rFonts w:ascii="Times New Roman;Times;serif" w:hAnsi="Times New Roman;Times;serif"/>
          <w:sz w:val="24"/>
        </w:rPr>
        <w:t xml:space="preserve">.  The Borrower shall cause the Unencumbered Pool to at all times comply with the Unencumbered Pool Requirements (other than with respect to Unencumbered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Assets that may exceed concentration limits but still be included in the Unencumbered Asset Value in compliance with the definition of Unencumbered Pool Requirements) and shall exclude from the calculation of Unencumbered Asset Value any portion of Property NOI</w:t>
      </w:r>
      <w:bookmarkStart w:id="1688" w:name="_cp_change_159"/>
      <w:bookmarkEnd w:id="1688"/>
      <w:r>
        <w:rPr>
          <w:rFonts w:ascii="Times New Roman;Times;serif" w:hAnsi="Times New Roman;Times;serif"/>
          <w:color w:val="0000FF"/>
          <w:sz w:val="24"/>
          <w:u w:val="single"/>
        </w:rPr>
        <w:t>, cost,</w:t>
      </w:r>
      <w:r>
        <w:rPr>
          <w:rFonts w:ascii="Times New Roman;Times;serif" w:hAnsi="Times New Roman;Times;serif"/>
          <w:sz w:val="24"/>
        </w:rPr>
        <w:t xml:space="preserve"> or book value of any Unencumbered Assets attributable to any Unencumbered Assets that exceed the concentration limits set forth in the Unencumbered Pool Requirements or that cease to satisfy the conditions to be Unencumbered Assets.  </w:t>
      </w:r>
    </w:p>
    <w:p>
      <w:pPr>
        <w:pStyle w:val="TextBody"/>
        <w:bidi w:val="0"/>
        <w:spacing w:before="0" w:after="240"/>
        <w:ind w:left="0" w:right="0" w:hanging="0"/>
        <w:jc w:val="both"/>
        <w:rPr/>
      </w:pPr>
      <w:r>
        <w:rPr/>
        <w:t>●</w:t>
      </w:r>
      <w:bookmarkStart w:id="1689" w:name="_Toc115421312"/>
      <w:bookmarkEnd w:id="1689"/>
      <w:r>
        <w:rPr>
          <w:rFonts w:ascii="Times New Roman;Times;serif" w:hAnsi="Times New Roman;Times;serif"/>
          <w:sz w:val="24"/>
          <w:u w:val="single"/>
        </w:rPr>
        <w:t>Electronic Delivery of Certain Information</w:t>
      </w: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rPr>
        <w:t xml:space="preserve">Documents, including financial reports to 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(or L/C Issuer)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New York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 </w:t>
      </w:r>
    </w:p>
    <w:p>
      <w:pPr>
        <w:pStyle w:val="TextBody"/>
        <w:bidi w:val="0"/>
        <w:spacing w:before="0" w:after="240"/>
        <w:ind w:left="0" w:right="0" w:hanging="0"/>
        <w:jc w:val="both"/>
        <w:rPr/>
      </w:pPr>
      <w:r>
        <w:rPr/>
        <w:t>●</w:t>
      </w:r>
      <w:r>
        <w:rPr>
          <w:rFonts w:ascii="Times New Roman;Times;serif" w:hAnsi="Times New Roman;Times;serif"/>
          <w:sz w:val="24"/>
        </w:rPr>
        <w:t>Documents required to be delivered pursuant to Section 1 may be delivered electronically to a website provided for such purpose by the Administrative Agent pursuant to the procedures provided to the Borrower by the Administrative Agent.</w:t>
      </w:r>
    </w:p>
    <w:p>
      <w:pPr>
        <w:pStyle w:val="TextBody"/>
        <w:bidi w:val="0"/>
        <w:ind w:left="0" w:right="0" w:hanging="0"/>
        <w:jc w:val="both"/>
        <w:rPr/>
      </w:pPr>
      <w:r>
        <w:rPr/>
        <w:t xml:space="preserve">● </w:t>
      </w:r>
      <w:r>
        <w:rPr>
          <w:rFonts w:ascii="Times New Roman;Times;serif" w:hAnsi="Times New Roman;Times;serif"/>
          <w:sz w:val="24"/>
        </w:rPr>
        <w:t>This Agreement and any document, amendment, approval, consent, information, notice, certificate, request, statement, disclosure or authorization related to this Agreement (each a “</w:t>
      </w:r>
      <w:r>
        <w:rPr>
          <w:rFonts w:ascii="Times New Roman;Times;serif" w:hAnsi="Times New Roman;Times;serif"/>
          <w:i/>
          <w:sz w:val="24"/>
        </w:rPr>
        <w:t>Communication</w:t>
      </w:r>
      <w:r>
        <w:rPr>
          <w:rFonts w:ascii="Times New Roman;Times;serif" w:hAnsi="Times New Roman;Times;serif"/>
          <w:sz w:val="24"/>
        </w:rPr>
        <w:t xml:space="preserve">”),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w:t>
      </w:r>
      <w:r>
        <w:rPr>
          <w:rFonts w:ascii="Times New Roman;Times;serif" w:hAnsi="Times New Roman;Times;serif"/>
          <w:i/>
          <w:sz w:val="24"/>
        </w:rPr>
        <w:t>Electronic Copy</w:t>
      </w:r>
      <w:r>
        <w:rPr>
          <w:rFonts w:ascii="Times New Roman;Times;serif" w:hAnsi="Times New Roman;Times;serif"/>
          <w:sz w:val="24"/>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before="0" w:after="240"/>
        <w:ind w:left="0" w:right="0" w:hanging="0"/>
        <w:jc w:val="both"/>
        <w:rPr/>
      </w:pPr>
      <w:r>
        <w:rPr/>
        <w:t>●</w:t>
      </w:r>
      <w:bookmarkStart w:id="1690" w:name="_Toc115421313"/>
      <w:bookmarkEnd w:id="1690"/>
      <w:r>
        <w:rPr>
          <w:rFonts w:ascii="Times New Roman;Times;serif" w:hAnsi="Times New Roman;Times;serif"/>
          <w:sz w:val="24"/>
          <w:u w:val="single"/>
        </w:rPr>
        <w:t>Reserved.</w:t>
      </w:r>
      <w:r>
        <w:rPr>
          <w:rFonts w:ascii="Times New Roman;Times;serif" w:hAnsi="Times New Roman;Times;serif"/>
          <w:sz w:val="24"/>
        </w:rPr>
        <w:t xml:space="preserve">  </w:t>
      </w:r>
    </w:p>
    <w:p>
      <w:pPr>
        <w:pStyle w:val="TextBody"/>
        <w:bidi w:val="0"/>
        <w:spacing w:before="0" w:after="240"/>
        <w:ind w:left="0" w:right="0" w:hanging="0"/>
        <w:jc w:val="both"/>
        <w:rPr/>
      </w:pPr>
      <w:r>
        <w:rPr/>
        <w:t>●</w:t>
      </w:r>
      <w:bookmarkStart w:id="1691" w:name="_Toc115421314"/>
      <w:bookmarkEnd w:id="1691"/>
      <w:r>
        <w:rPr>
          <w:rFonts w:ascii="Times New Roman;Times;serif" w:hAnsi="Times New Roman;Times;serif"/>
          <w:sz w:val="24"/>
          <w:u w:val="single"/>
        </w:rPr>
        <w:t>REIT Status</w:t>
      </w:r>
      <w:r>
        <w:rPr>
          <w:rFonts w:ascii="Times New Roman;Times;serif" w:hAnsi="Times New Roman;Times;serif"/>
          <w:i/>
          <w:sz w:val="24"/>
        </w:rPr>
        <w:t>.</w:t>
      </w:r>
      <w:r>
        <w:rPr>
          <w:rFonts w:ascii="Times New Roman;Times;serif" w:hAnsi="Times New Roman;Times;serif"/>
          <w:sz w:val="24"/>
        </w:rPr>
        <w:t>Parent shall maintain its status as a REIT.</w:t>
      </w:r>
    </w:p>
    <w:p>
      <w:pPr>
        <w:pStyle w:val="TextBody"/>
        <w:bidi w:val="0"/>
        <w:spacing w:before="0" w:after="240"/>
        <w:ind w:left="0" w:right="0" w:hanging="0"/>
        <w:jc w:val="both"/>
        <w:rPr/>
      </w:pPr>
      <w:r>
        <w:rPr/>
        <w:t>●</w:t>
      </w:r>
      <w:bookmarkStart w:id="1692" w:name="_Toc115421315"/>
      <w:bookmarkEnd w:id="1692"/>
      <w:r>
        <w:rPr>
          <w:rFonts w:ascii="Times New Roman;Times;serif" w:hAnsi="Times New Roman;Times;serif"/>
          <w:sz w:val="24"/>
          <w:u w:val="single"/>
        </w:rPr>
        <w:t>Restricted Payments</w:t>
      </w:r>
      <w:r>
        <w:rPr>
          <w:rFonts w:ascii="Times New Roman;Times;serif" w:hAnsi="Times New Roman;Times;serif"/>
          <w:i/>
          <w:sz w:val="24"/>
        </w:rPr>
        <w:t>.</w:t>
      </w:r>
      <w:r>
        <w:rPr>
          <w:rFonts w:ascii="Times New Roman;Times;serif" w:hAnsi="Times New Roman;Times;serif"/>
          <w:sz w:val="24"/>
        </w:rPr>
        <w:t xml:space="preserve">  The Borrower shall not, nor shall Parent or any Subsidiary to, declare or make any Restricted Payment; </w:t>
      </w:r>
      <w:r>
        <w:rPr>
          <w:rFonts w:ascii="Times New Roman;Times;serif" w:hAnsi="Times New Roman;Times;serif"/>
          <w:i/>
          <w:sz w:val="24"/>
        </w:rPr>
        <w:t>provided</w:t>
      </w:r>
      <w:r>
        <w:rPr>
          <w:rFonts w:ascii="Times New Roman;Times;serif" w:hAnsi="Times New Roman;Times;serif"/>
          <w:sz w:val="24"/>
        </w:rPr>
        <w:t xml:space="preserve"> that:</w:t>
      </w:r>
    </w:p>
    <w:p>
      <w:pPr>
        <w:pStyle w:val="TextBody"/>
        <w:bidi w:val="0"/>
        <w:spacing w:before="0" w:after="240"/>
        <w:ind w:left="0" w:right="0" w:hanging="0"/>
        <w:jc w:val="both"/>
        <w:rPr/>
      </w:pPr>
      <w:r>
        <w:rPr/>
        <w:t>●</w:t>
      </w:r>
      <w:r>
        <w:rPr>
          <w:rFonts w:ascii="Times New Roman;Times;serif" w:hAnsi="Times New Roman;Times;serif"/>
          <w:sz w:val="24"/>
        </w:rPr>
        <w:t xml:space="preserve">(i) Parent may declare or make </w:t>
      </w:r>
      <w:bookmarkStart w:id="1693" w:name="_cp_change_160"/>
      <w:bookmarkEnd w:id="1693"/>
      <w:r>
        <w:rPr>
          <w:rFonts w:ascii="Times New Roman;Times;serif" w:hAnsi="Times New Roman;Times;serif"/>
          <w:color w:val="0000FF"/>
          <w:sz w:val="24"/>
          <w:u w:val="single"/>
        </w:rPr>
        <w:t xml:space="preserve">Restricted Payments in </w:t>
      </w:r>
      <w:r>
        <w:rPr>
          <w:rFonts w:ascii="Times New Roman;Times;serif" w:hAnsi="Times New Roman;Times;serif"/>
          <w:sz w:val="24"/>
        </w:rPr>
        <w:t xml:space="preserve">cash </w:t>
      </w:r>
      <w:bookmarkStart w:id="1694" w:name="_cp_change_161"/>
      <w:bookmarkEnd w:id="1694"/>
      <w:r>
        <w:rPr>
          <w:rFonts w:ascii="Times New Roman;Times;serif" w:hAnsi="Times New Roman;Times;serif"/>
          <w:color w:val="FF0000"/>
          <w:sz w:val="24"/>
        </w:rPr>
        <w:t xml:space="preserve">distributions </w:t>
      </w:r>
      <w:r>
        <w:rPr>
          <w:rFonts w:ascii="Times New Roman;Times;serif" w:hAnsi="Times New Roman;Times;serif"/>
          <w:sz w:val="24"/>
        </w:rPr>
        <w:t xml:space="preserve">to its equity holders in an aggregate amount not to exceed the greater of (x) ninety-five percent (95%) of Parent’s Adjusted FFO </w:t>
      </w:r>
      <w:bookmarkStart w:id="1695" w:name="_cp_change_162"/>
      <w:bookmarkEnd w:id="1695"/>
      <w:r>
        <w:rPr>
          <w:rFonts w:ascii="Times New Roman;Times;serif" w:hAnsi="Times New Roman;Times;serif"/>
          <w:color w:val="FF0000"/>
          <w:sz w:val="24"/>
        </w:rPr>
        <w:t>for each Fiscal Quarter ending thereafter</w:t>
      </w:r>
      <w:bookmarkStart w:id="1696" w:name="_cp_change_163"/>
      <w:bookmarkEnd w:id="1696"/>
      <w:r>
        <w:rPr>
          <w:rFonts w:ascii="Times New Roman;Times;serif" w:hAnsi="Times New Roman;Times;serif"/>
          <w:color w:val="0000FF"/>
          <w:sz w:val="24"/>
          <w:u w:val="single"/>
        </w:rPr>
        <w:t>(excluding any regular distributions to holders of preferred partnership units in Borrower and distributions necessary to pay holders of preferred stock of Parent) for each Rolling Period (commencing with the Rolling Period ending on December 31, 2024)</w:t>
      </w:r>
      <w:r>
        <w:rPr>
          <w:rFonts w:ascii="Times New Roman;Times;serif" w:hAnsi="Times New Roman;Times;serif"/>
          <w:sz w:val="24"/>
        </w:rPr>
        <w:t xml:space="preserve">, or (y) the amount necessary for Parent to be able to make </w:t>
      </w:r>
      <w:bookmarkStart w:id="1697" w:name="_cp_change_164"/>
      <w:bookmarkEnd w:id="1697"/>
      <w:r>
        <w:rPr>
          <w:rFonts w:ascii="Times New Roman;Times;serif" w:hAnsi="Times New Roman;Times;serif"/>
          <w:color w:val="FF0000"/>
          <w:sz w:val="24"/>
        </w:rPr>
        <w:t>distributions</w:t>
      </w:r>
      <w:bookmarkStart w:id="1698" w:name="_cp_change_165"/>
      <w:bookmarkEnd w:id="1698"/>
      <w:r>
        <w:rPr>
          <w:rFonts w:ascii="Times New Roman;Times;serif" w:hAnsi="Times New Roman;Times;serif"/>
          <w:color w:val="0000FF"/>
          <w:sz w:val="24"/>
          <w:u w:val="single"/>
        </w:rPr>
        <w:t>Restricted Payments</w:t>
      </w:r>
      <w:r>
        <w:rPr>
          <w:rFonts w:ascii="Times New Roman;Times;serif" w:hAnsi="Times New Roman;Times;serif"/>
          <w:sz w:val="24"/>
        </w:rPr>
        <w:t xml:space="preserve"> required to maintain its status as a REIT and to avoid the imposition of any federal or state income tax, and to avoid the imposition of the excise tax described by Section 4981 of the Code, in each case on Parent;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in either case, during the continuance of an Event of Default, (A) Restricted Payments made pursuant to this clause (a) shall not exceed the amounts described in clause (y), and (B) no other cash </w:t>
      </w:r>
      <w:bookmarkStart w:id="1699" w:name="_cp_change_166"/>
      <w:bookmarkEnd w:id="1699"/>
      <w:r>
        <w:rPr>
          <w:rFonts w:ascii="Times New Roman;Times;serif" w:hAnsi="Times New Roman;Times;serif"/>
          <w:color w:val="FF0000"/>
          <w:sz w:val="24"/>
        </w:rPr>
        <w:t>distributions</w:t>
      </w:r>
      <w:bookmarkStart w:id="1700" w:name="_cp_change_167"/>
      <w:bookmarkEnd w:id="1700"/>
      <w:r>
        <w:rPr>
          <w:rFonts w:ascii="Times New Roman;Times;serif" w:hAnsi="Times New Roman;Times;serif"/>
          <w:color w:val="0000FF"/>
          <w:sz w:val="24"/>
          <w:u w:val="single"/>
        </w:rPr>
        <w:t>Restricted Payments</w:t>
      </w:r>
      <w:r>
        <w:rPr>
          <w:rFonts w:ascii="Times New Roman;Times;serif" w:hAnsi="Times New Roman;Times;serif"/>
          <w:sz w:val="24"/>
        </w:rPr>
        <w:t xml:space="preserve"> will be permitted;</w:t>
      </w:r>
    </w:p>
    <w:p>
      <w:pPr>
        <w:pStyle w:val="TextBody"/>
        <w:bidi w:val="0"/>
        <w:spacing w:before="0" w:after="240"/>
        <w:ind w:left="0" w:right="0" w:hanging="0"/>
        <w:jc w:val="both"/>
        <w:rPr/>
      </w:pPr>
      <w:r>
        <w:rPr/>
        <w:t>●</w:t>
      </w:r>
      <w:r>
        <w:rPr>
          <w:rFonts w:ascii="Times New Roman;Times;serif" w:hAnsi="Times New Roman;Times;serif"/>
          <w:sz w:val="24"/>
        </w:rPr>
        <w:t>the Borrower may make Restricted Payments ratably to the holders of its Equity Interests to permit Parent to make the Restricted Payments permitted under clause (a)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each Subsidiary may make Restricted Payments ratably to the holders of its Equity Interests;</w:t>
      </w:r>
    </w:p>
    <w:p>
      <w:pPr>
        <w:pStyle w:val="TextBody"/>
        <w:bidi w:val="0"/>
        <w:spacing w:before="0" w:after="240"/>
        <w:ind w:left="0" w:right="0" w:hanging="0"/>
        <w:jc w:val="both"/>
        <w:rPr/>
      </w:pPr>
      <w:r>
        <w:rPr/>
        <w:t>●</w:t>
      </w:r>
      <w:r>
        <w:rPr>
          <w:rFonts w:ascii="Times New Roman;Times;serif" w:hAnsi="Times New Roman;Times;serif"/>
          <w:sz w:val="24"/>
        </w:rPr>
        <w:t xml:space="preserve">Parent, 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 </w:t>
      </w:r>
    </w:p>
    <w:p>
      <w:pPr>
        <w:pStyle w:val="TextBody"/>
        <w:bidi w:val="0"/>
        <w:spacing w:before="0" w:after="240"/>
        <w:ind w:left="0" w:right="0" w:hanging="0"/>
        <w:jc w:val="both"/>
        <w:rPr/>
      </w:pPr>
      <w:r>
        <w:rPr/>
        <w:t>●</w:t>
      </w:r>
      <w:r>
        <w:rPr>
          <w:rFonts w:ascii="Times New Roman;Times;serif" w:hAnsi="Times New Roman;Times;serif"/>
          <w:sz w:val="24"/>
        </w:rPr>
        <w:t>Parent, the Borrower and each Guarantor may make cash payments in lieu of the issuance of fractional shares representing insignificant interests in connection with the exercise of warrants, options or other securities convertible into or exchangeable for equity interests of Parent, the Borrower or any Subsidiary;</w:t>
      </w:r>
    </w:p>
    <w:p>
      <w:pPr>
        <w:pStyle w:val="TextBody"/>
        <w:bidi w:val="0"/>
        <w:spacing w:before="0" w:after="240"/>
        <w:ind w:left="0" w:right="0" w:hanging="0"/>
        <w:jc w:val="both"/>
        <w:rPr/>
      </w:pPr>
      <w:r>
        <w:rPr/>
        <w:t>●</w:t>
      </w:r>
      <w:r>
        <w:rPr>
          <w:rFonts w:ascii="Times New Roman;Times;serif" w:hAnsi="Times New Roman;Times;serif"/>
          <w:sz w:val="24"/>
        </w:rPr>
        <w:t>so long as no Change of Control results therefrom, Parent,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pStyle w:val="TextBody"/>
        <w:bidi w:val="0"/>
        <w:spacing w:before="0" w:after="240"/>
        <w:ind w:left="0" w:right="0" w:hanging="0"/>
        <w:jc w:val="both"/>
        <w:rPr/>
      </w:pPr>
      <w:r>
        <w:rPr/>
        <w:t>●</w:t>
      </w:r>
      <w:r>
        <w:rPr>
          <w:rFonts w:ascii="Times New Roman;Times;serif" w:hAnsi="Times New Roman;Times;serif"/>
          <w:sz w:val="24"/>
        </w:rPr>
        <w:t>so long as no Change of Control results therefrom, the Borrower and each Subsidiary that is a Guarantor may make dividends or distributions to allow Parent to make payments in connection with share purchase programs, to the extent not otherwise prohibited by the terms of this Agreement; and</w:t>
      </w:r>
    </w:p>
    <w:p>
      <w:pPr>
        <w:pStyle w:val="TextBody"/>
        <w:bidi w:val="0"/>
        <w:spacing w:before="0" w:after="0"/>
        <w:ind w:left="0" w:right="0" w:hanging="0"/>
        <w:jc w:val="both"/>
        <w:rPr/>
      </w:pPr>
      <w:r>
        <w:rPr/>
        <w:t>●</w:t>
      </w:r>
      <w:r>
        <w:rPr>
          <w:rFonts w:ascii="Times New Roman;Times;serif" w:hAnsi="Times New Roman;Times;serif"/>
          <w:sz w:val="24"/>
        </w:rPr>
        <w:t>Parent may exercise any redemption or conversion rights with respect to its Equity Interests in accordance with the terms of the governing documents setting out any such rights</w:t>
      </w:r>
      <w:bookmarkStart w:id="1701" w:name="_cp_change_168"/>
      <w:bookmarkEnd w:id="1701"/>
      <w:r>
        <w:rPr>
          <w:rFonts w:ascii="Times New Roman;Times;serif" w:hAnsi="Times New Roman;Times;serif"/>
          <w:color w:val="0000FF"/>
          <w:sz w:val="24"/>
          <w:u w:val="single"/>
        </w:rPr>
        <w:t xml:space="preserve"> and, to the extent paid in cash from sources other than a concurrent offering of Equity Interests of the Parent, subject to Section 8.25(a)</w:t>
      </w:r>
      <w:r>
        <w:rPr>
          <w:rFonts w:ascii="Times New Roman;Times;serif" w:hAnsi="Times New Roman;Times;serif"/>
          <w:sz w:val="24"/>
        </w:rPr>
        <w:t>.</w:t>
      </w:r>
    </w:p>
    <w:p>
      <w:pPr>
        <w:pStyle w:val="TextBody"/>
        <w:bidi w:val="0"/>
        <w:spacing w:before="0" w:after="240"/>
        <w:ind w:left="0" w:right="0" w:hanging="0"/>
        <w:jc w:val="both"/>
        <w:rPr/>
      </w:pPr>
      <w:r>
        <w:rPr/>
        <w:t>●</w:t>
      </w:r>
      <w:bookmarkStart w:id="1702" w:name="_Toc115421316"/>
      <w:bookmarkEnd w:id="1702"/>
      <w:r>
        <w:rPr>
          <w:rFonts w:ascii="Times New Roman;Times;serif" w:hAnsi="Times New Roman;Times;serif"/>
          <w:sz w:val="24"/>
          <w:u w:val="single"/>
        </w:rPr>
        <w:t>Other Unsecured Indebtedness Guarantees</w:t>
      </w:r>
      <w:r>
        <w:rPr>
          <w:rFonts w:ascii="Times New Roman;Times;serif" w:hAnsi="Times New Roman;Times;serif"/>
          <w:sz w:val="24"/>
        </w:rPr>
        <w:t xml:space="preserve">.  No Subsidiary shall guaranty the payment of, or agree to enter into a guaranty of the payment of, any Other Unsecured Indebtedness without simultaneously entering into and delivering to the Administrative Agent, for the benefit of the Lenders, a comparable guaranty of the payment of the Obligations; provided, that the foregoing shall not restrict or prohibit any Subsidiary guaranty of any Property level Indebtedness for Borrowed Money which otherwise remains in compliance with Section 8.20. </w:t>
      </w:r>
    </w:p>
    <w:p>
      <w:pPr>
        <w:pStyle w:val="TextBody"/>
        <w:bidi w:val="0"/>
        <w:spacing w:before="0" w:after="0"/>
        <w:ind w:left="0" w:right="0" w:hanging="0"/>
        <w:jc w:val="both"/>
        <w:rPr/>
      </w:pPr>
      <w:r>
        <w:rPr/>
        <w:t>●</w:t>
      </w:r>
      <w:bookmarkStart w:id="1703" w:name="_Toc115421317"/>
      <w:bookmarkEnd w:id="1703"/>
      <w:r>
        <w:rPr>
          <w:rFonts w:ascii="Times New Roman;Times;serif" w:hAnsi="Times New Roman;Times;serif"/>
          <w:sz w:val="24"/>
          <w:u w:val="single"/>
        </w:rPr>
        <w:t>Post-Closing Covenant</w:t>
      </w:r>
      <w:r>
        <w:rPr>
          <w:rFonts w:ascii="Times New Roman;Times;serif" w:hAnsi="Times New Roman;Times;serif"/>
          <w:sz w:val="24"/>
        </w:rPr>
        <w:t>.  No later than five (5) Business Days after the Closing Date, if requested by any Lender on or prior to the Closing Date, the Administrative Agent shall have received for such Lender such Lender’s duly executed Note of each applicable Class of  Loans dated as of such date and otherwise in compliance with the provisions of Section 1.10 hereof.  To the extent any such Notes are signed or delivered in the State of Florida, the Borrower shall pay any documentary stamp taxes due under Section 201.08, Florida Statutes on or prior to the date required thereunder with respect to such Notes.</w:t>
      </w:r>
    </w:p>
    <w:p>
      <w:pPr>
        <w:pStyle w:val="TextBody"/>
        <w:bidi w:val="0"/>
        <w:spacing w:before="0" w:after="240"/>
        <w:ind w:left="720" w:right="0" w:hanging="0"/>
        <w:jc w:val="both"/>
        <w:rPr/>
      </w:pPr>
      <w:r>
        <w:rPr>
          <w:caps/>
        </w:rPr>
        <w:t>●</w:t>
      </w:r>
      <w:bookmarkStart w:id="1704" w:name="_Toc115421318"/>
      <w:bookmarkEnd w:id="1704"/>
      <w:r>
        <w:rPr>
          <w:rFonts w:ascii="Times New Roman;Times;serif" w:hAnsi="Times New Roman;Times;serif"/>
          <w:caps/>
          <w:sz w:val="24"/>
        </w:rPr>
        <w:t>Events of Default and Remedies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1705" w:name="_Toc115421319"/>
      <w:bookmarkEnd w:id="1705"/>
      <w:r>
        <w:rPr>
          <w:rFonts w:ascii="Times New Roman;Times;serif" w:hAnsi="Times New Roman;Times;serif"/>
          <w:sz w:val="24"/>
          <w:u w:val="single"/>
        </w:rPr>
        <w:t>Events of Default</w:t>
      </w:r>
      <w:r>
        <w:rPr>
          <w:rFonts w:ascii="Times New Roman;Times;serif" w:hAnsi="Times New Roman;Times;serif"/>
          <w:i/>
          <w:sz w:val="24"/>
        </w:rPr>
        <w:t>.</w:t>
      </w:r>
      <w:r>
        <w:rPr>
          <w:rFonts w:ascii="Times New Roman;Times;serif" w:hAnsi="Times New Roman;Times;serif"/>
          <w:sz w:val="24"/>
        </w:rPr>
        <w:t xml:space="preserve">  Any one or more of the following shall constitute an “</w:t>
      </w:r>
      <w:r>
        <w:rPr>
          <w:rFonts w:ascii="Times New Roman;Times;serif" w:hAnsi="Times New Roman;Times;serif"/>
          <w:i/>
          <w:sz w:val="24"/>
        </w:rPr>
        <w:t>Event of Default”</w:t>
      </w:r>
      <w:r>
        <w:rPr>
          <w:rFonts w:ascii="Times New Roman;Times;serif" w:hAnsi="Times New Roman;Times;serif"/>
          <w:sz w:val="24"/>
        </w:rPr>
        <w:t xml:space="preserve"> hereunder:</w:t>
      </w:r>
    </w:p>
    <w:p>
      <w:pPr>
        <w:pStyle w:val="TextBody"/>
        <w:bidi w:val="0"/>
        <w:spacing w:before="0" w:after="240"/>
        <w:ind w:left="0" w:right="0" w:hanging="0"/>
        <w:jc w:val="both"/>
        <w:rPr/>
      </w:pPr>
      <w:r>
        <w:rPr/>
        <w:t>●</w:t>
      </w:r>
      <w:r>
        <w:rPr>
          <w:rFonts w:ascii="Times New Roman;Times;serif" w:hAnsi="Times New Roman;Times;serif"/>
          <w:sz w:val="24"/>
        </w:rPr>
        <w:t>default in the payment when due of all or any part of the principal of any Loan (whether at the stated maturity thereof or at any other time provided for in this Agreement, including a mandatory prepayment required by Section 1.8(b)) or of any Reimbursement Obligation; or default for a period of three (3) Business Days in the payment when due of any interest, fee or other Obligation payable hereunder or under any other Loan Document;</w:t>
      </w:r>
    </w:p>
    <w:p>
      <w:pPr>
        <w:pStyle w:val="TextBody"/>
        <w:bidi w:val="0"/>
        <w:spacing w:before="0" w:after="240"/>
        <w:ind w:left="0" w:right="0" w:hanging="0"/>
        <w:jc w:val="both"/>
        <w:rPr/>
      </w:pPr>
      <w:r>
        <w:rPr/>
        <w:t>●</w:t>
      </w:r>
      <w:r>
        <w:rPr>
          <w:rFonts w:ascii="Times New Roman;Times;serif" w:hAnsi="Times New Roman;Times;serif"/>
          <w:sz w:val="24"/>
        </w:rPr>
        <w:t xml:space="preserve">default in the observance or performance of any covenant set forth in Sections 8.1 (only with respect to the first sentence thereof), 8.5 (for a period of five (5) days), 8.7, 8.8, 8.9, 8.10, 8.20, 8.21 (if not replaced with another Eligible </w:t>
      </w:r>
      <w:bookmarkStart w:id="1706" w:name="_cp_change_169"/>
      <w:bookmarkEnd w:id="1706"/>
      <w:r>
        <w:rPr>
          <w:rFonts w:ascii="Times New Roman;Times;serif" w:hAnsi="Times New Roman;Times;serif"/>
          <w:color w:val="FF0000"/>
          <w:sz w:val="24"/>
        </w:rPr>
        <w:t>Property</w:t>
      </w:r>
      <w:bookmarkStart w:id="1707" w:name="_cp_change_170"/>
      <w:bookmarkEnd w:id="1707"/>
      <w:r>
        <w:rPr>
          <w:rFonts w:ascii="Times New Roman;Times;serif" w:hAnsi="Times New Roman;Times;serif"/>
          <w:color w:val="0000FF"/>
          <w:sz w:val="24"/>
          <w:u w:val="single"/>
        </w:rPr>
        <w:t>Asset</w:t>
      </w:r>
      <w:r>
        <w:rPr>
          <w:rFonts w:ascii="Times New Roman;Times;serif" w:hAnsi="Times New Roman;Times;serif"/>
          <w:sz w:val="24"/>
        </w:rPr>
        <w:t xml:space="preserve"> or Eligible </w:t>
      </w:r>
      <w:bookmarkStart w:id="1708" w:name="_cp_change_171"/>
      <w:bookmarkEnd w:id="1708"/>
      <w:r>
        <w:rPr>
          <w:rFonts w:ascii="Times New Roman;Times;serif" w:hAnsi="Times New Roman;Times;serif"/>
          <w:color w:val="FF0000"/>
          <w:sz w:val="24"/>
        </w:rPr>
        <w:t>Properties</w:t>
      </w:r>
      <w:bookmarkStart w:id="1709" w:name="_cp_change_172"/>
      <w:bookmarkEnd w:id="1709"/>
      <w:r>
        <w:rPr>
          <w:rFonts w:ascii="Times New Roman;Times;serif" w:hAnsi="Times New Roman;Times;serif"/>
          <w:color w:val="0000FF"/>
          <w:sz w:val="24"/>
          <w:u w:val="single"/>
        </w:rPr>
        <w:t>Assets</w:t>
      </w:r>
      <w:r>
        <w:rPr>
          <w:rFonts w:ascii="Times New Roman;Times;serif" w:hAnsi="Times New Roman;Times;serif"/>
          <w:sz w:val="24"/>
        </w:rPr>
        <w:t xml:space="preserve"> in accordance with Section 7.3 hereof within ten (10) Business Days after the period of notice required by Section 7.3), 8.23, 8.25, or 8.27 hereof;</w:t>
      </w:r>
    </w:p>
    <w:p>
      <w:pPr>
        <w:pStyle w:val="TextBody"/>
        <w:bidi w:val="0"/>
        <w:spacing w:before="0" w:after="240"/>
        <w:ind w:left="0" w:right="0" w:hanging="0"/>
        <w:jc w:val="both"/>
        <w:rPr/>
      </w:pPr>
      <w:r>
        <w:rPr/>
        <w:t>●</w:t>
      </w:r>
      <w:r>
        <w:rPr>
          <w:rFonts w:ascii="Times New Roman;Times;serif" w:hAnsi="Times New Roman;Times;serif"/>
          <w:sz w:val="24"/>
        </w:rPr>
        <w:t xml:space="preserve">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w:t>
      </w:r>
      <w:r>
        <w:rPr>
          <w:rFonts w:ascii="Times New Roman;Times;serif" w:hAnsi="Times New Roman;Times;serif"/>
          <w:i/>
          <w:sz w:val="24"/>
        </w:rPr>
        <w:t>provided, however</w:t>
      </w:r>
      <w:r>
        <w:rPr>
          <w:rFonts w:ascii="Times New Roman;Times;serif" w:hAnsi="Times New Roman;Times;serif"/>
          <w:sz w:val="24"/>
        </w:rPr>
        <w:t xml:space="preserve">,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 </w:t>
      </w:r>
    </w:p>
    <w:p>
      <w:pPr>
        <w:pStyle w:val="TextBody"/>
        <w:bidi w:val="0"/>
        <w:spacing w:before="0" w:after="240"/>
        <w:ind w:left="0" w:right="0" w:hanging="0"/>
        <w:jc w:val="both"/>
        <w:rPr/>
      </w:pPr>
      <w:r>
        <w:rPr/>
        <w:t>●</w:t>
      </w:r>
      <w:r>
        <w:rPr>
          <w:rFonts w:ascii="Times New Roman;Times;serif" w:hAnsi="Times New Roman;Times;serif"/>
          <w:sz w:val="24"/>
        </w:rPr>
        <w:t xml:space="preserve">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w:t>
      </w:r>
      <w:r>
        <w:rPr>
          <w:rFonts w:ascii="Times New Roman;Times;serif" w:hAnsi="Times New Roman;Times;serif"/>
          <w:i/>
          <w:sz w:val="24"/>
        </w:rPr>
        <w:t xml:space="preserve">provided, </w:t>
      </w:r>
      <w:r>
        <w:rPr>
          <w:rFonts w:ascii="Times New Roman;Times;serif" w:hAnsi="Times New Roman;Times;serif"/>
          <w:sz w:val="24"/>
        </w:rPr>
        <w:t xml:space="preserve">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 </w:t>
      </w:r>
    </w:p>
    <w:p>
      <w:pPr>
        <w:pStyle w:val="TextBody"/>
        <w:bidi w:val="0"/>
        <w:spacing w:before="0" w:after="240"/>
        <w:ind w:left="0" w:right="0" w:hanging="0"/>
        <w:jc w:val="both"/>
        <w:rPr/>
      </w:pPr>
      <w:r>
        <w:rPr/>
        <w:t>●</w:t>
      </w:r>
      <w:r>
        <w:rPr>
          <w:rFonts w:ascii="Times New Roman;Times;serif" w:hAnsi="Times New Roman;Times;serif"/>
          <w:sz w:val="24"/>
        </w:rPr>
        <w:t>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 except as expressly permitted by the terms hereof;</w:t>
      </w:r>
    </w:p>
    <w:p>
      <w:pPr>
        <w:pStyle w:val="TextBody"/>
        <w:bidi w:val="0"/>
        <w:spacing w:before="0" w:after="240"/>
        <w:ind w:left="0" w:right="0" w:hanging="0"/>
        <w:jc w:val="both"/>
        <w:rPr/>
      </w:pPr>
      <w:r>
        <w:rPr/>
        <w:t>●</w:t>
      </w:r>
      <w:r>
        <w:rPr>
          <w:rFonts w:ascii="Times New Roman;Times;serif" w:hAnsi="Times New Roman;Times;serif"/>
          <w:sz w:val="24"/>
        </w:rPr>
        <w:t xml:space="preserve">default and expiration of any cure periods related thereto shall occur under (x) any nonrecourse Indebtedness for Borrowed Money issued, assumed or guaranteed by the Borrower or any Subsidiary aggregating in excess of $30,000,000 or (y) any recourse Indebtedness for Borrowed Money issued, assumed or guaranteed by the Borrower or any Subsidiary aggregating in excess of $10,000,000, or a default and expiration of any cure periods related thereto, shall occur under any indenture, agreement or other instrument under which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pStyle w:val="TextBody"/>
        <w:bidi w:val="0"/>
        <w:spacing w:before="0" w:after="240"/>
        <w:ind w:left="0" w:right="0" w:hanging="0"/>
        <w:jc w:val="both"/>
        <w:rPr/>
      </w:pPr>
      <w:r>
        <w:rPr/>
        <w:t>●</w:t>
      </w:r>
      <w:r>
        <w:rPr>
          <w:rFonts w:ascii="Times New Roman;Times;serif" w:hAnsi="Times New Roman;Times;serif"/>
          <w:sz w:val="24"/>
        </w:rPr>
        <w:t xml:space="preserve">any judgment or judgments, writ or writs or warrant or warrants of attachment, or any similar process or processes, shall be entered or filed against the Borrower or any Subsidiary, or against any of its </w:t>
      </w:r>
      <w:bookmarkStart w:id="1710" w:name="_cp_change_173"/>
      <w:bookmarkEnd w:id="1710"/>
      <w:r>
        <w:rPr>
          <w:rFonts w:ascii="Times New Roman;Times;serif" w:hAnsi="Times New Roman;Times;serif"/>
          <w:color w:val="FF0000"/>
          <w:sz w:val="24"/>
        </w:rPr>
        <w:t>Property</w:t>
      </w:r>
      <w:bookmarkStart w:id="1711" w:name="_cp_change_174"/>
      <w:bookmarkEnd w:id="1711"/>
      <w:r>
        <w:rPr>
          <w:rFonts w:ascii="Times New Roman;Times;serif" w:hAnsi="Times New Roman;Times;serif"/>
          <w:color w:val="0000FF"/>
          <w:sz w:val="24"/>
          <w:u w:val="single"/>
        </w:rPr>
        <w:t>Properties or other assets</w:t>
      </w:r>
      <w:r>
        <w:rPr>
          <w:rFonts w:ascii="Times New Roman;Times;serif" w:hAnsi="Times New Roman;Times;serif"/>
          <w:sz w:val="24"/>
        </w:rPr>
        <w:t xml:space="preserve">, in an aggregate amount in excess of $5,000,000 (except to the extent fully covered by insurance pursuant to which the insurer has accepted liability therefor in writing), and which remains undischarged, unvacated, unbonded or unstayed for a period of thirty (30) days; </w:t>
      </w:r>
    </w:p>
    <w:p>
      <w:pPr>
        <w:pStyle w:val="TextBody"/>
        <w:bidi w:val="0"/>
        <w:spacing w:before="0" w:after="240"/>
        <w:ind w:left="0" w:right="0" w:hanging="0"/>
        <w:jc w:val="both"/>
        <w:rPr/>
      </w:pPr>
      <w:r>
        <w:rPr/>
        <w:t>●</w:t>
      </w:r>
      <w:r>
        <w:rPr>
          <w:rFonts w:ascii="Times New Roman;Times;serif" w:hAnsi="Times New Roman;Times;serif"/>
          <w:sz w:val="24"/>
        </w:rPr>
        <w:t>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w:t>
      </w:r>
      <w:r>
        <w:rPr>
          <w:rFonts w:ascii="Times New Roman;Times;serif" w:hAnsi="Times New Roman;Times;serif"/>
          <w:i/>
          <w:sz w:val="24"/>
        </w:rPr>
        <w:t>Material Plan”</w:t>
      </w:r>
      <w:r>
        <w:rPr>
          <w:rFonts w:ascii="Times New Roman;Times;serif" w:hAnsi="Times New Roman;Times;serif"/>
          <w:sz w:val="24"/>
        </w:rPr>
        <w:t xml:space="preserve">)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 </w:t>
      </w:r>
    </w:p>
    <w:p>
      <w:pPr>
        <w:pStyle w:val="TextBody"/>
        <w:bidi w:val="0"/>
        <w:spacing w:before="0" w:after="240"/>
        <w:ind w:left="0" w:right="0" w:hanging="0"/>
        <w:jc w:val="both"/>
        <w:rPr/>
      </w:pPr>
      <w:r>
        <w:rPr/>
        <w:t>●</w:t>
      </w:r>
      <w:r>
        <w:rPr>
          <w:rFonts w:ascii="Times New Roman;Times;serif" w:hAnsi="Times New Roman;Times;serif"/>
          <w:sz w:val="24"/>
        </w:rPr>
        <w:t>any Change of Control shall occur;</w:t>
      </w:r>
    </w:p>
    <w:p>
      <w:pPr>
        <w:pStyle w:val="TextBody"/>
        <w:bidi w:val="0"/>
        <w:spacing w:before="0" w:after="240"/>
        <w:ind w:left="0" w:right="0" w:hanging="0"/>
        <w:jc w:val="both"/>
        <w:rPr/>
      </w:pPr>
      <w:r>
        <w:rPr/>
        <w:t>●</w:t>
      </w:r>
      <w:r>
        <w:rPr>
          <w:rFonts w:ascii="Times New Roman;Times;serif" w:hAnsi="Times New Roman;Times;serif"/>
          <w:sz w:val="24"/>
        </w:rPr>
        <w:t xml:space="preserve">the Borrower or any Material Subsidiary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w:t>
      </w:r>
      <w:bookmarkStart w:id="1712" w:name="_cp_change_175"/>
      <w:bookmarkEnd w:id="1712"/>
      <w:r>
        <w:rPr>
          <w:rFonts w:ascii="Times New Roman;Times;serif" w:hAnsi="Times New Roman;Times;serif"/>
          <w:color w:val="FF0000"/>
          <w:sz w:val="24"/>
        </w:rPr>
        <w:t>Property,</w:t>
      </w:r>
      <w:bookmarkStart w:id="1713" w:name="_cp_change_176"/>
      <w:bookmarkEnd w:id="1713"/>
      <w:r>
        <w:rPr>
          <w:rFonts w:ascii="Times New Roman;Times;serif" w:hAnsi="Times New Roman;Times;serif"/>
          <w:color w:val="0000FF"/>
          <w:sz w:val="24"/>
          <w:u w:val="single"/>
        </w:rPr>
        <w:t>Properties or other assets,</w:t>
      </w:r>
      <w:r>
        <w:rPr>
          <w:rFonts w:ascii="Times New Roman;Times;serif" w:hAnsi="Times New Roman;Times;serif"/>
          <w:sz w:val="24"/>
        </w:rPr>
        <w:t xml:space="preserve">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pStyle w:val="TextBody"/>
        <w:bidi w:val="0"/>
        <w:spacing w:before="0" w:after="240"/>
        <w:ind w:left="0" w:right="0" w:hanging="0"/>
        <w:jc w:val="both"/>
        <w:rPr/>
      </w:pPr>
      <w:r>
        <w:rPr/>
        <w:t>●</w:t>
      </w:r>
      <w:r>
        <w:rPr>
          <w:rFonts w:ascii="Times New Roman;Times;serif" w:hAnsi="Times New Roman;Times;serif"/>
          <w:sz w:val="24"/>
        </w:rPr>
        <w:t xml:space="preserve">a custodian, receiver, trustee, examiner, liquidator or similar official shall be appointed for the Borrower or any Subsidiary, or any substantial part of any of its </w:t>
      </w:r>
      <w:bookmarkStart w:id="1714" w:name="_cp_change_177"/>
      <w:bookmarkEnd w:id="1714"/>
      <w:r>
        <w:rPr>
          <w:rFonts w:ascii="Times New Roman;Times;serif" w:hAnsi="Times New Roman;Times;serif"/>
          <w:color w:val="FF0000"/>
          <w:sz w:val="24"/>
        </w:rPr>
        <w:t>Property,</w:t>
      </w:r>
      <w:bookmarkStart w:id="1715" w:name="_cp_change_178"/>
      <w:bookmarkEnd w:id="1715"/>
      <w:r>
        <w:rPr>
          <w:rFonts w:ascii="Times New Roman;Times;serif" w:hAnsi="Times New Roman;Times;serif"/>
          <w:color w:val="0000FF"/>
          <w:sz w:val="24"/>
          <w:u w:val="single"/>
        </w:rPr>
        <w:t>Properties or other assets,</w:t>
      </w:r>
      <w:r>
        <w:rPr>
          <w:rFonts w:ascii="Times New Roman;Times;serif" w:hAnsi="Times New Roman;Times;serif"/>
          <w:sz w:val="24"/>
        </w:rPr>
        <w:t xml:space="preserve"> or a proceeding described in Section 9.1(j)(v) shall be instituted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against the Borrower or any Subsidiary, and such appointment continues undischarged or such proceeding continues undismissed or unstayed for a period of sixty (60) days;</w:t>
      </w:r>
    </w:p>
    <w:p>
      <w:pPr>
        <w:pStyle w:val="TextBody"/>
        <w:bidi w:val="0"/>
        <w:spacing w:before="0" w:after="240"/>
        <w:ind w:left="0" w:right="0" w:hanging="0"/>
        <w:jc w:val="both"/>
        <w:rPr/>
      </w:pPr>
      <w:r>
        <w:rPr/>
        <w:t>●</w:t>
      </w:r>
      <w:r>
        <w:rPr>
          <w:rFonts w:ascii="Times New Roman;Times;serif" w:hAnsi="Times New Roman;Times;serif"/>
          <w:sz w:val="24"/>
        </w:rPr>
        <w:t>the Common Stock of Parent fails to be duly listed on the New York Stock Exchange, the NYSE American or The NASDAQ Stock Market; or</w:t>
      </w:r>
    </w:p>
    <w:p>
      <w:pPr>
        <w:pStyle w:val="TextBody"/>
        <w:bidi w:val="0"/>
        <w:spacing w:before="0" w:after="0"/>
        <w:ind w:left="0" w:right="0" w:hanging="0"/>
        <w:jc w:val="both"/>
        <w:rPr/>
      </w:pPr>
      <w:r>
        <w:rPr/>
        <w:t>●</w:t>
      </w:r>
      <w:r>
        <w:rPr>
          <w:rFonts w:ascii="Times New Roman;Times;serif" w:hAnsi="Times New Roman;Times;serif"/>
          <w:sz w:val="24"/>
        </w:rPr>
        <w:t>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the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pStyle w:val="TextBody"/>
        <w:bidi w:val="0"/>
        <w:spacing w:before="0" w:after="240"/>
        <w:ind w:left="0" w:right="0" w:hanging="0"/>
        <w:jc w:val="both"/>
        <w:rPr/>
      </w:pPr>
      <w:r>
        <w:rPr/>
        <w:t>●</w:t>
      </w:r>
      <w:bookmarkStart w:id="1716" w:name="_Toc115421320"/>
      <w:bookmarkEnd w:id="1716"/>
      <w:r>
        <w:rPr>
          <w:rFonts w:ascii="Times New Roman;Times;serif" w:hAnsi="Times New Roman;Times;serif"/>
          <w:sz w:val="24"/>
          <w:u w:val="single"/>
        </w:rPr>
        <w:t>Non-Bankruptcy Defaults</w:t>
      </w:r>
      <w:r>
        <w:rPr>
          <w:rFonts w:ascii="Times New Roman;Times;serif" w:hAnsi="Times New Roman;Times;serif"/>
          <w:i/>
          <w:sz w:val="24"/>
        </w:rPr>
        <w:t>.</w:t>
      </w:r>
      <w:r>
        <w:rPr>
          <w:rFonts w:ascii="Times New Roman;Times;serif" w:hAnsi="Times New Roman;Times;serif"/>
          <w:sz w:val="24"/>
        </w:rPr>
        <w:t xml:space="preserve">  When any Event of Default (other than those 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Required Lenders, declare the principal of and the accrued interest on all outstanding Term Loans and Incremental Term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Lenders, demand that the Borrower immediately pay to the Administrative Agent the full amount then available for drawing under each or any Letter of Credit, and the Borrower agrees to immediately make such payment.  The Administrative Agent, after giving notice to the Borrower pursuant to Section 9.1(c) or this Section 9.2, shall also promptly send a copy of such notice to the other Lenders, but the failure to do so shall not impair or annul the effect of such notice.</w:t>
      </w:r>
    </w:p>
    <w:p>
      <w:pPr>
        <w:pStyle w:val="TextBody"/>
        <w:bidi w:val="0"/>
        <w:spacing w:before="0" w:after="240"/>
        <w:ind w:left="0" w:right="0" w:hanging="0"/>
        <w:jc w:val="both"/>
        <w:rPr/>
      </w:pPr>
      <w:r>
        <w:rPr/>
        <w:t>●</w:t>
      </w:r>
      <w:bookmarkStart w:id="1717" w:name="_Toc115421321"/>
      <w:bookmarkEnd w:id="1717"/>
      <w:r>
        <w:rPr>
          <w:rFonts w:ascii="Times New Roman;Times;serif" w:hAnsi="Times New Roman;Times;serif"/>
          <w:sz w:val="24"/>
          <w:u w:val="single"/>
        </w:rPr>
        <w:t>Bankruptcy Defaults</w:t>
      </w:r>
      <w:r>
        <w:rPr>
          <w:rFonts w:ascii="Times New Roman;Times;serif" w:hAnsi="Times New Roman;Times;serif"/>
          <w:sz w:val="24"/>
        </w:rPr>
        <w:t>.  When any Event of Default described in subsections (j) or (k) of Section 9.1 hereof has occurred and is continuing, then all outstanding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 and the Borrower shall immediately pay to the Administrative Agent the full amount then available for drawing under all outstanding Letters of Credit.</w:t>
      </w:r>
    </w:p>
    <w:p>
      <w:pPr>
        <w:pStyle w:val="TextBody"/>
        <w:bidi w:val="0"/>
        <w:spacing w:before="0" w:after="240"/>
        <w:ind w:left="0" w:right="0" w:hanging="0"/>
        <w:jc w:val="both"/>
        <w:rPr/>
      </w:pPr>
      <w:r>
        <w:rPr/>
        <w:t>●</w:t>
      </w:r>
      <w:bookmarkStart w:id="1718" w:name="_Toc115421322"/>
      <w:bookmarkEnd w:id="1718"/>
      <w:r>
        <w:rPr>
          <w:rFonts w:ascii="Times New Roman;Times;serif" w:hAnsi="Times New Roman;Times;serif"/>
          <w:sz w:val="24"/>
          <w:u w:val="single"/>
        </w:rPr>
        <w:t>Collateral for Undrawn Letters of Credit</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If the prepayment of the amount available for drawing under any or all outstanding Letters of Credit is required under Section 1.8(b), Section 1.14, Section 9.2 or Section 9.3 above, the Borrower shall forthwith pay one hundred three percent (103%) of the amount required to be so prepaid (to cash collateralize fees and interest as well as the amount of the Letter of Credit), to be held by the Administrative Agent as provided in subsection (b) below.</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4"/>
        </w:rPr>
        <w:t>All amounts prepaid pursuant to subsection (a)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Times;serif" w:hAnsi="Times New Roman;Times;serif"/>
          <w:i/>
          <w:sz w:val="24"/>
        </w:rPr>
        <w:t>Collateral Account”</w:t>
      </w:r>
      <w:r>
        <w:rPr>
          <w:rFonts w:ascii="Times New Roman;Times;serif" w:hAnsi="Times New Roman;Times;serif"/>
          <w:sz w:val="24"/>
        </w:rPr>
        <w:t xml:space="preserve">) as security for, and for application by the Administrative Agent (to the extent available) to, the reimbursement of any payment under any Letter of Credit then or thereafter made by the L/C Issuer, and to the payment of the unpaid balance of all other Obligations (and to all Hedging Liability and Funds Transfer and Deposit Account Liability).  The Collateral Account shall be held in the name of and subject to the exclusive dominion and control of the Administrative Agent for the benefit of the Administrative Agent, the Lenders, and the L/C Issuer.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 </w:t>
      </w:r>
      <w:r>
        <w:rPr>
          <w:rFonts w:ascii="Times New Roman;Times;serif" w:hAnsi="Times New Roman;Times;serif"/>
          <w:i/>
          <w:sz w:val="24"/>
        </w:rPr>
        <w:t>provided</w:t>
      </w:r>
      <w:r>
        <w:rPr>
          <w:rFonts w:ascii="Times New Roman;Times;serif" w:hAnsi="Times New Roman;Times;serif"/>
          <w:sz w:val="24"/>
        </w:rPr>
        <w:t xml:space="preserve"> that the Administrative Agent is irrevocably authorized to sell investments held in the Collateral Account when and as required to make payments out of the Collateral Account for application to amounts then due and owing from the Borrower to the L/C Issuer, the Administrative Agent or the Lenders; </w:t>
      </w:r>
      <w:r>
        <w:rPr>
          <w:rFonts w:ascii="Times New Roman;Times;serif" w:hAnsi="Times New Roman;Times;serif"/>
          <w:i/>
          <w:sz w:val="24"/>
        </w:rPr>
        <w:t>provided, however,</w:t>
      </w:r>
      <w:r>
        <w:rPr>
          <w:rFonts w:ascii="Times New Roman;Times;serif" w:hAnsi="Times New Roman;Times;serif"/>
          <w:sz w:val="24"/>
        </w:rPr>
        <w:t xml:space="preserve"> that (i) if the Borrower shall have made payment of all obligations referred to in subsection (a) above required under Section 1.8(b) and Section 1.14 hereof, if any, at the request of the Borrower the Administrative Agent shall release to the Borrower amounts held in the Collateral Account so long as at the time of the release and after giving effect thereto no Default or Event of Default exists and, in the case of Section 1.14 hereof, the Defaulting Lender Period with respect to the relevant Defaulting Lender has terminated, and (ii) if the Borrower shall have made payment of all obligations referred to in subsection (a) above required under Section 9.2 or 9.3 hereof, so long as no Letters of Credit, Revolving Credit Commitments, Revolving Loans or other Obligations, Hedging Liability, or Funds Transfer and Deposit Account Liability remain outstanding, at the request of the Borrower the Administrative Agent shall release to the Borrower any remaining amounts held in the Collateral Account.</w:t>
      </w:r>
    </w:p>
    <w:p>
      <w:pPr>
        <w:pStyle w:val="TextBody"/>
        <w:bidi w:val="0"/>
        <w:spacing w:before="0" w:after="0"/>
        <w:ind w:left="0" w:right="0" w:hanging="0"/>
        <w:jc w:val="both"/>
        <w:rPr/>
      </w:pPr>
      <w:r>
        <w:rPr/>
        <w:t>●</w:t>
      </w:r>
      <w:bookmarkStart w:id="1719" w:name="_Toc115421323"/>
      <w:bookmarkStart w:id="1720" w:name="_Toc69823633"/>
      <w:bookmarkEnd w:id="1719"/>
      <w:bookmarkEnd w:id="1720"/>
      <w:r>
        <w:rPr>
          <w:rFonts w:ascii="Times New Roman;Times;serif" w:hAnsi="Times New Roman;Times;serif"/>
          <w:sz w:val="24"/>
          <w:u w:val="single"/>
        </w:rPr>
        <w:t>Notice of Default</w:t>
      </w:r>
      <w:r>
        <w:rPr>
          <w:rFonts w:ascii="Times New Roman;Times;serif" w:hAnsi="Times New Roman;Times;serif"/>
          <w:sz w:val="24"/>
        </w:rPr>
        <w:t>.  The Administrative Agent shall give notice to the Borrower under Section 9.1 hereof promptly upon being requested to do so by any Lender and shall thereupon notify all the Lenders thereof.</w:t>
      </w:r>
    </w:p>
    <w:p>
      <w:pPr>
        <w:pStyle w:val="TextBody"/>
        <w:bidi w:val="0"/>
        <w:spacing w:before="0" w:after="240"/>
        <w:ind w:left="720" w:right="0" w:hanging="0"/>
        <w:jc w:val="both"/>
        <w:rPr/>
      </w:pPr>
      <w:r>
        <w:rPr>
          <w:caps/>
        </w:rPr>
        <w:t>●</w:t>
      </w:r>
      <w:bookmarkStart w:id="1721" w:name="_Toc115421324"/>
      <w:bookmarkEnd w:id="1721"/>
      <w:r>
        <w:rPr>
          <w:rFonts w:ascii="Times New Roman;Times;serif" w:hAnsi="Times New Roman;Times;serif"/>
          <w:caps/>
          <w:sz w:val="24"/>
        </w:rPr>
        <w:t>Change in Circumstances.</w:t>
      </w:r>
    </w:p>
    <w:p>
      <w:pPr>
        <w:pStyle w:val="TextBody"/>
        <w:bidi w:val="0"/>
        <w:spacing w:before="0" w:after="240"/>
        <w:ind w:left="0" w:right="0" w:hanging="0"/>
        <w:jc w:val="both"/>
        <w:rPr/>
      </w:pPr>
      <w:r>
        <w:rPr/>
        <w:t>●</w:t>
      </w:r>
      <w:bookmarkStart w:id="1722" w:name="_Toc115421325"/>
      <w:bookmarkEnd w:id="1722"/>
      <w:r>
        <w:rPr>
          <w:rFonts w:ascii="Times New Roman;Times;serif" w:hAnsi="Times New Roman;Times;serif"/>
          <w:sz w:val="24"/>
          <w:u w:val="single"/>
        </w:rPr>
        <w:t>Change of Law</w:t>
      </w:r>
      <w:r>
        <w:rPr>
          <w:rFonts w:ascii="Times New Roman;Times;serif" w:hAnsi="Times New Roman;Times;serif"/>
          <w:sz w:val="24"/>
        </w:rPr>
        <w:t xml:space="preserve">.  Notwithstanding any other provisions of this Agreement or any other Loan Document, if at any time any Change in Law makes it unlawful for any Lender to make or continue to maintain any SOFR Loans or to perform its obligations as contemplated hereby related to SOFR Loans, such Lender shall promptly give written notice thereof to the Borrower and such Lender’s obligations to make or maintain SOFR Loans under this Agreement shall be suspended until it is no longer unlawful for such Lender to make or maintain SOFR Loans.  The Borrower shall promptly prepay the outstanding principal amount of any such affected SOFR Loans, together with all interest accrued thereon and all other amounts then due and payable to such Lender under this Agreement or, subject to all of the terms and conditions of this Agreement, convert such affected SOFR Loans into Base Rate Loans; </w:t>
      </w:r>
      <w:r>
        <w:rPr>
          <w:rFonts w:ascii="Times New Roman;Times;serif" w:hAnsi="Times New Roman;Times;serif"/>
          <w:i/>
          <w:sz w:val="24"/>
        </w:rPr>
        <w:t>provided, however,</w:t>
      </w:r>
      <w:r>
        <w:rPr>
          <w:rFonts w:ascii="Times New Roman;Times;serif" w:hAnsi="Times New Roman;Times;serif"/>
          <w:sz w:val="24"/>
        </w:rPr>
        <w:t xml:space="preserve"> subject to all of the terms and conditions of this Agreement (unless the affected SOFR Loans are converted into Base Rate Loans), the Borrower may then elect to borrow the principal amount of the affected SOFR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Loans from such Lender by means of Base Rate Loans from such Lender, which Base Rate Loans shall not be made ratably by the Lenders but only from such affected Lender.</w:t>
      </w:r>
    </w:p>
    <w:p>
      <w:pPr>
        <w:pStyle w:val="TextBody"/>
        <w:bidi w:val="0"/>
        <w:spacing w:before="0" w:after="240"/>
        <w:ind w:left="0" w:right="0" w:hanging="0"/>
        <w:jc w:val="both"/>
        <w:rPr/>
      </w:pPr>
      <w:r>
        <w:rPr/>
        <w:t>●</w:t>
      </w:r>
      <w:bookmarkStart w:id="1723" w:name="_Toc115421326"/>
      <w:bookmarkStart w:id="1724" w:name="_Ref99960797"/>
      <w:bookmarkStart w:id="1725" w:name="_Toc97558778"/>
      <w:bookmarkStart w:id="1726" w:name="_Toc93574619"/>
      <w:bookmarkStart w:id="1727" w:name="_Ref93525415"/>
      <w:bookmarkStart w:id="1728" w:name="_Toc81414265"/>
      <w:bookmarkStart w:id="1729" w:name="_Ref17150935"/>
      <w:bookmarkStart w:id="1730" w:name="_Ref16685928"/>
      <w:bookmarkStart w:id="1731" w:name="_Ref16685467"/>
      <w:bookmarkStart w:id="1732" w:name="_Ref524347559"/>
      <w:bookmarkStart w:id="1733" w:name="_Ref524347558"/>
      <w:bookmarkStart w:id="1734" w:name="_Ref524347557"/>
      <w:bookmarkStart w:id="1735" w:name="_Toc128299749"/>
      <w:bookmarkEnd w:id="1723"/>
      <w:bookmarkEnd w:id="1724"/>
      <w:bookmarkEnd w:id="1725"/>
      <w:bookmarkEnd w:id="1726"/>
      <w:bookmarkEnd w:id="1727"/>
      <w:bookmarkEnd w:id="1728"/>
      <w:bookmarkEnd w:id="1729"/>
      <w:bookmarkEnd w:id="1730"/>
      <w:bookmarkEnd w:id="1731"/>
      <w:bookmarkEnd w:id="1732"/>
      <w:bookmarkEnd w:id="1733"/>
      <w:bookmarkEnd w:id="1734"/>
      <w:bookmarkEnd w:id="1735"/>
      <w:r>
        <w:rPr>
          <w:rFonts w:ascii="Times New Roman;Times;serif" w:hAnsi="Times New Roman;Times;serif"/>
          <w:sz w:val="24"/>
          <w:u w:val="single"/>
        </w:rPr>
        <w:t>Temporary Inability to Determine Rates Alternate Rate of Interest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If (A) the Administrative Agent determines (which determination shall be conclusive and binding absent manifest error) that Adjusted Daily Simple SOFR or Adjusted Term SOFR cannot be determined pursuant to the definition thereof or (B) the Required Lenders determine that for any reason in connection with any request for a SOFR Loan or a conversion thereto or a continuation thereof that Adjusted Daily Simple SOFR or Adjusted Term SOFR for any requested Interest Period with respect to a proposed SOFR Loan does not adequately and fairly reflect the cost to such Lenders of funding such Loan, and the Required Lenders have provided notice of such determination to the Administrative Agent, in each case of (A) and (B), on or prior to the first day of any Interest Period, the Administrative Agent will promptly so notify the Borrower and each Lender.  Upon notice thereof by the Administrative Agent to the Borrower, (i) any obligation of the Lenders to make or continue the applicable SOFR Loans or to convert Base Rate Loans to SOFR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Upon receipt of such notice, (i) the Borrower may revoke any pending request for a borrowing of, conversion to or continuation of any applicable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in respect of Term SOFR Loans, or immediately in respect of Daily Simple SOFR Loans.  Upon any such conversion, the Borrower shall also pay accrued interest on the amount so converted, together with any additional amounts required pursuant to Section 1.11.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The Administrative Agent shall promptly revoke any such determination promptly upon the circumstances leading to such determination ceasing to exist.</w:t>
      </w:r>
    </w:p>
    <w:p>
      <w:pPr>
        <w:pStyle w:val="TextBody"/>
        <w:bidi w:val="0"/>
        <w:spacing w:before="0" w:after="240"/>
        <w:ind w:left="0" w:right="0" w:hanging="0"/>
        <w:jc w:val="both"/>
        <w:rPr/>
      </w:pPr>
      <w:r>
        <w:rPr/>
        <w:t>●</w:t>
      </w:r>
      <w:bookmarkStart w:id="1736" w:name="_Toc115421327"/>
      <w:bookmarkEnd w:id="1736"/>
      <w:r>
        <w:rPr>
          <w:rFonts w:ascii="Times New Roman;Times;serif" w:hAnsi="Times New Roman;Times;serif"/>
          <w:sz w:val="24"/>
          <w:u w:val="single"/>
        </w:rPr>
        <w:t>Increased Cost and Reduced Return</w:t>
      </w: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rPr>
        <w:t>If any Change in Law shall:</w:t>
      </w:r>
    </w:p>
    <w:p>
      <w:pPr>
        <w:pStyle w:val="TextBody"/>
        <w:bidi w:val="0"/>
        <w:spacing w:before="0" w:after="240"/>
        <w:ind w:left="720" w:right="0" w:hanging="0"/>
        <w:jc w:val="both"/>
        <w:rPr/>
      </w:pPr>
      <w:r>
        <w:rPr/>
        <w:t>●</w:t>
      </w:r>
      <w:r>
        <w:rPr>
          <w:rFonts w:ascii="Times New Roman;Times;serif" w:hAnsi="Times New Roman;Times;serif"/>
          <w:sz w:val="24"/>
        </w:rPr>
        <w:t>subject any Lender (or its Lending Office) to any Tax (other than (A) Indemnified Taxes, (B) Taxes described in clauses (b) through (d) of the definition of Excluded Taxes, and (C) Connection Income Taxes) with respect to its SOFR Loans, its Notes or any other amounts due under this Agreement or any other Loan Document in respect of its SOFR Loans, (except for changes in the basis or rate of (A) Indemnified Taxes, (B) Taxes described in clauses (b) through (d) of the definition of Excluded Taxes and (C) Connection Income Taxes); 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720" w:right="0" w:hanging="0"/>
        <w:jc w:val="both"/>
        <w:rPr/>
      </w:pPr>
      <w:r>
        <w:rPr/>
        <w:t>●</w:t>
      </w:r>
      <w:r>
        <w:rPr>
          <w:rFonts w:ascii="Times New Roman;Times;serif" w:hAnsi="Times New Roman;Times;serif"/>
          <w:sz w:val="24"/>
        </w:rPr>
        <w:t>impose, modify or deem applicable any reserve, special deposit, compulsory loan, insurance charge or similar requirement (including, without limitation, any such requirement imposed by the Board of Governors of the Federal Reserve System) against assets of, deposits with or for the account of, or credit extended by, and Lender (or its Lending Office)or on the interbank market any other condition affecting its SOFR Loans, it Notes or its obligations to make SOFR Loans;</w:t>
      </w:r>
    </w:p>
    <w:p>
      <w:pPr>
        <w:pStyle w:val="TextBody"/>
        <w:bidi w:val="0"/>
        <w:spacing w:before="0" w:after="240"/>
        <w:ind w:left="0" w:right="0" w:hanging="0"/>
        <w:jc w:val="both"/>
        <w:rPr>
          <w:rFonts w:ascii="Times" w:hAnsi="Times"/>
          <w:sz w:val="24"/>
        </w:rPr>
      </w:pPr>
      <w:r>
        <w:rPr>
          <w:rFonts w:ascii="Times" w:hAnsi="Times"/>
          <w:sz w:val="24"/>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pStyle w:val="TextBody"/>
        <w:bidi w:val="0"/>
        <w:spacing w:before="0" w:after="240"/>
        <w:ind w:left="0" w:right="0" w:hanging="0"/>
        <w:jc w:val="both"/>
        <w:rPr/>
      </w:pPr>
      <w:r>
        <w:rPr/>
        <w:t>●</w:t>
      </w:r>
      <w:r>
        <w:rPr>
          <w:rFonts w:ascii="Times New Roman;Times;serif" w:hAnsi="Times New Roman;Times;serif"/>
          <w:sz w:val="24"/>
        </w:rPr>
        <w:t>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pStyle w:val="TextBody"/>
        <w:bidi w:val="0"/>
        <w:spacing w:before="0" w:after="240"/>
        <w:ind w:left="0" w:right="0" w:hanging="0"/>
        <w:jc w:val="both"/>
        <w:rPr/>
      </w:pPr>
      <w:r>
        <w:rPr/>
        <w:t>●</w:t>
      </w:r>
      <w:r>
        <w:rPr>
          <w:rFonts w:ascii="Times New Roman;Times;serif" w:hAnsi="Times New Roman;Times;serif"/>
          <w:sz w:val="24"/>
        </w:rPr>
        <w:t>A certificate of a Lender claiming compensation under Sections 1.11, 10.1, 10.3 and 12.1 and setting forth the additional amount or amounts to be paid to it hereunder shall be conclusive if reasonably determined.  In determining such amount, such Lender may use any reasonable averaging and attribution methods.</w:t>
      </w:r>
    </w:p>
    <w:p>
      <w:pPr>
        <w:pStyle w:val="TextBody"/>
        <w:bidi w:val="0"/>
        <w:spacing w:before="0" w:after="0"/>
        <w:ind w:left="0" w:right="0" w:hanging="0"/>
        <w:jc w:val="both"/>
        <w:rPr/>
      </w:pPr>
      <w:r>
        <w:rPr/>
        <w:t>●</w:t>
      </w:r>
      <w:r>
        <w:rPr>
          <w:rFonts w:ascii="Times New Roman;Times;serif" w:hAnsi="Times New Roman;Times;serif"/>
          <w:sz w:val="24"/>
        </w:rPr>
        <w:t xml:space="preserve">Failure or delay on the part of any Lender to demand compensation pursuant to this Section shall not constitute a waiver of such Lender’s right to demand such compensation; </w:t>
      </w:r>
      <w:r>
        <w:rPr>
          <w:rFonts w:ascii="Times New Roman;Times;serif" w:hAnsi="Times New Roman;Times;serif"/>
          <w:i/>
          <w:sz w:val="24"/>
        </w:rPr>
        <w:t>provided</w:t>
      </w:r>
      <w:r>
        <w:rPr>
          <w:rFonts w:ascii="Times New Roman;Times;serif" w:hAnsi="Times New Roman;Times;serif"/>
          <w:sz w:val="24"/>
        </w:rPr>
        <w:t xml:space="preserve">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 </w:t>
      </w:r>
    </w:p>
    <w:p>
      <w:pPr>
        <w:pStyle w:val="TextBody"/>
        <w:bidi w:val="0"/>
        <w:spacing w:before="0" w:after="240"/>
        <w:ind w:left="0" w:right="0" w:hanging="0"/>
        <w:jc w:val="both"/>
        <w:rPr/>
      </w:pPr>
      <w:r>
        <w:rPr/>
        <w:t>●</w:t>
      </w:r>
      <w:bookmarkStart w:id="1737" w:name="_Toc115421328"/>
      <w:bookmarkEnd w:id="1737"/>
      <w:r>
        <w:rPr>
          <w:rFonts w:ascii="Times New Roman;Times;serif" w:hAnsi="Times New Roman;Times;serif"/>
          <w:sz w:val="24"/>
          <w:u w:val="single"/>
        </w:rPr>
        <w:t>Lending Offices</w:t>
      </w:r>
      <w:r>
        <w:rPr>
          <w:rFonts w:ascii="Times New Roman;Times;serif" w:hAnsi="Times New Roman;Times;serif"/>
          <w:sz w:val="24"/>
        </w:rPr>
        <w:t>.  Each Lender may, at its option, elect to make its Loans hereunder at the branch, office or affiliate specified on the appropriate signature page hereof (each a “</w:t>
      </w:r>
      <w:r>
        <w:rPr>
          <w:rFonts w:ascii="Times New Roman;Times;serif" w:hAnsi="Times New Roman;Times;serif"/>
          <w:i/>
          <w:sz w:val="24"/>
        </w:rPr>
        <w:t>Lending Office”</w:t>
      </w:r>
      <w:r>
        <w:rPr>
          <w:rFonts w:ascii="Times New Roman;Times;serif" w:hAnsi="Times New Roman;Times;serif"/>
          <w:sz w:val="24"/>
        </w:rPr>
        <w:t xml:space="preserve">)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SOFR Loans to reduce any liability 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Borrower to such Lender under Section 10.3 hereof or to avoid the unavailability of SOFR Loans under Section 10.2 hereof, so long as such designation is not otherwise disadvantageous to the Lender.</w:t>
      </w:r>
    </w:p>
    <w:p>
      <w:pPr>
        <w:pStyle w:val="TextBody"/>
        <w:bidi w:val="0"/>
        <w:spacing w:before="0" w:after="240"/>
        <w:ind w:left="0" w:right="0" w:hanging="0"/>
        <w:jc w:val="both"/>
        <w:rPr/>
      </w:pPr>
      <w:r>
        <w:rPr/>
        <w:t>●</w:t>
      </w:r>
      <w:bookmarkStart w:id="1738" w:name="_Toc115421329"/>
      <w:bookmarkEnd w:id="1738"/>
      <w:r>
        <w:rPr>
          <w:rFonts w:ascii="Times New Roman;Times;serif" w:hAnsi="Times New Roman;Times;serif"/>
          <w:sz w:val="24"/>
          <w:u w:val="single"/>
        </w:rPr>
        <w:t>Discretion of Lender as to Manner of Funding</w:t>
      </w:r>
      <w:r>
        <w:rPr>
          <w:rFonts w:ascii="Times New Roman;Times;serif" w:hAnsi="Times New Roman;Times;serif"/>
          <w:i/>
          <w:sz w:val="24"/>
        </w:rPr>
        <w:t xml:space="preserve">. </w:t>
      </w:r>
      <w:r>
        <w:rPr>
          <w:rFonts w:ascii="Times New Roman;Times;serif" w:hAnsi="Times New Roman;Times;serif"/>
          <w:sz w:val="24"/>
        </w:rPr>
        <w:t> 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SOFR Loans shall be made as if each Lender had actually funded and maintained each SOFR Loan through the purchase of deposits in the applicable interbank market having a maturity corresponding to such Loan’s Interest Period, and bearing an interest rate equal to the applicable SOFR for any applicable Interest Period.</w:t>
      </w:r>
    </w:p>
    <w:p>
      <w:pPr>
        <w:pStyle w:val="TextBody"/>
        <w:bidi w:val="0"/>
        <w:spacing w:before="0" w:after="240"/>
        <w:ind w:left="0" w:right="0" w:hanging="0"/>
        <w:jc w:val="both"/>
        <w:rPr/>
      </w:pPr>
      <w:r>
        <w:rPr/>
        <w:t>●</w:t>
      </w:r>
      <w:bookmarkStart w:id="1739" w:name="_Toc93574626"/>
      <w:bookmarkStart w:id="1740" w:name="_Ref93524401"/>
      <w:bookmarkStart w:id="1741" w:name="_Toc115421330"/>
      <w:bookmarkStart w:id="1742" w:name="_Ref99960761"/>
      <w:bookmarkStart w:id="1743" w:name="_Toc97558786"/>
      <w:bookmarkEnd w:id="1739"/>
      <w:bookmarkEnd w:id="1740"/>
      <w:bookmarkEnd w:id="1741"/>
      <w:bookmarkEnd w:id="1742"/>
      <w:bookmarkEnd w:id="1743"/>
      <w:r>
        <w:rPr>
          <w:rFonts w:ascii="Times New Roman;Times;serif" w:hAnsi="Times New Roman;Times;serif"/>
          <w:sz w:val="24"/>
          <w:u w:val="single"/>
        </w:rPr>
        <w:t>Permanent Inability to Determine Rate; Benchmark Replacement</w:t>
      </w:r>
      <w:r>
        <w:rPr>
          <w:rFonts w:ascii="Times New Roman;Times;serif" w:hAnsi="Times New Roman;Times;serif"/>
          <w:sz w:val="24"/>
        </w:rPr>
        <w:t>.</w:t>
      </w:r>
    </w:p>
    <w:p>
      <w:pPr>
        <w:pStyle w:val="TextBody"/>
        <w:bidi w:val="0"/>
        <w:spacing w:before="0" w:after="240"/>
        <w:ind w:left="0" w:right="0" w:hanging="0"/>
        <w:jc w:val="both"/>
        <w:rPr/>
      </w:pPr>
      <w:r>
        <w:rPr/>
        <w:t>●</w:t>
      </w:r>
      <w:bookmarkStart w:id="1744" w:name="_Ref93524393"/>
      <w:bookmarkEnd w:id="1744"/>
      <w:r>
        <w:rPr>
          <w:rFonts w:ascii="Times New Roman;Times;serif" w:hAnsi="Times New Roman;Times;serif"/>
          <w:sz w:val="24"/>
          <w:u w:val="single"/>
        </w:rPr>
        <w:t>Benchmark Replacement</w:t>
      </w:r>
      <w:r>
        <w:rPr>
          <w:rFonts w:ascii="Times New Roman;Times;serif" w:hAnsi="Times New Roman;Times;serif"/>
          <w:sz w:val="24"/>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Boston, Massachusetts time,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No replacement of the then-current Benchmark with a Benchmark Replacement pursuant to this Section 10.6 will occur prior to the applicable Benchmark Transition Start Date.</w:t>
      </w:r>
    </w:p>
    <w:p>
      <w:pPr>
        <w:pStyle w:val="TextBody"/>
        <w:bidi w:val="0"/>
        <w:spacing w:before="0" w:after="240"/>
        <w:ind w:left="0" w:right="0" w:hanging="0"/>
        <w:jc w:val="both"/>
        <w:rPr/>
      </w:pPr>
      <w:r>
        <w:rPr/>
        <w:t>●</w:t>
      </w:r>
      <w:r>
        <w:rPr>
          <w:rFonts w:ascii="Times New Roman;Times;serif" w:hAnsi="Times New Roman;Times;serif"/>
          <w:sz w:val="24"/>
          <w:u w:val="single"/>
        </w:rPr>
        <w:t>Benchmark Replacement Conforming Changes</w:t>
      </w:r>
      <w:r>
        <w:rPr>
          <w:rFonts w:ascii="Times New Roman;Times;serif" w:hAnsi="Times New Roman;Times;serif"/>
          <w:sz w:val="24"/>
        </w:rPr>
        <w: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ind w:left="0" w:right="0" w:hanging="0"/>
        <w:jc w:val="both"/>
        <w:rPr/>
      </w:pPr>
      <w:r>
        <w:rPr/>
        <w:t>●</w:t>
      </w:r>
      <w:r>
        <w:rPr>
          <w:rFonts w:ascii="Times New Roman;Times;serif" w:hAnsi="Times New Roman;Times;serif"/>
          <w:sz w:val="24"/>
          <w:u w:val="single"/>
        </w:rPr>
        <w:t>Notices; Standards for Decisions and Determinations</w:t>
      </w:r>
      <w:r>
        <w:rPr>
          <w:rFonts w:ascii="Times New Roman;Times;serif" w:hAnsi="Times New Roman;Times;serif"/>
          <w:sz w:val="24"/>
        </w:rPr>
        <w:t>.  The Administrative Agent will promptly notify the Borrower and the Lenders of the implementation of any Benchmark Replacement and the effectiveness of any Conforming Changes.  The Administrative Agent will notify the Borrower of (x) the removal or reinstatement of any tenor of a Benchmark and (y) the commencement of any Benchmark Unavailability Period. Any determination, decision or election that may be made by the Administrative Agent or Lenders pursuant to this Section 10.6,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10.6.</w:t>
      </w:r>
    </w:p>
    <w:p>
      <w:pPr>
        <w:pStyle w:val="TextBody"/>
        <w:bidi w:val="0"/>
        <w:spacing w:before="0" w:after="240"/>
        <w:ind w:left="0" w:right="0" w:hanging="0"/>
        <w:jc w:val="both"/>
        <w:rPr/>
      </w:pPr>
      <w:r>
        <w:rPr/>
        <w:t>●</w:t>
      </w:r>
      <w:bookmarkStart w:id="1745" w:name="_Ref93525364"/>
      <w:bookmarkEnd w:id="1745"/>
      <w:r>
        <w:rPr>
          <w:rFonts w:ascii="Times New Roman;Times;serif" w:hAnsi="Times New Roman;Times;serif"/>
          <w:sz w:val="24"/>
          <w:u w:val="single"/>
        </w:rPr>
        <w:t>Unavailability of Tenor of Benchmark</w:t>
      </w:r>
      <w:r>
        <w:rPr>
          <w:rFonts w:ascii="Times New Roman;Times;serif" w:hAnsi="Times New Roman;Times;serif"/>
          <w:sz w:val="24"/>
        </w:rPr>
        <w:t xml:space="preserve">.  Notwithstanding anything to the contrary herein or in any other Loan Document, at any time (including in connection with the implementation of a Benchmark Replacement), (i) if any then-current Benchmark is a term rate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both"/>
        <w:rPr/>
      </w:pPr>
      <w:r>
        <w:rPr/>
        <w:t>●</w:t>
      </w:r>
      <w:r>
        <w:rPr>
          <w:rFonts w:ascii="Times New Roman;Times;serif" w:hAnsi="Times New Roman;Times;serif"/>
          <w:sz w:val="24"/>
          <w:u w:val="single"/>
        </w:rPr>
        <w:t>Benchmark Unavailability Period</w:t>
      </w:r>
      <w:r>
        <w:rPr>
          <w:rFonts w:ascii="Times New Roman;Times;serif" w:hAnsi="Times New Roman;Times;serif"/>
          <w:sz w:val="24"/>
        </w:rPr>
        <w:t>.  Upon the Borrower’s receipt of notice of the commencement of a Benchmark Unavailability Period, the Borrower may revoke any request for the applicable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Adjusted Term SOFR (or then-current Benchmark) will not be used in any determination of Base Rate.</w:t>
      </w:r>
    </w:p>
    <w:p>
      <w:pPr>
        <w:pStyle w:val="TextBody"/>
        <w:bidi w:val="0"/>
        <w:spacing w:before="0" w:after="240"/>
        <w:ind w:left="720" w:right="0" w:hanging="0"/>
        <w:jc w:val="both"/>
        <w:rPr/>
      </w:pPr>
      <w:r>
        <w:rPr>
          <w:caps/>
        </w:rPr>
        <w:t>●</w:t>
      </w:r>
      <w:bookmarkStart w:id="1746" w:name="_Toc115421331"/>
      <w:bookmarkEnd w:id="1746"/>
      <w:r>
        <w:rPr>
          <w:rFonts w:ascii="Times New Roman;Times;serif" w:hAnsi="Times New Roman;Times;serif"/>
          <w:caps/>
          <w:sz w:val="24"/>
        </w:rPr>
        <w:t>The Administrative Agent.</w:t>
      </w:r>
    </w:p>
    <w:p>
      <w:pPr>
        <w:pStyle w:val="TextBody"/>
        <w:bidi w:val="0"/>
        <w:spacing w:before="0" w:after="240"/>
        <w:ind w:left="0" w:right="0" w:hanging="0"/>
        <w:jc w:val="both"/>
        <w:rPr/>
      </w:pPr>
      <w:r>
        <w:rPr/>
        <w:t>●</w:t>
      </w:r>
      <w:bookmarkStart w:id="1747" w:name="_Toc115421332"/>
      <w:bookmarkEnd w:id="1747"/>
      <w:r>
        <w:rPr>
          <w:rFonts w:ascii="Times New Roman;Times;serif" w:hAnsi="Times New Roman;Times;serif"/>
          <w:sz w:val="24"/>
          <w:u w:val="single"/>
        </w:rPr>
        <w:t>Appointment and Authority</w:t>
      </w:r>
      <w:r>
        <w:rPr>
          <w:rFonts w:ascii="Times New Roman;Times;serif" w:hAnsi="Times New Roman;Times;serif"/>
          <w:sz w:val="24"/>
        </w:rPr>
        <w:t>.  Each of the Lenders hereby irrevocably appoints KeyBank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0" w:right="0" w:hanging="0"/>
        <w:jc w:val="both"/>
        <w:rPr/>
      </w:pPr>
      <w:r>
        <w:rPr/>
        <w:t>●</w:t>
      </w:r>
      <w:bookmarkStart w:id="1748" w:name="_Toc115421333"/>
      <w:bookmarkEnd w:id="1748"/>
      <w:r>
        <w:rPr>
          <w:rFonts w:ascii="Times New Roman;Times;serif" w:hAnsi="Times New Roman;Times;serif"/>
          <w:sz w:val="24"/>
          <w:u w:val="single"/>
        </w:rPr>
        <w:t>Rights as a Lender</w:t>
      </w:r>
      <w:r>
        <w:rPr>
          <w:rFonts w:ascii="Times New Roman;Times;serif" w:hAnsi="Times New Roman;Times;serif"/>
          <w:i/>
          <w:sz w:val="24"/>
        </w:rPr>
        <w:t xml:space="preserve">. </w:t>
      </w:r>
      <w:r>
        <w:rPr>
          <w:rFonts w:ascii="Times New Roman;Times;serif" w:hAnsi="Times New Roman;Times;serif"/>
          <w:sz w:val="24"/>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240"/>
        <w:ind w:left="0" w:right="0" w:hanging="0"/>
        <w:jc w:val="both"/>
        <w:rPr/>
      </w:pPr>
      <w:r>
        <w:rPr/>
        <w:t>●</w:t>
      </w:r>
      <w:bookmarkStart w:id="1749" w:name="_Toc115421334"/>
      <w:bookmarkEnd w:id="1749"/>
      <w:r>
        <w:rPr>
          <w:rFonts w:ascii="Times New Roman;Times;serif" w:hAnsi="Times New Roman;Times;serif"/>
          <w:sz w:val="24"/>
          <w:u w:val="single"/>
        </w:rPr>
        <w:t>Action by Administrative Agent; Exculpatory Provisions</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pStyle w:val="TextBody"/>
        <w:bidi w:val="0"/>
        <w:spacing w:before="0" w:after="240"/>
        <w:ind w:left="720" w:right="0" w:hanging="0"/>
        <w:jc w:val="both"/>
        <w:rPr/>
      </w:pPr>
      <w:r>
        <w:rPr/>
        <w:t>●</w:t>
      </w:r>
      <w:r>
        <w:rPr>
          <w:rFonts w:ascii="Times New Roman;Times;serif" w:hAnsi="Times New Roman;Times;serif"/>
          <w:sz w:val="24"/>
        </w:rPr>
        <w:t>shall not be subject to any fiduciary or other implied duties, regardless of whether a Default has occurred and is continuing;</w:t>
      </w:r>
    </w:p>
    <w:p>
      <w:pPr>
        <w:pStyle w:val="TextBody"/>
        <w:bidi w:val="0"/>
        <w:spacing w:before="0" w:after="240"/>
        <w:ind w:left="720" w:right="0" w:hanging="0"/>
        <w:jc w:val="both"/>
        <w:rPr/>
      </w:pPr>
      <w:r>
        <w:rPr/>
        <w:t>●</w:t>
      </w:r>
      <w:r>
        <w:rPr>
          <w:rFonts w:ascii="Times New Roman;Times;serif" w:hAnsi="Times New Roman;Times;serif"/>
          <w:sz w:val="24"/>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i/>
          <w:sz w:val="24"/>
        </w:rPr>
        <w:t>provided</w:t>
      </w:r>
      <w:r>
        <w:rPr>
          <w:rFonts w:ascii="Times New Roman;Times;serif" w:hAnsi="Times New Roman;Times;serif"/>
          <w:sz w:val="24"/>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pStyle w:val="TextBody"/>
        <w:bidi w:val="0"/>
        <w:spacing w:before="0" w:after="0"/>
        <w:ind w:left="720" w:right="0" w:hanging="0"/>
        <w:jc w:val="both"/>
        <w:rPr/>
      </w:pPr>
      <w:r>
        <w:rPr/>
        <w:t>●</w:t>
      </w:r>
      <w:r>
        <w:rPr>
          <w:rFonts w:ascii="Times New Roman;Times;serif" w:hAnsi="Times New Roman;Times;serif"/>
          <w:sz w:val="24"/>
        </w:rPr>
        <w:t>shall not, except as expressly set forth herein and in the other Loan Documents, have any duty or responsibility to disclose, and shall not be liable for the failure to disclose, any information relating to Borrower or any of its Affiliates or any Guarantor or any of their Affiliates that is communicated to or obtained by the Person serving as the Administrative Agent or any of its Affiliates in any capacity.</w:t>
      </w:r>
    </w:p>
    <w:p>
      <w:pPr>
        <w:pStyle w:val="TextBody"/>
        <w:bidi w:val="0"/>
        <w:spacing w:before="0" w:after="240"/>
        <w:ind w:left="0" w:right="0" w:hanging="0"/>
        <w:jc w:val="both"/>
        <w:rPr/>
      </w:pPr>
      <w:r>
        <w:rPr/>
        <w:t>●</w:t>
      </w:r>
      <w:r>
        <w:rPr>
          <w:rFonts w:ascii="Times New Roman;Times;serif" w:hAnsi="Times New Roman;Times;serif"/>
          <w:sz w:val="24"/>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9.5 and 12.13), or (ii) in the absence of its own gross negligence or willful misconduct as determined by a court of competent jurisdiction by final and nonappealable judgment.  Any such action taken or failure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to act pursuant to the foregoing shall be binding on all Lenders.  The Administrative Agent shall be deemed not to have knowledge of any Default unless and until notice describing such Default is given to the Administrative Agent in writing by the Borrower, a Lender.</w:t>
      </w:r>
    </w:p>
    <w:p>
      <w:pPr>
        <w:pStyle w:val="TextBody"/>
        <w:bidi w:val="0"/>
        <w:spacing w:before="0" w:after="0"/>
        <w:ind w:left="0" w:right="0" w:hanging="0"/>
        <w:jc w:val="both"/>
        <w:rPr/>
      </w:pPr>
      <w:r>
        <w:rPr/>
        <w:t>●</w:t>
      </w:r>
      <w:r>
        <w:rPr>
          <w:rFonts w:ascii="Times New Roman;Times;serif" w:hAnsi="Times New Roman;Times;serif"/>
          <w:sz w:val="24"/>
        </w:rPr>
        <w:t>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 elsewhere herein, other than to confirm receipt of items expressly required to be delivered to the Administrative Agent.</w:t>
      </w:r>
    </w:p>
    <w:p>
      <w:pPr>
        <w:pStyle w:val="TextBody"/>
        <w:bidi w:val="0"/>
        <w:spacing w:before="0" w:after="240"/>
        <w:ind w:left="0" w:right="0" w:hanging="0"/>
        <w:jc w:val="both"/>
        <w:rPr/>
      </w:pPr>
      <w:r>
        <w:rPr/>
        <w:t>●</w:t>
      </w:r>
      <w:bookmarkStart w:id="1750" w:name="_Toc115421335"/>
      <w:bookmarkEnd w:id="1750"/>
      <w:r>
        <w:rPr>
          <w:rFonts w:ascii="Times New Roman;Times;serif" w:hAnsi="Times New Roman;Times;serif"/>
          <w:sz w:val="24"/>
          <w:u w:val="single"/>
        </w:rPr>
        <w:t>Reliance by Administrative Agent</w:t>
      </w:r>
      <w:r>
        <w:rPr>
          <w:rFonts w:ascii="Times New Roman;Times;serif" w:hAnsi="Times New Roman;Times;serif"/>
          <w:sz w:val="24"/>
        </w:rPr>
        <w: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hanging="0"/>
        <w:jc w:val="both"/>
        <w:rPr/>
      </w:pPr>
      <w:r>
        <w:rPr/>
        <w:t>●</w:t>
      </w:r>
      <w:bookmarkStart w:id="1751" w:name="_Toc115421336"/>
      <w:bookmarkEnd w:id="1751"/>
      <w:r>
        <w:rPr>
          <w:rFonts w:ascii="Times New Roman;Times;serif" w:hAnsi="Times New Roman;Times;serif"/>
          <w:sz w:val="24"/>
          <w:u w:val="single"/>
        </w:rPr>
        <w:t>Delegation of Duties</w:t>
      </w:r>
      <w:r>
        <w:rPr>
          <w:rFonts w:ascii="Times New Roman;Times;serif" w:hAnsi="Times New Roman;Times;serif"/>
          <w:sz w:val="24"/>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240"/>
        <w:ind w:left="0" w:right="0" w:hanging="0"/>
        <w:jc w:val="both"/>
        <w:rPr/>
      </w:pPr>
      <w:r>
        <w:rPr/>
        <w:t>●</w:t>
      </w:r>
      <w:bookmarkStart w:id="1752" w:name="_Toc115421337"/>
      <w:bookmarkEnd w:id="1752"/>
      <w:r>
        <w:rPr>
          <w:rFonts w:ascii="Times New Roman;Times;serif" w:hAnsi="Times New Roman;Times;serif"/>
          <w:sz w:val="24"/>
          <w:u w:val="single"/>
        </w:rPr>
        <w:t>Resignation of Administrative Agent; Removal of Administrative Agent</w:t>
      </w:r>
      <w:r>
        <w:rPr>
          <w:rFonts w:ascii="Times New Roman;Times;serif" w:hAnsi="Times New Roman;Times;serif"/>
          <w:sz w:val="24"/>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The Administrative Agent may at any time give notice of its resignation to the Lenders, the L/C Issuer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Times;serif" w:hAnsi="Times New Roman;Times;serif"/>
          <w:i/>
          <w:sz w:val="24"/>
        </w:rPr>
        <w:t>Resignation Effective Date”</w:t>
      </w:r>
      <w:r>
        <w:rPr>
          <w:rFonts w:ascii="Times New Roman;Times;serif" w:hAnsi="Times New Roman;Times;serif"/>
          <w:sz w:val="24"/>
        </w:rPr>
        <w:t>), then the retiring Administrative Agent may (but shall not be obligated to), on behalf of the Lenders and the L/C Issuer, appoint a successor Administrative Agent meeting the qualifications set forth above.  Whether or not a successor has been appointed, such resignation or removal shall become effective in accordance with such notice on the Resignation Effective Date.</w:t>
      </w:r>
    </w:p>
    <w:p>
      <w:pPr>
        <w:pStyle w:val="TextBody"/>
        <w:bidi w:val="0"/>
        <w:spacing w:before="0" w:after="0"/>
        <w:ind w:left="0" w:right="0" w:hanging="0"/>
        <w:jc w:val="both"/>
        <w:rPr/>
      </w:pPr>
      <w:r>
        <w:rPr/>
        <w:t>●</w:t>
      </w:r>
      <w:r>
        <w:rPr>
          <w:rFonts w:ascii="Times New Roman;Times;serif" w:hAnsi="Times New Roman;Times;serif"/>
          <w:sz w:val="24"/>
        </w:rPr>
        <w:t>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L/C Issuer directly, until such time, if any, as the Required Lenders appoint a successor Administrative Agent as provided for above. If on the Resignation Effective Date no successor has been appointed and accepted such appointment, the Administrative Agent’s rights in the Collateral Documents shall be assigned without representation, recourse or warranty to the Lenders and L/C Issuer as their interests may appear.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ind w:left="0" w:right="0" w:hanging="0"/>
        <w:jc w:val="both"/>
        <w:rPr/>
      </w:pPr>
      <w:r>
        <w:rPr/>
        <w:t>●</w:t>
      </w:r>
      <w:bookmarkStart w:id="1753" w:name="_Toc115421338"/>
      <w:bookmarkEnd w:id="1753"/>
      <w:r>
        <w:rPr>
          <w:rFonts w:ascii="Times New Roman;Times;serif" w:hAnsi="Times New Roman;Times;serif"/>
          <w:sz w:val="24"/>
          <w:u w:val="single"/>
        </w:rPr>
        <w:t>Non-Reliance on Administrative Agent and Other Lenders</w:t>
      </w:r>
      <w:r>
        <w:rPr>
          <w:rFonts w:ascii="Times New Roman;Times;serif" w:hAnsi="Times New Roman;Times;serif"/>
          <w:sz w:val="24"/>
        </w:rPr>
        <w:t xml:space="preserve">.  Each Lender and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other Loan Document or any related agreement or any document furnished hereunder or thereunder.</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Upon a Lender’s written request, the Administrative Agent agrees to forward to such Lender, when complete, copies of any field audit, examination, or appraisal report prepared by or for the Administrative Agent with respect to the Borrower or any Material Subsidiary (herein, </w:t>
      </w:r>
      <w:r>
        <w:rPr>
          <w:rFonts w:ascii="Times New Roman;Times;serif" w:hAnsi="Times New Roman;Times;serif"/>
          <w:sz w:val="24"/>
        </w:rPr>
        <w:t>“</w:t>
      </w:r>
      <w:r>
        <w:rPr>
          <w:rFonts w:ascii="Times" w:hAnsi="Times"/>
          <w:i/>
          <w:sz w:val="24"/>
        </w:rPr>
        <w:t>Reports”</w:t>
      </w:r>
      <w:r>
        <w:rPr>
          <w:rFonts w:ascii="Times" w:hAnsi="Times"/>
          <w:sz w:val="24"/>
        </w:rPr>
        <w:t xml:space="preserve">).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 (e) without limiting the generality of </w:t>
      </w:r>
      <w:bookmarkStart w:id="1754" w:name="_Toc33604089"/>
      <w:bookmarkEnd w:id="1754"/>
      <w:r>
        <w:rPr>
          <w:rFonts w:ascii="Times" w:hAnsi="Times"/>
          <w:sz w:val="24"/>
        </w:rPr>
        <w:t>any other indemnification provision contained in this Agreement,</w:t>
      </w:r>
      <w:bookmarkStart w:id="1755" w:name="_Toc33603732"/>
      <w:bookmarkEnd w:id="1755"/>
      <w:r>
        <w:rPr>
          <w:rFonts w:ascii="Times New Roman;Times;serif" w:hAnsi="Times New Roman;Times;serif"/>
          <w:sz w:val="24"/>
        </w:rPr>
        <w:t xml:space="preserve"> </w:t>
      </w:r>
      <w:r>
        <w:rPr>
          <w:rFonts w:ascii="Times" w:hAnsi="Times"/>
          <w:sz w:val="24"/>
        </w:rPr>
        <w:t>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pStyle w:val="TextBody"/>
        <w:bidi w:val="0"/>
        <w:spacing w:before="0" w:after="240"/>
        <w:ind w:left="0" w:right="0" w:hanging="0"/>
        <w:jc w:val="both"/>
        <w:rPr/>
      </w:pPr>
      <w:r>
        <w:rPr/>
        <w:t>●</w:t>
      </w:r>
      <w:bookmarkStart w:id="1756" w:name="_Toc115421339"/>
      <w:bookmarkEnd w:id="1756"/>
      <w:r>
        <w:rPr>
          <w:rFonts w:ascii="Times New Roman;Times;serif" w:hAnsi="Times New Roman;Times;serif"/>
          <w:sz w:val="24"/>
          <w:u w:val="single"/>
        </w:rPr>
        <w:t>L/C Issuer and Swing Line Lender</w:t>
      </w:r>
      <w:r>
        <w:rPr>
          <w:rFonts w:ascii="Times New Roman;Times;serif" w:hAnsi="Times New Roman;Times;serif"/>
          <w:sz w:val="24"/>
        </w:rPr>
        <w:t xml:space="preserve">.  The L/C Issuer shall act on behalf of the Revolving Lenders with respect to any Letters of Credit issued by it and the documents associated therewith, and the Swing Line Lender shall act on behalf of the Revolving Lenders with respect to the Swing Line Loans made hereunder.  The L/C Issuer and the Swing Line Lender shall each have all of the benefits and immunities (i) provided to the Administrative Agent in this Section 11 with respect to any acts taken or omissions suffered by the L/C Issuer in connection with Letters of Credit issued by it or proposed to be issued by it and the Applications pertaining to such Letters of Credit or by the Swing Line Lender in connection with Swing Line Loans made or to be made hereunder as fully as if the term “Administrative Agent”, as used in this Section 11, included the L/C Issuer and the Swing Line Lender with respect to such acts or omissions and (ii) as additionally provided in this Agreement with respect to such L/C Issuer or Swing Line Lender, as applicable.  Any resignation by the Person then acting as Administrative Agent pursuant to Section 11.6 shall also constitute its resignation or the resignation of its Affiliate as L/C Issuer and Swing Line Lender except as it may otherwise agree.  If such Person then acting as L/C Issuer so resigns,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Loans or fund risk participations in Reimbursement Obligations pursuant to Section 1.3.  If such Person then acting as Swing Line Lender resigns, it shall retain all the rights of the Swing Line Lender provided for hereunder with respect to Swing Line Loans made by it and outstanding as of the effective date of such resignation, including the right to require the Revolving Lenders to make Revolving Loans or fund risk participations in outstanding Swing Line Loans pursuant to Section 1.3(b).  Upon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(other than any rights to indemnity payments or other amounts that remain owing to the retiring L/C Issuer or Swing Line Lender), and (ii) the retiring L/C Issuer and Swing Line Lender shall be discharged from all of their respective duties and obligations hereunder or under the other Loan Documents other than with respect to its outstanding Letters of Credit and Swing Line Loans, and (iii) upon the request of the resigning L/C Issuer,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pStyle w:val="TextBody"/>
        <w:bidi w:val="0"/>
        <w:spacing w:before="0" w:after="240"/>
        <w:ind w:left="0" w:right="0" w:hanging="0"/>
        <w:jc w:val="both"/>
        <w:rPr/>
      </w:pPr>
      <w:r>
        <w:rPr/>
        <w:t>●</w:t>
      </w:r>
      <w:bookmarkStart w:id="1757" w:name="_Toc115421340"/>
      <w:bookmarkEnd w:id="1757"/>
      <w:r>
        <w:rPr>
          <w:rFonts w:ascii="Times New Roman;Times;serif" w:hAnsi="Times New Roman;Times;serif"/>
          <w:sz w:val="24"/>
          <w:u w:val="single"/>
        </w:rPr>
        <w:t>Hedging Liability and Funds Transfer and Deposit Account Liability</w:t>
      </w:r>
      <w:r>
        <w:rPr>
          <w:rFonts w:ascii="Times New Roman;Times;serif" w:hAnsi="Times New Roman;Times;serif"/>
          <w:sz w:val="24"/>
        </w:rPr>
        <w:t>.  By virtue of a Lender’s execution of this Agreement or an assignment agreement pursuant to Section 12.10, as the case may be, any Affiliate of such Lender (including any Qualifying 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3.1.  In connection with any such distribution of payments and collections, or any request for the release of the Guaranties and the Administrative Agent’s Liens in connection with the termination of the Revolving Credit Commitments, Term Loan Commitments and Incremental Term Loan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  For the avoidance of doubt, all references in this Section 11.9 to any Lender or Affiliate of a Lender shall include or be deemed to include each Qualifying Counterparty, even if such Qualifying Counterparty or any Person affiliated with such Qualifying Counterparty shall cease to be a Lender hereunder, such that any such Qualifying Counterparty shall continue to be entitled to all of the rights and benefits otherwise afforded to such Qualifying Counterparty hereunder (including without limitation the Guaranties provided under Section 13).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1758" w:name="_Toc115421341"/>
      <w:bookmarkEnd w:id="1758"/>
      <w:r>
        <w:rPr>
          <w:rFonts w:ascii="Times New Roman;Times;serif" w:hAnsi="Times New Roman;Times;serif"/>
          <w:sz w:val="24"/>
          <w:u w:val="single"/>
        </w:rPr>
        <w:t>Designation of Additional Agents</w:t>
      </w:r>
      <w:r>
        <w:rPr>
          <w:rFonts w:ascii="Times New Roman;Times;serif" w:hAnsi="Times New Roman;Times;serif"/>
          <w:sz w:val="24"/>
        </w:rPr>
        <w:t>.  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pStyle w:val="TextBody"/>
        <w:bidi w:val="0"/>
        <w:spacing w:before="0" w:after="240"/>
        <w:ind w:left="0" w:right="0" w:hanging="0"/>
        <w:jc w:val="both"/>
        <w:rPr/>
      </w:pPr>
      <w:r>
        <w:rPr/>
        <w:t>●</w:t>
      </w:r>
      <w:bookmarkStart w:id="1759" w:name="_Toc115421342"/>
      <w:bookmarkEnd w:id="1759"/>
      <w:r>
        <w:rPr>
          <w:rFonts w:ascii="Times New Roman;Times;serif" w:hAnsi="Times New Roman;Times;serif"/>
          <w:sz w:val="24"/>
          <w:u w:val="single"/>
        </w:rPr>
        <w:t>Reserved</w:t>
      </w:r>
      <w:r>
        <w:rPr>
          <w:rFonts w:ascii="Times New Roman;Times;serif" w:hAnsi="Times New Roman;Times;serif"/>
          <w:sz w:val="24"/>
        </w:rPr>
        <w:t>.  </w:t>
      </w:r>
    </w:p>
    <w:p>
      <w:pPr>
        <w:pStyle w:val="TextBody"/>
        <w:bidi w:val="0"/>
        <w:spacing w:before="0" w:after="240"/>
        <w:ind w:left="0" w:right="0" w:hanging="0"/>
        <w:jc w:val="both"/>
        <w:rPr/>
      </w:pPr>
      <w:r>
        <w:rPr/>
        <w:t>●</w:t>
      </w:r>
      <w:bookmarkStart w:id="1760" w:name="_Toc115421343"/>
      <w:bookmarkEnd w:id="1760"/>
      <w:r>
        <w:rPr>
          <w:rFonts w:ascii="Times New Roman;Times;serif" w:hAnsi="Times New Roman;Times;serif"/>
          <w:sz w:val="24"/>
          <w:u w:val="single"/>
        </w:rPr>
        <w:t>Authorization to Release Guaranties</w:t>
      </w:r>
      <w:r>
        <w:rPr>
          <w:rFonts w:ascii="Times New Roman;Times;serif" w:hAnsi="Times New Roman;Times;serif"/>
          <w:i/>
          <w:sz w:val="24"/>
        </w:rPr>
        <w:t>.</w:t>
      </w:r>
      <w:r>
        <w:rPr>
          <w:rFonts w:ascii="Times New Roman;Times;serif" w:hAnsi="Times New Roman;Times;serif"/>
          <w:sz w:val="24"/>
        </w:rPr>
        <w:t xml:space="preserve">  The Administrative Agent is hereby 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pStyle w:val="TextBody"/>
        <w:bidi w:val="0"/>
        <w:spacing w:before="0" w:after="240"/>
        <w:ind w:left="0" w:right="0" w:hanging="0"/>
        <w:jc w:val="both"/>
        <w:rPr/>
      </w:pPr>
      <w:r>
        <w:rPr/>
        <w:t>●</w:t>
      </w:r>
      <w:bookmarkStart w:id="1761" w:name="_Toc115421344"/>
      <w:bookmarkEnd w:id="1761"/>
      <w:r>
        <w:rPr>
          <w:rFonts w:ascii="Times New Roman;Times;serif" w:hAnsi="Times New Roman;Times;serif"/>
          <w:sz w:val="24"/>
          <w:u w:val="single"/>
        </w:rPr>
        <w:t>Authorization of Administrative Agent to File Proofs of Claim</w:t>
      </w:r>
      <w:r>
        <w:rPr>
          <w:rFonts w:ascii="Times New Roman;Times;serif" w:hAnsi="Times New Roman;Times;serif"/>
          <w:i/>
          <w:sz w:val="24"/>
        </w:rPr>
        <w:t>.  </w:t>
      </w:r>
      <w:r>
        <w:rPr>
          <w:rFonts w:ascii="Times New Roman;Times;serif" w:hAnsi="Times New Roman;Times;serif"/>
          <w:sz w:val="24"/>
        </w:rPr>
        <w:t>In case of the pendency of any proceeding under any Debtor Relief Law or any other judicial proceeding relative to Borrower or any Guarantor,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240"/>
        <w:ind w:left="0" w:right="0" w:hanging="0"/>
        <w:jc w:val="both"/>
        <w:rPr/>
      </w:pPr>
      <w:r>
        <w:rPr/>
        <w:t>●</w:t>
      </w:r>
      <w:r>
        <w:rPr>
          <w:rFonts w:ascii="Times New Roman;Times;serif" w:hAnsi="Times New Roman;Times;serif"/>
          <w:sz w:val="24"/>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the Loan Documents including, but not limited to, Sections 1.1, 10.3, 1.11, and 12.15) allowed in such judicial proceeding; and</w:t>
      </w:r>
    </w:p>
    <w:p>
      <w:pPr>
        <w:pStyle w:val="TextBody"/>
        <w:bidi w:val="0"/>
        <w:ind w:left="0" w:right="0" w:hanging="0"/>
        <w:jc w:val="both"/>
        <w:rPr/>
      </w:pPr>
      <w:r>
        <w:rPr/>
        <w:t>●</w:t>
      </w:r>
      <w:r>
        <w:rPr>
          <w:rFonts w:ascii="Times New Roman;Times;serif" w:hAnsi="Times New Roman;Times;serif"/>
          <w:sz w:val="24"/>
        </w:rPr>
        <w:t>to collect and receive any monies or other property payable or deliverable on any such claims and to distribute the same;</w:t>
      </w:r>
    </w:p>
    <w:p>
      <w:pPr>
        <w:pStyle w:val="TextBody"/>
        <w:bidi w:val="0"/>
        <w:spacing w:before="200" w:after="0"/>
        <w:ind w:left="0" w:right="0" w:hanging="0"/>
        <w:jc w:val="both"/>
        <w:rPr>
          <w:rFonts w:ascii="Times" w:hAnsi="Times"/>
          <w:sz w:val="24"/>
        </w:rPr>
      </w:pPr>
      <w:r>
        <w:rPr>
          <w:rFonts w:ascii="Times" w:hAnsi="Times"/>
          <w:sz w:val="24"/>
        </w:rPr>
        <w:t xml:space="preserve">and any custodian, receiver,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Administrative Agent to vote in respect of the claim of any Lender or L/C Issuer in any such proceeding.</w:t>
      </w:r>
    </w:p>
    <w:p>
      <w:pPr>
        <w:pStyle w:val="TextBody"/>
        <w:bidi w:val="0"/>
        <w:spacing w:before="0" w:after="240"/>
        <w:ind w:left="720" w:right="0" w:hanging="0"/>
        <w:jc w:val="both"/>
        <w:rPr/>
      </w:pPr>
      <w:r>
        <w:rPr>
          <w:caps/>
        </w:rPr>
        <w:t>●</w:t>
      </w:r>
      <w:bookmarkStart w:id="1762" w:name="_Toc115421345"/>
      <w:bookmarkEnd w:id="1762"/>
      <w:r>
        <w:rPr>
          <w:rFonts w:ascii="Times New Roman;Times;serif" w:hAnsi="Times New Roman;Times;serif"/>
          <w:caps/>
          <w:sz w:val="24"/>
        </w:rPr>
        <w:t>Miscellaneous.</w:t>
      </w:r>
    </w:p>
    <w:p>
      <w:pPr>
        <w:pStyle w:val="TextBody"/>
        <w:bidi w:val="0"/>
        <w:spacing w:before="0" w:after="240"/>
        <w:ind w:left="0" w:right="0" w:hanging="0"/>
        <w:jc w:val="both"/>
        <w:rPr/>
      </w:pPr>
      <w:r>
        <w:rPr/>
        <w:t>●</w:t>
      </w:r>
      <w:bookmarkStart w:id="1763" w:name="_Toc115421346"/>
      <w:bookmarkEnd w:id="1763"/>
      <w:r>
        <w:rPr>
          <w:rFonts w:ascii="Times New Roman;Times;serif" w:hAnsi="Times New Roman;Times;serif"/>
          <w:sz w:val="24"/>
          <w:u w:val="single"/>
        </w:rPr>
        <w:t>Withholding Taxes</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u w:val="single"/>
        </w:rPr>
        <w:t>Payments Free of Withholding</w:t>
      </w:r>
      <w:r>
        <w:rPr>
          <w:rFonts w:ascii="Times New Roman;Times;serif" w:hAnsi="Times New Roman;Times;serif"/>
          <w:sz w:val="24"/>
        </w:rPr>
        <w:t>.  Except as otherwise 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the L/C Issuer, and the Administrative Agent free and clear of such taxes (including such taxes on such additional amount) is equal to the amount which that Lender, L/C Issuer, or the Administrative Agent (as the case may be) would have received had such withholding not been made.  If the Administrative Agent, the L/C Issuer, or any Lender pays any amount in respect of any such taxes, penalties or interest, the Borrower or such Guarantor shall reimburse the Administrative Agent, the L/C Issuer or such Lender for that payment on demand in the currency in which such payment was made.</w:t>
      </w:r>
    </w:p>
    <w:p>
      <w:pPr>
        <w:pStyle w:val="TextBody"/>
        <w:bidi w:val="0"/>
        <w:spacing w:before="0" w:after="240"/>
        <w:ind w:left="0" w:right="0" w:hanging="0"/>
        <w:jc w:val="both"/>
        <w:rPr/>
      </w:pPr>
      <w:r>
        <w:rPr/>
        <w:t>●</w:t>
      </w:r>
      <w:r>
        <w:rPr>
          <w:rFonts w:ascii="Times New Roman;Times;serif" w:hAnsi="Times New Roman;Times;serif"/>
          <w:sz w:val="24"/>
          <w:u w:val="single"/>
        </w:rPr>
        <w:t>U.S. Withholding Tax Exemptions</w:t>
      </w:r>
      <w:r>
        <w:rPr>
          <w:rFonts w:ascii="Times New Roman;Times;serif" w:hAnsi="Times New Roman;Times;serif"/>
          <w:sz w:val="24"/>
        </w:rPr>
        <w:t xml:space="preserve">.  Each Lender or L/C Issuer that is not a United States person (as such term is defined in Section 7701(a)(30) of the Code) shall submit to the Borrower and the Administrative Agent on or before the date the initial Credit Event is made hereunder or, if later, the date such financial institution becomes a Lender or L/C Issuer hereunder, two duly completed and signed copies of (i) either Form W 8 BEN-E (relating to such Lender or L/C Issuer and entitling it to a complete exemption from withholding under the Code on all amounts to be received by such Lender or L/C Issuer, including fees, pursuant to the Loan Documents and the Obligations) or Form W 8 ECI (relating to all amounts to be received by such Lender or L/C Issuer,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 8 BEN-E, or any successor form prescribed by the Internal Revenue Service, and a certificate representing that such Lender is not a bank for purposes of Section 881(c) of the Code, is not a 10 percent shareholder (within the meaning of Section 871(h)(3)(B) of the Code) of the Borrower and is not a controlled foreign corporation related to the Borrower (within the meaning of Section 864(d)(4) of the Code).  Thereafter and from time to time, each Lender and L/C Issuer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or L/C Issuer and (ii) required under then current United States law or regulations to avoid or reduce United States withholding taxes on payments in respect of all amounts to be received by such Lender or L/C Issuer, including fees, pursuant to the Loan Documents or the Obligations.  Upon the request of the Borrower or the Administrative Agent, each Lender and L/C Issuer that is a United States person (as such term is defined in Section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7701(a)(30) of the Code) shall submit to the Borrower and the Administrative Agent a certificate to the effect that it is such a United States person.</w:t>
      </w:r>
    </w:p>
    <w:p>
      <w:pPr>
        <w:pStyle w:val="TextBody"/>
        <w:bidi w:val="0"/>
        <w:spacing w:before="0" w:after="240"/>
        <w:ind w:left="0" w:right="0" w:hanging="0"/>
        <w:jc w:val="both"/>
        <w:rPr/>
      </w:pPr>
      <w:r>
        <w:rPr/>
        <w:t>●</w:t>
      </w:r>
      <w:r>
        <w:rPr>
          <w:rFonts w:ascii="Times New Roman;Times;serif" w:hAnsi="Times New Roman;Times;serif"/>
          <w:sz w:val="24"/>
          <w:u w:val="single"/>
        </w:rPr>
        <w:t>Inability of Lender to Submit Forms</w:t>
      </w:r>
      <w:r>
        <w:rPr>
          <w:rFonts w:ascii="Times New Roman;Times;serif" w:hAnsi="Times New Roman;Times;serif"/>
          <w:sz w:val="24"/>
        </w:rPr>
        <w:t>.  If any Lender or L/C Issuer determines, as a result of any change in applicable law, regulation or treaty, or in any official application or interpretation thereof, that it is unable to submit to the Borrower or the Administrative Agent any form or certificate that such Lender or L/C Issuer is obligated to submit pursuant to subsection (b) of this Section 12.1 or that such Lender or L/C Issuer is required to withdraw or cancel any such form or certificate previously submitted or any such form or certificate otherwise becomes ineffective or inaccurate, such Lender or L/C Issuer shall promptly notify the Borrower and Administrative Agent of such fact and the Lender or L/C Issuer shall to that extent not be obligated to provide any such form or certificate and will be entitled to withdraw or cancel any affected form or certificate, as applicable.</w:t>
      </w:r>
    </w:p>
    <w:p>
      <w:pPr>
        <w:pStyle w:val="TextBody"/>
        <w:bidi w:val="0"/>
        <w:spacing w:before="0" w:after="240"/>
        <w:ind w:left="0" w:right="0" w:hanging="0"/>
        <w:jc w:val="both"/>
        <w:rPr/>
      </w:pPr>
      <w:r>
        <w:rPr/>
        <w:t>●</w:t>
      </w:r>
      <w:r>
        <w:rPr>
          <w:rFonts w:ascii="Times New Roman;Times;serif" w:hAnsi="Times New Roman;Times;serif"/>
          <w:sz w:val="24"/>
          <w:u w:val="single"/>
        </w:rPr>
        <w:t>Compliance with FATCA</w:t>
      </w:r>
      <w:r>
        <w:rPr>
          <w:rFonts w:ascii="Times New Roman;Times;serif" w:hAnsi="Times New Roman;Times;serif"/>
          <w:i/>
          <w:sz w:val="24"/>
        </w:rPr>
        <w:t>.</w:t>
      </w:r>
      <w:r>
        <w:rPr>
          <w:rFonts w:ascii="Times New Roman;Times;serif" w:hAnsi="Times New Roman;Times;serif"/>
          <w:sz w:val="24"/>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Times;serif" w:hAnsi="Times New Roman;Times;serif"/>
          <w:i/>
          <w:sz w:val="24"/>
        </w:rPr>
        <w:t>FATCA”</w:t>
      </w:r>
      <w:r>
        <w:rPr>
          <w:rFonts w:ascii="Times New Roman;Times;serif" w:hAnsi="Times New Roman;Times;serif"/>
          <w:sz w:val="24"/>
        </w:rPr>
        <w:t xml:space="preserve"> shall include any amendments made to FATCA after the date of this Agreement.</w:t>
      </w:r>
    </w:p>
    <w:p>
      <w:pPr>
        <w:pStyle w:val="TextBody"/>
        <w:bidi w:val="0"/>
        <w:spacing w:before="0" w:after="240"/>
        <w:ind w:left="0" w:right="0" w:hanging="0"/>
        <w:jc w:val="both"/>
        <w:rPr/>
      </w:pPr>
      <w:r>
        <w:rPr/>
        <w:t>●</w:t>
      </w:r>
      <w:r>
        <w:rPr>
          <w:rFonts w:ascii="Times New Roman;Times;serif" w:hAnsi="Times New Roman;Times;serif"/>
          <w:sz w:val="24"/>
          <w:u w:val="single"/>
        </w:rPr>
        <w:t>Indemnification by the Lenders.</w:t>
      </w:r>
      <w:r>
        <w:rPr>
          <w:rFonts w:ascii="Times New Roman;Times;serif" w:hAnsi="Times New Roman;Times;serif"/>
          <w:sz w:val="24"/>
        </w:rPr>
        <w:t xml:space="preserve"> Each Lender shall severally indemnify the 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pStyle w:val="TextBody"/>
        <w:bidi w:val="0"/>
        <w:spacing w:before="0" w:after="240"/>
        <w:ind w:left="0" w:right="0" w:hanging="0"/>
        <w:jc w:val="both"/>
        <w:rPr/>
      </w:pPr>
      <w:r>
        <w:rPr/>
        <w:t>●</w:t>
      </w:r>
      <w:r>
        <w:rPr>
          <w:rFonts w:ascii="Times New Roman;Times;serif" w:hAnsi="Times New Roman;Times;serif"/>
          <w:sz w:val="24"/>
          <w:u w:val="single"/>
        </w:rPr>
        <w:t>Treatment of Certain Refunds</w:t>
      </w:r>
      <w:r>
        <w:rPr>
          <w:rFonts w:ascii="Times New Roman;Times;serif" w:hAnsi="Times New Roman;Times;serif"/>
          <w:sz w:val="24"/>
        </w:rPr>
        <w:t xml:space="preserve">.  If any Lender or L/C Issuer determines, in its sole discretion exercised in good faith, that it has received a refund in respect of any taxes as to which indemnification or additional amounts have been paid to it by the Borrower or a Guarantor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pursuant to this Section 12.1, it shall pay to the indemnifying party an amount equal to such refund (but only to the extent of indemnity payments made under this Section with respect to the taxes giving rise to such refund), net of all out of pocket expenses of such Lender or L/C Issuer and without interest (other than any interest paid by the relevant Governmental Authority with respect to such refund); provided that the Borrower or such Guarantor, upon the request of such Lender or L/C Issuer, agrees to promptly repay the amount paid over with respect to such refund (plus any penalties, interest or other charges imposed by the relevant Governmental Authority) to such Lender or L/C Issuer in the event such Lender or L/C Issuer is required to repay such refund to the relevant Governmental Authority.  Nothing herein contained shall interfere with the right of a Lender or L/C Issuer to arrange its tax affairs in whatever manner it thinks fit nor oblige any Lender or L/C Issuer to claim any tax refund or to make available its tax returns or disclose any information relating to its tax affairs or any computations in respect thereof or any other confidential information or require any Lender or L/C Issuer to do anything that would prejudice its ability to benefit from any other refunds, credits, reliefs, remissions or repayments to which it may be entitled.</w:t>
      </w:r>
    </w:p>
    <w:p>
      <w:pPr>
        <w:pStyle w:val="TextBody"/>
        <w:bidi w:val="0"/>
        <w:spacing w:before="0" w:after="0"/>
        <w:ind w:left="0" w:right="0" w:hanging="0"/>
        <w:jc w:val="both"/>
        <w:rPr/>
      </w:pPr>
      <w:r>
        <w:rPr/>
        <w:t>●</w:t>
      </w:r>
      <w:r>
        <w:rPr>
          <w:rFonts w:ascii="Times New Roman;Times;serif" w:hAnsi="Times New Roman;Times;serif"/>
          <w:sz w:val="24"/>
          <w:u w:val="single"/>
        </w:rPr>
        <w:t>Evidence of Payments</w:t>
      </w:r>
      <w:r>
        <w:rPr>
          <w:rFonts w:ascii="Times New Roman;Times;serif" w:hAnsi="Times New Roman;Times;serif"/>
          <w:i/>
          <w:sz w:val="24"/>
        </w:rPr>
        <w:t>.</w:t>
      </w:r>
      <w:r>
        <w:rPr>
          <w:rFonts w:ascii="Times New Roman;Times;serif" w:hAnsi="Times New Roman;Times;serif"/>
          <w:sz w:val="24"/>
        </w:rPr>
        <w:t xml:space="preserve">  As soon as practicable after any payment of Taxes by the Borrower or a Guarantor to a Governmental Authority pursuant to this Section, </w:t>
      </w:r>
      <w:r>
        <w:rPr>
          <w:rFonts w:ascii="Cambria" w:hAnsi="Cambria"/>
          <w:sz w:val="24"/>
        </w:rPr>
        <w:t xml:space="preserve">the Borrower or such Guarantor </w:t>
      </w:r>
      <w:r>
        <w:rPr>
          <w:rFonts w:ascii="Times New Roman;Times;serif" w:hAnsi="Times New Roman;Times;serif"/>
          <w:sz w:val="24"/>
        </w:rPr>
        <w:t>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0" w:right="0" w:hanging="0"/>
        <w:jc w:val="both"/>
        <w:rPr/>
      </w:pPr>
      <w:r>
        <w:rPr/>
        <w:t>●</w:t>
      </w:r>
      <w:bookmarkStart w:id="1764" w:name="_Toc115421347"/>
      <w:bookmarkEnd w:id="1764"/>
      <w:r>
        <w:rPr>
          <w:rFonts w:ascii="Times New Roman;Times;serif" w:hAnsi="Times New Roman;Times;serif"/>
          <w:sz w:val="24"/>
          <w:u w:val="single"/>
        </w:rPr>
        <w:t>No Waiver, Cumulative Remedies</w:t>
      </w:r>
      <w:r>
        <w:rPr>
          <w:rFonts w:ascii="Times New Roman;Times;serif" w:hAnsi="Times New Roman;Times;serif"/>
          <w:i/>
          <w:sz w:val="24"/>
        </w:rPr>
        <w:t>.</w:t>
      </w:r>
      <w:r>
        <w:rPr>
          <w:rFonts w:ascii="Times New Roman;Times;serif" w:hAnsi="Times New Roman;Times;serif"/>
          <w:sz w:val="24"/>
        </w:rPr>
        <w:t xml:space="preserve">  No delay or failure on the part of the Administrative Agent, the L/C Issuer,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L/C Issuer, the Lenders, and of the holder or holders of any of the Obligations are cumulative to, and not exclusive of, any rights or remedies which any of them would otherwise have.</w:t>
      </w:r>
    </w:p>
    <w:p>
      <w:pPr>
        <w:pStyle w:val="TextBody"/>
        <w:bidi w:val="0"/>
        <w:spacing w:before="0" w:after="240"/>
        <w:ind w:left="0" w:right="0" w:hanging="0"/>
        <w:jc w:val="both"/>
        <w:rPr/>
      </w:pPr>
      <w:r>
        <w:rPr/>
        <w:t>●</w:t>
      </w:r>
      <w:bookmarkStart w:id="1765" w:name="_Toc115421348"/>
      <w:bookmarkEnd w:id="1765"/>
      <w:r>
        <w:rPr>
          <w:rFonts w:ascii="Times New Roman;Times;serif" w:hAnsi="Times New Roman;Times;serif"/>
          <w:sz w:val="24"/>
          <w:u w:val="single"/>
        </w:rPr>
        <w:t>Non-Business Days</w:t>
      </w:r>
      <w:r>
        <w:rPr>
          <w:rFonts w:ascii="Times New Roman;Times;serif" w:hAnsi="Times New Roman;Times;serif"/>
          <w:i/>
          <w:sz w:val="24"/>
        </w:rPr>
        <w:t>.</w:t>
      </w:r>
      <w:r>
        <w:rPr>
          <w:rFonts w:ascii="Times New Roman;Times;serif" w:hAnsi="Times New Roman;Times;serif"/>
          <w:sz w:val="24"/>
        </w:rPr>
        <w:t xml:space="preserve">  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pStyle w:val="TextBody"/>
        <w:bidi w:val="0"/>
        <w:spacing w:before="0" w:after="240"/>
        <w:ind w:left="0" w:right="0" w:hanging="0"/>
        <w:jc w:val="both"/>
        <w:rPr/>
      </w:pPr>
      <w:r>
        <w:rPr/>
        <w:t>●</w:t>
      </w:r>
      <w:bookmarkStart w:id="1766" w:name="_Toc115421349"/>
      <w:bookmarkEnd w:id="1766"/>
      <w:r>
        <w:rPr>
          <w:rFonts w:ascii="Times New Roman;Times;serif" w:hAnsi="Times New Roman;Times;serif"/>
          <w:sz w:val="24"/>
          <w:u w:val="single"/>
        </w:rPr>
        <w:t>Documentary Taxes</w:t>
      </w:r>
      <w:r>
        <w:rPr>
          <w:rFonts w:ascii="Times New Roman;Times;serif" w:hAnsi="Times New Roman;Times;serif"/>
          <w:i/>
          <w:sz w:val="24"/>
        </w:rPr>
        <w:t>.</w:t>
      </w:r>
      <w:r>
        <w:rPr>
          <w:rFonts w:ascii="Times New Roman;Times;serif" w:hAnsi="Times New Roman;Times;serif"/>
          <w:sz w:val="24"/>
        </w:rPr>
        <w:t xml:space="preserve">  The Borrower agrees to pay on demand any U.S.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240"/>
        <w:ind w:left="0" w:right="0" w:hanging="0"/>
        <w:jc w:val="both"/>
        <w:rPr/>
      </w:pPr>
      <w:r>
        <w:rPr/>
        <w:t>●</w:t>
      </w:r>
      <w:bookmarkStart w:id="1767" w:name="_Toc115421350"/>
      <w:bookmarkEnd w:id="1767"/>
      <w:r>
        <w:rPr>
          <w:rFonts w:ascii="Times New Roman;Times;serif" w:hAnsi="Times New Roman;Times;serif"/>
          <w:sz w:val="24"/>
          <w:u w:val="single"/>
        </w:rPr>
        <w:t>Survival of Representations</w:t>
      </w:r>
      <w:r>
        <w:rPr>
          <w:rFonts w:ascii="Times New Roman;Times;serif" w:hAnsi="Times New Roman;Times;serif"/>
          <w:i/>
          <w:sz w:val="24"/>
        </w:rPr>
        <w:t xml:space="preserve">. </w:t>
      </w:r>
      <w:r>
        <w:rPr>
          <w:rFonts w:ascii="Times New Roman;Times;serif" w:hAnsi="Times New Roman;Times;serif"/>
          <w:sz w:val="24"/>
        </w:rPr>
        <w:t xml:space="preserve">All representations and warranties made herein or in any other Loan Document or in certificates given pursuant hereto or thereto shall survive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execution and delivery of this Agreement and the other Loan Documents, and shall continue in full force and effect with respect to the date as of which they were made as long as any credit is in use or available hereunder.</w:t>
      </w:r>
    </w:p>
    <w:p>
      <w:pPr>
        <w:pStyle w:val="TextBody"/>
        <w:bidi w:val="0"/>
        <w:spacing w:before="0" w:after="240"/>
        <w:ind w:left="0" w:right="0" w:hanging="0"/>
        <w:jc w:val="both"/>
        <w:rPr/>
      </w:pPr>
      <w:r>
        <w:rPr/>
        <w:t>●</w:t>
      </w:r>
      <w:bookmarkStart w:id="1768" w:name="_Toc115421351"/>
      <w:bookmarkEnd w:id="1768"/>
      <w:r>
        <w:rPr>
          <w:rFonts w:ascii="Times New Roman;Times;serif" w:hAnsi="Times New Roman;Times;serif"/>
          <w:sz w:val="24"/>
          <w:u w:val="single"/>
        </w:rPr>
        <w:t>Survival of Indemnities</w:t>
      </w:r>
      <w:r>
        <w:rPr>
          <w:rFonts w:ascii="Times New Roman;Times;serif" w:hAnsi="Times New Roman;Times;serif"/>
          <w:i/>
          <w:sz w:val="24"/>
        </w:rPr>
        <w:t>.</w:t>
      </w:r>
      <w:r>
        <w:rPr>
          <w:rFonts w:ascii="Times New Roman;Times;serif" w:hAnsi="Times New Roman;Times;serif"/>
          <w:sz w:val="24"/>
        </w:rPr>
        <w:t xml:space="preserve">  All indemnities and other provisions relative to reimbursement to the Lenders and L/C Issuer of amounts sufficient to protect the yield of the Lenders and L/C Issuer with respect to the Revolving Loans and Letters of Credit, including, but not limited to, Sections 1.11, 10.3, and 12.15 hereof, shall (subject to Section 10.3(c) hereof) survive the termination of this Agreement and the other Loan Documents and the payment of the Obligations.</w:t>
      </w:r>
    </w:p>
    <w:p>
      <w:pPr>
        <w:pStyle w:val="TextBody"/>
        <w:bidi w:val="0"/>
        <w:spacing w:before="0" w:after="240"/>
        <w:ind w:left="0" w:right="0" w:hanging="0"/>
        <w:jc w:val="both"/>
        <w:rPr/>
      </w:pPr>
      <w:r>
        <w:rPr/>
        <w:t>●</w:t>
      </w:r>
      <w:bookmarkStart w:id="1769" w:name="_Toc115421352"/>
      <w:bookmarkStart w:id="1770" w:name="_Ref83736062"/>
      <w:bookmarkEnd w:id="1769"/>
      <w:bookmarkEnd w:id="1770"/>
      <w:r>
        <w:rPr>
          <w:rFonts w:ascii="Times New Roman;Times;serif" w:hAnsi="Times New Roman;Times;serif"/>
          <w:sz w:val="24"/>
          <w:u w:val="single"/>
        </w:rPr>
        <w:t>Sharing of Set-Off</w:t>
      </w:r>
      <w:r>
        <w:rPr>
          <w:rFonts w:ascii="Times New Roman;Times;serif" w:hAnsi="Times New Roman;Times;serif"/>
          <w:i/>
          <w:sz w:val="24"/>
        </w:rPr>
        <w:t xml:space="preserve">. </w:t>
      </w:r>
      <w:r>
        <w:rPr>
          <w:rFonts w:ascii="Times New Roman;Times;serif" w:hAnsi="Times New Roman;Times;serif"/>
          <w:sz w:val="24"/>
        </w:rPr>
        <w:t>Each Lender agrees with each other Lender a party hereto that if such Lender shall receive and retain any payment, whether by set off or application of deposit balances or otherwise, on any of the Loans or Reimbursement Obligations in excess of its 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provided, however,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12.7, amounts owed to or recovered by the L/C Issuer in connection with Reimbursement Obligations in which Lenders have been required to fund their participation shall be treated as amounts owed to or recovered by the L/C Issuer as a Lender hereunder.</w:t>
      </w:r>
    </w:p>
    <w:p>
      <w:pPr>
        <w:pStyle w:val="TextBody"/>
        <w:bidi w:val="0"/>
        <w:spacing w:before="0" w:after="0"/>
        <w:ind w:left="0" w:right="0" w:hanging="0"/>
        <w:jc w:val="both"/>
        <w:rPr/>
      </w:pPr>
      <w:r>
        <w:rPr/>
        <w:t>●</w:t>
      </w:r>
      <w:bookmarkStart w:id="1771" w:name="_Toc115421353"/>
      <w:bookmarkEnd w:id="1771"/>
      <w:r>
        <w:rPr>
          <w:rFonts w:ascii="Times New Roman;Times;serif" w:hAnsi="Times New Roman;Times;serif"/>
          <w:sz w:val="24"/>
          <w:u w:val="single"/>
        </w:rPr>
        <w:t>Notices</w:t>
      </w:r>
      <w:r>
        <w:rPr>
          <w:rFonts w:ascii="Times New Roman;Times;serif" w:hAnsi="Times New Roman;Times;serif"/>
          <w:sz w:val="24"/>
        </w:rPr>
        <w:t>.  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or L/C Issuer shall be addressed to its respective address or telecopier number set forth below:</w:t>
      </w:r>
    </w:p>
    <w:tbl>
      <w:tblPr>
        <w:tblW w:w="10205" w:type="dxa"/>
        <w:jc w:val="left"/>
        <w:tblInd w:w="0" w:type="dxa"/>
        <w:tblLayout w:type="fixed"/>
        <w:tblCellMar>
          <w:top w:w="0" w:type="dxa"/>
          <w:left w:w="0" w:type="dxa"/>
          <w:bottom w:w="0" w:type="dxa"/>
          <w:right w:w="0" w:type="dxa"/>
        </w:tblCellMar>
      </w:tblPr>
      <w:tblGrid>
        <w:gridCol w:w="4126"/>
        <w:gridCol w:w="6079"/>
      </w:tblGrid>
      <w:tr>
        <w:trPr/>
        <w:tc>
          <w:tcPr>
            <w:tcW w:w="4126" w:type="dxa"/>
            <w:tcBorders/>
            <w:vAlign w:val="center"/>
          </w:tcPr>
          <w:p>
            <w:pPr>
              <w:pStyle w:val="TableContents"/>
              <w:bidi w:val="0"/>
              <w:spacing w:before="28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Matthew Partridge</w:t>
            </w:r>
            <w:r>
              <w:rPr>
                <w:rFonts w:ascii="Times New Roman;Times;serif" w:hAnsi="Times New Roman;Times;serif"/>
                <w:color w:val="0000FF"/>
                <w:sz w:val="24"/>
                <w:u w:val="single"/>
              </w:rPr>
              <w:t>Philip Mays</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386-944-5643</w:t>
            </w:r>
            <w:r>
              <w:rPr>
                <w:rFonts w:ascii="Times New Roman;Times;serif" w:hAnsi="Times New Roman;Times;serif"/>
                <w:color w:val="0000FF"/>
                <w:sz w:val="24"/>
                <w:u w:val="single"/>
              </w:rPr>
              <w:t>407-904-3324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mpartridge@alpinereit</w:t>
            </w:r>
            <w:r>
              <w:rPr>
                <w:rFonts w:ascii="Times New Roman;Times;serif" w:hAnsi="Times New Roman;Times;serif"/>
                <w:color w:val="0000FF"/>
                <w:sz w:val="24"/>
                <w:u w:val="single"/>
              </w:rPr>
              <w:t>pmays@ctoreit</w:t>
            </w:r>
            <w:r>
              <w:rPr>
                <w:rFonts w:ascii="Times New Roman;Times;serif" w:hAnsi="Times New Roman;Times;serif"/>
                <w:sz w:val="24"/>
              </w:rPr>
              <w:t>.com</w:t>
            </w:r>
          </w:p>
          <w:p>
            <w:pPr>
              <w:pStyle w:val="TableContents"/>
              <w:bidi w:val="0"/>
              <w:spacing w:before="28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Lisa Vorkoun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386-944-5641</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6079"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770-510-2109</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412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to the Borrower:</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369 N. New York Ave. Suite 201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Winter Park, Florida 32789</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color w:val="FF0000"/>
                <w:sz w:val="24"/>
              </w:rPr>
              <w:t>Matthew Partridge</w:t>
            </w:r>
            <w:r>
              <w:rPr>
                <w:rFonts w:ascii="Times New Roman;Times;serif" w:hAnsi="Times New Roman;Times;serif"/>
                <w:color w:val="0000FF"/>
                <w:sz w:val="24"/>
                <w:u w:val="single"/>
              </w:rPr>
              <w:t>Philip Mays</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color w:val="FF0000"/>
                <w:sz w:val="24"/>
              </w:rPr>
              <w:t>386-944-5643</w:t>
            </w:r>
            <w:r>
              <w:rPr>
                <w:rFonts w:ascii="Times New Roman;Times;serif" w:hAnsi="Times New Roman;Times;serif"/>
                <w:color w:val="0000FF"/>
                <w:sz w:val="24"/>
                <w:u w:val="single"/>
              </w:rPr>
              <w:t>407-904-3324</w:t>
            </w:r>
          </w:p>
        </w:tc>
        <w:tc>
          <w:tcPr>
            <w:tcW w:w="6079"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to the Administrative Agent: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KeyBank National Association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4910 Tiedeman Rd., 3rd Floor</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Mail Code OH-01-51-0311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Brooklyn, Ohio 44144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Attn: Real Estate Capital Servicing</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Reference: Alpine Income Property OP, LP &amp; Loan No. 10228590</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And</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KeyBank National Association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1200 Abernathy Road NE, Suite 1550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Atlanta, GA 30328</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Tom Schmitt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770-510-2109</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tom_schmitt@keybank.com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a copy to:</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Riemer &amp; Braunstein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100 Cambridge Street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Boston, MA 02114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Saúl De La Guardia</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sdelaguardia@riemerlaw.com</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617-880-3533</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955" w:type="dxa"/>
        <w:jc w:val="left"/>
        <w:tblInd w:w="0" w:type="dxa"/>
        <w:tblLayout w:type="fixed"/>
        <w:tblCellMar>
          <w:top w:w="0" w:type="dxa"/>
          <w:left w:w="0" w:type="dxa"/>
          <w:bottom w:w="0" w:type="dxa"/>
          <w:right w:w="0" w:type="dxa"/>
        </w:tblCellMar>
      </w:tblPr>
      <w:tblGrid>
        <w:gridCol w:w="4801"/>
        <w:gridCol w:w="154"/>
      </w:tblGrid>
      <w:tr>
        <w:trPr/>
        <w:tc>
          <w:tcPr>
            <w:tcW w:w="480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Email: </w:t>
            </w:r>
            <w:r>
              <w:rPr>
                <w:rFonts w:ascii="Times New Roman;Times;serif" w:hAnsi="Times New Roman;Times;serif"/>
                <w:color w:val="FF0000"/>
                <w:sz w:val="24"/>
              </w:rPr>
              <w:t>mpartridge@alpinereit</w:t>
            </w:r>
            <w:r>
              <w:rPr>
                <w:rFonts w:ascii="Times New Roman;Times;serif" w:hAnsi="Times New Roman;Times;serif"/>
                <w:color w:val="0000FF"/>
                <w:sz w:val="24"/>
                <w:u w:val="single"/>
              </w:rPr>
              <w:t>pmays@ctoreit</w:t>
            </w:r>
            <w:r>
              <w:rPr>
                <w:rFonts w:ascii="Times New Roman;Times;serif" w:hAnsi="Times New Roman;Times;serif"/>
                <w:sz w:val="24"/>
              </w:rPr>
              <w:t>.com</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1140 Williamson Boulevard</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Suite 140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Daytona Beach, Florida 32114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Lisa Vorkoun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386-944-5641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lvorkoun@alpinereit.com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copy to:</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Vinson &amp; Elkins LLP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845 Texas Avenue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Suite 4700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Houston, TX 77002</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Noelle C. Alix</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713-758-1124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nalix@velaw.com</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801" w:type="dxa"/>
            <w:tcBorders/>
            <w:vAlign w:val="center"/>
          </w:tcPr>
          <w:p>
            <w:pPr>
              <w:pStyle w:val="TableContents"/>
              <w:bidi w:val="0"/>
              <w:spacing w:before="280" w:after="0"/>
              <w:ind w:left="0" w:right="0" w:hanging="0"/>
              <w:jc w:val="left"/>
              <w:rPr/>
            </w:pPr>
            <w:r>
              <w:rPr/>
              <w:t>​</w:t>
            </w:r>
          </w:p>
        </w:tc>
        <w:tc>
          <w:tcPr>
            <w:tcW w:w="154" w:type="dxa"/>
            <w:tcBorders/>
            <w:vAlign w:val="center"/>
          </w:tcPr>
          <w:p>
            <w:pPr>
              <w:pStyle w:val="TableContents"/>
              <w:bidi w:val="0"/>
              <w:spacing w:before="28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w:hAnsi="Times"/>
          <w:sz w:val="24"/>
        </w:rPr>
        <w:t xml:space="preserve">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 (ii) if given by mail, upon receipt or first refusal of delivery or (iii) if given by any other means, when delivered at the addresses specified in this Section 12.8 or in the relevant Administrative Questionnaire; </w:t>
      </w:r>
      <w:r>
        <w:rPr>
          <w:rFonts w:ascii="Times" w:hAnsi="Times"/>
          <w:i/>
          <w:sz w:val="24"/>
        </w:rPr>
        <w:t xml:space="preserve">provided </w:t>
      </w:r>
      <w:r>
        <w:rPr>
          <w:rFonts w:ascii="Times" w:hAnsi="Times"/>
          <w:sz w:val="24"/>
        </w:rPr>
        <w:t>that</w:t>
      </w:r>
      <w:r>
        <w:rPr>
          <w:rFonts w:ascii="Times New Roman;Times;serif" w:hAnsi="Times New Roman;Times;serif"/>
          <w:sz w:val="24"/>
        </w:rPr>
        <w:t xml:space="preserve"> </w:t>
      </w:r>
      <w:r>
        <w:rPr>
          <w:rFonts w:ascii="Times" w:hAnsi="Times"/>
          <w:sz w:val="24"/>
        </w:rPr>
        <w:t>any notice given pursuant to Section 1 hereof shall be effective only upon receipt.</w:t>
      </w:r>
    </w:p>
    <w:p>
      <w:pPr>
        <w:pStyle w:val="TextBody"/>
        <w:bidi w:val="0"/>
        <w:spacing w:before="0" w:after="240"/>
        <w:ind w:left="0" w:right="0" w:hanging="0"/>
        <w:jc w:val="both"/>
        <w:rPr/>
      </w:pPr>
      <w:r>
        <w:rPr/>
        <w:t>●</w:t>
      </w:r>
      <w:bookmarkStart w:id="1772" w:name="_Toc115421354"/>
      <w:bookmarkEnd w:id="1772"/>
      <w:r>
        <w:rPr>
          <w:rFonts w:ascii="Times New Roman;Times;serif" w:hAnsi="Times New Roman;Times;serif"/>
          <w:sz w:val="24"/>
          <w:u w:val="single"/>
        </w:rPr>
        <w:t>Counterparts</w:t>
      </w:r>
      <w:r>
        <w:rPr>
          <w:rFonts w:ascii="Times New Roman;Times;serif" w:hAnsi="Times New Roman;Times;serif"/>
          <w:sz w:val="24"/>
        </w:rPr>
        <w:t>.  This Agreement may be executed in any number of 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1773" w:name="_Toc115421355"/>
      <w:bookmarkEnd w:id="1773"/>
      <w:r>
        <w:rPr>
          <w:rFonts w:ascii="Times New Roman;Times;serif" w:hAnsi="Times New Roman;Times;serif"/>
          <w:sz w:val="24"/>
          <w:u w:val="single"/>
        </w:rPr>
        <w:t>Successors and Assigns</w:t>
      </w:r>
      <w:r>
        <w:rPr>
          <w:rFonts w:ascii="Times New Roman;Times;serif" w:hAnsi="Times New Roman;Times;serif"/>
          <w:sz w:val="24"/>
        </w:rPr>
        <w:t>.  This Agreement shall be binding upon the Borrower, the Guarantors and their respective successors and permitted assigns, and shall inure to the benefit of the Administrative Agent, the L/C Issuer,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 and, with respect to any Letter of Credit or the Application therefor, the L/C Issuer.</w:t>
      </w:r>
    </w:p>
    <w:p>
      <w:pPr>
        <w:pStyle w:val="TextBody"/>
        <w:bidi w:val="0"/>
        <w:spacing w:before="0" w:after="240"/>
        <w:ind w:left="0" w:right="0" w:hanging="0"/>
        <w:jc w:val="both"/>
        <w:rPr/>
      </w:pPr>
      <w:r>
        <w:rPr/>
        <w:t>●</w:t>
      </w:r>
      <w:bookmarkStart w:id="1774" w:name="_Toc115421356"/>
      <w:bookmarkEnd w:id="1774"/>
      <w:r>
        <w:rPr>
          <w:rFonts w:ascii="Times New Roman;Times;serif" w:hAnsi="Times New Roman;Times;serif"/>
          <w:sz w:val="24"/>
          <w:u w:val="single"/>
        </w:rPr>
        <w:t>Participants</w:t>
      </w:r>
      <w:r>
        <w:rPr>
          <w:rFonts w:ascii="Times New Roman;Times;serif" w:hAnsi="Times New Roman;Times;serif"/>
          <w:sz w:val="24"/>
        </w:rPr>
        <w:t>.  Each Lender shall have the right at its own cost to grant participations (to be evidenced by one or more agreements or certificates of participation) in the Loans made and Reimbursement Obligations and/or Revolving Credit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provided that prior to any such disclosure any such participant or prospective participant shall agree in writing to be subject to the confidentiality provisions contained herein.  No participation may be granted or sold to the Borrower, any Guarantor, any Affiliate or Subsidiary of Borrower or Guarantor, any Defaulting Lender or any natural person.</w:t>
      </w:r>
    </w:p>
    <w:p>
      <w:pPr>
        <w:pStyle w:val="TextBody"/>
        <w:bidi w:val="0"/>
        <w:spacing w:before="0" w:after="240"/>
        <w:ind w:left="0" w:right="0" w:hanging="0"/>
        <w:jc w:val="both"/>
        <w:rPr/>
      </w:pPr>
      <w:r>
        <w:rPr/>
        <w:t>●</w:t>
      </w:r>
      <w:bookmarkStart w:id="1775" w:name="_Ref70341009"/>
      <w:bookmarkStart w:id="1776" w:name="_Toc115421357"/>
      <w:bookmarkEnd w:id="1775"/>
      <w:bookmarkEnd w:id="1776"/>
      <w:r>
        <w:rPr>
          <w:rFonts w:ascii="Times New Roman;Times;serif" w:hAnsi="Times New Roman;Times;serif"/>
          <w:sz w:val="24"/>
          <w:u w:val="single"/>
        </w:rPr>
        <w:t>Assignments</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 xml:space="preserve">Any Lender may at any time assign to one or more Eligible Assignees all or a portion of such Lender’s rights and obligations under this Agreement (including all or a portion of its Commitment and the Loans at the time owing to it); </w:t>
      </w:r>
      <w:r>
        <w:rPr>
          <w:rFonts w:ascii="Times New Roman;Times;serif" w:hAnsi="Times New Roman;Times;serif"/>
          <w:i/>
          <w:sz w:val="24"/>
        </w:rPr>
        <w:t>provided</w:t>
      </w:r>
      <w:r>
        <w:rPr>
          <w:rFonts w:ascii="Times New Roman;Times;serif" w:hAnsi="Times New Roman;Times;serif"/>
          <w:sz w:val="24"/>
        </w:rPr>
        <w:t xml:space="preserve"> that any such assignment shall be subject to the following conditions: </w:t>
      </w:r>
    </w:p>
    <w:p>
      <w:pPr>
        <w:pStyle w:val="TextBody"/>
        <w:bidi w:val="0"/>
        <w:spacing w:before="0" w:after="240"/>
        <w:ind w:left="720" w:right="0" w:hanging="0"/>
        <w:jc w:val="both"/>
        <w:rPr/>
      </w:pPr>
      <w:r>
        <w:rPr/>
        <w:t>●</w:t>
      </w:r>
      <w:r>
        <w:rPr>
          <w:rFonts w:ascii="Times New Roman;Times;serif" w:hAnsi="Times New Roman;Times;serif"/>
          <w:sz w:val="24"/>
          <w:u w:val="single"/>
        </w:rPr>
        <w:t>Minimum Amounts</w:t>
      </w:r>
      <w:r>
        <w:rPr>
          <w:rFonts w:ascii="Times New Roman;Times;serif" w:hAnsi="Times New Roman;Times;serif"/>
          <w:sz w:val="24"/>
        </w:rPr>
        <w:t xml:space="preserve">.  (A) In the case of an assignment of the entire remaining amount of the assigning Lender’s Revolving Credit Commitment and the Revolving Loans, and participation interest in L/C Obligations at the time owing to it, or the entire amount of 2027 Term Loans or Incremental Loans, or in the case of an assignment to a Lender, an Affiliate of a Lender or an Approved Fund, no minimum amount need be assigned; and (B) in any case not described in subsection (a)(i)(A) of this Section 12.12, the aggregate amount of the Revolving Credit Commitment (which for this purpose includes Revolving Loans and participation interest in L/C Obligations outstanding thereunder) or, if the Revolving Credit Commitment is not then in effect,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principal outstanding balance of the Revolving Loans and participation interest in L/C Obligations, or the principal outstanding balance of the Term Loans or Incremental Term Loans of the assigning Lender subject to each such assignment (determined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for such Class unless each of the Administrative Agent and, so long as no Event of Default has occurred and is continuing, the Borrower otherwise consents (each such consent not to be unreasonably withheld or delayed);</w:t>
      </w:r>
    </w:p>
    <w:p>
      <w:pPr>
        <w:pStyle w:val="TextBody"/>
        <w:bidi w:val="0"/>
        <w:spacing w:before="0" w:after="240"/>
        <w:ind w:left="720" w:right="0" w:hanging="0"/>
        <w:jc w:val="both"/>
        <w:rPr/>
      </w:pPr>
      <w:r>
        <w:rPr/>
        <w:t>●</w:t>
      </w:r>
      <w:r>
        <w:rPr>
          <w:rFonts w:ascii="Times New Roman;Times;serif" w:hAnsi="Times New Roman;Times;serif"/>
          <w:sz w:val="24"/>
          <w:u w:val="single"/>
        </w:rPr>
        <w:t>Proportionate Amounts</w:t>
      </w:r>
      <w:r>
        <w:rPr>
          <w:rFonts w:ascii="Times New Roman;Times;serif" w:hAnsi="Times New Roman;Times;serif"/>
          <w:sz w:val="24"/>
        </w:rPr>
        <w:t>.  Each partial assignment shall be made as an assignment of a proportionate part of all the assigning Lender’s rights and obligations under this Agreement with respect to the applicable Facility; except that this clause (ii) shall not prohibit any Lender from assigning all or a portion of its rights and obligations among separate Facilities on a non-pro rata basis.</w:t>
      </w:r>
    </w:p>
    <w:p>
      <w:pPr>
        <w:pStyle w:val="TextBody"/>
        <w:bidi w:val="0"/>
        <w:spacing w:before="0" w:after="240"/>
        <w:ind w:left="720" w:right="0" w:hanging="0"/>
        <w:jc w:val="both"/>
        <w:rPr/>
      </w:pPr>
      <w:r>
        <w:rPr/>
        <w:t>●</w:t>
      </w:r>
      <w:r>
        <w:rPr>
          <w:rFonts w:ascii="Times New Roman;Times;serif" w:hAnsi="Times New Roman;Times;serif"/>
          <w:sz w:val="24"/>
          <w:u w:val="single"/>
        </w:rPr>
        <w:t>Required Consents</w:t>
      </w:r>
      <w:r>
        <w:rPr>
          <w:rFonts w:ascii="Times New Roman;Times;serif" w:hAnsi="Times New Roman;Times;serif"/>
          <w:sz w:val="24"/>
        </w:rPr>
        <w:t>.  No consent shall be required for any assignment except to the extent required by Section 12.12(a)(i)(B) and, in addition:</w:t>
      </w:r>
    </w:p>
    <w:p>
      <w:pPr>
        <w:pStyle w:val="TextBody"/>
        <w:bidi w:val="0"/>
        <w:spacing w:before="0" w:after="240"/>
        <w:ind w:left="1440" w:right="0" w:hanging="0"/>
        <w:jc w:val="both"/>
        <w:rPr/>
      </w:pPr>
      <w:r>
        <w:rPr/>
        <w:t>●</w:t>
      </w:r>
      <w:r>
        <w:rPr>
          <w:rFonts w:ascii="Times New Roman;Times;serif" w:hAnsi="Times New Roman;Times;serif"/>
          <w:sz w:val="24"/>
        </w:rPr>
        <w:t>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w:t>
      </w:r>
    </w:p>
    <w:p>
      <w:pPr>
        <w:pStyle w:val="TextBody"/>
        <w:bidi w:val="0"/>
        <w:spacing w:before="0" w:after="240"/>
        <w:ind w:left="1440" w:right="0" w:hanging="0"/>
        <w:jc w:val="both"/>
        <w:rPr/>
      </w:pPr>
      <w:r>
        <w:rPr/>
        <w:t>●</w:t>
      </w:r>
      <w:r>
        <w:rPr>
          <w:rFonts w:ascii="Times New Roman;Times;serif" w:hAnsi="Times New Roman;Times;serif"/>
          <w:sz w:val="24"/>
        </w:rPr>
        <w:t xml:space="preserve">the consent of the Administrative Agent (such consent not to be unreasonably withheld or delayed and to be given or denied within five (5) Business Days of written request therefor) shall be required in respect of (i) if such assignment is to a Person that is not a Lender with a Revolving Credit Commitment, an Affiliate of such Lender or an Approved Fund with respect to such Lender or (ii) the Term Loans or Incremental Term Loans (if any) to a Person who is not a Lender, an Affiliate of a Lender or an Approved Fund; </w:t>
      </w:r>
    </w:p>
    <w:p>
      <w:pPr>
        <w:pStyle w:val="TextBody"/>
        <w:bidi w:val="0"/>
        <w:spacing w:before="0" w:after="240"/>
        <w:ind w:left="1440" w:right="0" w:hanging="0"/>
        <w:jc w:val="both"/>
        <w:rPr/>
      </w:pPr>
      <w:r>
        <w:rPr/>
        <w:t>●</w:t>
      </w:r>
      <w:r>
        <w:rPr>
          <w:rFonts w:ascii="Times New Roman;Times;serif" w:hAnsi="Times New Roman;Times;serif"/>
          <w:sz w:val="24"/>
        </w:rPr>
        <w:t>the consent of the L/C Issuer (such consent not to be unreasonably withheld or delayed and to be given or denied within five (5) Business Days of written request therefor) shall be required for any assignment that increases the obligation of the assignee to participate in exposure under one or more Letters of Credit (whether or not then outstanding); and</w:t>
      </w:r>
    </w:p>
    <w:p>
      <w:pPr>
        <w:pStyle w:val="TextBody"/>
        <w:bidi w:val="0"/>
        <w:spacing w:before="0" w:after="0"/>
        <w:ind w:left="1440" w:right="0" w:hanging="0"/>
        <w:jc w:val="both"/>
        <w:rPr/>
      </w:pPr>
      <w:r>
        <w:rPr/>
        <w:t>●</w:t>
      </w:r>
      <w:r>
        <w:rPr>
          <w:rFonts w:ascii="Times New Roman;Times;serif" w:hAnsi="Times New Roman;Times;serif"/>
          <w:sz w:val="24"/>
        </w:rPr>
        <w:t>the consent of the Swing Line Lender (such consent not to be unreasonably withheld or delayed and to be given or denied within five (5) Business Days of written request therefor) shall be required for any assignment that increases the obligation of the assignee to participate in exposure under one or more Swing Loans (whether or not then outstanding).</w:t>
      </w:r>
    </w:p>
    <w:p>
      <w:pPr>
        <w:pStyle w:val="TextBody"/>
        <w:bidi w:val="0"/>
        <w:spacing w:before="0" w:after="240"/>
        <w:ind w:left="720" w:right="0" w:hanging="0"/>
        <w:jc w:val="both"/>
        <w:rPr/>
      </w:pPr>
      <w:r>
        <w:rPr/>
        <w:t>●</w:t>
      </w:r>
      <w:r>
        <w:rPr>
          <w:rFonts w:ascii="Times New Roman;Times;serif" w:hAnsi="Times New Roman;Times;serif"/>
          <w:sz w:val="24"/>
          <w:u w:val="single"/>
        </w:rPr>
        <w:t>Assignment and Acceptance</w:t>
      </w:r>
      <w:r>
        <w:rPr>
          <w:rFonts w:ascii="Times New Roman;Times;serif" w:hAnsi="Times New Roman;Times;serif"/>
          <w:sz w:val="24"/>
        </w:rPr>
        <w:t xml:space="preserve">. The parties to each assignment shall execute and deliver to the Administrative Agent an Assignment and Acceptance, together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with a processing and recordation fee of $5,500, and the assignee, if it is not a Lender, shall deliver to the Administrative Agent an Administrative Questionnaire.</w:t>
      </w:r>
    </w:p>
    <w:p>
      <w:pPr>
        <w:pStyle w:val="TextBody"/>
        <w:bidi w:val="0"/>
        <w:spacing w:before="0" w:after="240"/>
        <w:ind w:left="720" w:right="0" w:hanging="0"/>
        <w:jc w:val="both"/>
        <w:rPr/>
      </w:pPr>
      <w:r>
        <w:rPr/>
        <w:t>●</w:t>
      </w:r>
      <w:r>
        <w:rPr>
          <w:rFonts w:ascii="Times New Roman;Times;serif" w:hAnsi="Times New Roman;Times;serif"/>
          <w:sz w:val="24"/>
          <w:u w:val="single"/>
        </w:rPr>
        <w:t>No Assignment to Borrower, Guarantors, Affiliates or Subsidiaries</w:t>
      </w:r>
      <w:r>
        <w:rPr>
          <w:rFonts w:ascii="Times New Roman;Times;serif" w:hAnsi="Times New Roman;Times;serif"/>
          <w:sz w:val="24"/>
        </w:rPr>
        <w:t>.  No such assignment shall be made to the Borrower, any Guarantor or any Affiliate or Subsidiary of the Borrower or any Guarantor.</w:t>
      </w:r>
    </w:p>
    <w:p>
      <w:pPr>
        <w:pStyle w:val="TextBody"/>
        <w:bidi w:val="0"/>
        <w:spacing w:before="0" w:after="240"/>
        <w:ind w:left="720" w:right="0" w:hanging="0"/>
        <w:jc w:val="both"/>
        <w:rPr/>
      </w:pPr>
      <w:r>
        <w:rPr/>
        <w:t>●</w:t>
      </w:r>
      <w:r>
        <w:rPr>
          <w:rFonts w:ascii="Times New Roman;Times;serif" w:hAnsi="Times New Roman;Times;serif"/>
          <w:sz w:val="24"/>
          <w:u w:val="single"/>
        </w:rPr>
        <w:t>No Assignment to Natural Persons.</w:t>
      </w:r>
      <w:r>
        <w:rPr>
          <w:rFonts w:ascii="Times New Roman;Times;serif" w:hAnsi="Times New Roman;Times;serif"/>
          <w:sz w:val="24"/>
        </w:rPr>
        <w:t xml:space="preserve">  No such assignment shall be made to a natural person (or holding company, investment vehicle or trust for, or owned and operated for the primary benefit of a natural person).</w:t>
      </w:r>
    </w:p>
    <w:p>
      <w:pPr>
        <w:pStyle w:val="TextBody"/>
        <w:bidi w:val="0"/>
        <w:ind w:left="720" w:right="0" w:hanging="0"/>
        <w:jc w:val="both"/>
        <w:rPr/>
      </w:pPr>
      <w:r>
        <w:rPr/>
        <w:t>●</w:t>
      </w:r>
      <w:r>
        <w:rPr>
          <w:rFonts w:ascii="Times New Roman;Times;serif" w:hAnsi="Times New Roman;Times;serif"/>
          <w:sz w:val="24"/>
          <w:u w:val="single"/>
        </w:rPr>
        <w:t>No Assignment to Defaulting Lender</w:t>
      </w:r>
      <w:r>
        <w:rPr>
          <w:rFonts w:ascii="Times New Roman;Times;serif" w:hAnsi="Times New Roman;Times;serif"/>
          <w:i/>
          <w:sz w:val="24"/>
        </w:rPr>
        <w:t>.</w:t>
      </w:r>
      <w:r>
        <w:rPr>
          <w:rFonts w:ascii="Times New Roman;Times;serif" w:hAnsi="Times New Roman;Times;serif"/>
          <w:sz w:val="24"/>
        </w:rPr>
        <w:t xml:space="preserve">  No such assignment shall be made to a Defaulting Lender.</w:t>
      </w:r>
    </w:p>
    <w:p>
      <w:pPr>
        <w:pStyle w:val="TextBody"/>
        <w:bidi w:val="0"/>
        <w:spacing w:before="0" w:after="240"/>
        <w:ind w:left="0" w:right="0" w:hanging="0"/>
        <w:jc w:val="both"/>
        <w:rPr>
          <w:rFonts w:ascii="Times" w:hAnsi="Times"/>
          <w:sz w:val="24"/>
        </w:rPr>
      </w:pPr>
      <w:r>
        <w:rPr>
          <w:rFonts w:ascii="Times" w:hAnsi="Times"/>
          <w:sz w:val="24"/>
        </w:rPr>
        <w:t>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pStyle w:val="TextBody"/>
        <w:bidi w:val="0"/>
        <w:spacing w:before="0" w:after="240"/>
        <w:ind w:left="0" w:right="0" w:hanging="0"/>
        <w:jc w:val="both"/>
        <w:rPr/>
      </w:pPr>
      <w:r>
        <w:rPr/>
        <w:t>●</w:t>
      </w:r>
      <w:r>
        <w:rPr>
          <w:rFonts w:ascii="Times New Roman;Times;serif" w:hAnsi="Times New Roman;Times;serif"/>
          <w:sz w:val="24"/>
          <w:u w:val="single"/>
        </w:rPr>
        <w:t>Register</w:t>
      </w:r>
      <w:r>
        <w:rPr>
          <w:rFonts w:ascii="Times New Roman;Times;serif" w:hAnsi="Times New Roman;Times;serif"/>
          <w:sz w:val="24"/>
        </w:rPr>
        <w:t xml:space="preserve">.  The Administrative Agent, acting solely for this purpose as an agent of the Borrower, shall maintain at one of its offices in New York, New York, a copy of each Assignment and Acceptance delivered to it and a register for the recordation of the names and addresses of the Lenders, and the Revolving Credit Commitments of, and principal amounts of the Revolving Loans, Term Loans and Incremental Term Loans owing to, each Lender pursuant to the terms hereof from time to time (the “Register”).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or L/C Issuer that grants a participation as described in Section 12.11 shall, acting solely for this purpose as an agent of the Borrower, maintain a register on which it enters the name and address of each participant and the principal amounts (and stated interest) of each participant's interest in the Revolving Loans, Term Loans and Incremental Term Loans made and Reimbursement Obligations and/or Revolving Credit Commitments or other obligations under this Agreement (the “Participant Register”); provided that no Lender or L/C Issuer shall have any obligation to disclose all or any portion of the Participant Register to any Person (including the identity of any participant or any information relating to a participant's interest in any Revolving Loans made and Reimbursement Obligations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and/or Revolving Credit Commitments or other obligations under this Agreement) except to the extent that such disclosure is necessary to establish that such Obligation or Revolving Credit Commitment is in registered form under Section 5f.103-1(c) of the Treasury Regulations or is otherwise required by this Agreement. The entries in the Participant Register shall be conclusive absent manifest error, and such Lender or L/C Issuer shall treat each person whose name is recorded in the Participant Register as the owner of such participation for all purposes of this Agreement notwithstanding any notice to the contrary.</w:t>
      </w:r>
    </w:p>
    <w:p>
      <w:pPr>
        <w:pStyle w:val="TextBody"/>
        <w:bidi w:val="0"/>
        <w:spacing w:before="0" w:after="240"/>
        <w:ind w:left="0" w:right="0" w:hanging="0"/>
        <w:jc w:val="both"/>
        <w:rPr/>
      </w:pPr>
      <w:r>
        <w:rPr/>
        <w:t>●</w:t>
      </w:r>
      <w:r>
        <w:rPr>
          <w:rFonts w:ascii="Times New Roman;Times;serif" w:hAnsi="Times New Roman;Times;serif"/>
          <w:sz w:val="24"/>
        </w:rPr>
        <w:t xml:space="preserve">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w:t>
      </w:r>
      <w:r>
        <w:rPr>
          <w:rFonts w:ascii="Times New Roman;Times;serif" w:hAnsi="Times New Roman;Times;serif"/>
          <w:i/>
          <w:sz w:val="24"/>
        </w:rPr>
        <w:t>provided</w:t>
      </w:r>
      <w:r>
        <w:rPr>
          <w:rFonts w:ascii="Times New Roman;Times;serif" w:hAnsi="Times New Roman;Times;serif"/>
          <w:sz w:val="24"/>
        </w:rPr>
        <w:t xml:space="preserve"> that no such pledge or grant of a security interest shall release a Lender from any of its obligations hereunder or substitute any such pledgee or secured party for such Lender as a party hereto; </w:t>
      </w:r>
      <w:r>
        <w:rPr>
          <w:rFonts w:ascii="Times New Roman;Times;serif" w:hAnsi="Times New Roman;Times;serif"/>
          <w:i/>
          <w:sz w:val="24"/>
        </w:rPr>
        <w:t>provided further, however,</w:t>
      </w:r>
      <w:r>
        <w:rPr>
          <w:rFonts w:ascii="Times New Roman;Times;serif" w:hAnsi="Times New Roman;Times;serif"/>
          <w:sz w:val="24"/>
        </w:rPr>
        <w:t xml:space="preserve"> the right of any such pledgee or grantee (other than any Federal Reserve Bank) to further transfer all or any portion of the rights pledged or granted to it, whether by means of foreclosure or otherwise, shall be at all times subject to the terms of this Agreement.  </w:t>
      </w:r>
    </w:p>
    <w:p>
      <w:pPr>
        <w:pStyle w:val="TextBody"/>
        <w:bidi w:val="0"/>
        <w:spacing w:before="0" w:after="0"/>
        <w:ind w:left="0" w:right="0" w:hanging="0"/>
        <w:jc w:val="both"/>
        <w:rPr/>
      </w:pPr>
      <w:r>
        <w:rPr/>
        <w:t>●</w:t>
      </w:r>
      <w:r>
        <w:rPr>
          <w:rFonts w:ascii="Times New Roman;Times;serif" w:hAnsi="Times New Roman;Times;serif"/>
          <w:sz w:val="24"/>
        </w:rPr>
        <w:t>Notwithstanding anything to the contrary herein, if at any time the Swing Line Lender assigns all of its Revolving Credit Commitments and Revolving Loans pursuant to subsection (a) above, the Swing Line Lender may terminate the Swing Line.  In the event of such termination of the Swing Line, the Borrower shall be entitled to appoint another Lender to act as the successor Swing Line Lender hereunder (with such Lender’s consent); provided, however, that the failure of the Borrower to appoint a successor shall not affect the resignation of the Swing Line Lender.  If the Swing Line Lender terminates the Swing Line, it shall retain all of the rights of the Swing Line Lender provided hereunder with respect to Swing Loans made by it and outstanding as of the effective date of such termination, including the right to require Lenders to make Revolving Loans or fund participations in outstanding Swing Loans pursuant to Section 1.17 hereof.</w:t>
      </w:r>
    </w:p>
    <w:p>
      <w:pPr>
        <w:pStyle w:val="TextBody"/>
        <w:bidi w:val="0"/>
        <w:spacing w:before="0" w:after="240"/>
        <w:ind w:left="0" w:right="0" w:hanging="0"/>
        <w:jc w:val="both"/>
        <w:rPr/>
      </w:pPr>
      <w:r>
        <w:rPr/>
        <w:t>●</w:t>
      </w:r>
      <w:bookmarkStart w:id="1777" w:name="_Toc115421358"/>
      <w:bookmarkEnd w:id="1777"/>
      <w:r>
        <w:rPr>
          <w:rFonts w:ascii="Times New Roman;Times;serif" w:hAnsi="Times New Roman;Times;serif"/>
          <w:sz w:val="24"/>
          <w:u w:val="single"/>
        </w:rPr>
        <w:t>Amendments</w:t>
      </w:r>
      <w:r>
        <w:rPr>
          <w:rFonts w:ascii="Times New Roman;Times;serif" w:hAnsi="Times New Roman;Times;serif"/>
          <w:sz w:val="24"/>
        </w:rPr>
        <w:t>. Any provision of this Agreement or the other Loan Documents may be amended or waived if, but only if, such amendment or waiver is in writing and is signed by (a) the Borrower, (b) the Required Lenders (or Administrative Agent acting at the direction of the Required Lenders), and (c) if the rights or duties of the Administrative Agent, the Sustainability Structuring Agent, the L/C Issuer, or the Swing Line Lender are affected thereby, the Administrative Agent, the L/C Issuer, or the Swing Line Lender, as applicable; provided that:</w:t>
      </w:r>
    </w:p>
    <w:p>
      <w:pPr>
        <w:pStyle w:val="TextBody"/>
        <w:bidi w:val="0"/>
        <w:spacing w:before="0" w:after="240"/>
        <w:ind w:left="720" w:right="0" w:hanging="0"/>
        <w:jc w:val="both"/>
        <w:rPr/>
      </w:pPr>
      <w:r>
        <w:rPr/>
        <w:t>●</w:t>
      </w:r>
      <w:r>
        <w:rPr>
          <w:rFonts w:ascii="Times New Roman;Times;serif" w:hAnsi="Times New Roman;Times;serif"/>
          <w:sz w:val="24"/>
        </w:rPr>
        <w:t xml:space="preserve">no amendment or waiver pursuant to this Section 12.13 shall (A) increase any Commitment of any Lender without the consent of such Lender or (B) reduce the amount of or postpone the date for any scheduled payment of any principal of or interest on any Loan or of any Reimbursement Obligation or of any fee payable hereunder (including by way of a waiver of a Default or Event of Default under Section 9.1(a)) without the consent of the Lender to which such payment is owing or which has committed to make such Revolving Loan or Letter of Credit (or participate therein) hereunder; </w:t>
      </w:r>
      <w:r>
        <w:rPr>
          <w:rFonts w:ascii="Times New Roman;Times;serif" w:hAnsi="Times New Roman;Times;serif"/>
          <w:i/>
          <w:sz w:val="24"/>
        </w:rPr>
        <w:t>provided</w:t>
      </w:r>
      <w:r>
        <w:rPr>
          <w:rFonts w:ascii="Times New Roman;Times;serif" w:hAnsi="Times New Roman;Times;serif"/>
          <w:sz w:val="24"/>
        </w:rPr>
        <w:t xml:space="preserve"> that only the written consent of the Required Lenders shall be required for (x) the waiver or retraction of an imposition of interest payable under Section 1.9, (y) for any changes to the SOFR Index Adjustment, or (z) any modification or waiver of the covenants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set forth in Section 8.20 or 8.21, (C) extend the Revolving Credit Termination Date without the consent of each affected Revolving Lender or (D) extend the Term Loan Maturity Date or the maturity date of any Incremental Term Loan without the consent of each affected Term Loan Lender or Incremental Term Loan Lender, as applicable;</w:t>
      </w:r>
    </w:p>
    <w:p>
      <w:pPr>
        <w:pStyle w:val="TextBody"/>
        <w:bidi w:val="0"/>
        <w:spacing w:before="0" w:after="240"/>
        <w:ind w:left="720" w:right="0" w:hanging="0"/>
        <w:jc w:val="both"/>
        <w:rPr/>
      </w:pPr>
      <w:r>
        <w:rPr/>
        <w:t>●</w:t>
      </w:r>
      <w:r>
        <w:rPr>
          <w:rFonts w:ascii="Times New Roman;Times;serif" w:hAnsi="Times New Roman;Times;serif"/>
          <w:sz w:val="24"/>
        </w:rPr>
        <w:t xml:space="preserve">no amendment or waiver pursuant to this Section 12.13 shall, unless signed by each Lender, extend the Maturity Date, change the definitions of Required Lenders or Required Revolving Lenders, change the provisions of this Section 12.13, affect the number of Lenders required to take any action hereunder or under any other Loan Document, change the pro rata application of payments or order of application of payments and collections set forth in Section 3.1 or Section 12.7, or change any other provision of this Agreement or add any provision to this Agreement, in each case, in a manner that would alter, or would have the effect of altering the pro rata sharing of payments required thereby, or release any Guarantor (except as expressly contemplated in this Agreement); </w:t>
      </w:r>
    </w:p>
    <w:p>
      <w:pPr>
        <w:pStyle w:val="TextBody"/>
        <w:bidi w:val="0"/>
        <w:spacing w:before="0" w:after="240"/>
        <w:ind w:left="720" w:right="0" w:hanging="0"/>
        <w:jc w:val="both"/>
        <w:rPr/>
      </w:pPr>
      <w:r>
        <w:rPr/>
        <w:t>●</w:t>
      </w:r>
      <w:r>
        <w:rPr>
          <w:rFonts w:ascii="Times New Roman;Times;serif" w:hAnsi="Times New Roman;Times;serif"/>
          <w:sz w:val="24"/>
        </w:rPr>
        <w:t xml:space="preserve">while any Revolving Loans are outstanding, no amendment or waiver pursuant shall amend, modify or waive (A) Section 7.2 or any other provision of this Agreement if the effect of such amendment, modification or waiver is to require the Revolving Lenders to make Revolving Loans when such Lenders would not otherwise be required to do so, (B) the amount of the Swing Line Sublimit or (C) the L/C sublimit, in each case, without the prior written consent of the Requisite Class Lenders of the Revolving Lenders; </w:t>
      </w:r>
    </w:p>
    <w:p>
      <w:pPr>
        <w:pStyle w:val="TextBody"/>
        <w:bidi w:val="0"/>
        <w:spacing w:before="0" w:after="240"/>
        <w:ind w:left="720" w:right="0" w:hanging="0"/>
        <w:jc w:val="both"/>
        <w:rPr/>
      </w:pPr>
      <w:r>
        <w:rPr/>
        <w:t>●</w:t>
      </w:r>
      <w:r>
        <w:rPr>
          <w:rFonts w:ascii="Times New Roman;Times;serif" w:hAnsi="Times New Roman;Times;serif"/>
          <w:sz w:val="24"/>
        </w:rPr>
        <w:t>any term of this Agreement or of any other Loan Document relating solely to the rights or obligations of the Lenders of a particular Class, and not Lenders of any other Class, may be amended, and the performance or observance by the Borrower or any other Loan Party or any Subsidiary of any such terms may be waived (either generally or in a particular instance and either retroactively or prospectively) with, and only with, the written consent of the Requisite Class Lenders for such Class of Lenders (and, in the case of an amendment to any Loan Document, the written consent of each Loan Party which is a party thereto)and</w:t>
      </w:r>
    </w:p>
    <w:p>
      <w:pPr>
        <w:pStyle w:val="TextBody"/>
        <w:bidi w:val="0"/>
        <w:spacing w:before="0" w:after="0"/>
        <w:ind w:left="720" w:right="0" w:hanging="0"/>
        <w:jc w:val="both"/>
        <w:rPr/>
      </w:pPr>
      <w:r>
        <w:rPr/>
        <w:t>●</w:t>
      </w:r>
      <w:r>
        <w:rPr>
          <w:rFonts w:ascii="Times New Roman;Times;serif" w:hAnsi="Times New Roman;Times;serif"/>
          <w:sz w:val="24"/>
        </w:rPr>
        <w:t>no amendment to Section 13 hereof shall be made without the consent of the Guarantors affected thereby.</w:t>
      </w:r>
    </w:p>
    <w:p>
      <w:pPr>
        <w:pStyle w:val="TextBody"/>
        <w:bidi w:val="0"/>
        <w:spacing w:before="0" w:after="240"/>
        <w:ind w:left="0" w:right="0" w:hanging="0"/>
        <w:jc w:val="both"/>
        <w:rPr/>
      </w:pPr>
      <w:r>
        <w:rPr/>
        <w:t>●</w:t>
      </w:r>
      <w:bookmarkStart w:id="1778" w:name="_Toc115421359"/>
      <w:bookmarkEnd w:id="1778"/>
      <w:r>
        <w:rPr>
          <w:rFonts w:ascii="Times New Roman;Times;serif" w:hAnsi="Times New Roman;Times;serif"/>
          <w:sz w:val="24"/>
          <w:u w:val="single"/>
        </w:rPr>
        <w:t>Headings</w:t>
      </w:r>
      <w:r>
        <w:rPr>
          <w:rFonts w:ascii="Times New Roman;Times;serif" w:hAnsi="Times New Roman;Times;serif"/>
          <w:i/>
          <w:sz w:val="24"/>
        </w:rPr>
        <w:t xml:space="preserve">. </w:t>
      </w:r>
      <w:r>
        <w:rPr>
          <w:rFonts w:ascii="Times New Roman;Times;serif" w:hAnsi="Times New Roman;Times;serif"/>
          <w:sz w:val="24"/>
        </w:rPr>
        <w:t>Section headings used in this Agreement are for reference only and shall not affect the construction of this Agreement.</w:t>
      </w:r>
    </w:p>
    <w:p>
      <w:pPr>
        <w:pStyle w:val="TextBody"/>
        <w:bidi w:val="0"/>
        <w:spacing w:before="0" w:after="240"/>
        <w:ind w:left="0" w:right="0" w:hanging="0"/>
        <w:jc w:val="both"/>
        <w:rPr/>
      </w:pPr>
      <w:r>
        <w:rPr/>
        <w:t>●</w:t>
      </w:r>
      <w:bookmarkStart w:id="1779" w:name="_Toc115421360"/>
      <w:bookmarkEnd w:id="1779"/>
      <w:r>
        <w:rPr>
          <w:rFonts w:ascii="Times New Roman;Times;serif" w:hAnsi="Times New Roman;Times;serif"/>
          <w:sz w:val="24"/>
          <w:u w:val="single"/>
        </w:rPr>
        <w:t>Costs and Expenses; Indemnification</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 xml:space="preserve">The Borrower agrees to pay all reasonable costs and expenses of the Administrative Agent and the Sustainability Structuring Agent in connection with the preparation, negotiation, syndication, and administration of the Loan Documents, including, without limitation, the reasonable fees and disbursements of counsel to the Administrative Agent and the Sustainability Structuring Agent, in connection with the preparation and execution of the Loan Documents, and any amendment, waiver or consent related thereto, whether or not the transactions contemplated herein are consummated.  The Borrower agrees to pay to the Administrative Agent,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Sustainability Structuring Agent, the L/C Issuer, and each Lender all costs and expenses reasonably incurred or paid by the Administrative Agent, the L/C Issuer,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the L/C Issuer, each Lender, and any security trustee therefor, and their respective directors, officers, employees, agents, financial advisors, and consultants (each such Person being called an “Indemnitee”)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Revolving Loan or Letter of Credit, other than those which arise from the gross negligence or willful misconduct of the party claiming indemnification.  The Borrower, upon demand by the Administrative Agent, the L/C Issuer, or a Lender at any time, shall reimburse the Administrative Agent, the L/C Issuer, or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Revolving Loan or Letter of Credit or the use of the proceeds thereof.  The obligations of the parties under this Section 12.15 shall survive the termination of this Agreement.</w:t>
      </w:r>
    </w:p>
    <w:p>
      <w:pPr>
        <w:pStyle w:val="TextBody"/>
        <w:bidi w:val="0"/>
        <w:ind w:left="0" w:right="0" w:hanging="0"/>
        <w:jc w:val="both"/>
        <w:rPr/>
      </w:pPr>
      <w:r>
        <w:rPr/>
        <w:t>●</w:t>
      </w:r>
      <w:r>
        <w:rPr>
          <w:rFonts w:ascii="Times New Roman;Times;serif" w:hAnsi="Times New Roman;Times;serif"/>
          <w:sz w:val="24"/>
        </w:rPr>
        <w:t xml:space="preserve">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  (i) any presence, release, threatened release or disposal of any hazardous or toxic substance or petroleum by the Borrower or any Subsidiary or otherwise occurring on or with respect to its </w:t>
      </w:r>
      <w:bookmarkStart w:id="1780" w:name="_cp_change_185"/>
      <w:bookmarkEnd w:id="1780"/>
      <w:r>
        <w:rPr>
          <w:rFonts w:ascii="Times New Roman;Times;serif" w:hAnsi="Times New Roman;Times;serif"/>
          <w:color w:val="FF0000"/>
          <w:sz w:val="24"/>
        </w:rPr>
        <w:t>Property</w:t>
      </w:r>
      <w:bookmarkStart w:id="1781" w:name="_cp_change_186"/>
      <w:bookmarkEnd w:id="1781"/>
      <w:r>
        <w:rPr>
          <w:rFonts w:ascii="Times New Roman;Times;serif" w:hAnsi="Times New Roman;Times;serif"/>
          <w:color w:val="0000FF"/>
          <w:sz w:val="24"/>
          <w:u w:val="single"/>
        </w:rPr>
        <w:t>Properties</w:t>
      </w:r>
      <w:r>
        <w:rPr>
          <w:rFonts w:ascii="Times New Roman;Times;serif" w:hAnsi="Times New Roman;Times;serif"/>
          <w:sz w:val="24"/>
        </w:rPr>
        <w:t xml:space="preserve"> (whether owned or leased), (ii) the operation or violation of any environmental law, whether federal, state, or local, and any regulations promulgated thereunder, by the Borrower or any Subsidiary or otherwise occurring on or with respect to its </w:t>
      </w:r>
      <w:bookmarkStart w:id="1782" w:name="_cp_change_187"/>
      <w:bookmarkEnd w:id="1782"/>
      <w:r>
        <w:rPr>
          <w:rFonts w:ascii="Times New Roman;Times;serif" w:hAnsi="Times New Roman;Times;serif"/>
          <w:color w:val="FF0000"/>
          <w:sz w:val="24"/>
        </w:rPr>
        <w:t>Property</w:t>
      </w:r>
      <w:bookmarkStart w:id="1783" w:name="_cp_change_188"/>
      <w:bookmarkEnd w:id="1783"/>
      <w:r>
        <w:rPr>
          <w:rFonts w:ascii="Times New Roman;Times;serif" w:hAnsi="Times New Roman;Times;serif"/>
          <w:color w:val="0000FF"/>
          <w:sz w:val="24"/>
          <w:u w:val="single"/>
        </w:rPr>
        <w:t>Properties</w:t>
      </w:r>
      <w:r>
        <w:rPr>
          <w:rFonts w:ascii="Times New Roman;Times;serif" w:hAnsi="Times New Roman;Times;serif"/>
          <w:sz w:val="24"/>
        </w:rPr>
        <w:t xml:space="preserve"> (whether owned or leased), (iii) any claim for personal injury or property damage in connection with the Borrower or any Subsidiary or otherwise occurring on or with respect to its </w:t>
      </w:r>
      <w:bookmarkStart w:id="1784" w:name="_cp_change_189"/>
      <w:bookmarkEnd w:id="1784"/>
      <w:r>
        <w:rPr>
          <w:rFonts w:ascii="Times New Roman;Times;serif" w:hAnsi="Times New Roman;Times;serif"/>
          <w:color w:val="FF0000"/>
          <w:sz w:val="24"/>
        </w:rPr>
        <w:t>Property</w:t>
      </w:r>
      <w:bookmarkStart w:id="1785" w:name="_cp_change_190"/>
      <w:bookmarkEnd w:id="1785"/>
      <w:r>
        <w:rPr>
          <w:rFonts w:ascii="Times New Roman;Times;serif" w:hAnsi="Times New Roman;Times;serif"/>
          <w:color w:val="0000FF"/>
          <w:sz w:val="24"/>
          <w:u w:val="single"/>
        </w:rPr>
        <w:t>Properties</w:t>
      </w:r>
      <w:r>
        <w:rPr>
          <w:rFonts w:ascii="Times New Roman;Times;serif" w:hAnsi="Times New Roman;Times;serif"/>
          <w:sz w:val="24"/>
        </w:rPr>
        <w:t xml:space="preserve">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pStyle w:val="TextBody"/>
        <w:bidi w:val="0"/>
        <w:spacing w:before="0" w:after="240"/>
        <w:ind w:left="0" w:right="0" w:hanging="0"/>
        <w:jc w:val="both"/>
        <w:rPr/>
      </w:pPr>
      <w:r>
        <w:rPr/>
        <w:t>●</w:t>
      </w:r>
      <w:bookmarkStart w:id="1786" w:name="_Toc115421361"/>
      <w:bookmarkEnd w:id="1786"/>
      <w:r>
        <w:rPr>
          <w:rFonts w:ascii="Times New Roman;Times;serif" w:hAnsi="Times New Roman;Times;serif"/>
          <w:sz w:val="24"/>
          <w:u w:val="single"/>
        </w:rPr>
        <w:t>Set-off</w:t>
      </w:r>
      <w:r>
        <w:rPr>
          <w:rFonts w:ascii="Times New Roman;Times;serif" w:hAnsi="Times New Roman;Times;serif"/>
          <w:sz w:val="24"/>
        </w:rPr>
        <w:t>.  In addition to any rights now or hereafter granted under the Loan Documents or applicable law and not by way of limitation of any such rights, during the continuance of any Event of Default, with the prior written consent of the Administrative Agent, each Lender, the L/C Issuer,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 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L/C Issuer, subsequent holder, or affiliate, to or for the credit or the account of the Borrower or such Guarantor, whether or not matured, against and on account of the Obligations then due of the Borrower or such Guarantor to that Lender, L/C Issuer, or subsequent holder under the Loan Documents, including, but not limited to, all claims of any nature or description arising out of or connected with the Loan Documents, irrespective of whether or not that Lender, L/C Issuer, or subsequent holder shall have made any demand hereunder.</w:t>
      </w:r>
    </w:p>
    <w:p>
      <w:pPr>
        <w:pStyle w:val="TextBody"/>
        <w:bidi w:val="0"/>
        <w:spacing w:before="0" w:after="240"/>
        <w:ind w:left="0" w:right="0" w:hanging="0"/>
        <w:jc w:val="both"/>
        <w:rPr/>
      </w:pPr>
      <w:r>
        <w:rPr/>
        <w:t>●</w:t>
      </w:r>
      <w:bookmarkStart w:id="1787" w:name="_Toc115421362"/>
      <w:bookmarkEnd w:id="1787"/>
      <w:r>
        <w:rPr>
          <w:rFonts w:ascii="Times New Roman;Times;serif" w:hAnsi="Times New Roman;Times;serif"/>
          <w:sz w:val="24"/>
          <w:u w:val="single"/>
        </w:rPr>
        <w:t>Entire Agreement</w:t>
      </w:r>
      <w:r>
        <w:rPr>
          <w:rFonts w:ascii="Times New Roman;Times;serif" w:hAnsi="Times New Roman;Times;serif"/>
          <w:sz w:val="24"/>
        </w:rPr>
        <w:t>.  The Loan Documents constitute the entire understanding of the parties thereto with respect to the subject matter thereof and any prior agreements, whether written or oral, with respect thereto are superseded hereby.</w:t>
      </w:r>
    </w:p>
    <w:p>
      <w:pPr>
        <w:pStyle w:val="TextBody"/>
        <w:bidi w:val="0"/>
        <w:spacing w:before="0" w:after="240"/>
        <w:ind w:left="0" w:right="0" w:hanging="0"/>
        <w:jc w:val="both"/>
        <w:rPr/>
      </w:pPr>
      <w:r>
        <w:rPr/>
        <w:t>●</w:t>
      </w:r>
      <w:bookmarkStart w:id="1788" w:name="_Toc115421363"/>
      <w:bookmarkEnd w:id="1788"/>
      <w:r>
        <w:rPr>
          <w:rFonts w:ascii="Times New Roman;Times;serif" w:hAnsi="Times New Roman;Times;serif"/>
          <w:sz w:val="24"/>
          <w:u w:val="single"/>
        </w:rPr>
        <w:t>Governing Law</w:t>
      </w:r>
      <w:r>
        <w:rPr>
          <w:rFonts w:ascii="Times New Roman;Times;serif" w:hAnsi="Times New Roman;Times;serif"/>
          <w:sz w:val="24"/>
        </w:rPr>
        <w:t>.  This Agreement and the other Loan Documents (except as otherwise specified therein), and the rights and duties of the parties hereto, shall be construed and determined in accordance with the internal laws of the State of New York.</w:t>
      </w:r>
    </w:p>
    <w:p>
      <w:pPr>
        <w:pStyle w:val="TextBody"/>
        <w:bidi w:val="0"/>
        <w:spacing w:before="0" w:after="240"/>
        <w:ind w:left="0" w:right="0" w:hanging="0"/>
        <w:jc w:val="both"/>
        <w:rPr/>
      </w:pPr>
      <w:r>
        <w:rPr/>
        <w:t>●</w:t>
      </w:r>
      <w:bookmarkStart w:id="1789" w:name="_Toc115421364"/>
      <w:bookmarkEnd w:id="1789"/>
      <w:r>
        <w:rPr>
          <w:rFonts w:ascii="Times New Roman;Times;serif" w:hAnsi="Times New Roman;Times;serif"/>
          <w:sz w:val="24"/>
          <w:u w:val="single"/>
        </w:rPr>
        <w:t>Severability of Provisions</w:t>
      </w:r>
      <w:r>
        <w:rPr>
          <w:rFonts w:ascii="Times New Roman;Times;serif" w:hAnsi="Times New Roman;Times;serif"/>
          <w:i/>
          <w:sz w:val="24"/>
        </w:rPr>
        <w:t>.</w:t>
      </w:r>
      <w:r>
        <w:rPr>
          <w:rFonts w:ascii="Times New Roman;Times;serif" w:hAnsi="Times New Roman;Times;serif"/>
          <w:sz w:val="24"/>
        </w:rPr>
        <w:t xml:space="preserve">  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pStyle w:val="TextBody"/>
        <w:bidi w:val="0"/>
        <w:spacing w:before="0" w:after="240"/>
        <w:ind w:left="0" w:right="0" w:hanging="0"/>
        <w:jc w:val="both"/>
        <w:rPr/>
      </w:pPr>
      <w:r>
        <w:rPr/>
        <w:t>●</w:t>
      </w:r>
      <w:bookmarkStart w:id="1790" w:name="_Toc115421365"/>
      <w:bookmarkEnd w:id="1790"/>
      <w:r>
        <w:rPr>
          <w:rFonts w:ascii="Times New Roman;Times;serif" w:hAnsi="Times New Roman;Times;serif"/>
          <w:sz w:val="24"/>
          <w:u w:val="single"/>
        </w:rPr>
        <w:t>Excess Interest</w:t>
      </w:r>
      <w:r>
        <w:rPr>
          <w:rFonts w:ascii="Times New Roman;Times;serif" w:hAnsi="Times New Roman;Times;serif"/>
          <w:sz w:val="24"/>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Revolving Loans or other obligations outstanding under this Agreement or any other Loan Document (“</w:t>
      </w:r>
      <w:r>
        <w:rPr>
          <w:rFonts w:ascii="Times New Roman;Times;serif" w:hAnsi="Times New Roman;Times;serif"/>
          <w:i/>
          <w:sz w:val="24"/>
        </w:rPr>
        <w:t>Excess Interest”</w:t>
      </w:r>
      <w:r>
        <w:rPr>
          <w:rFonts w:ascii="Times New Roman;Times;serif" w:hAnsi="Times New Roman;Times;serif"/>
          <w:sz w:val="24"/>
        </w:rPr>
        <w:t xml:space="preserve">).  If any Excess Interest is provided for, or is adjudicated to be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Times;serif" w:hAnsi="Times New Roman;Times;serif"/>
          <w:i/>
          <w:sz w:val="24"/>
        </w:rPr>
        <w:t>Maximum Rate”</w:t>
      </w:r>
      <w:r>
        <w:rPr>
          <w:rFonts w:ascii="Times New Roman;Times;serif" w:hAnsi="Times New Roman;Times;serif"/>
          <w:sz w:val="24"/>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pStyle w:val="TextBody"/>
        <w:bidi w:val="0"/>
        <w:spacing w:before="0" w:after="240"/>
        <w:ind w:left="0" w:right="0" w:hanging="0"/>
        <w:jc w:val="both"/>
        <w:rPr/>
      </w:pPr>
      <w:r>
        <w:rPr/>
        <w:t>●</w:t>
      </w:r>
      <w:bookmarkStart w:id="1791" w:name="_Toc115421366"/>
      <w:bookmarkEnd w:id="1791"/>
      <w:r>
        <w:rPr>
          <w:rFonts w:ascii="Times New Roman;Times;serif" w:hAnsi="Times New Roman;Times;serif"/>
          <w:sz w:val="24"/>
          <w:u w:val="single"/>
        </w:rPr>
        <w:t>Construction</w:t>
      </w:r>
      <w:r>
        <w:rPr>
          <w:rFonts w:ascii="Times New Roman;Times;serif" w:hAnsi="Times New Roman;Times;serif"/>
          <w:sz w:val="24"/>
        </w:rPr>
        <w:t>.  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r>
        <w:rPr>
          <w:rFonts w:ascii="Times New Roman;Times;serif" w:hAnsi="Times New Roman;Times;serif"/>
          <w:smallCaps/>
          <w:sz w:val="24"/>
        </w:rPr>
        <w:t>.</w:t>
      </w:r>
    </w:p>
    <w:p>
      <w:pPr>
        <w:pStyle w:val="TextBody"/>
        <w:bidi w:val="0"/>
        <w:spacing w:before="0" w:after="240"/>
        <w:ind w:left="0" w:right="0" w:hanging="0"/>
        <w:jc w:val="both"/>
        <w:rPr/>
      </w:pPr>
      <w:r>
        <w:rPr/>
        <w:t>●</w:t>
      </w:r>
      <w:bookmarkStart w:id="1792" w:name="_Toc115421367"/>
      <w:bookmarkEnd w:id="1792"/>
      <w:r>
        <w:rPr>
          <w:rFonts w:ascii="Times New Roman;Times;serif" w:hAnsi="Times New Roman;Times;serif"/>
          <w:sz w:val="24"/>
          <w:u w:val="single"/>
        </w:rPr>
        <w:t>Lender’s Obligations Several</w:t>
      </w:r>
      <w:r>
        <w:rPr>
          <w:rFonts w:ascii="Times New Roman;Times;serif" w:hAnsi="Times New Roman;Times;serif"/>
          <w:sz w:val="24"/>
        </w:rPr>
        <w:t>.  Lender’s and L/C Issuer’s Obligations Several" \l 2 .  The obligations of the Lenders and L/C Issuer hereunder are several and not joint.  Nothing contained in this Agreement and no action taken by the Lenders or L/C Issuer pursuant hereto shall be deemed to constitute the Lenders and L/C Issuer a partnership, association, joint venture or other entity.</w:t>
      </w:r>
    </w:p>
    <w:p>
      <w:pPr>
        <w:pStyle w:val="TextBody"/>
        <w:bidi w:val="0"/>
        <w:spacing w:before="0" w:after="240"/>
        <w:ind w:left="0" w:right="0" w:hanging="0"/>
        <w:jc w:val="both"/>
        <w:rPr/>
      </w:pPr>
      <w:r>
        <w:rPr/>
        <w:t>●</w:t>
      </w:r>
      <w:bookmarkStart w:id="1793" w:name="_Toc115421368"/>
      <w:bookmarkEnd w:id="1793"/>
      <w:r>
        <w:rPr>
          <w:rFonts w:ascii="Times New Roman;Times;serif" w:hAnsi="Times New Roman;Times;serif"/>
          <w:sz w:val="24"/>
          <w:u w:val="single"/>
        </w:rPr>
        <w:t>Submission to Jurisdiction; Waiver of Jury Trial</w:t>
      </w:r>
      <w:r>
        <w:rPr>
          <w:rFonts w:ascii="Times New Roman;Times;serif" w:hAnsi="Times New Roman;Times;serif"/>
          <w:sz w:val="24"/>
        </w:rPr>
        <w:t>.  The Borrower and each Guarantor 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BORROWER, EACH GUARANTOR, THE ADMINISTRATIVE AGENT, THE L/C ISSUER, AND THE LENDERS HEREBY IRREVOCABLY WAIVE ANY AND ALL RIGHT TO TRIAL BY JURY IN ANY LEGAL PROCEEDING ARISING OUT OF OR RELATING TO ANY LOAN DOCUMENT OR THE TRANSACTIONS CONTEMPLATED THEREBY.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1794" w:name="_Toc115421369"/>
      <w:bookmarkEnd w:id="1794"/>
      <w:r>
        <w:rPr>
          <w:rFonts w:ascii="Times New Roman;Times;serif" w:hAnsi="Times New Roman;Times;serif"/>
          <w:sz w:val="24"/>
          <w:u w:val="single"/>
        </w:rPr>
        <w:t>USA Patriot Act</w:t>
      </w:r>
      <w:r>
        <w:rPr>
          <w:rFonts w:ascii="Times New Roman;Times;serif" w:hAnsi="Times New Roman;Times;serif"/>
          <w:sz w:val="24"/>
        </w:rPr>
        <w:t>.  Each Lender and L/C Issuer that is subject to the requirements of the 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L/C Issuer to identify the Borrower in accordance with the Patriot Act.</w:t>
      </w:r>
    </w:p>
    <w:p>
      <w:pPr>
        <w:pStyle w:val="TextBody"/>
        <w:bidi w:val="0"/>
        <w:spacing w:before="0" w:after="240"/>
        <w:ind w:left="0" w:right="0" w:hanging="0"/>
        <w:jc w:val="both"/>
        <w:rPr/>
      </w:pPr>
      <w:r>
        <w:rPr/>
        <w:t>●</w:t>
      </w:r>
      <w:bookmarkStart w:id="1795" w:name="_Toc115421370"/>
      <w:bookmarkEnd w:id="1795"/>
      <w:r>
        <w:rPr>
          <w:rFonts w:ascii="Times New Roman;Times;serif" w:hAnsi="Times New Roman;Times;serif"/>
          <w:sz w:val="24"/>
          <w:u w:val="single"/>
        </w:rPr>
        <w:t>Confidentiality</w:t>
      </w:r>
      <w:r>
        <w:rPr>
          <w:rFonts w:ascii="Times New Roman;Times;serif" w:hAnsi="Times New Roman;Times;serif"/>
          <w:sz w:val="24"/>
        </w:rPr>
        <w:t xml:space="preserve">.  Each of the Administrative Agent, the Lenders, and the L/C Issuer 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provided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provided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or the L/C Issuer on a non confidential basis from a source other than the Borrower or any Subsidiary or any of their directors, officers, employees or agents, including accountants, legal counsel and other advisors; provided that the Administrative Agent, any Lender or the L/C Issuer may use such Information as permitted by clause (a) above, but the Administrative Agent, any Lender or the L/C Issuer shall not otherwise disclose such Information except as permitted by clauses (b) - (g), (i), (j) or (k) of this Section 12.25, (i) to rating agencies if requested or required by such agencies in connection with a rating relating to the Revolving Loans or the Revolving Credit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provided that only basic information about the pricing and structure of the transaction evidenced hereby may be disclosed pursuant to this subsection (j).  For purposes of this Section 12.25, “Information” means all information received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of its Subsidiaries or from any other Person on behalf of the Borrower or any of the Subsidiaries.  Each of the Administrative Agent, the Lenders, and the L/C Issuer specifically acknowledges that the common stock of Parent is traded on the New York Stock Exchange under the trading symbol “PINE.”  Each of the Administrative Agent, the Lenders, and the L/C Issuer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non-public information concerning the issuer of such securities or, subject to certain limited exceptions, from communicating such information to any other Person. </w:t>
      </w:r>
    </w:p>
    <w:p>
      <w:pPr>
        <w:pStyle w:val="TextBody"/>
        <w:bidi w:val="0"/>
        <w:spacing w:before="0" w:after="240"/>
        <w:ind w:left="0" w:right="0" w:hanging="0"/>
        <w:jc w:val="both"/>
        <w:rPr/>
      </w:pPr>
      <w:r>
        <w:rPr/>
        <w:t>●</w:t>
      </w:r>
      <w:bookmarkStart w:id="1796" w:name="_Toc115421371"/>
      <w:bookmarkEnd w:id="1796"/>
      <w:r>
        <w:rPr>
          <w:rFonts w:ascii="Times New Roman;Times;serif" w:hAnsi="Times New Roman;Times;serif"/>
          <w:sz w:val="24"/>
          <w:u w:val="single"/>
        </w:rPr>
        <w:t>Limitation of Recourse</w:t>
      </w:r>
      <w:r>
        <w:rPr>
          <w:rFonts w:ascii="Times New Roman;Times;serif" w:hAnsi="Times New Roman;Times;serif"/>
          <w:i/>
          <w:sz w:val="24"/>
        </w:rPr>
        <w:t>.</w:t>
      </w:r>
      <w:r>
        <w:rPr>
          <w:rFonts w:ascii="Times New Roman;Times;serif" w:hAnsi="Times New Roman;Times;serif"/>
          <w:sz w:val="24"/>
        </w:rPr>
        <w:t xml:space="preserve">  There shall be full recourse to the Borrower and the 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pStyle w:val="TextBody"/>
        <w:bidi w:val="0"/>
        <w:spacing w:before="0" w:after="240"/>
        <w:ind w:left="0" w:right="0" w:hanging="0"/>
        <w:jc w:val="both"/>
        <w:rPr/>
      </w:pPr>
      <w:r>
        <w:rPr/>
        <w:t>●</w:t>
      </w:r>
      <w:bookmarkStart w:id="1797" w:name="_Toc115421372"/>
      <w:bookmarkEnd w:id="1797"/>
      <w:r>
        <w:rPr>
          <w:rFonts w:ascii="Times New Roman;Times;serif" w:hAnsi="Times New Roman;Times;serif"/>
          <w:sz w:val="24"/>
          <w:u w:val="single"/>
        </w:rPr>
        <w:t>Other Taxes</w:t>
      </w:r>
      <w:r>
        <w:rPr>
          <w:rFonts w:ascii="Times New Roman;Times;serif" w:hAnsi="Times New Roman;Times;serif"/>
          <w:sz w:val="24"/>
        </w:rPr>
        <w:t>.  The Borrower agrees to pay on demand, and indemnify and hold the Administrative Agent and the Lenders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240"/>
        <w:ind w:left="0" w:right="0" w:hanging="0"/>
        <w:jc w:val="both"/>
        <w:rPr/>
      </w:pPr>
      <w:r>
        <w:rPr/>
        <w:t>●</w:t>
      </w:r>
      <w:bookmarkStart w:id="1798" w:name="_Toc115421373"/>
      <w:bookmarkEnd w:id="1798"/>
      <w:r>
        <w:rPr>
          <w:rFonts w:ascii="Times New Roman;Times;serif" w:hAnsi="Times New Roman;Times;serif"/>
          <w:sz w:val="24"/>
          <w:u w:val="single"/>
        </w:rPr>
        <w:t>Amendment and Restatement; No Novation</w:t>
      </w:r>
      <w:r>
        <w:rPr>
          <w:rFonts w:ascii="Times New Roman;Times;serif" w:hAnsi="Times New Roman;Times;serif"/>
          <w:sz w:val="24"/>
        </w:rPr>
        <w:t>.  From and after the date of this Agreement, all references to the Original Credit Agreement in any Loan Document or in any other instrument or document shall, unless otherwise explicitly stated therein, be deemed to refer to this Agreement.  This Agreement shall become effective as of the date hereof, and supersede all provisions of the Original Credit Agreement as of such date, upon the execution of this Agreement by each of the parties hereto and fulfillment of the conditions precedent contained in Section 7.2 hereof.  This Agreement shall constitute for all purposes an amendment and restatement of the Original Credit Agreement and not a new agreement and all obligations outstanding under the Original Credit Agreement shall continue to be outstanding hereunder and shall not constitute a novation of the indebtedness or other obligations outstanding under the Original Credit Agreement.  On the Closing Date, the Loans and related Obligations made under the Original Credit Agreement shall be deemed to have been made under this Agreement, without the execution by the Borrower or the Lenders of any other documentation.</w:t>
      </w:r>
    </w:p>
    <w:p>
      <w:pPr>
        <w:pStyle w:val="TextBody"/>
        <w:bidi w:val="0"/>
        <w:spacing w:before="0" w:after="240"/>
        <w:ind w:left="0" w:right="0" w:hanging="0"/>
        <w:jc w:val="both"/>
        <w:rPr/>
      </w:pPr>
      <w:r>
        <w:rPr/>
        <w:t>●</w:t>
      </w:r>
      <w:bookmarkStart w:id="1799" w:name="_Toc115421374"/>
      <w:bookmarkStart w:id="1800" w:name="_Ref114046781"/>
      <w:bookmarkEnd w:id="1799"/>
      <w:bookmarkEnd w:id="1800"/>
      <w:r>
        <w:rPr>
          <w:rFonts w:ascii="Times New Roman;Times;serif" w:hAnsi="Times New Roman;Times;serif"/>
          <w:sz w:val="24"/>
          <w:u w:val="single"/>
        </w:rPr>
        <w:t>Acknowledgement and Consent to Bail-In of Affected Financial Institutions</w:t>
      </w:r>
      <w:r>
        <w:rPr>
          <w:rFonts w:ascii="Times New Roman;Times;serif" w:hAnsi="Times New Roman;Times;serif"/>
          <w:i/>
          <w:sz w:val="24"/>
        </w:rPr>
        <w:t>.  </w:t>
      </w:r>
      <w:r>
        <w:rPr>
          <w:rFonts w:ascii="Times New Roman;Times;serif" w:hAnsi="Times New Roman;Times;serif"/>
          <w:sz w:val="24"/>
        </w:rPr>
        <w:t xml:space="preserve">Notwithstanding anything to the contrary in any Loan Document or in any other agreement, arrangement or understanding among any such parties, each party hereto  acknowledges that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ind w:left="0" w:right="0" w:hanging="0"/>
        <w:jc w:val="both"/>
        <w:rPr/>
      </w:pPr>
      <w:r>
        <w:rPr/>
        <w:t>●</w:t>
      </w:r>
      <w:r>
        <w:rPr>
          <w:rFonts w:ascii="Times New Roman;Times;serif" w:hAnsi="Times New Roman;Times;serif"/>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0" w:right="0" w:hanging="0"/>
        <w:jc w:val="both"/>
        <w:rPr/>
      </w:pPr>
      <w:r>
        <w:rPr/>
        <w:t>●</w:t>
      </w:r>
      <w:r>
        <w:rPr>
          <w:rFonts w:ascii="Times New Roman;Times;serif" w:hAnsi="Times New Roman;Times;serif"/>
          <w:sz w:val="24"/>
        </w:rPr>
        <w:t>the effects of any Bail-In Action on any such liability, including, if applicable:</w:t>
      </w:r>
    </w:p>
    <w:p>
      <w:pPr>
        <w:pStyle w:val="TextBody"/>
        <w:bidi w:val="0"/>
        <w:spacing w:before="0" w:after="240"/>
        <w:ind w:left="720" w:right="0" w:hanging="0"/>
        <w:jc w:val="both"/>
        <w:rPr/>
      </w:pPr>
      <w:r>
        <w:rPr/>
        <w:t>●</w:t>
      </w:r>
      <w:r>
        <w:rPr>
          <w:rFonts w:ascii="Times New Roman;Times;serif" w:hAnsi="Times New Roman;Times;serif"/>
          <w:sz w:val="24"/>
        </w:rPr>
        <w:t>a reduction in full or in part or cancellation of any such liability;</w:t>
      </w:r>
    </w:p>
    <w:p>
      <w:pPr>
        <w:pStyle w:val="TextBody"/>
        <w:bidi w:val="0"/>
        <w:spacing w:before="0" w:after="240"/>
        <w:ind w:left="720" w:right="0" w:hanging="0"/>
        <w:jc w:val="both"/>
        <w:rPr/>
      </w:pPr>
      <w:r>
        <w:rPr/>
        <w:t>●</w:t>
      </w:r>
      <w:r>
        <w:rPr>
          <w:rFonts w:ascii="Times New Roman;Times;serif" w:hAnsi="Times New Roman;Times;serif"/>
          <w:sz w:val="24"/>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720" w:right="0" w:hanging="0"/>
        <w:jc w:val="both"/>
        <w:rPr/>
      </w:pPr>
      <w:r>
        <w:rPr/>
        <w:t>●</w:t>
      </w:r>
      <w:r>
        <w:rPr>
          <w:rFonts w:ascii="Times New Roman;Times;serif" w:hAnsi="Times New Roman;Times;serif"/>
          <w:sz w:val="24"/>
        </w:rPr>
        <w:t>the variation of the terms of such liability in connection with the exercise of the write-down and conversion powers of any Affected Resolution Authority.</w:t>
      </w:r>
    </w:p>
    <w:p>
      <w:pPr>
        <w:pStyle w:val="TextBody"/>
        <w:bidi w:val="0"/>
        <w:spacing w:before="0" w:after="240"/>
        <w:ind w:left="0" w:right="0" w:hanging="0"/>
        <w:jc w:val="both"/>
        <w:rPr/>
      </w:pPr>
      <w:r>
        <w:rPr/>
        <w:t>●</w:t>
      </w:r>
      <w:bookmarkStart w:id="1801" w:name="_Toc115421375"/>
      <w:bookmarkEnd w:id="1801"/>
      <w:r>
        <w:rPr>
          <w:rFonts w:ascii="Times New Roman;Times;serif" w:hAnsi="Times New Roman;Times;serif"/>
          <w:sz w:val="24"/>
          <w:u w:val="single"/>
        </w:rPr>
        <w:t>Acknowledgement Regarding Any Supported QFCs</w:t>
      </w:r>
      <w:r>
        <w:rPr>
          <w:rFonts w:ascii="Times New Roman;Times;serif" w:hAnsi="Times New Roman;Times;serif"/>
          <w:i/>
          <w:sz w:val="24"/>
        </w:rPr>
        <w:t>.  </w:t>
      </w:r>
      <w:r>
        <w:rPr>
          <w:rFonts w:ascii="Times New Roman;Times;serif" w:hAnsi="Times New Roman;Times;serif"/>
          <w:sz w:val="24"/>
        </w:rPr>
        <w:t>To the extent that the  Loan Documents provide support, through a guarantee or otherwise, for Hedging Agreements or any other agreement or instrument that is a QFC (such support, “</w:t>
      </w:r>
      <w:r>
        <w:rPr>
          <w:rFonts w:ascii="Times New Roman;Times;serif" w:hAnsi="Times New Roman;Times;serif"/>
          <w:i/>
          <w:sz w:val="24"/>
        </w:rPr>
        <w:t>QFC Credit Support”</w:t>
      </w:r>
      <w:r>
        <w:rPr>
          <w:rFonts w:ascii="Times New Roman;Times;serif" w:hAnsi="Times New Roman;Times;serif"/>
          <w:sz w:val="24"/>
        </w:rPr>
        <w:t xml:space="preserve"> and each such QFC a “</w:t>
      </w:r>
      <w:r>
        <w:rPr>
          <w:rFonts w:ascii="Times New Roman;Times;serif" w:hAnsi="Times New Roman;Times;serif"/>
          <w:i/>
          <w:sz w:val="24"/>
        </w:rPr>
        <w:t>Supported QFC”</w:t>
      </w:r>
      <w:r>
        <w:rPr>
          <w:rFonts w:ascii="Times New Roman;Times;serif" w:hAnsi="Times New Roman;Times;serif"/>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i/>
          <w:sz w:val="24"/>
        </w:rPr>
        <w:t>U.S. Special Resolution Regimes”</w:t>
      </w:r>
      <w:r>
        <w:rPr>
          <w:rFonts w:ascii="Times New Roman;Times;serif" w:hAnsi="Times New Roman;Times;serif"/>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0" w:right="0" w:hanging="0"/>
        <w:jc w:val="both"/>
        <w:rPr/>
      </w:pPr>
      <w:r>
        <w:rPr/>
        <w:t>●</w:t>
      </w:r>
      <w:r>
        <w:rPr>
          <w:rFonts w:ascii="Times New Roman;Times;serif" w:hAnsi="Times New Roman;Times;serif"/>
          <w:sz w:val="24"/>
        </w:rPr>
        <w:t>In the event a Covered Entity that is party to a Supported QFC (each, a “</w:t>
      </w:r>
      <w:r>
        <w:rPr>
          <w:rFonts w:ascii="Times New Roman;Times;serif" w:hAnsi="Times New Roman;Times;serif"/>
          <w:i/>
          <w:sz w:val="24"/>
        </w:rPr>
        <w:t>Covered Party”</w:t>
      </w:r>
      <w:r>
        <w:rPr>
          <w:rFonts w:ascii="Times New Roman;Times;serif" w:hAnsi="Times New Roman;Times;serif"/>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ind w:left="0" w:right="0" w:hanging="0"/>
        <w:jc w:val="both"/>
        <w:rPr/>
      </w:pPr>
      <w:r>
        <w:rPr/>
        <w:t>●</w:t>
      </w:r>
      <w:r>
        <w:rPr>
          <w:rFonts w:ascii="Times New Roman;Times;serif" w:hAnsi="Times New Roman;Times;serif"/>
          <w:sz w:val="24"/>
        </w:rPr>
        <w:t>As used in this Section, the following terms have the following meanings:</w:t>
      </w:r>
    </w:p>
    <w:p>
      <w:pPr>
        <w:pStyle w:val="TextBody"/>
        <w:bidi w:val="0"/>
        <w:spacing w:before="0" w:after="240"/>
        <w:ind w:left="720" w:right="0" w:hanging="0"/>
        <w:jc w:val="both"/>
        <w:rPr/>
      </w:pPr>
      <w:r>
        <w:rPr/>
        <w:t>“</w:t>
      </w:r>
      <w:r>
        <w:rPr>
          <w:rFonts w:ascii="Times" w:hAnsi="Times"/>
          <w:i/>
          <w:sz w:val="24"/>
        </w:rPr>
        <w:t xml:space="preserve">BHC Act Affiliate” </w:t>
      </w:r>
      <w:r>
        <w:rPr>
          <w:rFonts w:ascii="Times" w:hAnsi="Times"/>
          <w:sz w:val="24"/>
        </w:rPr>
        <w:t>of a party means an “affiliate” (as such term is defined under, and interpreted in accordance with, 12 U.S.C. 1841(k)) of such party.</w:t>
      </w:r>
    </w:p>
    <w:p>
      <w:pPr>
        <w:pStyle w:val="TextBody"/>
        <w:bidi w:val="0"/>
        <w:spacing w:before="0" w:after="240"/>
        <w:ind w:left="720" w:right="0" w:hanging="0"/>
        <w:jc w:val="both"/>
        <w:rPr/>
      </w:pPr>
      <w:r>
        <w:rPr/>
        <w:t>“</w:t>
      </w:r>
      <w:r>
        <w:rPr>
          <w:rFonts w:ascii="Times" w:hAnsi="Times"/>
          <w:i/>
          <w:sz w:val="24"/>
        </w:rPr>
        <w:t>Covered Entity</w:t>
      </w:r>
      <w:r>
        <w:rPr>
          <w:rFonts w:ascii="Times New Roman;Times;serif" w:hAnsi="Times New Roman;Times;serif"/>
          <w:sz w:val="24"/>
        </w:rPr>
        <w:t xml:space="preserve">” </w:t>
      </w:r>
      <w:r>
        <w:rPr>
          <w:rFonts w:ascii="Times" w:hAnsi="Times"/>
          <w:sz w:val="24"/>
        </w:rPr>
        <w:t>means any of the following:</w:t>
      </w:r>
    </w:p>
    <w:p>
      <w:pPr>
        <w:pStyle w:val="TextBody"/>
        <w:bidi w:val="0"/>
        <w:spacing w:before="0" w:after="240"/>
        <w:ind w:left="720" w:right="0" w:hanging="0"/>
        <w:jc w:val="both"/>
        <w:rPr/>
      </w:pPr>
      <w:r>
        <w:rPr/>
        <w:t>●</w:t>
      </w:r>
      <w:r>
        <w:rPr>
          <w:rFonts w:ascii="Times New Roman;Times;serif" w:hAnsi="Times New Roman;Times;serif"/>
          <w:sz w:val="24"/>
        </w:rPr>
        <w:t>a “covered entity” as that term is defined in, and interpreted in accordance with, 12 C.F.R. §252.82(b);</w:t>
      </w:r>
    </w:p>
    <w:p>
      <w:pPr>
        <w:pStyle w:val="TextBody"/>
        <w:bidi w:val="0"/>
        <w:spacing w:before="0" w:after="240"/>
        <w:ind w:left="720" w:right="0" w:hanging="0"/>
        <w:jc w:val="both"/>
        <w:rPr/>
      </w:pPr>
      <w:r>
        <w:rPr/>
        <w:t>●</w:t>
      </w:r>
      <w:r>
        <w:rPr>
          <w:rFonts w:ascii="Times New Roman;Times;serif" w:hAnsi="Times New Roman;Times;serif"/>
          <w:sz w:val="24"/>
        </w:rPr>
        <w:t>a “covered bank” as that term is defined in, and interpreted in accordance with, 12 C.F.R. §47.3(b); or</w:t>
      </w:r>
    </w:p>
    <w:p>
      <w:pPr>
        <w:pStyle w:val="TextBody"/>
        <w:bidi w:val="0"/>
        <w:ind w:left="720" w:right="0" w:hanging="0"/>
        <w:jc w:val="both"/>
        <w:rPr/>
      </w:pPr>
      <w:r>
        <w:rPr/>
        <w:t>●</w:t>
      </w:r>
      <w:r>
        <w:rPr>
          <w:rFonts w:ascii="Times New Roman;Times;serif" w:hAnsi="Times New Roman;Times;serif"/>
          <w:sz w:val="24"/>
        </w:rPr>
        <w:t>a “covered FSI” as that term is defined in, and interpreted in accordance with, 12 C.F.R. §382.2(b).</w:t>
      </w:r>
    </w:p>
    <w:p>
      <w:pPr>
        <w:pStyle w:val="TextBody"/>
        <w:bidi w:val="0"/>
        <w:spacing w:before="0" w:after="240"/>
        <w:ind w:left="720" w:right="0" w:hanging="0"/>
        <w:jc w:val="both"/>
        <w:rPr/>
      </w:pPr>
      <w:r>
        <w:rPr/>
        <w:t>“</w:t>
      </w:r>
      <w:r>
        <w:rPr>
          <w:rFonts w:ascii="Times" w:hAnsi="Times"/>
          <w:i/>
          <w:sz w:val="24"/>
        </w:rPr>
        <w:t>Default Rights”</w:t>
      </w:r>
      <w:r>
        <w:rPr>
          <w:rFonts w:ascii="Times New Roman;Times;serif" w:hAnsi="Times New Roman;Times;serif"/>
          <w:sz w:val="24"/>
        </w:rPr>
        <w:t xml:space="preserve"> </w:t>
      </w:r>
      <w:r>
        <w:rPr>
          <w:rFonts w:ascii="Times" w:hAnsi="Times"/>
          <w:sz w:val="24"/>
        </w:rPr>
        <w:t>has the meaning assigned to that term in, and shall be interpreted in accordance with, 12 C.F.R. §§252.81, 47.2 or 382.1, as applicable.</w:t>
      </w:r>
    </w:p>
    <w:p>
      <w:pPr>
        <w:pStyle w:val="TextBody"/>
        <w:bidi w:val="0"/>
        <w:spacing w:before="0" w:after="240"/>
        <w:ind w:left="720" w:right="0" w:hanging="0"/>
        <w:jc w:val="both"/>
        <w:rPr/>
      </w:pPr>
      <w:r>
        <w:rPr/>
        <w:t>“</w:t>
      </w:r>
      <w:r>
        <w:rPr>
          <w:rFonts w:ascii="Times" w:hAnsi="Times"/>
          <w:i/>
          <w:sz w:val="24"/>
        </w:rPr>
        <w:t>QFC”</w:t>
      </w:r>
      <w:r>
        <w:rPr>
          <w:rFonts w:ascii="Times New Roman;Times;serif" w:hAnsi="Times New Roman;Times;serif"/>
          <w:sz w:val="24"/>
        </w:rPr>
        <w:t xml:space="preserve"> </w:t>
      </w:r>
      <w:r>
        <w:rPr>
          <w:rFonts w:ascii="Times" w:hAnsi="Times"/>
          <w:sz w:val="24"/>
        </w:rPr>
        <w:t>has the meaning assigned to the term “qualified financial contract” in, and shall be interpreted in accordance with, 12 U.S.C. 5390(c)(8)(D).</w:t>
      </w:r>
    </w:p>
    <w:p>
      <w:pPr>
        <w:pStyle w:val="TextBody"/>
        <w:bidi w:val="0"/>
        <w:spacing w:before="0" w:after="240"/>
        <w:ind w:left="0" w:right="0" w:hanging="0"/>
        <w:jc w:val="both"/>
        <w:rPr/>
      </w:pPr>
      <w:r>
        <w:rPr/>
        <w:t>●</w:t>
      </w:r>
      <w:bookmarkStart w:id="1802" w:name="_Toc115421376"/>
      <w:bookmarkEnd w:id="1802"/>
      <w:r>
        <w:rPr>
          <w:rFonts w:ascii="Times New Roman;Times;serif" w:hAnsi="Times New Roman;Times;serif"/>
          <w:sz w:val="24"/>
          <w:u w:val="single"/>
        </w:rPr>
        <w:t>Erroneous Payment</w:t>
      </w: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rPr>
        <w:t>If Administrative Agent notifies a Lender, or any Person who has received funds on behalf of a Lender (any such Lender or other recipient, a “</w:t>
      </w:r>
      <w:r>
        <w:rPr>
          <w:rFonts w:ascii="Times New Roman;Times;serif" w:hAnsi="Times New Roman;Times;serif"/>
          <w:i/>
          <w:sz w:val="24"/>
        </w:rPr>
        <w:t>Payment Recipient</w:t>
      </w:r>
      <w:r>
        <w:rPr>
          <w:rFonts w:ascii="Times New Roman;Times;serif" w:hAnsi="Times New Roman;Times;serif"/>
          <w:sz w:val="24"/>
        </w:rPr>
        <w:t>”) that Administrative Agent has determined in its sole discretion (whether or not after receipt of any notice under Section 12.30(b)) that any funds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i/>
          <w:sz w:val="24"/>
        </w:rPr>
        <w:t>Erroneous Payment</w:t>
      </w:r>
      <w:r>
        <w:rPr>
          <w:rFonts w:ascii="Times New Roman;Times;serif" w:hAnsi="Times New Roman;Times;serif"/>
          <w:sz w:val="24"/>
        </w:rPr>
        <w:t xml:space="preserve">”)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pStyle w:val="TextBody"/>
        <w:bidi w:val="0"/>
        <w:ind w:left="0" w:right="0" w:hanging="0"/>
        <w:jc w:val="both"/>
        <w:rPr/>
      </w:pPr>
      <w:r>
        <w:rPr/>
        <w:t>●</w:t>
      </w:r>
      <w:r>
        <w:rPr>
          <w:rFonts w:ascii="Times New Roman;Times;serif" w:hAnsi="Times New Roman;Times;serif"/>
          <w:sz w:val="24"/>
        </w:rPr>
        <w:t>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w:t>
      </w:r>
      <w:r>
        <w:rPr>
          <w:rFonts w:ascii="Times New Roman;Times;serif" w:hAnsi="Times New Roman;Times;serif"/>
          <w:sz w:val="24"/>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(ii)</w:t>
      </w:r>
      <w:r>
        <w:rPr>
          <w:rFonts w:ascii="Times New Roman;Times;serif" w:hAnsi="Times New Roman;Times;serif"/>
          <w:sz w:val="24"/>
        </w:rPr>
        <w:t>such Lender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For the avoidance of doubt, the failure to deliver a notice to the Administrative Agent pursuant to this Section 12.30(b) shall not have any effect on a Payment Recipient’s obligations pursuant to Section 12.30(b) or on whether or not an Erroneous Payment has been made.</w:t>
      </w:r>
    </w:p>
    <w:p>
      <w:pPr>
        <w:pStyle w:val="TextBody"/>
        <w:bidi w:val="0"/>
        <w:spacing w:before="0" w:after="240"/>
        <w:ind w:left="0" w:right="0" w:hanging="0"/>
        <w:jc w:val="both"/>
        <w:rPr/>
      </w:pPr>
      <w:r>
        <w:rPr/>
        <w:t>●</w:t>
      </w:r>
      <w:r>
        <w:rPr>
          <w:rFonts w:ascii="Times New Roman;Times;serif" w:hAnsi="Times New Roman;Times;serif"/>
          <w:sz w:val="24"/>
        </w:rPr>
        <w:t>Each Lender hereby authorizes Administrative Agent to set off, net and apply any and all amounts at any time owing to such Lender under any Loan Document, or otherwise payable or distributable by Administrative Agent to such Lender from any source, against any amount due to Administrative Agent under Section 12.30(a) or under the indemnification provisions of this Agreement.</w:t>
      </w:r>
    </w:p>
    <w:p>
      <w:pPr>
        <w:pStyle w:val="TextBody"/>
        <w:bidi w:val="0"/>
        <w:ind w:left="0" w:right="0" w:hanging="0"/>
        <w:jc w:val="both"/>
        <w:rPr/>
      </w:pPr>
      <w:r>
        <w:rPr/>
        <w:t>●</w:t>
      </w:r>
      <w:r>
        <w:rPr>
          <w:rFonts w:ascii="Times New Roman;Times;serif" w:hAnsi="Times New Roman;Times;serif"/>
          <w:sz w:val="24"/>
        </w:rPr>
        <w:t>(i) Notwithstanding anything contained in Section 12.30, 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i/>
          <w:sz w:val="24"/>
        </w:rPr>
        <w:t>Erroneous Payment Return Deficiency</w:t>
      </w:r>
      <w:r>
        <w:rPr>
          <w:rFonts w:ascii="Times New Roman;Times;serif" w:hAnsi="Times New Roman;Times;serif"/>
          <w:sz w:val="24"/>
        </w:rPr>
        <w:t xml:space="preserve">”), upon Administrative Agent’s notice to such Lender at any time, then effective immediately (with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consideration therefor being acknowledged by the parties hereto), (A) such Lender shall be deemed to have assigned its Loans (but not its Commitments) of the relevant Class with respect to which such Erroneous Payment was made (the “</w:t>
      </w:r>
      <w:r>
        <w:rPr>
          <w:rFonts w:ascii="Times New Roman;Times;serif" w:hAnsi="Times New Roman;Times;serif"/>
          <w:i/>
          <w:sz w:val="24"/>
        </w:rPr>
        <w:t>Erroneous Payment Impacted Class</w:t>
      </w:r>
      <w:r>
        <w:rPr>
          <w:rFonts w:ascii="Times New Roman;Times;serif" w:hAnsi="Times New Roman;Times;serif"/>
          <w:sz w:val="24"/>
        </w:rPr>
        <w:t>”) in an amount equal to the Erroneous Payment Return Deficiency (or such lesser amount as Administrative Agent may specify) (such assignment of the Loans (but not Commitments) of the Erroneous Payment Impacted Class, the “</w:t>
      </w:r>
      <w:r>
        <w:rPr>
          <w:rFonts w:ascii="Times New Roman;Times;serif" w:hAnsi="Times New Roman;Times;serif"/>
          <w:i/>
          <w:sz w:val="24"/>
        </w:rPr>
        <w:t>Erroneous Payment Deficiency Assignment</w:t>
      </w:r>
      <w:r>
        <w:rPr>
          <w:rFonts w:ascii="Times New Roman;Times;serif" w:hAnsi="Times New Roman;Times;serif"/>
          <w:sz w:val="24"/>
        </w:rPr>
        <w:t>”) (on a cashless basis and such amount calculated at par plus any accrued and unpaid interest (with the assignment fee to be waived by Administrative Agent in such instance)), and is hereby (together with Borrower) deemed to execute and deliver an Assignment and Acceptance with respect to such Erroneous Payment Deficiency Assignment, and such Lender shall deliver any Notes evidencing such Loans to Borrower Representative or Administrative Agent (but the failure of such Person to deliver any such Notes shall not affect the effectiveness of the foregoing assignment), (B) Administrative Agent as the assignee Lender shall be deemed to acquire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(ii)  Subject to this Section 12.30,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before="0" w:after="240"/>
        <w:ind w:left="0" w:right="0" w:hanging="0"/>
        <w:jc w:val="both"/>
        <w:rPr/>
      </w:pPr>
      <w:r>
        <w:rPr/>
        <w:t>●</w:t>
      </w:r>
      <w:r>
        <w:rPr>
          <w:rFonts w:ascii="Times New Roman;Times;serif" w:hAnsi="Times New Roman;Times;serif"/>
          <w:sz w:val="24"/>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Times;serif" w:hAnsi="Times New Roman;Times;serif"/>
          <w:i/>
          <w:sz w:val="24"/>
        </w:rPr>
        <w:t>Erroneous Payment Subrogation Rights</w:t>
      </w:r>
      <w:r>
        <w:rPr>
          <w:rFonts w:ascii="Times New Roman;Times;serif" w:hAnsi="Times New Roman;Times;serif"/>
          <w:sz w:val="24"/>
        </w:rPr>
        <w:t>”) (</w:t>
      </w:r>
      <w:r>
        <w:rPr>
          <w:rFonts w:ascii="Times New Roman;Times;serif" w:hAnsi="Times New Roman;Times;serif"/>
          <w:sz w:val="24"/>
          <w:u w:val="single"/>
        </w:rPr>
        <w:t>provided</w:t>
      </w:r>
      <w:r>
        <w:rPr>
          <w:rFonts w:ascii="Times New Roman;Times;serif" w:hAnsi="Times New Roman;Times;serif"/>
          <w:sz w:val="24"/>
        </w:rPr>
        <w:t xml:space="preserve"> that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Borrower’s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w:t>
      </w:r>
      <w:r>
        <w:rPr>
          <w:rFonts w:ascii="Times New Roman;Times;serif" w:hAnsi="Times New Roman;Times;serif"/>
          <w:sz w:val="24"/>
          <w:u w:val="single"/>
        </w:rPr>
        <w:t>provided</w:t>
      </w:r>
      <w:r>
        <w:rPr>
          <w:rFonts w:ascii="Times New Roman;Times;serif" w:hAnsi="Times New Roman;Times;serif"/>
          <w:sz w:val="24"/>
        </w:rPr>
        <w:t xml:space="preserve"> that this Section 12.30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before="0" w:after="240"/>
        <w:ind w:left="0" w:right="0" w:hanging="0"/>
        <w:jc w:val="both"/>
        <w:rPr/>
      </w:pPr>
      <w:r>
        <w:rPr/>
        <w:t>●</w:t>
      </w:r>
      <w:r>
        <w:rPr>
          <w:rFonts w:ascii="Times New Roman;Times;serif" w:hAnsi="Times New Roman;Times;serif"/>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both"/>
        <w:rPr/>
      </w:pPr>
      <w:r>
        <w:rPr/>
        <w:t>●</w:t>
      </w:r>
      <w:r>
        <w:rPr>
          <w:rFonts w:ascii="Times New Roman;Times;serif" w:hAnsi="Times New Roman;Times;serif"/>
          <w:sz w:val="24"/>
        </w:rPr>
        <w:t>Each party’s obligations, agreements and waivers under this Section 12.30 shall survive the resignation or replacement of Administrative Agent, any transfer of rights or obligations by, or the replacement of, a Lender, the termination of the Commitments and/or the repayment, satisfaction or discharge of all Obligations (or any portion thereof).</w:t>
      </w:r>
    </w:p>
    <w:p>
      <w:pPr>
        <w:pStyle w:val="TextBody"/>
        <w:bidi w:val="0"/>
        <w:spacing w:before="0" w:after="240"/>
        <w:ind w:left="720" w:right="0" w:hanging="0"/>
        <w:jc w:val="both"/>
        <w:rPr/>
      </w:pPr>
      <w:r>
        <w:rPr>
          <w:caps/>
        </w:rPr>
        <w:t>●</w:t>
      </w:r>
      <w:bookmarkStart w:id="1803" w:name="_Toc115421377"/>
      <w:bookmarkEnd w:id="1803"/>
      <w:r>
        <w:rPr>
          <w:rFonts w:ascii="Times New Roman;Times;serif" w:hAnsi="Times New Roman;Times;serif"/>
          <w:caps/>
          <w:sz w:val="24"/>
        </w:rPr>
        <w:t>The Guarantees.</w:t>
      </w:r>
    </w:p>
    <w:p>
      <w:pPr>
        <w:pStyle w:val="TextBody"/>
        <w:bidi w:val="0"/>
        <w:spacing w:before="0" w:after="240"/>
        <w:ind w:left="0" w:right="0" w:hanging="0"/>
        <w:jc w:val="both"/>
        <w:rPr/>
      </w:pPr>
      <w:r>
        <w:rPr/>
        <w:t>●</w:t>
      </w:r>
      <w:bookmarkStart w:id="1804" w:name="_Toc115421378"/>
      <w:bookmarkEnd w:id="1804"/>
      <w:r>
        <w:rPr>
          <w:rFonts w:ascii="Times New Roman;Times;serif" w:hAnsi="Times New Roman;Times;serif"/>
          <w:sz w:val="24"/>
          <w:u w:val="single"/>
        </w:rPr>
        <w:t>The Guarantees</w:t>
      </w:r>
      <w:r>
        <w:rPr>
          <w:rFonts w:ascii="Times New Roman;Times;serif" w:hAnsi="Times New Roman;Times;serif"/>
          <w:sz w:val="24"/>
        </w:rPr>
        <w:t xml:space="preserve">.  To induce the Lenders to provide the credits described herein and in consideration of benefits expected to accrue to the Borrower by reason of the Loans and Revolving Credit Commitments and for other good and valuable consideration, receipt of which is hereby acknowledged, Parent and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their Affiliates, and each Qualifying Counterparty (even if such Qualifying Counterparty or any Person affiliated with such Qualifying Counterparty shall cease to be a Lender hereunder), the due and punctual payment of all present and future Obligations, including, but not limited to, the due and punctual payment of principal of and interest on the Term Loans, Incremental Term Loans (if any), Revolving Loans, Swing Loans, the Reimbursement Obligations,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same shall become due and payable, whether at stated maturity, by acceleration, or otherwise, and as if such payment were made by the Borrower or such obligor.</w:t>
      </w:r>
    </w:p>
    <w:p>
      <w:pPr>
        <w:pStyle w:val="TextBody"/>
        <w:bidi w:val="0"/>
        <w:spacing w:before="0" w:after="240"/>
        <w:ind w:left="0" w:right="0" w:hanging="0"/>
        <w:jc w:val="both"/>
        <w:rPr/>
      </w:pPr>
      <w:r>
        <w:rPr/>
        <w:t>●</w:t>
      </w:r>
      <w:bookmarkStart w:id="1805" w:name="_Toc115421379"/>
      <w:bookmarkEnd w:id="1805"/>
      <w:r>
        <w:rPr>
          <w:rFonts w:ascii="Times New Roman;Times;serif" w:hAnsi="Times New Roman;Times;serif"/>
          <w:sz w:val="24"/>
          <w:u w:val="single"/>
        </w:rPr>
        <w:t>Guarantee Unconditional</w:t>
      </w:r>
      <w:r>
        <w:rPr>
          <w:rFonts w:ascii="Times New Roman;Times;serif" w:hAnsi="Times New Roman;Times;serif"/>
          <w:sz w:val="24"/>
        </w:rPr>
        <w:t>.  The obligations of each Guarantor under this Section 13 shall be unconditional and absolute and, without limiting the generality of the foregoing, shall not be released, discharged, or otherwise affected by:</w:t>
      </w:r>
    </w:p>
    <w:p>
      <w:pPr>
        <w:pStyle w:val="TextBody"/>
        <w:bidi w:val="0"/>
        <w:spacing w:before="0" w:after="240"/>
        <w:ind w:left="0" w:right="0" w:hanging="0"/>
        <w:jc w:val="both"/>
        <w:rPr/>
      </w:pPr>
      <w:r>
        <w:rPr/>
        <w:t>●</w:t>
      </w:r>
      <w:r>
        <w:rPr>
          <w:rFonts w:ascii="Times New Roman;Times;serif" w:hAnsi="Times New Roman;Times;serif"/>
          <w:sz w:val="24"/>
        </w:rPr>
        <w:t>any extension, renewal, settlement, compromise, waiver, or release in respect of any obligation of the Borrower or other obligor or of any other guarantor under this Agreement or any other Loan Document or by operation of law or otherwise;</w:t>
      </w:r>
    </w:p>
    <w:p>
      <w:pPr>
        <w:pStyle w:val="TextBody"/>
        <w:bidi w:val="0"/>
        <w:spacing w:before="0" w:after="240"/>
        <w:ind w:left="0" w:right="0" w:hanging="0"/>
        <w:jc w:val="both"/>
        <w:rPr/>
      </w:pPr>
      <w:r>
        <w:rPr/>
        <w:t>●</w:t>
      </w:r>
      <w:r>
        <w:rPr>
          <w:rFonts w:ascii="Times New Roman;Times;serif" w:hAnsi="Times New Roman;Times;serif"/>
          <w:sz w:val="24"/>
        </w:rPr>
        <w:t>any modification or amendment of or supplement to this Agreement or any other Loan Document;</w:t>
      </w:r>
    </w:p>
    <w:p>
      <w:pPr>
        <w:pStyle w:val="TextBody"/>
        <w:bidi w:val="0"/>
        <w:spacing w:before="0" w:after="240"/>
        <w:ind w:left="0" w:right="0" w:hanging="0"/>
        <w:jc w:val="both"/>
        <w:rPr/>
      </w:pPr>
      <w:r>
        <w:rPr/>
        <w:t>●</w:t>
      </w:r>
      <w:r>
        <w:rPr>
          <w:rFonts w:ascii="Times New Roman;Times;serif" w:hAnsi="Times New Roman;Times;serif"/>
          <w:sz w:val="24"/>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pStyle w:val="TextBody"/>
        <w:bidi w:val="0"/>
        <w:spacing w:before="0" w:after="240"/>
        <w:ind w:left="0" w:right="0" w:hanging="0"/>
        <w:jc w:val="both"/>
        <w:rPr/>
      </w:pPr>
      <w:r>
        <w:rPr/>
        <w:t>●</w:t>
      </w:r>
      <w:r>
        <w:rPr>
          <w:rFonts w:ascii="Times New Roman;Times;serif" w:hAnsi="Times New Roman;Times;serif"/>
          <w:sz w:val="24"/>
        </w:rPr>
        <w:t>the existence of any claim, set-off, or other rights which the Borrower or other obligor or any other guarantor may have at any time against the Administrative Agent, any Lender, or any other Person, whether or not arising in connection herewith;</w:t>
      </w:r>
    </w:p>
    <w:p>
      <w:pPr>
        <w:pStyle w:val="TextBody"/>
        <w:bidi w:val="0"/>
        <w:spacing w:before="0" w:after="240"/>
        <w:ind w:left="0" w:right="0" w:hanging="0"/>
        <w:jc w:val="both"/>
        <w:rPr/>
      </w:pPr>
      <w:r>
        <w:rPr/>
        <w:t>●</w:t>
      </w:r>
      <w:r>
        <w:rPr>
          <w:rFonts w:ascii="Times New Roman;Times;serif" w:hAnsi="Times New Roman;Times;serif"/>
          <w:sz w:val="24"/>
        </w:rPr>
        <w:t xml:space="preserve">any failure to assert, or any assertion of, any claim or demand or any exercise of, or failure to exercise, any rights or remedies against the Borrower or other obligor, any other guarantor, or any other Person or </w:t>
      </w:r>
      <w:bookmarkStart w:id="1806" w:name="_cp_change_191"/>
      <w:bookmarkEnd w:id="1806"/>
      <w:r>
        <w:rPr>
          <w:rFonts w:ascii="Times New Roman;Times;serif" w:hAnsi="Times New Roman;Times;serif"/>
          <w:color w:val="FF0000"/>
          <w:sz w:val="24"/>
        </w:rPr>
        <w:t>Property</w:t>
      </w:r>
      <w:bookmarkStart w:id="1807" w:name="_cp_change_192"/>
      <w:bookmarkEnd w:id="1807"/>
      <w:r>
        <w:rPr>
          <w:rFonts w:ascii="Times New Roman;Times;serif" w:hAnsi="Times New Roman;Times;serif"/>
          <w:color w:val="0000FF"/>
          <w:sz w:val="24"/>
          <w:u w:val="single"/>
        </w:rPr>
        <w:t>Properties or other assets</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any application of any sums by whomsoever paid or howsoever realized to any obligation of the Borrower or other obligor, regardless of what obligations of the Borrower or other obligor remain unpaid;</w:t>
      </w:r>
    </w:p>
    <w:p>
      <w:pPr>
        <w:pStyle w:val="TextBody"/>
        <w:bidi w:val="0"/>
        <w:spacing w:before="0" w:after="240"/>
        <w:ind w:left="0" w:right="0" w:hanging="0"/>
        <w:jc w:val="both"/>
        <w:rPr/>
      </w:pPr>
      <w:r>
        <w:rPr/>
        <w:t>●</w:t>
      </w:r>
      <w:r>
        <w:rPr>
          <w:rFonts w:ascii="Times New Roman;Times;serif" w:hAnsi="Times New Roman;Times;serif"/>
          <w:sz w:val="24"/>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Term Loans, Incremental Term Loans (if any), Revolving Loan or any Reimbursement Obligation or any other amount payable under the Loan Documents; or</w:t>
      </w:r>
    </w:p>
    <w:p>
      <w:pPr>
        <w:pStyle w:val="TextBody"/>
        <w:bidi w:val="0"/>
        <w:spacing w:before="0" w:after="0"/>
        <w:ind w:left="0" w:right="0" w:hanging="0"/>
        <w:jc w:val="both"/>
        <w:rPr/>
      </w:pPr>
      <w:r>
        <w:rPr/>
        <w:t>●</w:t>
      </w:r>
      <w:r>
        <w:rPr>
          <w:rFonts w:ascii="Times New Roman;Times;serif" w:hAnsi="Times New Roman;Times;serif"/>
          <w:sz w:val="24"/>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pStyle w:val="TextBody"/>
        <w:bidi w:val="0"/>
        <w:spacing w:before="0" w:after="240"/>
        <w:ind w:left="0" w:right="0" w:hanging="0"/>
        <w:jc w:val="both"/>
        <w:rPr/>
      </w:pPr>
      <w:r>
        <w:rPr/>
        <w:t>●</w:t>
      </w:r>
      <w:bookmarkStart w:id="1808" w:name="_Toc115421380"/>
      <w:bookmarkEnd w:id="1808"/>
      <w:r>
        <w:rPr>
          <w:rFonts w:ascii="Times New Roman;Times;serif" w:hAnsi="Times New Roman;Times;serif"/>
          <w:sz w:val="24"/>
          <w:u w:val="single"/>
        </w:rPr>
        <w:t>Discharge Only upon Payment in Full; Reinstatement in Certain Circumstances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Each Guarantor’s obligations under this Section 13 shall remain in full force and effect until the Revolving Credit Commitments are terminated, all Letters of Credit have expired, and the principal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of and interest on the Loans and all other amounts payable by the Borrower and the Guarantors under this Agreement and all other Loan Documents have been paid in full.  If at any time any payment of the principal of or interest on any Loan or any Reimbursement Obligation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pStyle w:val="TextBody"/>
        <w:bidi w:val="0"/>
        <w:spacing w:before="0" w:after="240"/>
        <w:ind w:left="0" w:right="0" w:hanging="0"/>
        <w:jc w:val="both"/>
        <w:rPr/>
      </w:pPr>
      <w:r>
        <w:rPr/>
        <w:t>●</w:t>
      </w:r>
      <w:bookmarkStart w:id="1809" w:name="_Toc115421381"/>
      <w:bookmarkEnd w:id="1809"/>
      <w:r>
        <w:rPr>
          <w:rFonts w:ascii="Times New Roman;Times;serif" w:hAnsi="Times New Roman;Times;serif"/>
          <w:sz w:val="24"/>
          <w:u w:val="single"/>
        </w:rPr>
        <w:t>Subrogation</w:t>
      </w:r>
      <w:r>
        <w:rPr>
          <w:rFonts w:ascii="Times New Roman;Times;serif" w:hAnsi="Times New Roman;Times;serif"/>
          <w:sz w:val="24"/>
        </w:rPr>
        <w:t>.  Each Guarantor agrees it will not exercise any rights which it may acquire by way of subrogation by any payment made hereunder, or otherwise, until all the obligations guaranteed hereby shall have been paid in full subsequent to the termination of all the Revolving Credit Commitments and Swing Line and expiration of all Letters of Credit.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Revolving Credit Commitments and Swing Line and expiration of all Letters of Credit,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pStyle w:val="TextBody"/>
        <w:bidi w:val="0"/>
        <w:spacing w:before="0" w:after="240"/>
        <w:ind w:left="0" w:right="0" w:hanging="0"/>
        <w:jc w:val="both"/>
        <w:rPr/>
      </w:pPr>
      <w:r>
        <w:rPr/>
        <w:t>●</w:t>
      </w:r>
      <w:bookmarkStart w:id="1810" w:name="_Toc115421382"/>
      <w:bookmarkEnd w:id="1810"/>
      <w:r>
        <w:rPr>
          <w:rFonts w:ascii="Times New Roman;Times;serif" w:hAnsi="Times New Roman;Times;serif"/>
          <w:sz w:val="24"/>
          <w:u w:val="single"/>
        </w:rPr>
        <w:t>Waivers</w:t>
      </w:r>
      <w:r>
        <w:rPr>
          <w:rFonts w:ascii="Times New Roman;Times;serif" w:hAnsi="Times New Roman;Times;serif"/>
          <w:sz w:val="24"/>
        </w:rPr>
        <w:t>.  Each Guarantor irrevocably waives acceptance hereof, 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pStyle w:val="TextBody"/>
        <w:bidi w:val="0"/>
        <w:spacing w:before="0" w:after="240"/>
        <w:ind w:left="0" w:right="0" w:hanging="0"/>
        <w:jc w:val="both"/>
        <w:rPr/>
      </w:pPr>
      <w:r>
        <w:rPr/>
        <w:t>●</w:t>
      </w:r>
      <w:bookmarkStart w:id="1811" w:name="_Toc115421383"/>
      <w:bookmarkEnd w:id="1811"/>
      <w:r>
        <w:rPr>
          <w:rFonts w:ascii="Times New Roman;Times;serif" w:hAnsi="Times New Roman;Times;serif"/>
          <w:sz w:val="24"/>
          <w:u w:val="single"/>
        </w:rPr>
        <w:t>Limit on Recovery</w:t>
      </w:r>
      <w:r>
        <w:rPr>
          <w:rFonts w:ascii="Times New Roman;Times;serif" w:hAnsi="Times New Roman;Times;serif"/>
          <w:sz w:val="24"/>
        </w:rPr>
        <w:t>.  Notwithstanding any other provision hereof, the right of recovery against each Guarantor under this Section 13 shall not exceed $1.00 less than the lowest amount which would render such Guarantor’s obligations under this Section 13 void or voidable under applicable law, including, without limitation, fraudulent conveyance law.</w:t>
      </w:r>
    </w:p>
    <w:p>
      <w:pPr>
        <w:pStyle w:val="TextBody"/>
        <w:bidi w:val="0"/>
        <w:spacing w:before="0" w:after="240"/>
        <w:ind w:left="0" w:right="0" w:hanging="0"/>
        <w:jc w:val="both"/>
        <w:rPr/>
      </w:pPr>
      <w:r>
        <w:rPr/>
        <w:t>●</w:t>
      </w:r>
      <w:bookmarkStart w:id="1812" w:name="_Toc115421384"/>
      <w:bookmarkEnd w:id="1812"/>
      <w:r>
        <w:rPr>
          <w:rFonts w:ascii="Times New Roman;Times;serif" w:hAnsi="Times New Roman;Times;serif"/>
          <w:sz w:val="24"/>
          <w:u w:val="single"/>
        </w:rPr>
        <w:t>Stay of Acceleration</w:t>
      </w:r>
      <w:r>
        <w:rPr>
          <w:rFonts w:ascii="Times New Roman;Times;serif" w:hAnsi="Times New Roman;Times;serif"/>
          <w:sz w:val="24"/>
        </w:rPr>
        <w:t>.  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pStyle w:val="TextBody"/>
        <w:bidi w:val="0"/>
        <w:spacing w:before="0" w:after="240"/>
        <w:ind w:left="0" w:right="0" w:hanging="0"/>
        <w:jc w:val="both"/>
        <w:rPr/>
      </w:pPr>
      <w:r>
        <w:rPr/>
        <w:t>●</w:t>
      </w:r>
      <w:bookmarkStart w:id="1813" w:name="_Toc115421385"/>
      <w:bookmarkEnd w:id="1813"/>
      <w:r>
        <w:rPr>
          <w:rFonts w:ascii="Times New Roman;Times;serif" w:hAnsi="Times New Roman;Times;serif"/>
          <w:sz w:val="24"/>
          <w:u w:val="single"/>
        </w:rPr>
        <w:t>Benefit to Guarantors</w:t>
      </w:r>
      <w:r>
        <w:rPr>
          <w:rFonts w:ascii="Times New Roman;Times;serif" w:hAnsi="Times New Roman;Times;serif"/>
          <w:sz w:val="24"/>
        </w:rPr>
        <w:t>.  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1814" w:name="_Toc115421386"/>
      <w:bookmarkEnd w:id="1814"/>
      <w:r>
        <w:rPr>
          <w:rFonts w:ascii="Times New Roman;Times;serif" w:hAnsi="Times New Roman;Times;serif"/>
          <w:sz w:val="24"/>
          <w:u w:val="single"/>
        </w:rPr>
        <w:t>Guarantor Covenants</w:t>
      </w:r>
      <w:r>
        <w:rPr>
          <w:rFonts w:ascii="Times New Roman;Times;serif" w:hAnsi="Times New Roman;Times;serif"/>
          <w:i/>
          <w:sz w:val="24"/>
        </w:rPr>
        <w:t>.</w:t>
      </w:r>
      <w:r>
        <w:rPr>
          <w:rFonts w:ascii="Times New Roman;Times;serif" w:hAnsi="Times New Roman;Times;serif"/>
          <w:sz w:val="24"/>
        </w:rPr>
        <w:t xml:space="preserve">  Each Guarantor shall take such action as the Borrower is required by this Agreement to cause such Guarantor to take, and shall refrain from taking such action as the Borrower is required by this Agreement to prohibit such Guarantor from taking.</w:t>
      </w:r>
    </w:p>
    <w:p>
      <w:pPr>
        <w:pStyle w:val="TextBody"/>
        <w:bidi w:val="0"/>
        <w:ind w:left="0" w:right="0" w:hanging="0"/>
        <w:jc w:val="both"/>
        <w:rPr/>
      </w:pPr>
      <w:r>
        <w:rPr/>
        <w:t>●</w:t>
      </w:r>
      <w:bookmarkStart w:id="1815" w:name="_Toc115421387"/>
      <w:bookmarkEnd w:id="1815"/>
      <w:r>
        <w:rPr>
          <w:rFonts w:ascii="Times New Roman;Times;serif" w:hAnsi="Times New Roman;Times;serif"/>
          <w:sz w:val="24"/>
          <w:u w:val="single"/>
        </w:rPr>
        <w:t>Keepwell</w:t>
      </w:r>
      <w:r>
        <w:rPr>
          <w:rFonts w:ascii="Times New Roman;Times;serif" w:hAnsi="Times New Roman;Times;serif"/>
          <w:i/>
          <w:sz w:val="24"/>
        </w:rPr>
        <w:t xml:space="preserve">. </w:t>
      </w:r>
      <w:r>
        <w:rPr>
          <w:rFonts w:ascii="Times New Roman;Times;serif" w:hAnsi="Times New Roman;Times;serif"/>
          <w:sz w:val="24"/>
        </w:rPr>
        <w:t> 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pStyle w:val="TextBody"/>
        <w:bidi w:val="0"/>
        <w:spacing w:before="0" w:after="240"/>
        <w:ind w:left="0" w:right="0" w:firstLine="240"/>
        <w:jc w:val="center"/>
        <w:rPr>
          <w:rFonts w:ascii="Times" w:hAnsi="Times"/>
          <w:smallCaps/>
          <w:sz w:val="24"/>
        </w:rPr>
      </w:pPr>
      <w:r>
        <w:rPr>
          <w:rFonts w:ascii="Times" w:hAnsi="Times"/>
          <w:smallCaps/>
          <w:sz w:val="24"/>
        </w:rPr>
        <w:t>[Signature Pages to Follow]</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This Credit Agreement is entered into between us for the uses and purposes hereinabove set forth as of the date first above written.    </w:t>
      </w:r>
    </w:p>
    <w:tbl>
      <w:tblPr>
        <w:tblW w:w="10205" w:type="dxa"/>
        <w:jc w:val="center"/>
        <w:tblInd w:w="0" w:type="dxa"/>
        <w:tblLayout w:type="fixed"/>
        <w:tblCellMar>
          <w:top w:w="0" w:type="dxa"/>
          <w:left w:w="0" w:type="dxa"/>
          <w:bottom w:w="0" w:type="dxa"/>
          <w:right w:w="0" w:type="dxa"/>
        </w:tblCellMar>
      </w:tblPr>
      <w:tblGrid>
        <w:gridCol w:w="124"/>
        <w:gridCol w:w="23"/>
        <w:gridCol w:w="1024"/>
        <w:gridCol w:w="1684"/>
        <w:gridCol w:w="3587"/>
        <w:gridCol w:w="485"/>
        <w:gridCol w:w="3278"/>
      </w:tblGrid>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4072" w:type="dxa"/>
            <w:gridSpan w:val="2"/>
            <w:tcBorders/>
            <w:vAlign w:val="center"/>
          </w:tcPr>
          <w:p>
            <w:pPr>
              <w:pStyle w:val="TableContents"/>
              <w:bidi w:val="0"/>
              <w:spacing w:before="0" w:after="0"/>
              <w:ind w:left="0" w:right="0" w:hanging="0"/>
              <w:jc w:val="left"/>
              <w:rPr/>
            </w:pPr>
            <w:r>
              <w:rPr/>
              <w:t>​</w:t>
            </w:r>
          </w:p>
        </w:tc>
        <w:tc>
          <w:tcPr>
            <w:tcW w:w="327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6"/>
            <w:tcBorders/>
            <w:vAlign w:val="center"/>
          </w:tcPr>
          <w:p>
            <w:pPr>
              <w:pStyle w:val="TableContents"/>
              <w:bidi w:val="0"/>
              <w:spacing w:before="0" w:after="0"/>
              <w:ind w:left="0" w:right="0" w:hanging="0"/>
              <w:jc w:val="left"/>
              <w:rPr/>
            </w:pPr>
            <w:r>
              <w:rPr/>
              <w:t>“</w:t>
            </w:r>
            <w:r>
              <w:rPr>
                <w:rFonts w:ascii="Times New Roman;Times;serif" w:hAnsi="Times New Roman;Times;serif"/>
                <w:b/>
                <w:sz w:val="24"/>
              </w:rPr>
              <w:t>BORROWER”</w:t>
            </w:r>
          </w:p>
        </w:tc>
      </w:tr>
      <w:tr>
        <w:trPr/>
        <w:tc>
          <w:tcPr>
            <w:tcW w:w="147" w:type="dxa"/>
            <w:gridSpan w:val="2"/>
            <w:tcBorders/>
            <w:vAlign w:val="center"/>
          </w:tcPr>
          <w:p>
            <w:pPr>
              <w:pStyle w:val="TableContents"/>
              <w:bidi w:val="0"/>
              <w:spacing w:before="0" w:after="0"/>
              <w:ind w:left="0" w:right="0" w:hanging="0"/>
              <w:jc w:val="left"/>
              <w:rPr/>
            </w:pPr>
            <w:r>
              <w:rPr/>
              <w:t>​</w:t>
            </w:r>
          </w:p>
        </w:tc>
        <w:tc>
          <w:tcPr>
            <w:tcW w:w="10058" w:type="dxa"/>
            <w:gridSpan w:val="5"/>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10058"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w:hAnsi="Times"/>
                <w:smallCaps/>
                <w:sz w:val="24"/>
              </w:rPr>
              <w:t xml:space="preserve">Alpine Income Property OP, LP, </w:t>
            </w:r>
            <w:r>
              <w:rPr>
                <w:rFonts w:ascii="Times" w:hAnsi="Times"/>
                <w:sz w:val="24"/>
              </w:rPr>
              <w:t>a Delaware limited partnership</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4072" w:type="dxa"/>
            <w:gridSpan w:val="2"/>
            <w:tcBorders/>
            <w:vAlign w:val="center"/>
          </w:tcPr>
          <w:p>
            <w:pPr>
              <w:pStyle w:val="TableContents"/>
              <w:bidi w:val="0"/>
              <w:spacing w:before="0" w:after="0"/>
              <w:ind w:left="0" w:right="0" w:hanging="0"/>
              <w:jc w:val="left"/>
              <w:rPr/>
            </w:pPr>
            <w:r>
              <w:rPr/>
              <w:t>​</w:t>
            </w:r>
          </w:p>
        </w:tc>
        <w:tc>
          <w:tcPr>
            <w:tcW w:w="3278"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034"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4072" w:type="dxa"/>
            <w:gridSpan w:val="2"/>
            <w:tcBorders/>
            <w:vAlign w:val="center"/>
          </w:tcPr>
          <w:p>
            <w:pPr>
              <w:pStyle w:val="TableContents"/>
              <w:bidi w:val="0"/>
              <w:spacing w:before="0" w:after="0"/>
              <w:ind w:left="0" w:right="0" w:hanging="0"/>
              <w:jc w:val="left"/>
              <w:rPr/>
            </w:pPr>
            <w:r>
              <w:rPr/>
              <w:t>​</w:t>
            </w:r>
          </w:p>
        </w:tc>
        <w:tc>
          <w:tcPr>
            <w:tcW w:w="3278"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50"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4072" w:type="dxa"/>
            <w:gridSpan w:val="2"/>
            <w:tcBorders/>
            <w:vAlign w:val="center"/>
          </w:tcPr>
          <w:p>
            <w:pPr>
              <w:pStyle w:val="TableContents"/>
              <w:bidi w:val="0"/>
              <w:spacing w:before="0" w:after="0"/>
              <w:ind w:left="0" w:right="0" w:hanging="0"/>
              <w:jc w:val="left"/>
              <w:rPr/>
            </w:pPr>
            <w:r>
              <w:rPr/>
              <w:t>​</w:t>
            </w:r>
          </w:p>
        </w:tc>
        <w:tc>
          <w:tcPr>
            <w:tcW w:w="3278"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4072" w:type="dxa"/>
            <w:gridSpan w:val="2"/>
            <w:tcBorders/>
            <w:vAlign w:val="center"/>
          </w:tcPr>
          <w:p>
            <w:pPr>
              <w:pStyle w:val="TableContents"/>
              <w:bidi w:val="0"/>
              <w:spacing w:before="0" w:after="0"/>
              <w:ind w:left="0" w:right="0" w:hanging="0"/>
              <w:jc w:val="left"/>
              <w:rPr/>
            </w:pPr>
            <w:r>
              <w:rPr/>
              <w:t>​</w:t>
            </w:r>
          </w:p>
        </w:tc>
        <w:tc>
          <w:tcPr>
            <w:tcW w:w="3278"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35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63"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35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376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Matthew M. Partridge</w:t>
            </w:r>
            <w:r>
              <w:rPr>
                <w:rFonts w:ascii="Times New Roman;Times;serif" w:hAnsi="Times New Roman;Times;serif"/>
                <w:color w:val="0000FF"/>
                <w:sz w:val="24"/>
                <w:u w:val="single"/>
              </w:rPr>
              <w:t>Philip Mays</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35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76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4072" w:type="dxa"/>
            <w:gridSpan w:val="2"/>
            <w:tcBorders/>
            <w:vAlign w:val="center"/>
          </w:tcPr>
          <w:p>
            <w:pPr>
              <w:pStyle w:val="TableContents"/>
              <w:bidi w:val="0"/>
              <w:spacing w:before="0" w:after="0"/>
              <w:ind w:left="0" w:right="0" w:hanging="0"/>
              <w:jc w:val="left"/>
              <w:rPr/>
            </w:pPr>
            <w:r>
              <w:rPr/>
              <w:t>​</w:t>
            </w:r>
          </w:p>
        </w:tc>
        <w:tc>
          <w:tcPr>
            <w:tcW w:w="3278" w:type="dxa"/>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left"/>
              <w:rPr/>
            </w:pPr>
            <w:r>
              <w:rPr/>
              <w:t>​</w:t>
            </w:r>
          </w:p>
        </w:tc>
        <w:tc>
          <w:tcPr>
            <w:tcW w:w="4072" w:type="dxa"/>
            <w:gridSpan w:val="2"/>
            <w:tcBorders/>
            <w:vAlign w:val="center"/>
          </w:tcPr>
          <w:p>
            <w:pPr>
              <w:pStyle w:val="TableContents"/>
              <w:bidi w:val="0"/>
              <w:spacing w:before="0" w:after="0"/>
              <w:ind w:left="0" w:right="0" w:hanging="0"/>
              <w:jc w:val="left"/>
              <w:rPr/>
            </w:pPr>
            <w:r>
              <w:rPr/>
              <w:t>​</w:t>
            </w:r>
          </w:p>
        </w:tc>
        <w:tc>
          <w:tcPr>
            <w:tcW w:w="327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pBdr/>
        <w:bidi w:val="0"/>
        <w:spacing w:before="280" w:after="0"/>
        <w:ind w:left="4320" w:right="0" w:hanging="648"/>
        <w:jc w:val="left"/>
        <w:rPr>
          <w:smallCaps/>
        </w:rPr>
      </w:pPr>
      <w:r>
        <w:rPr>
          <w:smallCaps/>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794"/>
        <w:gridCol w:w="450"/>
        <w:gridCol w:w="557"/>
        <w:gridCol w:w="983"/>
        <w:gridCol w:w="729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78740" cy="175260"/>
                      <wp:effectExtent l="0" t="0" r="0" b="0"/>
                      <wp:wrapNone/>
                      <wp:docPr id="406" name="Frame40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24205" cy="29210"/>
                      <wp:effectExtent l="0" t="0" r="0" b="0"/>
                      <wp:wrapNone/>
                      <wp:docPr id="407" name="Frame407"/>
                      <a:graphic xmlns:a="http://schemas.openxmlformats.org/drawingml/2006/main">
                        <a:graphicData uri="http://schemas.microsoft.com/office/word/2010/wordprocessingShape">
                          <wps:wsp>
                            <wps:cNvSpPr txBox="1"/>
                            <wps:spPr>
                              <a:xfrm>
                                <a:off x="0" y="0"/>
                                <a:ext cx="624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633595" cy="175260"/>
                      <wp:effectExtent l="0" t="0" r="0" b="0"/>
                      <wp:wrapNone/>
                      <wp:docPr id="408" name="Frame408"/>
                      <a:graphic xmlns:a="http://schemas.openxmlformats.org/drawingml/2006/main">
                        <a:graphicData uri="http://schemas.microsoft.com/office/word/2010/wordprocessingShape">
                          <wps:wsp>
                            <wps:cNvSpPr txBox="1"/>
                            <wps:spPr>
                              <a:xfrm>
                                <a:off x="0" y="0"/>
                                <a:ext cx="463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pPr>
            <w:r>
              <w:rPr/>
              <w:t>“</w:t>
            </w:r>
            <w:r>
              <w:rPr>
                <w:rFonts w:ascii="Times New Roman;Times;serif" w:hAnsi="Times New Roman;Times;serif"/>
                <w:b/>
                <w:i/>
                <w:sz w:val="24"/>
              </w:rPr>
              <w:t>GUARANTORS</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pPr>
            <w:r>
              <w:rPr>
                <w:smallCaps/>
              </w:rPr>
              <w:t>“</w:t>
            </w:r>
            <w:r>
              <w:rPr>
                <w:rFonts w:ascii="Times New Roman;Times;serif" w:hAnsi="Times New Roman;Times;serif"/>
                <w:b/>
                <w:i/>
                <w:sz w:val="24"/>
              </w:rPr>
              <w:t>PARENT</w:t>
            </w:r>
            <w:r>
              <w:rPr>
                <w:rFonts w:ascii="Times New Roman;Times;serif" w:hAnsi="Times New Roman;Times;serif"/>
                <w:smallCaps/>
                <w:sz w:val="24"/>
              </w:rPr>
              <w: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Alpine Income Property Trust, Inc.</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Maryland corporation</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87" w:type="dxa"/>
            <w:gridSpan w:val="4"/>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9287" w:type="dxa"/>
            <w:gridSpan w:val="4"/>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Matthew M. Partridge</w:t>
            </w:r>
            <w:r>
              <w:rPr>
                <w:rFonts w:ascii="Times New Roman;Times;serif" w:hAnsi="Times New Roman;Times;serif"/>
                <w:color w:val="0000FF"/>
                <w:sz w:val="24"/>
                <w:u w:val="single"/>
              </w:rPr>
              <w:t>Philip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2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smallCaps/>
              </w:rPr>
              <w:t>“</w:t>
            </w:r>
            <w:r>
              <w:rPr>
                <w:rFonts w:ascii="Times New Roman;Times;serif" w:hAnsi="Times New Roman;Times;serif"/>
                <w:b/>
                <w:i/>
                <w:smallCaps/>
                <w:sz w:val="24"/>
              </w:rPr>
              <w:t>Material Subsidiaries</w:t>
            </w:r>
            <w:r>
              <w:rPr>
                <w:rFonts w:ascii="Times New Roman;Times;serif" w:hAnsi="Times New Roman;Times;serif"/>
                <w:smallCaps/>
                <w:sz w:val="24"/>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Indigo Henry LLC</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member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837"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883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2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82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82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297"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29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Matthew M. Partridge</w:t>
            </w:r>
            <w:r>
              <w:rPr>
                <w:rFonts w:ascii="Times New Roman;Times;serif" w:hAnsi="Times New Roman;Times;serif"/>
                <w:color w:val="0000FF"/>
                <w:sz w:val="24"/>
                <w:u w:val="single"/>
              </w:rPr>
              <w:t>Philip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29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1" w:type="dxa"/>
        <w:jc w:val="center"/>
        <w:tblInd w:w="0" w:type="dxa"/>
        <w:tblLayout w:type="fixed"/>
        <w:tblCellMar>
          <w:top w:w="0" w:type="dxa"/>
          <w:left w:w="0" w:type="dxa"/>
          <w:bottom w:w="0" w:type="dxa"/>
          <w:right w:w="0" w:type="dxa"/>
        </w:tblCellMar>
      </w:tblPr>
      <w:tblGrid>
        <w:gridCol w:w="124"/>
        <w:gridCol w:w="451"/>
        <w:gridCol w:w="451"/>
        <w:gridCol w:w="560"/>
        <w:gridCol w:w="988"/>
        <w:gridCol w:w="73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78740" cy="175260"/>
                      <wp:effectExtent l="0" t="0" r="0" b="0"/>
                      <wp:wrapNone/>
                      <wp:docPr id="409" name="Frame40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27380" cy="29210"/>
                      <wp:effectExtent l="0" t="0" r="0" b="0"/>
                      <wp:wrapNone/>
                      <wp:docPr id="410" name="Frame410"/>
                      <a:graphic xmlns:a="http://schemas.openxmlformats.org/drawingml/2006/main">
                        <a:graphicData uri="http://schemas.microsoft.com/office/word/2010/wordprocessingShape">
                          <wps:wsp>
                            <wps:cNvSpPr txBox="1"/>
                            <wps:spPr>
                              <a:xfrm>
                                <a:off x="0" y="0"/>
                                <a:ext cx="627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684395" cy="175260"/>
                      <wp:effectExtent l="0" t="0" r="0" b="0"/>
                      <wp:wrapNone/>
                      <wp:docPr id="411" name="Frame411"/>
                      <a:graphic xmlns:a="http://schemas.openxmlformats.org/drawingml/2006/main">
                        <a:graphicData uri="http://schemas.microsoft.com/office/word/2010/wordprocessingShape">
                          <wps:wsp>
                            <wps:cNvSpPr txBox="1"/>
                            <wps:spPr>
                              <a:xfrm>
                                <a:off x="0" y="0"/>
                                <a:ext cx="468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TROY WI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CTO17 BRANDON FL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CTO19 ALBANY GA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BLANDING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HURST TX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TULSA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HIGHLAND KY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TYN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ARDEN NC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BARKER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BINGHAM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CHAZY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HAMMOND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HARRISVILLE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HEUVELTON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HOWELL MI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LIMESTONE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MILFORD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NEWTONSVILLE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ODESSA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6"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77"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3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Matthew M. Partridge</w:t>
            </w:r>
            <w:r>
              <w:rPr>
                <w:rFonts w:ascii="Times New Roman;Times;serif" w:hAnsi="Times New Roman;Times;serif"/>
                <w:color w:val="0000FF"/>
                <w:sz w:val="24"/>
                <w:u w:val="single"/>
              </w:rPr>
              <w:t>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3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1" w:type="dxa"/>
        <w:jc w:val="center"/>
        <w:tblInd w:w="0" w:type="dxa"/>
        <w:tblLayout w:type="fixed"/>
        <w:tblCellMar>
          <w:top w:w="0" w:type="dxa"/>
          <w:left w:w="0" w:type="dxa"/>
          <w:bottom w:w="0" w:type="dxa"/>
          <w:right w:w="0" w:type="dxa"/>
        </w:tblCellMar>
      </w:tblPr>
      <w:tblGrid>
        <w:gridCol w:w="124"/>
        <w:gridCol w:w="451"/>
        <w:gridCol w:w="451"/>
        <w:gridCol w:w="560"/>
        <w:gridCol w:w="988"/>
        <w:gridCol w:w="73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78740" cy="175260"/>
                      <wp:effectExtent l="0" t="0" r="0" b="0"/>
                      <wp:wrapNone/>
                      <wp:docPr id="412" name="Frame4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27380" cy="29210"/>
                      <wp:effectExtent l="0" t="0" r="0" b="0"/>
                      <wp:wrapNone/>
                      <wp:docPr id="413" name="Frame413"/>
                      <a:graphic xmlns:a="http://schemas.openxmlformats.org/drawingml/2006/main">
                        <a:graphicData uri="http://schemas.microsoft.com/office/word/2010/wordprocessingShape">
                          <wps:wsp>
                            <wps:cNvSpPr txBox="1"/>
                            <wps:spPr>
                              <a:xfrm>
                                <a:off x="0" y="0"/>
                                <a:ext cx="627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684395" cy="175260"/>
                      <wp:effectExtent l="0" t="0" r="0" b="0"/>
                      <wp:wrapNone/>
                      <wp:docPr id="414" name="Frame414"/>
                      <a:graphic xmlns:a="http://schemas.openxmlformats.org/drawingml/2006/main">
                        <a:graphicData uri="http://schemas.microsoft.com/office/word/2010/wordprocessingShape">
                          <wps:wsp>
                            <wps:cNvSpPr txBox="1"/>
                            <wps:spPr>
                              <a:xfrm>
                                <a:off x="0" y="0"/>
                                <a:ext cx="468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CTO16 RENO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CTLC18 LYNN MA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CTO19 BIRMINGHAM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PINE19 ALPHARETTA GA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SALEM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SEVERN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SOMERVILLE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WILLIS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WINTHROP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KERMIT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TACOMA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CUT &amp; SHOOT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DEL RIO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PINE20 SEGUIN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ACQUISITIONS II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ACQUISITIONS III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ACQUISITIONS IV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ACQUISITIONS V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ACQUISITIONS VI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ACQUISITIONS VIII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ACQUISITIONS X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 MEX OH,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OH 2, LLC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6"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77"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3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Matthew M. Partridge</w:t>
            </w:r>
            <w:r>
              <w:rPr>
                <w:rFonts w:ascii="Times New Roman;Times;serif" w:hAnsi="Times New Roman;Times;serif"/>
                <w:color w:val="0000FF"/>
                <w:sz w:val="24"/>
                <w:u w:val="single"/>
              </w:rPr>
              <w:t>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3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0" w:type="dxa"/>
        <w:jc w:val="center"/>
        <w:tblInd w:w="0" w:type="dxa"/>
        <w:tblLayout w:type="fixed"/>
        <w:tblCellMar>
          <w:top w:w="0" w:type="dxa"/>
          <w:left w:w="0" w:type="dxa"/>
          <w:bottom w:w="0" w:type="dxa"/>
          <w:right w:w="0" w:type="dxa"/>
        </w:tblCellMar>
      </w:tblPr>
      <w:tblGrid>
        <w:gridCol w:w="124"/>
        <w:gridCol w:w="451"/>
        <w:gridCol w:w="451"/>
        <w:gridCol w:w="564"/>
        <w:gridCol w:w="921"/>
        <w:gridCol w:w="7439"/>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283"/>
              <w:ind w:left="0" w:right="0" w:hanging="0"/>
              <w:jc w:val="left"/>
              <w:rPr>
                <w:sz w:val="4"/>
                <w:szCs w:val="4"/>
              </w:rPr>
            </w:pPr>
            <w:r>
              <w:rPr>
                <w:sz w:val="4"/>
                <w:szCs w:val="4"/>
              </w:rPr>
            </w:r>
          </w:p>
        </w:tc>
        <w:tc>
          <w:tcPr>
            <w:tcW w:w="743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9603 WESTHEIMER ROAD,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ACQUISITIONS VII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HOUSTON EAST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6"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HOUSTON WEST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PINE21 SPORTS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PINE22 CAESAR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PINE22 MAPLE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rFonts w:ascii="Times" w:hAnsi="Times"/>
                <w:sz w:val="24"/>
              </w:rPr>
            </w:pPr>
            <w:r>
              <w:rPr>
                <w:rFonts w:ascii="Times" w:hAnsi="Times"/>
                <w:sz w:val="24"/>
              </w:rPr>
              <w:t>PINE22 WASH MO LLC</w:t>
            </w:r>
          </w:p>
        </w:tc>
      </w:tr>
      <w:tr>
        <w:trPr/>
        <w:tc>
          <w:tcPr>
            <w:tcW w:w="124" w:type="dxa"/>
            <w:tcBorders/>
            <w:vAlign w:val="center"/>
          </w:tcPr>
          <w:p>
            <w:pPr>
              <w:pStyle w:val="TableContents"/>
              <w:bidi w:val="0"/>
              <w:spacing w:before="0" w:after="0"/>
              <w:ind w:left="0" w:right="0" w:hanging="0"/>
              <w:jc w:val="left"/>
              <w:rPr/>
            </w:pPr>
            <w:r>
              <w:rPr/>
              <w:t>​</w:t>
            </w:r>
          </w:p>
        </w:tc>
        <w:tc>
          <w:tcPr>
            <w:tcW w:w="9826"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5"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5"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83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83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43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rFonts w:ascii="Times New Roman;Times;serif" w:hAnsi="Times New Roman;Times;serif"/>
                <w:color w:val="FF0000"/>
                <w:sz w:val="24"/>
              </w:rPr>
            </w:pPr>
            <w:r>
              <w:rPr>
                <w:rFonts w:ascii="Times New Roman;Times;serif" w:hAnsi="Times New Roman;Times;serif"/>
                <w:color w:val="FF0000"/>
                <w:sz w:val="24"/>
              </w:rPr>
              <w:t>Name:</w:t>
            </w:r>
          </w:p>
        </w:tc>
        <w:tc>
          <w:tcPr>
            <w:tcW w:w="7439" w:type="dxa"/>
            <w:tcBorders/>
            <w:vAlign w:val="center"/>
          </w:tcPr>
          <w:p>
            <w:pPr>
              <w:pStyle w:val="TableContents"/>
              <w:bidi w:val="0"/>
              <w:spacing w:before="0" w:after="0"/>
              <w:ind w:left="0" w:right="0" w:hanging="0"/>
              <w:jc w:val="left"/>
              <w:rPr>
                <w:rFonts w:ascii="Times New Roman;Times;serif" w:hAnsi="Times New Roman;Times;serif"/>
                <w:color w:val="FF0000"/>
                <w:sz w:val="24"/>
              </w:rPr>
            </w:pPr>
            <w:r>
              <w:rPr>
                <w:rFonts w:ascii="Times New Roman;Times;serif" w:hAnsi="Times New Roman;Times;serif"/>
                <w:color w:val="FF0000"/>
                <w:sz w:val="24"/>
              </w:rPr>
              <w:t>Matthew M. Partridge</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Name:</w:t>
            </w:r>
          </w:p>
        </w:tc>
        <w:tc>
          <w:tcPr>
            <w:tcW w:w="7439" w:type="dxa"/>
            <w:tcBorders/>
            <w:vAlign w:val="center"/>
          </w:tcPr>
          <w:p>
            <w:pPr>
              <w:pStyle w:val="TableContents"/>
              <w:bidi w:val="0"/>
              <w:spacing w:before="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43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432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240"/>
        <w:ind w:left="7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140" w:type="dxa"/>
        <w:jc w:val="center"/>
        <w:tblInd w:w="0" w:type="dxa"/>
        <w:tblLayout w:type="fixed"/>
        <w:tblCellMar>
          <w:top w:w="0" w:type="dxa"/>
          <w:left w:w="0" w:type="dxa"/>
          <w:bottom w:w="0" w:type="dxa"/>
          <w:right w:w="0" w:type="dxa"/>
        </w:tblCellMar>
      </w:tblPr>
      <w:tblGrid>
        <w:gridCol w:w="124"/>
        <w:gridCol w:w="6016"/>
      </w:tblGrid>
      <w:tr>
        <w:trPr/>
        <w:tc>
          <w:tcPr>
            <w:tcW w:w="124" w:type="dxa"/>
            <w:tcBorders/>
            <w:vAlign w:val="center"/>
          </w:tcPr>
          <w:p>
            <w:pPr>
              <w:pStyle w:val="TableContents"/>
              <w:pBdr/>
              <w:bidi w:val="0"/>
              <w:spacing w:before="0" w:after="0"/>
              <w:ind w:left="0" w:right="0" w:hanging="0"/>
              <w:jc w:val="left"/>
              <w:rPr/>
            </w:pPr>
            <w:bookmarkStart w:id="1816" w:name="_Hlk189636553"/>
            <w:bookmarkEnd w:id="1816"/>
            <w:r>
              <w:rPr/>
              <w:t>​</w:t>
            </w:r>
          </w:p>
        </w:tc>
        <w:tc>
          <w:tcPr>
            <w:tcW w:w="60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6016" w:type="dxa"/>
            <w:tcBorders/>
            <w:vAlign w:val="center"/>
          </w:tcPr>
          <w:p>
            <w:pPr>
              <w:pStyle w:val="TableContents"/>
              <w:bidi w:val="0"/>
              <w:spacing w:before="0" w:after="0"/>
              <w:ind w:left="0" w:right="0" w:hanging="0"/>
              <w:jc w:val="left"/>
              <w:rPr/>
            </w:pPr>
            <w:r>
              <w:rPr>
                <w:smallCaps/>
              </w:rPr>
              <w:t>“</w:t>
            </w:r>
            <w:r>
              <w:rPr>
                <w:rFonts w:ascii="Times New Roman;Times;serif" w:hAnsi="Times New Roman;Times;serif"/>
                <w:b/>
                <w:i/>
                <w:smallCaps/>
                <w:sz w:val="24"/>
              </w:rPr>
              <w:t>Administrative Agent</w:t>
            </w:r>
            <w:r>
              <w:rPr>
                <w:rFonts w:ascii="Times New Roman;Times;serif" w:hAnsi="Times New Roman;Times;serif"/>
                <w:smallCaps/>
                <w:sz w:val="24"/>
              </w:rPr>
              <w:t>”</w:t>
            </w:r>
          </w:p>
        </w:tc>
      </w:tr>
      <w:tr>
        <w:trPr/>
        <w:tc>
          <w:tcPr>
            <w:tcW w:w="124" w:type="dxa"/>
            <w:tcBorders/>
            <w:vAlign w:val="center"/>
          </w:tcPr>
          <w:p>
            <w:pPr>
              <w:pStyle w:val="TableContents"/>
              <w:bidi w:val="0"/>
              <w:spacing w:before="0" w:after="0"/>
              <w:ind w:left="0" w:right="0" w:hanging="0"/>
              <w:jc w:val="left"/>
              <w:rPr/>
            </w:pPr>
            <w:r>
              <w:rPr/>
              <w:t>​</w:t>
            </w:r>
          </w:p>
        </w:tc>
        <w:tc>
          <w:tcPr>
            <w:tcW w:w="601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mallCaps/>
                <w:sz w:val="24"/>
              </w:rPr>
              <w:t xml:space="preserve">KeyBank National Association, </w:t>
            </w:r>
            <w:r>
              <w:rPr>
                <w:rFonts w:ascii="Times New Roman;Times;serif" w:hAnsi="Times New Roman;Times;serif"/>
                <w:sz w:val="24"/>
              </w:rPr>
              <w:t>as Administrative Agent</w:t>
            </w:r>
          </w:p>
        </w:tc>
      </w:tr>
    </w:tbl>
    <w:p>
      <w:pPr>
        <w:pStyle w:val="TextBody"/>
        <w:bidi w:val="0"/>
        <w:spacing w:before="0" w:after="0"/>
        <w:ind w:left="0" w:right="0" w:hanging="0"/>
        <w:jc w:val="left"/>
        <w:rPr/>
      </w:pPr>
      <w:r>
        <w:rPr/>
        <w:t>​</w:t>
      </w:r>
    </w:p>
    <w:tbl>
      <w:tblPr>
        <w:tblW w:w="3771" w:type="dxa"/>
        <w:jc w:val="center"/>
        <w:tblInd w:w="0" w:type="dxa"/>
        <w:tblLayout w:type="fixed"/>
        <w:tblCellMar>
          <w:top w:w="0" w:type="dxa"/>
          <w:left w:w="0" w:type="dxa"/>
          <w:bottom w:w="0" w:type="dxa"/>
          <w:right w:w="0" w:type="dxa"/>
        </w:tblCellMar>
      </w:tblPr>
      <w:tblGrid>
        <w:gridCol w:w="124"/>
        <w:gridCol w:w="736"/>
        <w:gridCol w:w="2911"/>
      </w:tblGrid>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9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9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Z. Schmitt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9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Relationship Manager</w:t>
            </w:r>
          </w:p>
        </w:tc>
      </w:tr>
    </w:tbl>
    <w:p>
      <w:pPr>
        <w:pStyle w:val="TextBody"/>
        <w:bidi w:val="0"/>
        <w:spacing w:before="0" w:after="0"/>
        <w:ind w:left="0" w:right="0" w:hanging="0"/>
        <w:jc w:val="left"/>
        <w:rPr/>
      </w:pPr>
      <w:r>
        <w:rPr/>
        <w:t>​</w:t>
      </w:r>
    </w:p>
    <w:tbl>
      <w:tblPr>
        <w:tblW w:w="4940" w:type="dxa"/>
        <w:jc w:val="center"/>
        <w:tblInd w:w="0" w:type="dxa"/>
        <w:tblLayout w:type="fixed"/>
        <w:tblCellMar>
          <w:top w:w="0" w:type="dxa"/>
          <w:left w:w="0" w:type="dxa"/>
          <w:bottom w:w="0" w:type="dxa"/>
          <w:right w:w="0" w:type="dxa"/>
        </w:tblCellMar>
      </w:tblPr>
      <w:tblGrid>
        <w:gridCol w:w="124"/>
        <w:gridCol w:w="4816"/>
      </w:tblGrid>
      <w:tr>
        <w:trPr/>
        <w:tc>
          <w:tcPr>
            <w:tcW w:w="124" w:type="dxa"/>
            <w:tcBorders/>
            <w:vAlign w:val="center"/>
          </w:tcPr>
          <w:p>
            <w:pPr>
              <w:pStyle w:val="TableContents"/>
              <w:bidi w:val="0"/>
              <w:spacing w:before="0" w:after="0"/>
              <w:ind w:left="0" w:right="0" w:hanging="0"/>
              <w:jc w:val="left"/>
              <w:rPr/>
            </w:pPr>
            <w:r>
              <w:rPr/>
              <w:t>​</w:t>
            </w:r>
          </w:p>
        </w:tc>
        <w:tc>
          <w:tcPr>
            <w:tcW w:w="48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816" w:type="dxa"/>
            <w:tcBorders/>
            <w:vAlign w:val="center"/>
          </w:tcPr>
          <w:p>
            <w:pPr>
              <w:pStyle w:val="TableContents"/>
              <w:bidi w:val="0"/>
              <w:spacing w:before="0" w:after="0"/>
              <w:ind w:left="0" w:right="0" w:hanging="0"/>
              <w:jc w:val="left"/>
              <w:rPr/>
            </w:pPr>
            <w:r>
              <w:rPr>
                <w:smallCaps/>
              </w:rPr>
              <w:t>“</w:t>
            </w:r>
            <w:r>
              <w:rPr>
                <w:rFonts w:ascii="Times New Roman;Times;serif" w:hAnsi="Times New Roman;Times;serif"/>
                <w:b/>
                <w:i/>
                <w:smallCaps/>
                <w:sz w:val="24"/>
              </w:rPr>
              <w:t>Lenders</w:t>
            </w:r>
            <w:r>
              <w:rPr>
                <w:rFonts w:ascii="Times New Roman;Times;serif" w:hAnsi="Times New Roman;Times;serif"/>
                <w:smallCaps/>
                <w:sz w:val="24"/>
              </w:rPr>
              <w:t>”</w:t>
            </w:r>
          </w:p>
        </w:tc>
      </w:tr>
      <w:tr>
        <w:trPr/>
        <w:tc>
          <w:tcPr>
            <w:tcW w:w="124" w:type="dxa"/>
            <w:tcBorders/>
            <w:vAlign w:val="center"/>
          </w:tcPr>
          <w:p>
            <w:pPr>
              <w:pStyle w:val="TableContents"/>
              <w:bidi w:val="0"/>
              <w:spacing w:before="0" w:after="0"/>
              <w:ind w:left="0" w:right="0" w:hanging="0"/>
              <w:jc w:val="left"/>
              <w:rPr/>
            </w:pPr>
            <w:r>
              <w:rPr/>
              <w:t>​</w:t>
            </w:r>
          </w:p>
        </w:tc>
        <w:tc>
          <w:tcPr>
            <w:tcW w:w="481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mallCaps/>
                <w:sz w:val="24"/>
              </w:rPr>
              <w:t xml:space="preserve">KeyBank National Association, </w:t>
            </w:r>
            <w:r>
              <w:rPr>
                <w:rFonts w:ascii="Times New Roman;Times;serif" w:hAnsi="Times New Roman;Times;serif"/>
                <w:sz w:val="24"/>
              </w:rPr>
              <w:t>as a Lender</w:t>
            </w:r>
          </w:p>
        </w:tc>
      </w:tr>
    </w:tbl>
    <w:p>
      <w:pPr>
        <w:pStyle w:val="TextBody"/>
        <w:bidi w:val="0"/>
        <w:spacing w:before="0" w:after="0"/>
        <w:ind w:left="0" w:right="0" w:hanging="0"/>
        <w:jc w:val="left"/>
        <w:rPr/>
      </w:pPr>
      <w:r>
        <w:rPr/>
        <w:t>​</w:t>
      </w:r>
    </w:p>
    <w:tbl>
      <w:tblPr>
        <w:tblW w:w="3771" w:type="dxa"/>
        <w:jc w:val="center"/>
        <w:tblInd w:w="0" w:type="dxa"/>
        <w:tblLayout w:type="fixed"/>
        <w:tblCellMar>
          <w:top w:w="0" w:type="dxa"/>
          <w:left w:w="0" w:type="dxa"/>
          <w:bottom w:w="0" w:type="dxa"/>
          <w:right w:w="0" w:type="dxa"/>
        </w:tblCellMar>
      </w:tblPr>
      <w:tblGrid>
        <w:gridCol w:w="124"/>
        <w:gridCol w:w="736"/>
        <w:gridCol w:w="2911"/>
      </w:tblGrid>
      <w:tr>
        <w:trPr/>
        <w:tc>
          <w:tcPr>
            <w:tcW w:w="124" w:type="dxa"/>
            <w:tcBorders/>
            <w:vAlign w:val="center"/>
          </w:tcPr>
          <w:p>
            <w:pPr>
              <w:pStyle w:val="TableContents"/>
              <w:pBdr/>
              <w:bidi w:val="0"/>
              <w:spacing w:before="0" w:after="0"/>
              <w:ind w:left="0" w:right="0" w:hanging="0"/>
              <w:jc w:val="left"/>
              <w:rPr/>
            </w:pPr>
            <w:r>
              <w:rPr/>
              <w:t>​</w:t>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29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9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9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Z. Schmitt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9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Relationship Manager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817" w:name="_Hlk189644912"/>
      <w:bookmarkEnd w:id="1817"/>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64" w:type="dxa"/>
        <w:jc w:val="center"/>
        <w:tblInd w:w="0" w:type="dxa"/>
        <w:tblLayout w:type="fixed"/>
        <w:tblCellMar>
          <w:top w:w="0" w:type="dxa"/>
          <w:left w:w="0" w:type="dxa"/>
          <w:bottom w:w="0" w:type="dxa"/>
          <w:right w:w="0" w:type="dxa"/>
        </w:tblCellMar>
      </w:tblPr>
      <w:tblGrid>
        <w:gridCol w:w="124"/>
        <w:gridCol w:w="1177"/>
        <w:gridCol w:w="3263"/>
      </w:tblGrid>
      <w:tr>
        <w:trPr/>
        <w:tc>
          <w:tcPr>
            <w:tcW w:w="124" w:type="dxa"/>
            <w:tcBorders/>
            <w:vAlign w:val="center"/>
          </w:tcPr>
          <w:p>
            <w:pPr>
              <w:pStyle w:val="TableContents"/>
              <w:bidi w:val="0"/>
              <w:spacing w:before="0" w:after="0"/>
              <w:ind w:left="0" w:right="0" w:hanging="0"/>
              <w:jc w:val="left"/>
              <w:rPr/>
            </w:pPr>
            <w:r>
              <w:rPr/>
              <w:t>​</w:t>
            </w:r>
          </w:p>
        </w:tc>
        <w:tc>
          <w:tcPr>
            <w:tcW w:w="1177" w:type="dxa"/>
            <w:tcBorders/>
            <w:vAlign w:val="center"/>
          </w:tcPr>
          <w:p>
            <w:pPr>
              <w:pStyle w:val="TableContents"/>
              <w:bidi w:val="0"/>
              <w:spacing w:before="0" w:after="283"/>
              <w:ind w:left="0" w:right="0" w:hanging="0"/>
              <w:jc w:val="left"/>
              <w:rPr>
                <w:sz w:val="4"/>
                <w:szCs w:val="4"/>
              </w:rPr>
            </w:pPr>
            <w:r>
              <w:rPr>
                <w:sz w:val="4"/>
                <w:szCs w:val="4"/>
              </w:rPr>
            </w:r>
          </w:p>
        </w:tc>
        <w:tc>
          <w:tcPr>
            <w:tcW w:w="326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w:hAnsi="Times"/>
                <w:sz w:val="24"/>
              </w:rPr>
            </w:pPr>
            <w:r>
              <w:rPr>
                <w:rFonts w:ascii="Times" w:hAnsi="Times"/>
                <w:sz w:val="24"/>
              </w:rPr>
              <w:t>U.S. 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w:hAnsi="Times"/>
                <w:sz w:val="24"/>
              </w:rPr>
            </w:pPr>
            <w:r>
              <w:rPr>
                <w:rFonts w:ascii="Times" w:hAnsi="Times"/>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63"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1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263" w:type="dxa"/>
            <w:tcBorders>
              <w:top w:val="single" w:sz="2" w:space="0" w:color="000000"/>
            </w:tcBorders>
            <w:tcMar>
              <w:top w:w="28" w:type="dxa"/>
            </w:tcMar>
            <w:vAlign w:val="center"/>
          </w:tcPr>
          <w:p>
            <w:pPr>
              <w:pStyle w:val="TableContents"/>
              <w:bidi w:val="0"/>
              <w:spacing w:before="0" w:after="0"/>
              <w:ind w:left="0" w:right="0" w:hanging="0"/>
              <w:jc w:val="left"/>
              <w:rPr>
                <w:rFonts w:ascii="Times" w:hAnsi="Times"/>
                <w:sz w:val="24"/>
              </w:rPr>
            </w:pPr>
            <w:r>
              <w:rPr>
                <w:rFonts w:ascii="Times" w:hAnsi="Times"/>
                <w:sz w:val="24"/>
              </w:rPr>
              <w:t>Lori Y. Jensen</w:t>
            </w:r>
          </w:p>
        </w:tc>
      </w:tr>
      <w:tr>
        <w:trPr/>
        <w:tc>
          <w:tcPr>
            <w:tcW w:w="124" w:type="dxa"/>
            <w:tcBorders/>
            <w:vAlign w:val="center"/>
          </w:tcPr>
          <w:p>
            <w:pPr>
              <w:pStyle w:val="TableContents"/>
              <w:bidi w:val="0"/>
              <w:spacing w:before="0" w:after="0"/>
              <w:ind w:left="0" w:right="0" w:hanging="0"/>
              <w:jc w:val="left"/>
              <w:rPr/>
            </w:pPr>
            <w:r>
              <w:rPr/>
              <w:t>​</w:t>
            </w:r>
          </w:p>
        </w:tc>
        <w:tc>
          <w:tcPr>
            <w:tcW w:w="11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263" w:type="dxa"/>
            <w:tcBorders/>
            <w:vAlign w:val="center"/>
          </w:tcPr>
          <w:p>
            <w:pPr>
              <w:pStyle w:val="TableContents"/>
              <w:bidi w:val="0"/>
              <w:spacing w:before="0" w:after="0"/>
              <w:ind w:left="0" w:right="0" w:hanging="0"/>
              <w:jc w:val="left"/>
              <w:rPr>
                <w:rFonts w:ascii="Times" w:hAnsi="Times"/>
                <w:sz w:val="24"/>
              </w:rPr>
            </w:pPr>
            <w:r>
              <w:rPr>
                <w:rFonts w:ascii="Times" w:hAnsi="Times"/>
                <w:sz w:val="24"/>
              </w:rPr>
              <w:t>Senior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99" w:type="dxa"/>
        <w:jc w:val="center"/>
        <w:tblInd w:w="0" w:type="dxa"/>
        <w:tblLayout w:type="fixed"/>
        <w:tblCellMar>
          <w:top w:w="0" w:type="dxa"/>
          <w:left w:w="0" w:type="dxa"/>
          <w:bottom w:w="0" w:type="dxa"/>
          <w:right w:w="0" w:type="dxa"/>
        </w:tblCellMar>
      </w:tblPr>
      <w:tblGrid>
        <w:gridCol w:w="124"/>
        <w:gridCol w:w="815"/>
        <w:gridCol w:w="2260"/>
      </w:tblGrid>
      <w:tr>
        <w:trPr/>
        <w:tc>
          <w:tcPr>
            <w:tcW w:w="124"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283"/>
              <w:ind w:left="0" w:right="0" w:hanging="0"/>
              <w:jc w:val="left"/>
              <w:rPr>
                <w:sz w:val="4"/>
                <w:szCs w:val="4"/>
              </w:rPr>
            </w:pPr>
            <w:r>
              <w:rPr>
                <w:sz w:val="4"/>
                <w:szCs w:val="4"/>
              </w:rPr>
            </w:r>
          </w:p>
        </w:tc>
        <w:tc>
          <w:tcPr>
            <w:tcW w:w="226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RAYMOND JAMES BANK</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3075" w:type="dxa"/>
            <w:gridSpan w:val="2"/>
            <w:tcBorders/>
            <w:vAlign w:val="center"/>
          </w:tcPr>
          <w:p>
            <w:pPr>
              <w:pStyle w:val="TableContents"/>
              <w:bidi w:val="0"/>
              <w:spacing w:before="0" w:after="0"/>
              <w:ind w:left="0" w:right="0" w:hanging="0"/>
              <w:jc w:val="left"/>
              <w:rPr>
                <w:rFonts w:ascii="Times" w:hAnsi="Times"/>
                <w:sz w:val="24"/>
              </w:rPr>
            </w:pPr>
            <w:r>
              <w:rPr>
                <w:rFonts w:ascii="Times" w:hAnsi="Times"/>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30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60"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26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Ted Long</w:t>
            </w:r>
          </w:p>
        </w:tc>
      </w:tr>
      <w:tr>
        <w:trPr/>
        <w:tc>
          <w:tcPr>
            <w:tcW w:w="124"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2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09" w:type="dxa"/>
        <w:jc w:val="center"/>
        <w:tblInd w:w="0" w:type="dxa"/>
        <w:tblLayout w:type="fixed"/>
        <w:tblCellMar>
          <w:top w:w="0" w:type="dxa"/>
          <w:left w:w="0" w:type="dxa"/>
          <w:bottom w:w="0" w:type="dxa"/>
          <w:right w:w="0" w:type="dxa"/>
        </w:tblCellMar>
      </w:tblPr>
      <w:tblGrid>
        <w:gridCol w:w="124"/>
        <w:gridCol w:w="1534"/>
        <w:gridCol w:w="2951"/>
      </w:tblGrid>
      <w:tr>
        <w:trPr/>
        <w:tc>
          <w:tcPr>
            <w:tcW w:w="124"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283"/>
              <w:ind w:left="0" w:right="0" w:hanging="0"/>
              <w:jc w:val="left"/>
              <w:rPr>
                <w:sz w:val="4"/>
                <w:szCs w:val="4"/>
              </w:rPr>
            </w:pPr>
            <w:r>
              <w:rPr>
                <w:sz w:val="4"/>
                <w:szCs w:val="4"/>
              </w:rPr>
            </w:r>
          </w:p>
        </w:tc>
        <w:tc>
          <w:tcPr>
            <w:tcW w:w="29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w:hAnsi="Times"/>
                <w:smallCaps/>
                <w:sz w:val="24"/>
              </w:rPr>
              <w:t>THE HUNTINGTON NATIONAL BANK</w:t>
            </w:r>
            <w:r>
              <w:rPr>
                <w:rFonts w:ascii="Times" w:hAnsi="Times"/>
                <w:sz w:val="24"/>
              </w:rPr>
              <w:t>,</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rFonts w:ascii="Times" w:hAnsi="Times"/>
                <w:sz w:val="24"/>
              </w:rPr>
            </w:pPr>
            <w:r>
              <w:rPr>
                <w:rFonts w:ascii="Times" w:hAnsi="Times"/>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95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951" w:type="dxa"/>
            <w:tcBorders>
              <w:top w:val="single" w:sz="2" w:space="0" w:color="000000"/>
            </w:tcBorders>
            <w:tcMar>
              <w:top w:w="28" w:type="dxa"/>
            </w:tcMar>
            <w:vAlign w:val="center"/>
          </w:tcPr>
          <w:p>
            <w:pPr>
              <w:pStyle w:val="TableContents"/>
              <w:bidi w:val="0"/>
              <w:spacing w:before="0" w:after="0"/>
              <w:ind w:left="0" w:right="0" w:hanging="0"/>
              <w:jc w:val="left"/>
              <w:rPr>
                <w:rFonts w:ascii="Times" w:hAnsi="Times"/>
                <w:sz w:val="24"/>
              </w:rPr>
            </w:pPr>
            <w:r>
              <w:rPr>
                <w:rFonts w:ascii="Times" w:hAnsi="Times"/>
                <w:sz w:val="24"/>
              </w:rPr>
              <w:t>Joe White</w:t>
            </w:r>
          </w:p>
        </w:tc>
      </w:tr>
      <w:tr>
        <w:trPr/>
        <w:tc>
          <w:tcPr>
            <w:tcW w:w="124" w:type="dxa"/>
            <w:tcBorders/>
            <w:vAlign w:val="center"/>
          </w:tcPr>
          <w:p>
            <w:pPr>
              <w:pStyle w:val="TableContents"/>
              <w:bidi w:val="0"/>
              <w:spacing w:before="0" w:after="0"/>
              <w:ind w:left="0" w:right="0" w:hanging="0"/>
              <w:jc w:val="left"/>
              <w:rPr/>
            </w:pPr>
            <w:r>
              <w:rPr/>
              <w:t>​</w:t>
            </w:r>
          </w:p>
        </w:tc>
        <w:tc>
          <w:tcPr>
            <w:tcW w:w="153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951" w:type="dxa"/>
            <w:tcBorders/>
            <w:vAlign w:val="center"/>
          </w:tcPr>
          <w:p>
            <w:pPr>
              <w:pStyle w:val="TableContents"/>
              <w:bidi w:val="0"/>
              <w:spacing w:before="0" w:after="0"/>
              <w:ind w:left="0" w:right="0" w:hanging="0"/>
              <w:jc w:val="left"/>
              <w:rPr>
                <w:rFonts w:ascii="Times" w:hAnsi="Times"/>
                <w:sz w:val="24"/>
              </w:rPr>
            </w:pPr>
            <w:r>
              <w:rPr>
                <w:rFonts w:ascii="Times" w:hAnsi="Times"/>
                <w:sz w:val="24"/>
              </w:rPr>
              <w:t>Vice President</w:t>
            </w:r>
          </w:p>
        </w:tc>
      </w:tr>
    </w:tbl>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19" w:type="dxa"/>
        <w:jc w:val="center"/>
        <w:tblInd w:w="0" w:type="dxa"/>
        <w:tblLayout w:type="fixed"/>
        <w:tblCellMar>
          <w:top w:w="0" w:type="dxa"/>
          <w:left w:w="0" w:type="dxa"/>
          <w:bottom w:w="0" w:type="dxa"/>
          <w:right w:w="0" w:type="dxa"/>
        </w:tblCellMar>
      </w:tblPr>
      <w:tblGrid>
        <w:gridCol w:w="124"/>
        <w:gridCol w:w="847"/>
        <w:gridCol w:w="2348"/>
      </w:tblGrid>
      <w:tr>
        <w:trPr/>
        <w:tc>
          <w:tcPr>
            <w:tcW w:w="124"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283"/>
              <w:ind w:left="0" w:right="0" w:hanging="0"/>
              <w:jc w:val="left"/>
              <w:rPr>
                <w:sz w:val="4"/>
                <w:szCs w:val="4"/>
              </w:rPr>
            </w:pPr>
            <w:r>
              <w:rPr>
                <w:sz w:val="4"/>
                <w:szCs w:val="4"/>
              </w:rPr>
            </w:r>
          </w:p>
        </w:tc>
        <w:tc>
          <w:tcPr>
            <w:tcW w:w="234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REGIONS BANK</w:t>
            </w:r>
            <w:r>
              <w:rPr>
                <w:rFonts w:ascii="Times New Roman;Times;serif" w:hAnsi="Times New Roman;Times;serif"/>
                <w:sz w:val="24"/>
              </w:rPr>
              <w:t>, as a Lender</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348"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34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Ghi S. Gavin</w:t>
            </w:r>
          </w:p>
        </w:tc>
      </w:tr>
      <w:tr>
        <w:trPr/>
        <w:tc>
          <w:tcPr>
            <w:tcW w:w="124"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3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94" w:type="dxa"/>
        <w:jc w:val="center"/>
        <w:tblInd w:w="0" w:type="dxa"/>
        <w:tblLayout w:type="fixed"/>
        <w:tblCellMar>
          <w:top w:w="0" w:type="dxa"/>
          <w:left w:w="0" w:type="dxa"/>
          <w:bottom w:w="0" w:type="dxa"/>
          <w:right w:w="0" w:type="dxa"/>
        </w:tblCellMar>
      </w:tblPr>
      <w:tblGrid>
        <w:gridCol w:w="124"/>
        <w:gridCol w:w="1259"/>
        <w:gridCol w:w="2611"/>
      </w:tblGrid>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283"/>
              <w:ind w:left="0" w:right="0" w:hanging="0"/>
              <w:jc w:val="left"/>
              <w:rPr>
                <w:sz w:val="4"/>
                <w:szCs w:val="4"/>
              </w:rPr>
            </w:pPr>
            <w:r>
              <w:rPr>
                <w:sz w:val="4"/>
                <w:szCs w:val="4"/>
              </w:rPr>
            </w:r>
          </w:p>
        </w:tc>
        <w:tc>
          <w:tcPr>
            <w:tcW w:w="26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BANK OF MONTREAL</w:t>
            </w:r>
            <w:r>
              <w:rPr>
                <w:rFonts w:ascii="Times New Roman;Times;serif" w:hAnsi="Times New Roman;Times;serif"/>
                <w:sz w:val="24"/>
              </w:rPr>
              <w:t>, as a Lender</w:t>
            </w:r>
          </w:p>
        </w:tc>
      </w:tr>
      <w:tr>
        <w:trPr/>
        <w:tc>
          <w:tcPr>
            <w:tcW w:w="124"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61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6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Jonas Robinson</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6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69" w:type="dxa"/>
        <w:jc w:val="center"/>
        <w:tblInd w:w="0" w:type="dxa"/>
        <w:tblLayout w:type="fixed"/>
        <w:tblCellMar>
          <w:top w:w="0" w:type="dxa"/>
          <w:left w:w="0" w:type="dxa"/>
          <w:bottom w:w="0" w:type="dxa"/>
          <w:right w:w="0" w:type="dxa"/>
        </w:tblCellMar>
      </w:tblPr>
      <w:tblGrid>
        <w:gridCol w:w="124"/>
        <w:gridCol w:w="1205"/>
        <w:gridCol w:w="3340"/>
      </w:tblGrid>
      <w:tr>
        <w:trPr/>
        <w:tc>
          <w:tcPr>
            <w:tcW w:w="124"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283"/>
              <w:ind w:left="0" w:right="0" w:hanging="0"/>
              <w:jc w:val="left"/>
              <w:rPr>
                <w:sz w:val="4"/>
                <w:szCs w:val="4"/>
              </w:rPr>
            </w:pPr>
            <w:r>
              <w:rPr>
                <w:sz w:val="4"/>
                <w:szCs w:val="4"/>
              </w:rPr>
            </w:r>
          </w:p>
        </w:tc>
        <w:tc>
          <w:tcPr>
            <w:tcW w:w="334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PNC BANK, NATIONAL ASSOCIATION</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340"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34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Andrew T. White</w:t>
            </w:r>
          </w:p>
        </w:tc>
      </w:tr>
      <w:tr>
        <w:trPr/>
        <w:tc>
          <w:tcPr>
            <w:tcW w:w="124"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34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954" w:type="dxa"/>
        <w:jc w:val="center"/>
        <w:tblInd w:w="0" w:type="dxa"/>
        <w:tblLayout w:type="fixed"/>
        <w:tblCellMar>
          <w:top w:w="0" w:type="dxa"/>
          <w:left w:w="0" w:type="dxa"/>
          <w:bottom w:w="0" w:type="dxa"/>
          <w:right w:w="0" w:type="dxa"/>
        </w:tblCellMar>
      </w:tblPr>
      <w:tblGrid>
        <w:gridCol w:w="124"/>
        <w:gridCol w:w="1490"/>
        <w:gridCol w:w="340"/>
      </w:tblGrid>
      <w:tr>
        <w:trPr/>
        <w:tc>
          <w:tcPr>
            <w:tcW w:w="124"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283"/>
              <w:ind w:left="0" w:right="0" w:hanging="0"/>
              <w:jc w:val="left"/>
              <w:rPr>
                <w:sz w:val="4"/>
                <w:szCs w:val="4"/>
              </w:rPr>
            </w:pPr>
            <w:r>
              <w:rPr>
                <w:sz w:val="4"/>
                <w:szCs w:val="4"/>
              </w:rPr>
            </w:r>
          </w:p>
        </w:tc>
        <w:tc>
          <w:tcPr>
            <w:tcW w:w="34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3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TRUIST BANK</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183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1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40"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40"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40"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280" w:after="0"/>
        <w:ind w:left="4680" w:right="0" w:hanging="23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269" w:type="dxa"/>
        <w:jc w:val="center"/>
        <w:tblInd w:w="0" w:type="dxa"/>
        <w:tblLayout w:type="fixed"/>
        <w:tblCellMar>
          <w:top w:w="0" w:type="dxa"/>
          <w:left w:w="0" w:type="dxa"/>
          <w:bottom w:w="0" w:type="dxa"/>
          <w:right w:w="0" w:type="dxa"/>
        </w:tblCellMar>
      </w:tblPr>
      <w:tblGrid>
        <w:gridCol w:w="124"/>
        <w:gridCol w:w="1746"/>
        <w:gridCol w:w="399"/>
      </w:tblGrid>
      <w:tr>
        <w:trPr/>
        <w:tc>
          <w:tcPr>
            <w:tcW w:w="124"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283"/>
              <w:ind w:left="0" w:right="0" w:hanging="0"/>
              <w:jc w:val="left"/>
              <w:rPr>
                <w:sz w:val="4"/>
                <w:szCs w:val="4"/>
              </w:rPr>
            </w:pPr>
            <w:r>
              <w:rPr>
                <w:sz w:val="4"/>
                <w:szCs w:val="4"/>
              </w:rPr>
            </w:r>
          </w:p>
        </w:tc>
        <w:tc>
          <w:tcPr>
            <w:tcW w:w="39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SYNOVUS BANK</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21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9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pPr>
      <w:r>
        <w:rPr/>
        <w:t>​</w:t>
      </w:r>
    </w:p>
    <w:p>
      <w:pPr>
        <w:pStyle w:val="TextBody"/>
        <w:bidi w:val="0"/>
        <w:spacing w:before="28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w:t>
      </w:r>
    </w:p>
    <w:p>
      <w:pPr>
        <w:pStyle w:val="TextBody"/>
        <w:bidi w:val="0"/>
        <w:spacing w:before="0" w:after="240"/>
        <w:ind w:left="0" w:right="0" w:firstLine="720"/>
        <w:jc w:val="both"/>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Payment Request</w:t>
      </w:r>
    </w:p>
    <w:p>
      <w:pPr>
        <w:pStyle w:val="TextBody"/>
        <w:bidi w:val="0"/>
        <w:ind w:left="0" w:right="0" w:hanging="0"/>
        <w:jc w:val="center"/>
        <w:rPr/>
      </w:pPr>
      <w:r>
        <w:rPr/>
        <w:t>●</w:t>
      </w:r>
      <w:r>
        <w:rPr>
          <w:rFonts w:ascii="Times New Roman;Times;serif" w:hAnsi="Times New Roman;Times;serif"/>
          <w:sz w:val="24"/>
        </w:rPr>
        <w:t>[Date]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of Lender]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before="0" w:after="240"/>
        <w:ind w:left="0" w:right="0" w:hanging="0"/>
        <w:jc w:val="both"/>
        <w:rPr>
          <w:rFonts w:ascii="Times" w:hAnsi="Times"/>
          <w:sz w:val="24"/>
        </w:rPr>
      </w:pPr>
      <w:r>
        <w:rPr>
          <w:rFonts w:ascii="Times" w:hAnsi="Times"/>
          <w:sz w:val="24"/>
        </w:rPr>
        <w:t>Attention:</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Reference is made to the Amended and Restated Credit Agreement dated as of September 30, 2022, among Alpine Income Property OP, LP, the Guarantors from time to time party thereto, the Lenders from time to time party thereto, and</w:t>
      </w:r>
      <w:r>
        <w:rPr>
          <w:rFonts w:ascii="Times New Roman;Times;serif" w:hAnsi="Times New Roman;Times;serif"/>
          <w:sz w:val="24"/>
        </w:rPr>
        <w:t xml:space="preserve"> </w:t>
      </w:r>
      <w:r>
        <w:rPr>
          <w:rFonts w:ascii="Times" w:hAnsi="Times"/>
          <w:sz w:val="24"/>
        </w:rPr>
        <w:t xml:space="preserve">KeyBank National Association, as Administrative Agent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Capitalized terms used herein and not defined herein have the meanings assigned to them in the Credit Agreement.  [The Borrower has failed to pay its Reimbursement Obligation in the amount of $____________.  Your Applicable Percentage of the unpaid Reimbursement Obligation is $_____________] or [__________________________ has been required to return a payment by the Borrower of a Reimbursement Obligation in the amount of $_______________.  Your Applicable Percentage of the returned Reimbursement Obligation is $_______________.]</w:t>
      </w:r>
    </w:p>
    <w:p>
      <w:pPr>
        <w:pStyle w:val="TextBody"/>
        <w:bidi w:val="0"/>
        <w:spacing w:before="320" w:after="0"/>
        <w:ind w:left="4680" w:right="0" w:hanging="0"/>
        <w:jc w:val="left"/>
        <w:rPr/>
      </w:pPr>
      <w:r>
        <w:rPr/>
        <w:t>​</w:t>
      </w:r>
    </w:p>
    <w:tbl>
      <w:tblPr>
        <w:tblW w:w="4039" w:type="dxa"/>
        <w:jc w:val="center"/>
        <w:tblInd w:w="0" w:type="dxa"/>
        <w:tblLayout w:type="fixed"/>
        <w:tblCellMar>
          <w:top w:w="0" w:type="dxa"/>
          <w:left w:w="0" w:type="dxa"/>
          <w:bottom w:w="0" w:type="dxa"/>
          <w:right w:w="0" w:type="dxa"/>
        </w:tblCellMar>
      </w:tblPr>
      <w:tblGrid>
        <w:gridCol w:w="124"/>
        <w:gridCol w:w="3238"/>
        <w:gridCol w:w="6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78740" cy="175260"/>
                      <wp:effectExtent l="0" t="0" r="0" b="0"/>
                      <wp:wrapNone/>
                      <wp:docPr id="415" name="Frame41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56130" cy="29210"/>
                      <wp:effectExtent l="0" t="0" r="0" b="0"/>
                      <wp:wrapNone/>
                      <wp:docPr id="416" name="Frame416"/>
                      <a:graphic xmlns:a="http://schemas.openxmlformats.org/drawingml/2006/main">
                        <a:graphicData uri="http://schemas.microsoft.com/office/word/2010/wordprocessingShape">
                          <wps:wsp>
                            <wps:cNvSpPr txBox="1"/>
                            <wps:spPr>
                              <a:xfrm>
                                <a:off x="0" y="0"/>
                                <a:ext cx="20561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29895" cy="175260"/>
                      <wp:effectExtent l="0" t="0" r="0" b="0"/>
                      <wp:wrapNone/>
                      <wp:docPr id="417" name="Frame417"/>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9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39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KeyBank National Association</w:t>
            </w:r>
            <w:r>
              <w:rPr>
                <w:rFonts w:ascii="Times New Roman;Times;serif" w:hAnsi="Times New Roman;Times;serif"/>
                <w:sz w:val="24"/>
              </w:rPr>
              <w:t>, as</w:t>
            </w:r>
          </w:p>
        </w:tc>
      </w:tr>
      <w:tr>
        <w:trPr/>
        <w:tc>
          <w:tcPr>
            <w:tcW w:w="124" w:type="dxa"/>
            <w:tcBorders/>
            <w:vAlign w:val="center"/>
          </w:tcPr>
          <w:p>
            <w:pPr>
              <w:pStyle w:val="TableContents"/>
              <w:bidi w:val="0"/>
              <w:spacing w:before="0" w:after="0"/>
              <w:ind w:left="0" w:right="0" w:hanging="0"/>
              <w:jc w:val="left"/>
              <w:rPr/>
            </w:pPr>
            <w:r>
              <w:rPr/>
              <w:t>​</w:t>
            </w:r>
          </w:p>
        </w:tc>
        <w:tc>
          <w:tcPr>
            <w:tcW w:w="39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L/C Issuer</w:t>
            </w:r>
          </w:p>
        </w:tc>
      </w:tr>
      <w:tr>
        <w:trPr/>
        <w:tc>
          <w:tcPr>
            <w:tcW w:w="124" w:type="dxa"/>
            <w:tcBorders/>
            <w:vAlign w:val="center"/>
          </w:tcPr>
          <w:p>
            <w:pPr>
              <w:pStyle w:val="TableContents"/>
              <w:bidi w:val="0"/>
              <w:spacing w:before="0" w:after="0"/>
              <w:ind w:left="0" w:right="0" w:hanging="0"/>
              <w:jc w:val="left"/>
              <w:rPr/>
            </w:pPr>
            <w:r>
              <w:rPr/>
              <w:t>​</w:t>
            </w:r>
          </w:p>
        </w:tc>
        <w:tc>
          <w:tcPr>
            <w:tcW w:w="39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3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677"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23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677"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23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677"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Borrowing</w:t>
      </w:r>
    </w:p>
    <w:p>
      <w:pPr>
        <w:pStyle w:val="TextBody"/>
        <w:bidi w:val="0"/>
        <w:spacing w:before="0" w:after="240"/>
        <w:ind w:left="620" w:right="0" w:hanging="0"/>
        <w:jc w:val="both"/>
        <w:rPr>
          <w:rFonts w:ascii="Times New Roman;Times;serif" w:hAnsi="Times New Roman;Times;serif"/>
          <w:sz w:val="24"/>
        </w:rPr>
      </w:pPr>
      <w:r>
        <w:rPr>
          <w:rFonts w:ascii="Times New Roman;Times;serif" w:hAnsi="Times New Roman;Times;serif"/>
          <w:sz w:val="24"/>
          <w:shd w:fill="FFFFFF" w:val="clear"/>
        </w:rPr>
        <w:tab/>
      </w:r>
      <w:r>
        <w:rPr>
          <w:rFonts w:ascii="Times" w:hAnsi="Times"/>
          <w:b w:val="false"/>
          <w:i w:val="false"/>
          <w:caps w:val="false"/>
          <w:smallCaps w:val="false"/>
          <w:sz w:val="24"/>
          <w:shd w:fill="FFFFFF" w:val="clear"/>
        </w:rPr>
        <w:t>Date:</w:t>
      </w:r>
      <w:r>
        <w:rPr>
          <w:rFonts w:ascii="Times" w:hAnsi="Times"/>
          <w:b w:val="false"/>
          <w:i w:val="false"/>
          <w:caps w:val="false"/>
          <w:smallCaps w:val="false"/>
          <w:sz w:val="24"/>
          <w:shd w:fill="FFFFFF" w:val="clear"/>
        </w:rPr>
        <w:t>, ____</w:t>
      </w:r>
      <w:r>
        <mc:AlternateContent>
          <mc:Choice Requires="wps">
            <w:drawing>
              <wp:anchor behindDoc="0" distT="0" distB="0" distL="0" distR="0" simplePos="0" locked="0" layoutInCell="1" allowOverlap="1" relativeHeight="419">
                <wp:simplePos x="0" y="0"/>
                <wp:positionH relativeFrom="page">
                  <wp:posOffset>0</wp:posOffset>
                </wp:positionH>
                <wp:positionV relativeFrom="line">
                  <wp:posOffset>635</wp:posOffset>
                </wp:positionV>
                <wp:extent cx="6480175" cy="175895"/>
                <wp:effectExtent l="0" t="0" r="0" b="0"/>
                <wp:wrapNone/>
                <wp:docPr id="418" name="Frame4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240" w:after="240"/>
              <w:jc w:val="both"/>
              <w:rPr>
                <w:rFonts w:ascii="Times" w:hAnsi="Times"/>
                <w:sz w:val="24"/>
              </w:rPr>
            </w:pPr>
            <w:r>
              <w:rPr>
                <w:rFonts w:ascii="Times" w:hAnsi="Times"/>
                <w:sz w:val="24"/>
              </w:rPr>
              <w:t>To:</w:t>
            </w:r>
          </w:p>
        </w:tc>
        <w:tc>
          <w:tcPr>
            <w:tcW w:w="9903" w:type="dxa"/>
            <w:tcBorders/>
            <w:vAlign w:val="center"/>
          </w:tcPr>
          <w:p>
            <w:pPr>
              <w:pStyle w:val="TableContents"/>
              <w:bidi w:val="0"/>
              <w:spacing w:before="240" w:after="240"/>
              <w:jc w:val="both"/>
              <w:rPr>
                <w:rFonts w:ascii="Times New Roman;Times;serif" w:hAnsi="Times New Roman;Times;serif"/>
                <w:sz w:val="24"/>
              </w:rPr>
            </w:pPr>
            <w:r>
              <w:rPr>
                <w:rFonts w:ascii="Times" w:hAnsi="Times"/>
                <w:sz w:val="24"/>
              </w:rPr>
              <w:t xml:space="preserve">KeyBank National Association, as Administrative Agent for the Lenders from time to time parties to the Amended and Restated Credit Agreement dated as of September 30, 2022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xml:space="preserve">), among </w:t>
            </w:r>
            <w:r>
              <w:rPr>
                <w:rFonts w:ascii="Times" w:hAnsi="Times"/>
                <w:smallCaps/>
                <w:sz w:val="24"/>
              </w:rPr>
              <w:t>Alpine Income Property OP, LP</w:t>
            </w:r>
            <w:r>
              <w:rPr>
                <w:rFonts w:ascii="Times" w:hAnsi="Times"/>
                <w:sz w:val="24"/>
              </w:rPr>
              <w:t>, certain Guarantors which are signatories thereto, certain Lenders which are from time to time parties thereto, and the Administrative Agent</w:t>
            </w:r>
          </w:p>
        </w:tc>
      </w:tr>
    </w:tbl>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240" w:after="240"/>
        <w:ind w:left="0" w:right="0" w:firstLine="720"/>
        <w:jc w:val="both"/>
        <w:rPr>
          <w:rFonts w:ascii="Times New Roman;Times;serif" w:hAnsi="Times New Roman;Times;serif"/>
          <w:sz w:val="24"/>
        </w:rPr>
      </w:pPr>
      <w:r>
        <w:rPr>
          <w:rFonts w:ascii="Times" w:hAnsi="Times"/>
          <w:sz w:val="24"/>
        </w:rPr>
        <w:t xml:space="preserve">The undersigned, Alpine Income Property OP, LP (the </w:t>
      </w:r>
      <w:r>
        <w:rPr>
          <w:rFonts w:ascii="Times New Roman;Times;serif" w:hAnsi="Times New Roman;Times;serif"/>
          <w:sz w:val="24"/>
        </w:rPr>
        <w:t>“</w:t>
      </w:r>
      <w:r>
        <w:rPr>
          <w:rFonts w:ascii="Times" w:hAnsi="Times"/>
          <w:i/>
          <w:sz w:val="24"/>
        </w:rPr>
        <w:t>Borrower”</w:t>
      </w:r>
      <w:r>
        <w:rPr>
          <w:rFonts w:ascii="Times" w:hAnsi="Times"/>
          <w:sz w:val="24"/>
        </w:rPr>
        <w:t>), refers to the Credit Agreement, the terms defined therein being used herein as therein defined, and hereby gives you notice irrevocably, pursuant to Section 1.6 of the Credit Agreement, of the Borrowing specified below:</w:t>
      </w:r>
    </w:p>
    <w:p>
      <w:pPr>
        <w:pStyle w:val="TextBody"/>
        <w:bidi w:val="0"/>
        <w:spacing w:before="240" w:after="240"/>
        <w:ind w:left="720" w:right="0" w:hanging="0"/>
        <w:jc w:val="both"/>
        <w:rPr>
          <w:rFonts w:ascii="Times" w:hAnsi="Times"/>
          <w:sz w:val="24"/>
        </w:rPr>
      </w:pPr>
      <w:r>
        <w:rPr>
          <w:rFonts w:ascii="Times" w:hAnsi="Times"/>
          <w:sz w:val="24"/>
        </w:rPr>
        <w:t>1.The Business Day of the proposed Borrowing is ___________, ____.</w:t>
      </w:r>
    </w:p>
    <w:p>
      <w:pPr>
        <w:pStyle w:val="TextBody"/>
        <w:bidi w:val="0"/>
        <w:spacing w:before="240" w:after="240"/>
        <w:ind w:left="720" w:right="0" w:hanging="0"/>
        <w:jc w:val="both"/>
        <w:rPr>
          <w:rFonts w:ascii="Times" w:hAnsi="Times"/>
          <w:sz w:val="24"/>
        </w:rPr>
      </w:pPr>
      <w:r>
        <w:rPr>
          <w:rFonts w:ascii="Times" w:hAnsi="Times"/>
          <w:sz w:val="24"/>
        </w:rPr>
        <w:t>2.The aggregate amount of the proposed Borrowing is $______________.</w:t>
      </w:r>
    </w:p>
    <w:p>
      <w:pPr>
        <w:pStyle w:val="TextBody"/>
        <w:bidi w:val="0"/>
        <w:spacing w:before="240" w:after="240"/>
        <w:ind w:left="720" w:right="0" w:hanging="0"/>
        <w:jc w:val="both"/>
        <w:rPr>
          <w:rFonts w:ascii="Times" w:hAnsi="Times"/>
          <w:sz w:val="24"/>
        </w:rPr>
      </w:pPr>
      <w:r>
        <w:rPr>
          <w:rFonts w:ascii="Times" w:hAnsi="Times"/>
          <w:sz w:val="24"/>
        </w:rPr>
        <w:t>3.The Borrowing is being advanced under the Revolving Facility.</w:t>
      </w:r>
    </w:p>
    <w:p>
      <w:pPr>
        <w:pStyle w:val="TextBody"/>
        <w:bidi w:val="0"/>
        <w:spacing w:before="240" w:after="240"/>
        <w:ind w:left="720" w:right="0" w:hanging="0"/>
        <w:jc w:val="both"/>
        <w:rPr>
          <w:rFonts w:ascii="Times New Roman;Times;serif" w:hAnsi="Times New Roman;Times;serif"/>
          <w:sz w:val="24"/>
        </w:rPr>
      </w:pPr>
      <w:r>
        <w:rPr>
          <w:rFonts w:ascii="Times" w:hAnsi="Times"/>
          <w:sz w:val="24"/>
        </w:rPr>
        <w:t xml:space="preserve">4.The Borrowing is to be comprised of $___________ of </w:t>
      </w:r>
      <w:r>
        <w:rPr>
          <w:rFonts w:ascii="Times" w:hAnsi="Times"/>
          <w:b/>
          <w:sz w:val="24"/>
        </w:rPr>
        <w:t>[Base Rate] [Daily Simple SOFR] [Term SOFR]</w:t>
      </w:r>
      <w:r>
        <w:rPr>
          <w:rFonts w:ascii="Times New Roman;Times;serif" w:hAnsi="Times New Roman;Times;serif"/>
          <w:sz w:val="24"/>
        </w:rPr>
        <w:t xml:space="preserve"> </w:t>
      </w:r>
      <w:r>
        <w:rPr>
          <w:rFonts w:ascii="Times" w:hAnsi="Times"/>
          <w:sz w:val="24"/>
        </w:rPr>
        <w:t>Loans.</w:t>
      </w:r>
    </w:p>
    <w:p>
      <w:pPr>
        <w:pStyle w:val="TextBody"/>
        <w:bidi w:val="0"/>
        <w:spacing w:before="240" w:after="240"/>
        <w:ind w:left="720" w:right="0" w:hanging="0"/>
        <w:jc w:val="both"/>
        <w:rPr>
          <w:rFonts w:ascii="Times" w:hAnsi="Times"/>
          <w:b/>
          <w:sz w:val="24"/>
        </w:rPr>
      </w:pPr>
      <w:r>
        <w:rPr>
          <w:rFonts w:ascii="Times" w:hAnsi="Times"/>
          <w:b/>
          <w:sz w:val="24"/>
        </w:rPr>
        <w:t>[5.The duration of the Interest Period for the Term SOFR Loans included in the Borrowing shall be ____________ months.]</w:t>
      </w:r>
    </w:p>
    <w:p>
      <w:pPr>
        <w:pStyle w:val="TextBody"/>
        <w:bidi w:val="0"/>
        <w:spacing w:before="240" w:after="240"/>
        <w:ind w:left="0" w:right="0" w:firstLine="720"/>
        <w:jc w:val="both"/>
        <w:rPr>
          <w:rFonts w:ascii="Times" w:hAnsi="Times"/>
          <w:sz w:val="24"/>
        </w:rPr>
      </w:pPr>
      <w:r>
        <w:rPr>
          <w:rFonts w:ascii="Times" w:hAnsi="Times"/>
          <w:sz w:val="24"/>
        </w:rPr>
        <w:t>The undersigned hereby certifies that the following statements are true on the date hereof, and will be true on the date of the proposed Borrowing, before and after giving effect thereto and to the application of the proceeds therefrom:</w:t>
      </w:r>
    </w:p>
    <w:p>
      <w:pPr>
        <w:pStyle w:val="TextBody"/>
        <w:bidi w:val="0"/>
        <w:spacing w:before="240" w:after="240"/>
        <w:ind w:left="720" w:right="0" w:hanging="0"/>
        <w:jc w:val="both"/>
        <w:rPr>
          <w:rFonts w:ascii="Times" w:hAnsi="Times"/>
          <w:sz w:val="24"/>
        </w:rPr>
      </w:pPr>
      <w:r>
        <w:rPr>
          <w:rFonts w:ascii="Times" w:hAnsi="Times"/>
          <w:sz w:val="24"/>
        </w:rPr>
        <w:t>(a)the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pStyle w:val="TextBody"/>
        <w:bidi w:val="0"/>
        <w:spacing w:before="240" w:after="240"/>
        <w:ind w:left="720" w:right="0" w:hanging="0"/>
        <w:jc w:val="both"/>
        <w:rPr>
          <w:rFonts w:ascii="Times" w:hAnsi="Times"/>
          <w:sz w:val="24"/>
        </w:rPr>
      </w:pPr>
      <w:r>
        <w:rPr>
          <w:rFonts w:ascii="Times" w:hAnsi="Times"/>
          <w:sz w:val="24"/>
        </w:rPr>
        <w:t>(b)no Default or Event of Default has occurred and is continuing or would result from such proposed Borrowing.</w:t>
      </w:r>
    </w:p>
    <w:tbl>
      <w:tblPr>
        <w:tblW w:w="3693" w:type="dxa"/>
        <w:jc w:val="center"/>
        <w:tblInd w:w="0" w:type="dxa"/>
        <w:tblLayout w:type="fixed"/>
        <w:tblCellMar>
          <w:top w:w="0" w:type="dxa"/>
          <w:left w:w="0" w:type="dxa"/>
          <w:bottom w:w="0" w:type="dxa"/>
          <w:right w:w="0" w:type="dxa"/>
        </w:tblCellMar>
      </w:tblPr>
      <w:tblGrid>
        <w:gridCol w:w="124"/>
        <w:gridCol w:w="1200"/>
        <w:gridCol w:w="1959"/>
        <w:gridCol w:w="41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78740" cy="175260"/>
                      <wp:effectExtent l="0" t="0" r="0" b="0"/>
                      <wp:wrapNone/>
                      <wp:docPr id="419" name="Frame4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762000" cy="29210"/>
                      <wp:effectExtent l="0" t="0" r="0" b="0"/>
                      <wp:wrapNone/>
                      <wp:docPr id="420" name="Frame420"/>
                      <a:graphic xmlns:a="http://schemas.openxmlformats.org/drawingml/2006/main">
                        <a:graphicData uri="http://schemas.microsoft.com/office/word/2010/wordprocessingShape">
                          <wps:wsp>
                            <wps:cNvSpPr txBox="1"/>
                            <wps:spPr>
                              <a:xfrm>
                                <a:off x="0" y="0"/>
                                <a:ext cx="762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6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504315" cy="175260"/>
                      <wp:effectExtent l="0" t="0" r="0" b="0"/>
                      <wp:wrapNone/>
                      <wp:docPr id="421" name="Frame421"/>
                      <a:graphic xmlns:a="http://schemas.openxmlformats.org/drawingml/2006/main">
                        <a:graphicData uri="http://schemas.microsoft.com/office/word/2010/wordprocessingShape">
                          <wps:wsp>
                            <wps:cNvSpPr txBox="1"/>
                            <wps:spPr>
                              <a:xfrm>
                                <a:off x="0" y="0"/>
                                <a:ext cx="150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369"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1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pBdr/>
        <w:bidi w:val="0"/>
        <w:spacing w:before="0" w:after="0"/>
        <w:ind w:left="4680" w:right="0" w:hanging="230"/>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w:t>
      </w:r>
    </w:p>
    <w:p>
      <w:pPr>
        <w:pStyle w:val="TextBody"/>
        <w:bidi w:val="0"/>
        <w:spacing w:before="24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Continuation/Conversion</w:t>
      </w:r>
    </w:p>
    <w:p>
      <w:pPr>
        <w:pStyle w:val="TextBody"/>
        <w:bidi w:val="0"/>
        <w:spacing w:before="240" w:after="0"/>
        <w:ind w:left="0" w:right="0" w:hanging="0"/>
        <w:jc w:val="right"/>
        <w:rPr>
          <w:rFonts w:ascii="Times New Roman;Times;serif" w:hAnsi="Times New Roman;Times;serif"/>
          <w:sz w:val="24"/>
        </w:rPr>
      </w:pPr>
      <w:r>
        <w:rPr>
          <w:rFonts w:ascii="Times New Roman;Times;serif" w:hAnsi="Times New Roman;Times;serif"/>
          <w:sz w:val="24"/>
        </w:rPr>
        <w:t>Date: ____________, ____</w:t>
      </w:r>
    </w:p>
    <w:p>
      <w:pPr>
        <w:pStyle w:val="TextBody"/>
        <w:pBdr/>
        <w:bidi w:val="0"/>
        <w:spacing w:before="2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To:</w:t>
      </w:r>
      <w:r>
        <w:rPr>
          <w:rFonts w:ascii="Times New Roman;Times;serif" w:hAnsi="Times New Roman;Times;serif"/>
          <w:sz w:val="24"/>
        </w:rPr>
        <w:t>KeyBank National Association, as Administrative Agent for the Lenders from time to time parties to the Amended and Restated Credit Agreement dated as of September 30, 2022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among Alpine Income Property OP, LP, certain Guarantors which are from time to time signatories thereto, certain Lenders which are from time to time parties thereto, and the Administrative Agent</w:t>
      </w:r>
    </w:p>
    <w:p>
      <w:pPr>
        <w:pStyle w:val="TextBody"/>
        <w:bidi w:val="0"/>
        <w:spacing w:before="200" w:after="240"/>
        <w:ind w:left="0" w:right="0" w:hanging="0"/>
        <w:jc w:val="both"/>
        <w:rPr>
          <w:rFonts w:ascii="Times" w:hAnsi="Times"/>
          <w:sz w:val="24"/>
        </w:rPr>
      </w:pPr>
      <w:r>
        <w:rPr>
          <w:rFonts w:ascii="Times" w:hAnsi="Times"/>
          <w:sz w:val="24"/>
        </w:rPr>
        <w:t>Ladies and Gentlemen:</w:t>
      </w:r>
    </w:p>
    <w:p>
      <w:pPr>
        <w:pStyle w:val="TextBody"/>
        <w:bidi w:val="0"/>
        <w:spacing w:before="200" w:after="240"/>
        <w:ind w:left="0" w:right="0" w:firstLine="720"/>
        <w:jc w:val="both"/>
        <w:rPr>
          <w:rFonts w:ascii="Times New Roman;Times;serif" w:hAnsi="Times New Roman;Times;serif"/>
          <w:sz w:val="24"/>
        </w:rPr>
      </w:pPr>
      <w:r>
        <w:rPr>
          <w:rFonts w:ascii="Times" w:hAnsi="Times"/>
          <w:sz w:val="24"/>
        </w:rPr>
        <w:t xml:space="preserve">The undersigned, Alpine Income Property OP, LP (the </w:t>
      </w:r>
      <w:r>
        <w:rPr>
          <w:rFonts w:ascii="Times New Roman;Times;serif" w:hAnsi="Times New Roman;Times;serif"/>
          <w:sz w:val="24"/>
        </w:rPr>
        <w:t>“</w:t>
      </w:r>
      <w:r>
        <w:rPr>
          <w:rFonts w:ascii="Times" w:hAnsi="Times"/>
          <w:i/>
          <w:sz w:val="24"/>
        </w:rPr>
        <w:t>Borrower”</w:t>
      </w:r>
      <w:r>
        <w:rPr>
          <w:rFonts w:ascii="Times" w:hAnsi="Times"/>
          <w:sz w:val="24"/>
        </w:rPr>
        <w:t xml:space="preserve">), refers to the Credit Agreement, the terms defined therein being used herein as therein defined, and hereby gives you notice irrevocably, pursuant to Section 1.6 of the Credit Agreement, of the </w:t>
      </w:r>
      <w:r>
        <w:rPr>
          <w:rFonts w:ascii="Times" w:hAnsi="Times"/>
          <w:b/>
          <w:sz w:val="24"/>
        </w:rPr>
        <w:t>[conversion] [continuation]</w:t>
      </w:r>
      <w:r>
        <w:rPr>
          <w:rFonts w:ascii="Times New Roman;Times;serif" w:hAnsi="Times New Roman;Times;serif"/>
          <w:sz w:val="24"/>
        </w:rPr>
        <w:t xml:space="preserve"> </w:t>
      </w:r>
      <w:r>
        <w:rPr>
          <w:rFonts w:ascii="Times" w:hAnsi="Times"/>
          <w:sz w:val="24"/>
        </w:rPr>
        <w:t>of the Loans specified herein, that:</w:t>
      </w:r>
    </w:p>
    <w:p>
      <w:pPr>
        <w:pStyle w:val="TextBody"/>
        <w:bidi w:val="0"/>
        <w:spacing w:before="220" w:after="240"/>
        <w:ind w:left="720" w:right="0" w:hanging="0"/>
        <w:jc w:val="both"/>
        <w:rPr>
          <w:rFonts w:ascii="Times" w:hAnsi="Times"/>
          <w:sz w:val="24"/>
        </w:rPr>
      </w:pPr>
      <w:r>
        <w:rPr>
          <w:rFonts w:ascii="Times" w:hAnsi="Times"/>
          <w:sz w:val="24"/>
        </w:rPr>
        <w:t>1.The conversion/continuation Date is __________, ____.</w:t>
      </w:r>
    </w:p>
    <w:p>
      <w:pPr>
        <w:pStyle w:val="TextBody"/>
        <w:bidi w:val="0"/>
        <w:spacing w:before="220" w:after="240"/>
        <w:ind w:left="720" w:right="0" w:hanging="0"/>
        <w:jc w:val="both"/>
        <w:rPr>
          <w:rFonts w:ascii="Times New Roman;Times;serif" w:hAnsi="Times New Roman;Times;serif"/>
          <w:sz w:val="24"/>
        </w:rPr>
      </w:pPr>
      <w:r>
        <w:rPr>
          <w:rFonts w:ascii="Times" w:hAnsi="Times"/>
          <w:sz w:val="24"/>
        </w:rPr>
        <w:t xml:space="preserve">2.The aggregate amount of the </w:t>
      </w:r>
      <w:r>
        <w:rPr>
          <w:rFonts w:ascii="Times" w:hAnsi="Times"/>
          <w:b/>
          <w:sz w:val="24"/>
        </w:rPr>
        <w:t>[Revolving Loans] [2027 Term Loans] [Incremental Term Loans]</w:t>
      </w:r>
      <w:r>
        <w:rPr>
          <w:rFonts w:ascii="Times New Roman;Times;serif" w:hAnsi="Times New Roman;Times;serif"/>
          <w:sz w:val="24"/>
        </w:rPr>
        <w:t xml:space="preserve"> </w:t>
      </w:r>
      <w:r>
        <w:rPr>
          <w:rFonts w:ascii="Times" w:hAnsi="Times"/>
          <w:sz w:val="24"/>
        </w:rPr>
        <w:t xml:space="preserve">to be </w:t>
      </w:r>
      <w:r>
        <w:rPr>
          <w:rFonts w:ascii="Times" w:hAnsi="Times"/>
          <w:b/>
          <w:sz w:val="24"/>
        </w:rPr>
        <w:t>[converted] [continued]</w:t>
      </w:r>
      <w:r>
        <w:rPr>
          <w:rFonts w:ascii="Times New Roman;Times;serif" w:hAnsi="Times New Roman;Times;serif"/>
          <w:sz w:val="24"/>
        </w:rPr>
        <w:t xml:space="preserve"> </w:t>
      </w:r>
      <w:r>
        <w:rPr>
          <w:rFonts w:ascii="Times" w:hAnsi="Times"/>
          <w:sz w:val="24"/>
        </w:rPr>
        <w:t>is $______________.</w:t>
      </w:r>
    </w:p>
    <w:p>
      <w:pPr>
        <w:pStyle w:val="TextBody"/>
        <w:bidi w:val="0"/>
        <w:spacing w:before="220" w:after="240"/>
        <w:ind w:left="720" w:right="0" w:hanging="0"/>
        <w:jc w:val="both"/>
        <w:rPr>
          <w:rFonts w:ascii="Times New Roman;Times;serif" w:hAnsi="Times New Roman;Times;serif"/>
          <w:sz w:val="24"/>
        </w:rPr>
      </w:pPr>
      <w:r>
        <w:rPr>
          <w:rFonts w:ascii="Times" w:hAnsi="Times"/>
          <w:sz w:val="24"/>
        </w:rPr>
        <w:t xml:space="preserve">3.The </w:t>
      </w:r>
      <w:r>
        <w:rPr>
          <w:rFonts w:ascii="Times" w:hAnsi="Times"/>
          <w:b/>
          <w:sz w:val="24"/>
        </w:rPr>
        <w:t>[Revolving Loans] [2027 Term Loans] [Incremental Term Loans]</w:t>
      </w:r>
      <w:r>
        <w:rPr>
          <w:rFonts w:ascii="Times New Roman;Times;serif" w:hAnsi="Times New Roman;Times;serif"/>
          <w:sz w:val="24"/>
        </w:rPr>
        <w:t xml:space="preserve">  </w:t>
      </w:r>
      <w:r>
        <w:rPr>
          <w:rFonts w:ascii="Times" w:hAnsi="Times"/>
          <w:sz w:val="24"/>
        </w:rPr>
        <w:t xml:space="preserve">are to be </w:t>
      </w:r>
      <w:r>
        <w:rPr>
          <w:rFonts w:ascii="Times" w:hAnsi="Times"/>
          <w:b/>
          <w:sz w:val="24"/>
        </w:rPr>
        <w:t>[converted into]</w:t>
      </w:r>
      <w:r>
        <w:rPr>
          <w:rFonts w:ascii="Times New Roman;Times;serif" w:hAnsi="Times New Roman;Times;serif"/>
          <w:sz w:val="24"/>
        </w:rPr>
        <w:t xml:space="preserve"> </w:t>
      </w:r>
      <w:r>
        <w:rPr>
          <w:rFonts w:ascii="Times" w:hAnsi="Times"/>
          <w:b/>
          <w:sz w:val="24"/>
        </w:rPr>
        <w:t>[continued as]</w:t>
      </w:r>
      <w:r>
        <w:rPr>
          <w:rFonts w:ascii="Times New Roman;Times;serif" w:hAnsi="Times New Roman;Times;serif"/>
          <w:sz w:val="24"/>
        </w:rPr>
        <w:t xml:space="preserve"> </w:t>
      </w:r>
      <w:r>
        <w:rPr>
          <w:rFonts w:ascii="Times" w:hAnsi="Times"/>
          <w:b/>
          <w:sz w:val="24"/>
        </w:rPr>
        <w:t>[Term SOFR] [Daily Simple SOFR]</w:t>
      </w:r>
      <w:r>
        <w:rPr>
          <w:rFonts w:ascii="Times New Roman;Times;serif" w:hAnsi="Times New Roman;Times;serif"/>
          <w:sz w:val="24"/>
        </w:rPr>
        <w:t xml:space="preserve"> </w:t>
      </w:r>
      <w:r>
        <w:rPr>
          <w:rFonts w:ascii="Times" w:hAnsi="Times"/>
          <w:b/>
          <w:sz w:val="24"/>
        </w:rPr>
        <w:t>[Base Rate]</w:t>
      </w:r>
      <w:r>
        <w:rPr>
          <w:rFonts w:ascii="Times New Roman;Times;serif" w:hAnsi="Times New Roman;Times;serif"/>
          <w:sz w:val="24"/>
        </w:rPr>
        <w:t xml:space="preserve"> </w:t>
      </w:r>
      <w:r>
        <w:rPr>
          <w:rFonts w:ascii="Times" w:hAnsi="Times"/>
          <w:sz w:val="24"/>
        </w:rPr>
        <w:t>Loans.</w:t>
      </w:r>
    </w:p>
    <w:p>
      <w:pPr>
        <w:pStyle w:val="TextBody"/>
        <w:bidi w:val="0"/>
        <w:spacing w:before="220" w:after="240"/>
        <w:ind w:left="720" w:right="0" w:hanging="0"/>
        <w:jc w:val="both"/>
        <w:rPr>
          <w:rFonts w:ascii="Times New Roman;Times;serif" w:hAnsi="Times New Roman;Times;serif"/>
          <w:sz w:val="24"/>
        </w:rPr>
      </w:pPr>
      <w:r>
        <w:rPr>
          <w:rFonts w:ascii="Times" w:hAnsi="Times"/>
          <w:sz w:val="24"/>
        </w:rPr>
        <w:t>4.</w:t>
      </w:r>
      <w:r>
        <w:rPr>
          <w:rFonts w:ascii="Times" w:hAnsi="Times"/>
          <w:b/>
          <w:sz w:val="24"/>
        </w:rPr>
        <w:t>[If applicable:]</w:t>
      </w:r>
      <w:r>
        <w:rPr>
          <w:rFonts w:ascii="Times New Roman;Times;serif" w:hAnsi="Times New Roman;Times;serif"/>
          <w:sz w:val="24"/>
        </w:rPr>
        <w:t xml:space="preserve">  </w:t>
      </w:r>
      <w:r>
        <w:rPr>
          <w:rFonts w:ascii="Times" w:hAnsi="Times"/>
          <w:sz w:val="24"/>
        </w:rPr>
        <w:t xml:space="preserve">The duration of the Interest Period for the </w:t>
      </w:r>
      <w:r>
        <w:rPr>
          <w:rFonts w:ascii="Times" w:hAnsi="Times"/>
          <w:b/>
          <w:sz w:val="24"/>
        </w:rPr>
        <w:t>[Revolving Loans] [2027 Term Loans] [Incremental Term Loans]</w:t>
      </w:r>
      <w:r>
        <w:rPr>
          <w:rFonts w:ascii="Times New Roman;Times;serif" w:hAnsi="Times New Roman;Times;serif"/>
          <w:sz w:val="24"/>
        </w:rPr>
        <w:t xml:space="preserve">  </w:t>
      </w:r>
      <w:r>
        <w:rPr>
          <w:rFonts w:ascii="Times" w:hAnsi="Times"/>
          <w:sz w:val="24"/>
        </w:rPr>
        <w:t xml:space="preserve">included in the </w:t>
      </w:r>
      <w:r>
        <w:rPr>
          <w:rFonts w:ascii="Times" w:hAnsi="Times"/>
          <w:b/>
          <w:sz w:val="24"/>
        </w:rPr>
        <w:t>[conversion] [continuation]</w:t>
      </w:r>
      <w:r>
        <w:rPr>
          <w:rFonts w:ascii="Times New Roman;Times;serif" w:hAnsi="Times New Roman;Times;serif"/>
          <w:sz w:val="24"/>
        </w:rPr>
        <w:t xml:space="preserve"> </w:t>
      </w:r>
      <w:r>
        <w:rPr>
          <w:rFonts w:ascii="Times" w:hAnsi="Times"/>
          <w:sz w:val="24"/>
        </w:rPr>
        <w:t>shall be _________ months.</w:t>
      </w:r>
    </w:p>
    <w:p>
      <w:pPr>
        <w:pStyle w:val="TextBody"/>
        <w:bidi w:val="0"/>
        <w:spacing w:before="200" w:after="240"/>
        <w:ind w:left="0" w:right="0" w:firstLine="720"/>
        <w:jc w:val="both"/>
        <w:rPr>
          <w:rFonts w:ascii="Times" w:hAnsi="Times"/>
          <w:sz w:val="24"/>
        </w:rPr>
      </w:pPr>
      <w:r>
        <w:rPr>
          <w:rFonts w:ascii="Times" w:hAnsi="Times"/>
          <w:sz w:val="24"/>
        </w:rPr>
        <w:t>The undersigned hereby certifies that the following statements are true on the date hereof, and will be true on the proposed conversion/continuation date, before and after giving effect thereto and to the application of the proceeds therefrom:</w:t>
      </w:r>
    </w:p>
    <w:p>
      <w:pPr>
        <w:pStyle w:val="TextBody"/>
        <w:bidi w:val="0"/>
        <w:spacing w:before="220" w:after="240"/>
        <w:ind w:left="720" w:right="0" w:hanging="0"/>
        <w:jc w:val="both"/>
        <w:rPr>
          <w:rFonts w:ascii="Times New Roman;Times;serif" w:hAnsi="Times New Roman;Times;serif"/>
          <w:sz w:val="24"/>
        </w:rPr>
      </w:pPr>
      <w:r>
        <w:rPr>
          <w:rFonts w:ascii="Times" w:hAnsi="Times"/>
          <w:sz w:val="24"/>
        </w:rPr>
        <w:t xml:space="preserve">(a)the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w:t>
      </w:r>
      <w:r>
        <w:rPr>
          <w:rFonts w:ascii="Times" w:hAnsi="Times"/>
          <w:i/>
          <w:sz w:val="24"/>
        </w:rPr>
        <w:t>provided, however,</w:t>
      </w:r>
      <w:r>
        <w:rPr>
          <w:rFonts w:ascii="Times New Roman;Times;serif" w:hAnsi="Times New Roman;Times;serif"/>
          <w:sz w:val="24"/>
        </w:rPr>
        <w:t xml:space="preserve"> </w:t>
      </w:r>
      <w:r>
        <w:rPr>
          <w:rFonts w:ascii="Times" w:hAnsi="Times"/>
          <w:sz w:val="24"/>
        </w:rPr>
        <w:t>that this condition shall not apply to the conversion of an outstanding Term SOFR Loan to a Base Rate Loan; 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C-1]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w:hAnsi="Times"/>
          <w:sz w:val="24"/>
        </w:rPr>
        <w:t xml:space="preserve">(b)no Default or Event of Default has occurred and is continuing, or would result from such proposed </w:t>
      </w:r>
      <w:r>
        <w:rPr>
          <w:rFonts w:ascii="Times" w:hAnsi="Times"/>
          <w:b/>
          <w:sz w:val="24"/>
        </w:rPr>
        <w:t>[conversion] [continuation]</w:t>
      </w:r>
      <w:r>
        <w:rPr>
          <w:rFonts w:ascii="Times" w:hAnsi="Times"/>
          <w:sz w:val="24"/>
        </w:rPr>
        <w:t>.</w:t>
      </w:r>
    </w:p>
    <w:tbl>
      <w:tblPr>
        <w:tblW w:w="3693" w:type="dxa"/>
        <w:jc w:val="center"/>
        <w:tblInd w:w="0" w:type="dxa"/>
        <w:tblLayout w:type="fixed"/>
        <w:tblCellMar>
          <w:top w:w="0" w:type="dxa"/>
          <w:left w:w="0" w:type="dxa"/>
          <w:bottom w:w="0" w:type="dxa"/>
          <w:right w:w="0" w:type="dxa"/>
        </w:tblCellMar>
      </w:tblPr>
      <w:tblGrid>
        <w:gridCol w:w="124"/>
        <w:gridCol w:w="1200"/>
        <w:gridCol w:w="1959"/>
        <w:gridCol w:w="41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78740" cy="175260"/>
                      <wp:effectExtent l="0" t="0" r="0" b="0"/>
                      <wp:wrapNone/>
                      <wp:docPr id="422" name="Frame42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78740" cy="175260"/>
                      <wp:effectExtent l="0" t="0" r="0" b="0"/>
                      <wp:wrapNone/>
                      <wp:docPr id="423" name="Frame42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762000" cy="29210"/>
                      <wp:effectExtent l="0" t="0" r="0" b="0"/>
                      <wp:wrapNone/>
                      <wp:docPr id="424" name="Frame424"/>
                      <a:graphic xmlns:a="http://schemas.openxmlformats.org/drawingml/2006/main">
                        <a:graphicData uri="http://schemas.microsoft.com/office/word/2010/wordprocessingShape">
                          <wps:wsp>
                            <wps:cNvSpPr txBox="1"/>
                            <wps:spPr>
                              <a:xfrm>
                                <a:off x="0" y="0"/>
                                <a:ext cx="762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6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504315" cy="175260"/>
                      <wp:effectExtent l="0" t="0" r="0" b="0"/>
                      <wp:wrapNone/>
                      <wp:docPr id="425" name="Frame425"/>
                      <a:graphic xmlns:a="http://schemas.openxmlformats.org/drawingml/2006/main">
                        <a:graphicData uri="http://schemas.microsoft.com/office/word/2010/wordprocessingShape">
                          <wps:wsp>
                            <wps:cNvSpPr txBox="1"/>
                            <wps:spPr>
                              <a:xfrm>
                                <a:off x="0" y="0"/>
                                <a:ext cx="150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369"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1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240"/>
        <w:ind w:left="72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C-2]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D-1</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Revolving Note</w:t>
      </w:r>
    </w:p>
    <w:p>
      <w:pPr>
        <w:pStyle w:val="TextBody"/>
        <w:bidi w:val="0"/>
        <w:spacing w:before="0" w:after="240"/>
        <w:ind w:left="0" w:right="0" w:hanging="0"/>
        <w:jc w:val="both"/>
        <w:rPr>
          <w:rFonts w:ascii="Times New Roman;Times;serif" w:hAnsi="Times New Roman;Times;serif"/>
          <w:sz w:val="24"/>
        </w:rPr>
      </w:pPr>
      <w:r>
        <w:rPr>
          <w:rFonts w:ascii="Times" w:hAnsi="Times"/>
          <w:b w:val="false"/>
          <w:i w:val="false"/>
          <w:smallCaps/>
          <w:sz w:val="24"/>
          <w:shd w:fill="FFFFFF" w:val="clear"/>
        </w:rPr>
        <w:t>U.S. $_______________</w:t>
      </w:r>
      <w:r>
        <w:rPr>
          <w:rFonts w:ascii="Times" w:hAnsi="Times"/>
          <w:b w:val="false"/>
          <w:i w:val="false"/>
          <w:caps w:val="false"/>
          <w:smallCaps w:val="false"/>
          <w:sz w:val="24"/>
          <w:shd w:fill="FFFFFF" w:val="clear"/>
        </w:rPr>
        <w:t>_____________, 20___</w:t>
      </w:r>
      <w:r>
        <mc:AlternateContent>
          <mc:Choice Requires="wps">
            <w:drawing>
              <wp:anchor behindDoc="0" distT="0" distB="0" distL="0" distR="0" simplePos="0" locked="0" layoutInCell="1" allowOverlap="1" relativeHeight="427">
                <wp:simplePos x="0" y="0"/>
                <wp:positionH relativeFrom="page">
                  <wp:posOffset>0</wp:posOffset>
                </wp:positionH>
                <wp:positionV relativeFrom="line">
                  <wp:posOffset>635</wp:posOffset>
                </wp:positionV>
                <wp:extent cx="6480175" cy="175260"/>
                <wp:effectExtent l="0" t="0" r="0" b="0"/>
                <wp:wrapNone/>
                <wp:docPr id="426" name="Frame4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4"/>
        </w:rPr>
      </w:pPr>
      <w:r>
        <w:rPr>
          <w:rFonts w:ascii="Times" w:hAnsi="Times"/>
          <w:smallCaps/>
          <w:sz w:val="24"/>
        </w:rPr>
        <w:t>For</w:t>
      </w:r>
      <w:r>
        <w:rPr>
          <w:rFonts w:ascii="Times New Roman;Times;serif" w:hAnsi="Times New Roman;Times;serif"/>
          <w:sz w:val="24"/>
        </w:rPr>
        <w:t xml:space="preserve"> </w:t>
      </w:r>
      <w:r>
        <w:rPr>
          <w:rFonts w:ascii="Times" w:hAnsi="Times"/>
          <w:smallCaps/>
          <w:sz w:val="24"/>
        </w:rPr>
        <w:t>Value</w:t>
      </w:r>
      <w:r>
        <w:rPr>
          <w:rFonts w:ascii="Times New Roman;Times;serif" w:hAnsi="Times New Roman;Times;serif"/>
          <w:sz w:val="24"/>
        </w:rPr>
        <w:t xml:space="preserve"> </w:t>
      </w:r>
      <w:r>
        <w:rPr>
          <w:rFonts w:ascii="Times" w:hAnsi="Times"/>
          <w:smallCaps/>
          <w:sz w:val="24"/>
        </w:rPr>
        <w:t>Received</w:t>
      </w:r>
      <w:r>
        <w:rPr>
          <w:rFonts w:ascii="Times" w:hAnsi="Times"/>
          <w:sz w:val="24"/>
        </w:rPr>
        <w:t xml:space="preserve">, the undersigned, Alpine Income Property OP, LP, a Delaware limited partnership (the </w:t>
      </w:r>
      <w:r>
        <w:rPr>
          <w:rFonts w:ascii="Times New Roman;Times;serif" w:hAnsi="Times New Roman;Times;serif"/>
          <w:sz w:val="24"/>
        </w:rPr>
        <w:t>“</w:t>
      </w:r>
      <w:r>
        <w:rPr>
          <w:rFonts w:ascii="Times" w:hAnsi="Times"/>
          <w:i/>
          <w:sz w:val="24"/>
        </w:rPr>
        <w:t>Borrower”</w:t>
      </w:r>
      <w:r>
        <w:rPr>
          <w:rFonts w:ascii="Times" w:hAnsi="Times"/>
          <w:sz w:val="24"/>
        </w:rPr>
        <w:t xml:space="preserve">), hereby promises to pay to ____________________ (the </w:t>
      </w:r>
      <w:r>
        <w:rPr>
          <w:rFonts w:ascii="Times New Roman;Times;serif" w:hAnsi="Times New Roman;Times;serif"/>
          <w:sz w:val="24"/>
        </w:rPr>
        <w:t>“</w:t>
      </w:r>
      <w:r>
        <w:rPr>
          <w:rFonts w:ascii="Times" w:hAnsi="Times"/>
          <w:i/>
          <w:sz w:val="24"/>
        </w:rPr>
        <w:t>Lender”</w:t>
      </w:r>
      <w:r>
        <w:rPr>
          <w:rFonts w:ascii="Times" w:hAnsi="Times"/>
          <w:sz w:val="24"/>
        </w:rPr>
        <w:t>) or its permitted assigns on the Revolving Credit Termination Date of the hereinafter defined Credit Agreement, at the principal office of the Administrative Agent in Cleveland, Ohio (or such other location as the Administrative Agent may designate to the Borrower), in immediately available funds, the principal sum of ___________________ Dollars ($__________) or, if less, the aggregate unpaid principal amount of all Revolving Loans made by the Lender to the Borrower pursuant to the Credit Agreement, together with interest on the principal amount of each Revolving Loan from time to time outstanding hereunder at the rates, and payable in the manner and on the dates, specified in the Credit Agreement.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This Note is one of the Revolving Notes referred to in the Amended and Restated Credit Agreement dated as of September 30, 2022, among the Borrower, the Guarantors party thereto, the Lenders parties thereto, and KeyBank National Association, as Administrative Agent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xml:space="preserve">), and this Note and the holder hereof are entitled to all the benefits provided for thereby or referred to therein, to which Credit Agreement reference is hereby made for a statement thereof. </w:t>
      </w:r>
      <w:r>
        <w:rPr>
          <w:rFonts w:ascii="Times" w:hAnsi="Times"/>
          <w:b/>
          <w:sz w:val="24"/>
        </w:rPr>
        <w:t>[This Note is issued in replacement and substitution for, and supersedes, the Original Revolving Note.]</w:t>
      </w:r>
      <w:r>
        <w:rPr>
          <w:rFonts w:ascii="Times New Roman;Times;serif" w:hAnsi="Times New Roman;Times;serif"/>
          <w:sz w:val="24"/>
        </w:rPr>
        <w:t xml:space="preserve">  </w:t>
      </w:r>
      <w:r>
        <w:rPr>
          <w:rFonts w:ascii="Times" w:hAnsi="Times"/>
          <w:sz w:val="24"/>
        </w:rPr>
        <w:t>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0" w:after="240"/>
        <w:ind w:left="0" w:right="0" w:firstLine="720"/>
        <w:jc w:val="both"/>
        <w:rPr>
          <w:rFonts w:ascii="Times" w:hAnsi="Times"/>
          <w:sz w:val="24"/>
        </w:rPr>
      </w:pPr>
      <w:r>
        <w:rPr>
          <w:rFonts w:ascii="Times" w:hAnsi="Times"/>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240"/>
        <w:ind w:left="0" w:right="0" w:firstLine="720"/>
        <w:jc w:val="both"/>
        <w:rPr>
          <w:rFonts w:ascii="Times" w:hAnsi="Times"/>
          <w:sz w:val="24"/>
        </w:rPr>
      </w:pPr>
      <w:r>
        <w:rPr>
          <w:rFonts w:ascii="Times" w:hAnsi="Times"/>
          <w:sz w:val="24"/>
        </w:rPr>
        <w:t>The Borrower hereby waives demand, presentment, protest or notice of any kind hereunder.</w:t>
      </w:r>
    </w:p>
    <w:tbl>
      <w:tblPr>
        <w:tblW w:w="3694" w:type="dxa"/>
        <w:jc w:val="center"/>
        <w:tblInd w:w="0" w:type="dxa"/>
        <w:tblLayout w:type="fixed"/>
        <w:tblCellMar>
          <w:top w:w="0" w:type="dxa"/>
          <w:left w:w="0" w:type="dxa"/>
          <w:bottom w:w="0" w:type="dxa"/>
          <w:right w:w="0" w:type="dxa"/>
        </w:tblCellMar>
      </w:tblPr>
      <w:tblGrid>
        <w:gridCol w:w="124"/>
        <w:gridCol w:w="1143"/>
        <w:gridCol w:w="1977"/>
        <w:gridCol w:w="45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78740" cy="175260"/>
                      <wp:effectExtent l="0" t="0" r="0" b="0"/>
                      <wp:wrapNone/>
                      <wp:docPr id="427" name="Frame42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p>
        </w:tc>
        <w:tc>
          <w:tcPr>
            <w:tcW w:w="1977"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78740" cy="175260"/>
                      <wp:effectExtent l="0" t="0" r="0" b="0"/>
                      <wp:wrapNone/>
                      <wp:docPr id="428" name="Frame42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25805" cy="29210"/>
                      <wp:effectExtent l="0" t="0" r="0" b="0"/>
                      <wp:wrapNone/>
                      <wp:docPr id="429" name="Frame429"/>
                      <a:graphic xmlns:a="http://schemas.openxmlformats.org/drawingml/2006/main">
                        <a:graphicData uri="http://schemas.microsoft.com/office/word/2010/wordprocessingShape">
                          <wps:wsp>
                            <wps:cNvSpPr txBox="1"/>
                            <wps:spPr>
                              <a:xfrm>
                                <a:off x="0" y="0"/>
                                <a:ext cx="7258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2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541780" cy="175260"/>
                      <wp:effectExtent l="0" t="0" r="0" b="0"/>
                      <wp:wrapNone/>
                      <wp:docPr id="430" name="Frame430"/>
                      <a:graphic xmlns:a="http://schemas.openxmlformats.org/drawingml/2006/main">
                        <a:graphicData uri="http://schemas.microsoft.com/office/word/2010/wordprocessingShape">
                          <wps:wsp>
                            <wps:cNvSpPr txBox="1"/>
                            <wps:spPr>
                              <a:xfrm>
                                <a:off x="0" y="0"/>
                                <a:ext cx="154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427"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283"/>
              <w:ind w:left="0" w:right="0" w:hanging="0"/>
              <w:jc w:val="left"/>
              <w:rPr>
                <w:sz w:val="4"/>
                <w:szCs w:val="4"/>
              </w:rPr>
            </w:pPr>
            <w:r>
              <w:rPr>
                <w:sz w:val="4"/>
                <w:szCs w:val="4"/>
              </w:rPr>
            </w:r>
          </w:p>
        </w:tc>
        <w:tc>
          <w:tcPr>
            <w:tcW w:w="19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283"/>
              <w:ind w:left="0" w:right="0" w:hanging="0"/>
              <w:jc w:val="left"/>
              <w:rPr>
                <w:sz w:val="4"/>
                <w:szCs w:val="4"/>
              </w:rPr>
            </w:pPr>
            <w:r>
              <w:rPr>
                <w:sz w:val="4"/>
                <w:szCs w:val="4"/>
              </w:rPr>
            </w:r>
          </w:p>
        </w:tc>
        <w:tc>
          <w:tcPr>
            <w:tcW w:w="19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5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D-2</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[Insert Number] Swing Note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b w:val="false"/>
          <w:i w:val="false"/>
          <w:smallCaps/>
          <w:sz w:val="24"/>
          <w:shd w:fill="FFFFFF" w:val="clear"/>
        </w:rPr>
        <w:t>U.S. $20,000,000.00</w:t>
      </w:r>
      <w:r>
        <w:rPr>
          <w:rFonts w:ascii="Times New Roman;Times;serif" w:hAnsi="Times New Roman;Times;serif"/>
          <w:b w:val="false"/>
          <w:i w:val="false"/>
          <w:caps w:val="false"/>
          <w:smallCaps w:val="false"/>
          <w:sz w:val="24"/>
          <w:shd w:fill="FFFFFF" w:val="clear"/>
        </w:rPr>
        <w:t>_____________, 20___</w:t>
      </w:r>
      <w:r>
        <mc:AlternateContent>
          <mc:Choice Requires="wps">
            <w:drawing>
              <wp:anchor behindDoc="0" distT="0" distB="0" distL="0" distR="0" simplePos="0" locked="0" layoutInCell="1" allowOverlap="1" relativeHeight="432">
                <wp:simplePos x="0" y="0"/>
                <wp:positionH relativeFrom="page">
                  <wp:posOffset>0</wp:posOffset>
                </wp:positionH>
                <wp:positionV relativeFrom="line">
                  <wp:posOffset>635</wp:posOffset>
                </wp:positionV>
                <wp:extent cx="6480175" cy="175260"/>
                <wp:effectExtent l="0" t="0" r="0" b="0"/>
                <wp:wrapNone/>
                <wp:docPr id="431" name="Frame4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For</w:t>
      </w:r>
      <w:r>
        <w:rPr>
          <w:rFonts w:ascii="Times New Roman;Times;serif" w:hAnsi="Times New Roman;Times;serif"/>
          <w:sz w:val="24"/>
        </w:rPr>
        <w:t xml:space="preserve"> </w:t>
      </w:r>
      <w:r>
        <w:rPr>
          <w:rFonts w:ascii="Times New Roman;Times;serif" w:hAnsi="Times New Roman;Times;serif"/>
          <w:smallCaps/>
          <w:sz w:val="24"/>
        </w:rPr>
        <w:t>Value</w:t>
      </w:r>
      <w:r>
        <w:rPr>
          <w:rFonts w:ascii="Times New Roman;Times;serif" w:hAnsi="Times New Roman;Times;serif"/>
          <w:sz w:val="24"/>
        </w:rPr>
        <w:t xml:space="preserve"> </w:t>
      </w:r>
      <w:r>
        <w:rPr>
          <w:rFonts w:ascii="Times New Roman;Times;serif" w:hAnsi="Times New Roman;Times;serif"/>
          <w:smallCaps/>
          <w:sz w:val="24"/>
        </w:rPr>
        <w:t>Received,</w:t>
      </w:r>
      <w:r>
        <w:rPr>
          <w:rFonts w:ascii="Times New Roman;Times;serif" w:hAnsi="Times New Roman;Times;serif"/>
          <w:sz w:val="24"/>
        </w:rPr>
        <w:t xml:space="preserve"> the undersigned, Alpine Income Property OP, LP, a Delaware limited partnership (the “</w:t>
      </w:r>
      <w:r>
        <w:rPr>
          <w:rFonts w:ascii="Times New Roman;Times;serif" w:hAnsi="Times New Roman;Times;serif"/>
          <w:i/>
          <w:sz w:val="24"/>
        </w:rPr>
        <w:t>Borrower”</w:t>
      </w:r>
      <w:r>
        <w:rPr>
          <w:rFonts w:ascii="Times New Roman;Times;serif" w:hAnsi="Times New Roman;Times;serif"/>
          <w:sz w:val="24"/>
        </w:rPr>
        <w:t>), hereby promises to pay to ____________________ (the “</w:t>
      </w:r>
      <w:r>
        <w:rPr>
          <w:rFonts w:ascii="Times New Roman;Times;serif" w:hAnsi="Times New Roman;Times;serif"/>
          <w:i/>
          <w:sz w:val="24"/>
        </w:rPr>
        <w:t>Lender”</w:t>
      </w:r>
      <w:r>
        <w:rPr>
          <w:rFonts w:ascii="Times New Roman;Times;serif" w:hAnsi="Times New Roman;Times;serif"/>
          <w:sz w:val="24"/>
        </w:rPr>
        <w:t xml:space="preserve">) or its permitted assigns on the Revolving Credit Termination Date of the hereinafter defined Credit Agreement, at the principal office of the Administrative Agent </w:t>
      </w:r>
      <w:bookmarkStart w:id="1818" w:name="_Hlk115350035"/>
      <w:bookmarkEnd w:id="1818"/>
      <w:r>
        <w:rPr>
          <w:rFonts w:ascii="Times New Roman;Times;serif" w:hAnsi="Times New Roman;Times;serif"/>
          <w:sz w:val="24"/>
        </w:rPr>
        <w:t>in Cleveland, Ohio (or such other location as the Administrative Agent may designate to the Borrower), in immediately available funds, the principal sum of Twenty Million and 00/100 Dollars ($20,000,000.00) or, if less, the aggregate unpaid principal amount of all Swing Loans made by the Lender to the Borrower pursuant to the Credit Agreement, together with interest on the principal amount of each Swing Loan from time to time outstanding hereunder at the rates, and payable in the manner and on the dates, specified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b/>
          <w:sz w:val="24"/>
        </w:rPr>
        <w:t xml:space="preserve">[This [Insert Number] Amended and Restated Swing Note (this </w:t>
      </w:r>
      <w:r>
        <w:rPr>
          <w:rFonts w:ascii="Times New Roman;Times;serif" w:hAnsi="Times New Roman;Times;serif"/>
          <w:sz w:val="24"/>
        </w:rPr>
        <w:t>“</w:t>
      </w:r>
      <w:r>
        <w:rPr>
          <w:rFonts w:ascii="Times New Roman;Times;serif" w:hAnsi="Times New Roman;Times;serif"/>
          <w:b/>
          <w:i/>
          <w:sz w:val="24"/>
        </w:rPr>
        <w:t>Note”</w:t>
      </w:r>
      <w:r>
        <w:rPr>
          <w:rFonts w:ascii="Times New Roman;Times;serif" w:hAnsi="Times New Roman;Times;serif"/>
          <w:b/>
          <w:sz w:val="24"/>
        </w:rPr>
        <w:t xml:space="preserve">) amends and restates that certain [[Insert Number] Amended and Restated] Swing Note dated [_______] made by the Borrower in favor of the Lender (the </w:t>
      </w:r>
      <w:r>
        <w:rPr>
          <w:rFonts w:ascii="Times New Roman;Times;serif" w:hAnsi="Times New Roman;Times;serif"/>
          <w:sz w:val="24"/>
        </w:rPr>
        <w:t>“</w:t>
      </w:r>
      <w:r>
        <w:rPr>
          <w:rFonts w:ascii="Times New Roman;Times;serif" w:hAnsi="Times New Roman;Times;serif"/>
          <w:b/>
          <w:i/>
          <w:sz w:val="24"/>
        </w:rPr>
        <w:t>Original Swing Note”</w:t>
      </w:r>
      <w:r>
        <w:rPr>
          <w:rFonts w:ascii="Times New Roman;Times;serif" w:hAnsi="Times New Roman;Times;serif"/>
          <w:b/>
          <w:sz w:val="24"/>
        </w:rPr>
        <w:t>) and t] [T]</w:t>
      </w:r>
      <w:r>
        <w:rPr>
          <w:rFonts w:ascii="Times New Roman;Times;serif" w:hAnsi="Times New Roman;Times;serif"/>
          <w:sz w:val="24"/>
        </w:rPr>
        <w:t>his Note is the Swing Note referred to in the Amended and Restated Credit Agreement dated as of September 30, 2022, among the Borrower, the Guarantors party thereto, the Lenders, Swing Line Lender and L/C Issuer parties thereto, and KeyBank National Association, as Administrative Agent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and this Note and the holder hereof are entitled to all the benefits provided for thereby or referred to therein, to which Credit Agreement reference is hereby made for a statement thereof.  </w:t>
      </w:r>
      <w:r>
        <w:rPr>
          <w:rFonts w:ascii="Times New Roman;Times;serif" w:hAnsi="Times New Roman;Times;serif"/>
          <w:b/>
          <w:sz w:val="24"/>
        </w:rPr>
        <w:t>[This Note is issued in replacement and substitution for, and supersedes, the Original Swing Note.]  </w:t>
      </w:r>
      <w:r>
        <w:rPr>
          <w:rFonts w:ascii="Times New Roman;Times;serif" w:hAnsi="Times New Roman;Times;serif"/>
          <w:sz w:val="24"/>
        </w:rPr>
        <w:t>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Borrower hereby waives demand, presentment, protest or notice of any kind hereunder.</w:t>
      </w:r>
    </w:p>
    <w:tbl>
      <w:tblPr>
        <w:tblW w:w="3693" w:type="dxa"/>
        <w:jc w:val="center"/>
        <w:tblInd w:w="0" w:type="dxa"/>
        <w:tblLayout w:type="fixed"/>
        <w:tblCellMar>
          <w:top w:w="0" w:type="dxa"/>
          <w:left w:w="0" w:type="dxa"/>
          <w:bottom w:w="0" w:type="dxa"/>
          <w:right w:w="0" w:type="dxa"/>
        </w:tblCellMar>
      </w:tblPr>
      <w:tblGrid>
        <w:gridCol w:w="124"/>
        <w:gridCol w:w="1200"/>
        <w:gridCol w:w="1959"/>
        <w:gridCol w:w="410"/>
      </w:tblGrid>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2369"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369"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1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D-3</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Term Note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b w:val="false"/>
          <w:i w:val="false"/>
          <w:smallCaps/>
          <w:sz w:val="24"/>
          <w:shd w:fill="FFFFFF" w:val="clear"/>
        </w:rPr>
        <w:t>U.S. $_______________</w:t>
      </w:r>
      <w:r>
        <w:rPr>
          <w:rFonts w:ascii="Times New Roman;Times;serif" w:hAnsi="Times New Roman;Times;serif"/>
          <w:b w:val="false"/>
          <w:i w:val="false"/>
          <w:caps w:val="false"/>
          <w:smallCaps w:val="false"/>
          <w:sz w:val="24"/>
          <w:shd w:fill="FFFFFF" w:val="clear"/>
        </w:rPr>
        <w:t>______________, 20__</w:t>
      </w:r>
      <w:r>
        <mc:AlternateContent>
          <mc:Choice Requires="wps">
            <w:drawing>
              <wp:anchor behindDoc="0" distT="0" distB="0" distL="0" distR="0" simplePos="0" locked="0" layoutInCell="1" allowOverlap="1" relativeHeight="433">
                <wp:simplePos x="0" y="0"/>
                <wp:positionH relativeFrom="page">
                  <wp:posOffset>0</wp:posOffset>
                </wp:positionH>
                <wp:positionV relativeFrom="line">
                  <wp:posOffset>635</wp:posOffset>
                </wp:positionV>
                <wp:extent cx="6480175" cy="175260"/>
                <wp:effectExtent l="0" t="0" r="0" b="0"/>
                <wp:wrapNone/>
                <wp:docPr id="432" name="Frame4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For</w:t>
      </w:r>
      <w:r>
        <w:rPr>
          <w:rFonts w:ascii="Times New Roman;Times;serif" w:hAnsi="Times New Roman;Times;serif"/>
          <w:sz w:val="24"/>
        </w:rPr>
        <w:t xml:space="preserve"> </w:t>
      </w:r>
      <w:r>
        <w:rPr>
          <w:rFonts w:ascii="Times New Roman;Times;serif" w:hAnsi="Times New Roman;Times;serif"/>
          <w:smallCaps/>
          <w:sz w:val="24"/>
        </w:rPr>
        <w:t>Value</w:t>
      </w:r>
      <w:r>
        <w:rPr>
          <w:rFonts w:ascii="Times New Roman;Times;serif" w:hAnsi="Times New Roman;Times;serif"/>
          <w:sz w:val="24"/>
        </w:rPr>
        <w:t xml:space="preserve"> </w:t>
      </w:r>
      <w:r>
        <w:rPr>
          <w:rFonts w:ascii="Times New Roman;Times;serif" w:hAnsi="Times New Roman;Times;serif"/>
          <w:smallCaps/>
          <w:sz w:val="24"/>
        </w:rPr>
        <w:t>Received,</w:t>
      </w:r>
      <w:r>
        <w:rPr>
          <w:rFonts w:ascii="Times New Roman;Times;serif" w:hAnsi="Times New Roman;Times;serif"/>
          <w:sz w:val="24"/>
        </w:rPr>
        <w:t xml:space="preserve"> the undersigned, Alpine Income Property OP, LP, a Delaware limited partnership (the “</w:t>
      </w:r>
      <w:r>
        <w:rPr>
          <w:rFonts w:ascii="Times New Roman;Times;serif" w:hAnsi="Times New Roman;Times;serif"/>
          <w:i/>
          <w:sz w:val="24"/>
        </w:rPr>
        <w:t>Borrower”</w:t>
      </w:r>
      <w:r>
        <w:rPr>
          <w:rFonts w:ascii="Times New Roman;Times;serif" w:hAnsi="Times New Roman;Times;serif"/>
          <w:sz w:val="24"/>
        </w:rPr>
        <w:t>), hereby promises to pay to ____________________ (the “</w:t>
      </w:r>
      <w:r>
        <w:rPr>
          <w:rFonts w:ascii="Times New Roman;Times;serif" w:hAnsi="Times New Roman;Times;serif"/>
          <w:i/>
          <w:sz w:val="24"/>
        </w:rPr>
        <w:t>Lender”</w:t>
      </w:r>
      <w:r>
        <w:rPr>
          <w:rFonts w:ascii="Times New Roman;Times;serif" w:hAnsi="Times New Roman;Times;serif"/>
          <w:sz w:val="24"/>
        </w:rPr>
        <w:t>) or its permitted assigns on the Term Loan Maturity Date, at the principal office of the Administrative Agent in in Cleveland, Ohio (or such other location as the Administrative Agent may designate to the Borrower), in immediately available funds, the principal sum of ___________________ Dollars ($__________) or, if less, the aggregate unpaid principal amount of all Term Loans made by the Lender to the Borrower pursuant to the Credit Agreement, together with interest on the principal amount of each Term Loan from time to time outstanding hereunder at the rates, and payable in the manner and on the dates, specified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Note is one of the Term Notes referred to in the Amended and Restated Credit Agreement dated as of September 30, 2022, among the Borrower, the Guarantors party thereto, the Lenders parties thereto, the Swing Line Lender, the L/C Issuer and KeyBank National Association, as Administrative Agent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Borrower hereby waives demand, presentment, protest or notice of any kind hereunder.</w:t>
      </w:r>
    </w:p>
    <w:tbl>
      <w:tblPr>
        <w:tblW w:w="3693" w:type="dxa"/>
        <w:jc w:val="center"/>
        <w:tblInd w:w="0" w:type="dxa"/>
        <w:tblLayout w:type="fixed"/>
        <w:tblCellMar>
          <w:top w:w="0" w:type="dxa"/>
          <w:left w:w="0" w:type="dxa"/>
          <w:bottom w:w="0" w:type="dxa"/>
          <w:right w:w="0" w:type="dxa"/>
        </w:tblCellMar>
      </w:tblPr>
      <w:tblGrid>
        <w:gridCol w:w="124"/>
        <w:gridCol w:w="1200"/>
        <w:gridCol w:w="1959"/>
        <w:gridCol w:w="41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78740" cy="175260"/>
                      <wp:effectExtent l="0" t="0" r="0" b="0"/>
                      <wp:wrapNone/>
                      <wp:docPr id="433" name="Frame43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78740" cy="175260"/>
                      <wp:effectExtent l="0" t="0" r="0" b="0"/>
                      <wp:wrapNone/>
                      <wp:docPr id="434" name="Frame43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62000" cy="29210"/>
                      <wp:effectExtent l="0" t="0" r="0" b="0"/>
                      <wp:wrapNone/>
                      <wp:docPr id="435" name="Frame435"/>
                      <a:graphic xmlns:a="http://schemas.openxmlformats.org/drawingml/2006/main">
                        <a:graphicData uri="http://schemas.microsoft.com/office/word/2010/wordprocessingShape">
                          <wps:wsp>
                            <wps:cNvSpPr txBox="1"/>
                            <wps:spPr>
                              <a:xfrm>
                                <a:off x="0" y="0"/>
                                <a:ext cx="762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6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504315" cy="175260"/>
                      <wp:effectExtent l="0" t="0" r="0" b="0"/>
                      <wp:wrapNone/>
                      <wp:docPr id="436" name="Frame436"/>
                      <a:graphic xmlns:a="http://schemas.openxmlformats.org/drawingml/2006/main">
                        <a:graphicData uri="http://schemas.microsoft.com/office/word/2010/wordprocessingShape">
                          <wps:wsp>
                            <wps:cNvSpPr txBox="1"/>
                            <wps:spPr>
                              <a:xfrm>
                                <a:off x="0" y="0"/>
                                <a:ext cx="150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369"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1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D-4</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 Incremental Term Note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b w:val="false"/>
          <w:i w:val="false"/>
          <w:smallCaps/>
          <w:sz w:val="24"/>
          <w:shd w:fill="FFFFFF" w:val="clear"/>
        </w:rPr>
        <w:t>U.S. $_______________</w:t>
      </w:r>
      <w:r>
        <w:rPr>
          <w:rFonts w:ascii="Times New Roman;Times;serif" w:hAnsi="Times New Roman;Times;serif"/>
          <w:b w:val="false"/>
          <w:i w:val="false"/>
          <w:caps w:val="false"/>
          <w:smallCaps w:val="false"/>
          <w:sz w:val="24"/>
          <w:shd w:fill="FFFFFF" w:val="clear"/>
        </w:rPr>
        <w:t>______________, 20__</w:t>
      </w:r>
      <w:r>
        <mc:AlternateContent>
          <mc:Choice Requires="wps">
            <w:drawing>
              <wp:anchor behindDoc="0" distT="0" distB="0" distL="0" distR="0" simplePos="0" locked="0" layoutInCell="1" allowOverlap="1" relativeHeight="438">
                <wp:simplePos x="0" y="0"/>
                <wp:positionH relativeFrom="page">
                  <wp:posOffset>0</wp:posOffset>
                </wp:positionH>
                <wp:positionV relativeFrom="line">
                  <wp:posOffset>635</wp:posOffset>
                </wp:positionV>
                <wp:extent cx="6480175" cy="175260"/>
                <wp:effectExtent l="0" t="0" r="0" b="0"/>
                <wp:wrapNone/>
                <wp:docPr id="437" name="Frame4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For</w:t>
      </w:r>
      <w:r>
        <w:rPr>
          <w:rFonts w:ascii="Times New Roman;Times;serif" w:hAnsi="Times New Roman;Times;serif"/>
          <w:sz w:val="24"/>
        </w:rPr>
        <w:t xml:space="preserve"> </w:t>
      </w:r>
      <w:r>
        <w:rPr>
          <w:rFonts w:ascii="Times New Roman;Times;serif" w:hAnsi="Times New Roman;Times;serif"/>
          <w:smallCaps/>
          <w:sz w:val="24"/>
        </w:rPr>
        <w:t>Value</w:t>
      </w:r>
      <w:r>
        <w:rPr>
          <w:rFonts w:ascii="Times New Roman;Times;serif" w:hAnsi="Times New Roman;Times;serif"/>
          <w:sz w:val="24"/>
        </w:rPr>
        <w:t xml:space="preserve"> </w:t>
      </w:r>
      <w:r>
        <w:rPr>
          <w:rFonts w:ascii="Times New Roman;Times;serif" w:hAnsi="Times New Roman;Times;serif"/>
          <w:smallCaps/>
          <w:sz w:val="24"/>
        </w:rPr>
        <w:t>Received</w:t>
      </w:r>
      <w:r>
        <w:rPr>
          <w:rFonts w:ascii="Times New Roman;Times;serif" w:hAnsi="Times New Roman;Times;serif"/>
          <w:sz w:val="24"/>
        </w:rPr>
        <w:t>, the undersigned, Alpine Income Property OP, LP, a Delaware limited partnership (the “</w:t>
      </w:r>
      <w:r>
        <w:rPr>
          <w:rFonts w:ascii="Times New Roman;Times;serif" w:hAnsi="Times New Roman;Times;serif"/>
          <w:i/>
          <w:sz w:val="24"/>
        </w:rPr>
        <w:t>Borrower”</w:t>
      </w:r>
      <w:r>
        <w:rPr>
          <w:rFonts w:ascii="Times New Roman;Times;serif" w:hAnsi="Times New Roman;Times;serif"/>
          <w:sz w:val="24"/>
        </w:rPr>
        <w:t>), hereby promises to pay to ____________________ (the “</w:t>
      </w:r>
      <w:r>
        <w:rPr>
          <w:rFonts w:ascii="Times New Roman;Times;serif" w:hAnsi="Times New Roman;Times;serif"/>
          <w:i/>
          <w:sz w:val="24"/>
        </w:rPr>
        <w:t>Lender”</w:t>
      </w:r>
      <w:r>
        <w:rPr>
          <w:rFonts w:ascii="Times New Roman;Times;serif" w:hAnsi="Times New Roman;Times;serif"/>
          <w:sz w:val="24"/>
        </w:rPr>
        <w:t>) or its permitted assigns on the [Term Loan Maturity Date], at the principal office of the Administrative Agent in Cleveland, Ohio (or such other location as the Administrative Agent may designate to the Borrower), in immediately available funds, the principal sum of ___________________ Dollars ($__________) or, if less, the aggregate unpaid principal amount of all [__] Incremental Term Loans made by the Lender to the Borrower pursuant to the Credit Agreement, together with interest on the principal amount of each [__] Incremental Term Loan from time to time outstanding hereunder at the rates, and payable in the manner and on the dates, specified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Note is one of the Incremental Term Notes referred to in the Amended and Restated Credit Agreement dated as of September 30, 2022, among the Borrower, the Guarantors party thereto, the Lenders parties thereto, the Swing Line Lender, the L/C Issuer and KeyBank National Association, as Administrative Agent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Borrower hereby waives demand, presentment, protest or notice of any kind hereunder.</w:t>
      </w:r>
    </w:p>
    <w:p>
      <w:pPr>
        <w:pStyle w:val="TextBody"/>
        <w:pBdr/>
        <w:bidi w:val="0"/>
        <w:spacing w:before="280" w:after="0"/>
        <w:ind w:left="4680" w:right="0" w:hanging="230"/>
        <w:jc w:val="left"/>
        <w:rPr>
          <w:smallCaps/>
        </w:rPr>
      </w:pPr>
      <w:r>
        <w:rPr>
          <w:smallCaps/>
        </w:rPr>
        <w:t>​</w:t>
      </w:r>
    </w:p>
    <w:tbl>
      <w:tblPr>
        <w:tblW w:w="3693" w:type="dxa"/>
        <w:jc w:val="center"/>
        <w:tblInd w:w="0" w:type="dxa"/>
        <w:tblLayout w:type="fixed"/>
        <w:tblCellMar>
          <w:top w:w="0" w:type="dxa"/>
          <w:left w:w="0" w:type="dxa"/>
          <w:bottom w:w="0" w:type="dxa"/>
          <w:right w:w="0" w:type="dxa"/>
        </w:tblCellMar>
      </w:tblPr>
      <w:tblGrid>
        <w:gridCol w:w="124"/>
        <w:gridCol w:w="1200"/>
        <w:gridCol w:w="1959"/>
        <w:gridCol w:w="41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78740" cy="175260"/>
                      <wp:effectExtent l="0" t="0" r="0" b="0"/>
                      <wp:wrapNone/>
                      <wp:docPr id="438" name="Frame43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78740" cy="175260"/>
                      <wp:effectExtent l="0" t="0" r="0" b="0"/>
                      <wp:wrapNone/>
                      <wp:docPr id="439" name="Frame43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762000" cy="29210"/>
                      <wp:effectExtent l="0" t="0" r="0" b="0"/>
                      <wp:wrapNone/>
                      <wp:docPr id="440" name="Frame440"/>
                      <a:graphic xmlns:a="http://schemas.openxmlformats.org/drawingml/2006/main">
                        <a:graphicData uri="http://schemas.microsoft.com/office/word/2010/wordprocessingShape">
                          <wps:wsp>
                            <wps:cNvSpPr txBox="1"/>
                            <wps:spPr>
                              <a:xfrm>
                                <a:off x="0" y="0"/>
                                <a:ext cx="762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6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504315" cy="175260"/>
                      <wp:effectExtent l="0" t="0" r="0" b="0"/>
                      <wp:wrapNone/>
                      <wp:docPr id="441" name="Frame441"/>
                      <a:graphic xmlns:a="http://schemas.openxmlformats.org/drawingml/2006/main">
                        <a:graphicData uri="http://schemas.microsoft.com/office/word/2010/wordprocessingShape">
                          <wps:wsp>
                            <wps:cNvSpPr txBox="1"/>
                            <wps:spPr>
                              <a:xfrm>
                                <a:off x="0" y="0"/>
                                <a:ext cx="150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369"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283"/>
              <w:ind w:left="0" w:right="0" w:hanging="0"/>
              <w:jc w:val="left"/>
              <w:rPr>
                <w:sz w:val="4"/>
                <w:szCs w:val="4"/>
              </w:rPr>
            </w:pPr>
            <w:r>
              <w:rPr>
                <w:sz w:val="4"/>
                <w:szCs w:val="4"/>
              </w:rPr>
            </w:r>
          </w:p>
        </w:tc>
        <w:tc>
          <w:tcPr>
            <w:tcW w:w="195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1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Certificate</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To:</w:t>
            </w:r>
          </w:p>
        </w:tc>
        <w:tc>
          <w:tcPr>
            <w:tcW w:w="9868"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KeyBank National Association, as Administrative Agent under, and the Lenders party to, the Credit Agreement described below</w:t>
            </w:r>
          </w:p>
        </w:tc>
      </w:tr>
    </w:tbl>
    <w:p>
      <w:pPr>
        <w:pStyle w:val="TextBody"/>
        <w:pBdr/>
        <w:bidi w:val="0"/>
        <w:spacing w:before="560" w:after="0"/>
        <w:ind w:left="0" w:right="4680" w:hanging="72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This Compliance Certificate is furnished to the Administrative Agent and the Lenders pursuant to that certain Amended and Restated Credit Agreement dated as of September 30, 2022, as amended, among Alpine Income Property OP, LP, as Borrower, the Guarantors signatory thereto, the Administrative Agent and the Lenders party thereto (the </w:t>
      </w:r>
      <w:r>
        <w:rPr>
          <w:rFonts w:ascii="Times New Roman;Times;serif" w:hAnsi="Times New Roman;Times;serif"/>
          <w:sz w:val="24"/>
        </w:rPr>
        <w:t>“</w:t>
      </w:r>
      <w:r>
        <w:rPr>
          <w:rFonts w:ascii="Times" w:hAnsi="Times"/>
          <w:i/>
          <w:sz w:val="24"/>
        </w:rPr>
        <w:t>Credit Agreement”</w:t>
      </w:r>
      <w:r>
        <w:rPr>
          <w:rFonts w:ascii="Times" w:hAnsi="Times"/>
          <w:sz w:val="24"/>
        </w:rPr>
        <w:t>).  Unless otherwise defined herein, the terms used in this Compliance Certificate have the meanings ascribed thereto in the Credit Agreement</w:t>
      </w:r>
    </w:p>
    <w:p>
      <w:pPr>
        <w:pStyle w:val="TextBody"/>
        <w:bidi w:val="0"/>
        <w:spacing w:before="0" w:after="240"/>
        <w:ind w:left="0" w:right="0" w:firstLine="720"/>
        <w:jc w:val="both"/>
        <w:rPr>
          <w:rFonts w:ascii="Times" w:hAnsi="Times"/>
          <w:smallCaps/>
          <w:sz w:val="24"/>
        </w:rPr>
      </w:pPr>
      <w:r>
        <w:rPr>
          <w:rFonts w:ascii="Times" w:hAnsi="Times"/>
          <w:smallCaps/>
          <w:sz w:val="24"/>
        </w:rPr>
        <w:t>The Undersigned hereby certifies that:</w:t>
      </w:r>
    </w:p>
    <w:p>
      <w:pPr>
        <w:pStyle w:val="TextBody"/>
        <w:bidi w:val="0"/>
        <w:spacing w:before="0" w:after="240"/>
        <w:ind w:left="0" w:right="0" w:hanging="0"/>
        <w:jc w:val="both"/>
        <w:rPr>
          <w:rFonts w:ascii="Times" w:hAnsi="Times"/>
          <w:sz w:val="24"/>
        </w:rPr>
      </w:pPr>
      <w:r>
        <w:rPr>
          <w:rFonts w:ascii="Times" w:hAnsi="Times"/>
          <w:sz w:val="24"/>
        </w:rPr>
        <w:t>1.I am the duly elected ____________ of Alpine Income Property OP, LP;</w:t>
      </w:r>
    </w:p>
    <w:p>
      <w:pPr>
        <w:pStyle w:val="TextBody"/>
        <w:bidi w:val="0"/>
        <w:spacing w:before="0" w:after="240"/>
        <w:ind w:left="0" w:right="0" w:hanging="0"/>
        <w:jc w:val="both"/>
        <w:rPr>
          <w:rFonts w:ascii="Times" w:hAnsi="Times"/>
          <w:sz w:val="24"/>
        </w:rPr>
      </w:pPr>
      <w:r>
        <w:rPr>
          <w:rFonts w:ascii="Times" w:hAnsi="Times"/>
          <w:sz w:val="24"/>
        </w:rPr>
        <w:t>2.I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pStyle w:val="TextBody"/>
        <w:bidi w:val="0"/>
        <w:spacing w:before="0" w:after="240"/>
        <w:ind w:left="0" w:right="0" w:hanging="0"/>
        <w:jc w:val="both"/>
        <w:rPr>
          <w:rFonts w:ascii="Times" w:hAnsi="Times"/>
          <w:sz w:val="24"/>
        </w:rPr>
      </w:pPr>
      <w:r>
        <w:rPr>
          <w:rFonts w:ascii="Times" w:hAnsi="Times"/>
          <w:sz w:val="24"/>
        </w:rPr>
        <w:t>3.The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pStyle w:val="TextBody"/>
        <w:bidi w:val="0"/>
        <w:spacing w:before="0" w:after="240"/>
        <w:ind w:left="0" w:right="0" w:hanging="0"/>
        <w:jc w:val="both"/>
        <w:rPr>
          <w:rFonts w:ascii="Times" w:hAnsi="Times"/>
          <w:sz w:val="24"/>
        </w:rPr>
      </w:pPr>
      <w:r>
        <w:rPr>
          <w:rFonts w:ascii="Times" w:hAnsi="Times"/>
          <w:sz w:val="24"/>
        </w:rPr>
        <w:t>4.The financial statements required by Section 8.5 of the Credit Agreement and being furnished to you concurrently with this Compliance Certificate are true, correct and complete as of the date and for the periods covered thereby; and</w:t>
      </w:r>
    </w:p>
    <w:p>
      <w:pPr>
        <w:pStyle w:val="TextBody"/>
        <w:bidi w:val="0"/>
        <w:spacing w:before="0" w:after="240"/>
        <w:ind w:left="0" w:right="0" w:hanging="0"/>
        <w:jc w:val="both"/>
        <w:rPr>
          <w:rFonts w:ascii="Times" w:hAnsi="Times"/>
          <w:sz w:val="24"/>
        </w:rPr>
      </w:pPr>
      <w:r>
        <w:rPr>
          <w:rFonts w:ascii="Times" w:hAnsi="Times"/>
          <w:sz w:val="24"/>
        </w:rPr>
        <w:t>5.The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pStyle w:val="TextBody"/>
        <w:bidi w:val="0"/>
        <w:spacing w:before="0" w:after="240"/>
        <w:ind w:left="0" w:right="0" w:firstLine="720"/>
        <w:jc w:val="both"/>
        <w:rPr>
          <w:rFonts w:ascii="Times" w:hAnsi="Times"/>
          <w:sz w:val="24"/>
        </w:rPr>
      </w:pPr>
      <w:r>
        <w:rPr>
          <w:rFonts w:ascii="Times" w:hAnsi="Times"/>
          <w:sz w:val="24"/>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2" w:type="dxa"/>
        <w:jc w:val="center"/>
        <w:tblInd w:w="0" w:type="dxa"/>
        <w:tblLayout w:type="fixed"/>
        <w:tblCellMar>
          <w:top w:w="0" w:type="dxa"/>
          <w:left w:w="0" w:type="dxa"/>
          <w:bottom w:w="0" w:type="dxa"/>
          <w:right w:w="0" w:type="dxa"/>
        </w:tblCellMar>
      </w:tblPr>
      <w:tblGrid>
        <w:gridCol w:w="124"/>
        <w:gridCol w:w="23"/>
        <w:gridCol w:w="109"/>
        <w:gridCol w:w="109"/>
        <w:gridCol w:w="23"/>
        <w:gridCol w:w="154"/>
      </w:tblGrid>
      <w:tr>
        <w:trPr/>
        <w:tc>
          <w:tcPr>
            <w:tcW w:w="14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93345" cy="175260"/>
                      <wp:effectExtent l="0" t="0" r="0" b="0"/>
                      <wp:wrapNone/>
                      <wp:docPr id="442" name="Frame442"/>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77" w:type="dxa"/>
            <w:gridSpan w:val="2"/>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93345" cy="175260"/>
                      <wp:effectExtent l="0" t="0" r="0" b="0"/>
                      <wp:wrapNone/>
                      <wp:docPr id="443" name="Frame443"/>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215" cy="29210"/>
                      <wp:effectExtent l="0" t="0" r="0" b="0"/>
                      <wp:wrapNone/>
                      <wp:docPr id="444" name="Frame44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gridSpan w:val="3"/>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82245" cy="175260"/>
                      <wp:effectExtent l="0" t="0" r="0" b="0"/>
                      <wp:wrapNone/>
                      <wp:docPr id="445" name="Frame44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2"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64"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4"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4"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720" w:right="90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The foregoing certifications, together with the computations set forth in Schedule I hereto and the financial statements delivered with this Certificate in support hereof, are made and delivered this ______ day of __________________, 20___.</w:t>
      </w:r>
    </w:p>
    <w:p>
      <w:pPr>
        <w:pStyle w:val="TextBody"/>
        <w:bidi w:val="0"/>
        <w:spacing w:before="0" w:after="0"/>
        <w:ind w:left="0" w:right="0" w:hanging="0"/>
        <w:jc w:val="center"/>
        <w:rPr>
          <w:smallCaps/>
        </w:rPr>
      </w:pPr>
      <w:r>
        <w:rPr>
          <w:smallCaps/>
        </w:rPr>
        <w:t>​</w:t>
      </w:r>
    </w:p>
    <w:tbl>
      <w:tblPr>
        <w:tblW w:w="5338" w:type="dxa"/>
        <w:jc w:val="left"/>
        <w:tblInd w:w="0" w:type="dxa"/>
        <w:tblLayout w:type="fixed"/>
        <w:tblCellMar>
          <w:top w:w="0" w:type="dxa"/>
          <w:left w:w="0" w:type="dxa"/>
          <w:bottom w:w="0" w:type="dxa"/>
          <w:right w:w="0" w:type="dxa"/>
        </w:tblCellMar>
      </w:tblPr>
      <w:tblGrid>
        <w:gridCol w:w="124"/>
        <w:gridCol w:w="1259"/>
        <w:gridCol w:w="265"/>
        <w:gridCol w:w="478"/>
        <w:gridCol w:w="321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78740" cy="175260"/>
                      <wp:effectExtent l="0" t="0" r="0" b="0"/>
                      <wp:wrapNone/>
                      <wp:docPr id="446" name="Frame4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271270" cy="29210"/>
                      <wp:effectExtent l="0" t="0" r="0" b="0"/>
                      <wp:wrapNone/>
                      <wp:docPr id="447" name="Frame447"/>
                      <a:graphic xmlns:a="http://schemas.openxmlformats.org/drawingml/2006/main">
                        <a:graphicData uri="http://schemas.microsoft.com/office/word/2010/wordprocessingShape">
                          <wps:wsp>
                            <wps:cNvSpPr txBox="1"/>
                            <wps:spPr>
                              <a:xfrm>
                                <a:off x="0" y="0"/>
                                <a:ext cx="12712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39620" cy="175260"/>
                      <wp:effectExtent l="0" t="0" r="0" b="0"/>
                      <wp:wrapNone/>
                      <wp:docPr id="448" name="Frame448"/>
                      <a:graphic xmlns:a="http://schemas.openxmlformats.org/drawingml/2006/main">
                        <a:graphicData uri="http://schemas.microsoft.com/office/word/2010/wordprocessingShape">
                          <wps:wsp>
                            <wps:cNvSpPr txBox="1"/>
                            <wps:spPr>
                              <a:xfrm>
                                <a:off x="0" y="0"/>
                                <a:ext cx="2039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214" w:type="dxa"/>
            <w:gridSpan w:val="4"/>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521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2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Alpine Income Property GP, LLC, a </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283"/>
              <w:ind w:left="0" w:right="0" w:hanging="0"/>
              <w:jc w:val="left"/>
              <w:rPr>
                <w:sz w:val="4"/>
                <w:szCs w:val="4"/>
              </w:rPr>
            </w:pPr>
            <w:r>
              <w:rPr>
                <w:sz w:val="4"/>
                <w:szCs w:val="4"/>
              </w:rPr>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 limited liability company, its</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pPr>
            <w:r>
              <w:rPr/>
              <w:t>​</w:t>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533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2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pPr>
            <w:r>
              <w:rPr/>
              <w:t>​</w:t>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Maryland corporation, its sole member</w:t>
            </w:r>
          </w:p>
        </w:tc>
      </w:tr>
    </w:tbl>
    <w:p>
      <w:pPr>
        <w:pStyle w:val="TextBody"/>
        <w:bidi w:val="0"/>
        <w:spacing w:before="0" w:after="0"/>
        <w:ind w:left="0" w:right="0" w:hanging="0"/>
        <w:jc w:val="left"/>
        <w:rPr/>
      </w:pPr>
      <w:r>
        <w:rPr/>
        <w:t>​</w:t>
      </w:r>
    </w:p>
    <w:tbl>
      <w:tblPr>
        <w:tblW w:w="1465" w:type="dxa"/>
        <w:jc w:val="center"/>
        <w:tblInd w:w="0" w:type="dxa"/>
        <w:tblLayout w:type="fixed"/>
        <w:tblCellMar>
          <w:top w:w="0" w:type="dxa"/>
          <w:left w:w="0" w:type="dxa"/>
          <w:bottom w:w="0" w:type="dxa"/>
          <w:right w:w="0" w:type="dxa"/>
        </w:tblCellMar>
      </w:tblPr>
      <w:tblGrid>
        <w:gridCol w:w="124"/>
        <w:gridCol w:w="451"/>
        <w:gridCol w:w="73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78740" cy="175260"/>
                      <wp:effectExtent l="0" t="0" r="0" b="0"/>
                      <wp:wrapNone/>
                      <wp:docPr id="449" name="Frame44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8740" cy="175260"/>
                      <wp:effectExtent l="0" t="0" r="0" b="0"/>
                      <wp:wrapNone/>
                      <wp:docPr id="450" name="Frame45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86385" cy="29210"/>
                      <wp:effectExtent l="0" t="0" r="0" b="0"/>
                      <wp:wrapNone/>
                      <wp:docPr id="451" name="Frame451"/>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65150" cy="175260"/>
                      <wp:effectExtent l="0" t="0" r="0" b="0"/>
                      <wp:wrapNone/>
                      <wp:docPr id="452" name="Frame452"/>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0"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bidi w:val="0"/>
        <w:spacing w:before="0" w:after="24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w:hAnsi="Times"/>
          <w:b/>
          <w:smallCaps/>
          <w:sz w:val="24"/>
        </w:rPr>
      </w:pPr>
      <w:r>
        <w:rPr>
          <w:rFonts w:ascii="Times" w:hAnsi="Times"/>
          <w:b/>
          <w:smallCaps/>
          <w:sz w:val="24"/>
        </w:rPr>
        <w:t>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_________________________________________________</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Calculations</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for Amended and Restated Credit Agreement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dated as of September 30, 2022, as amended</w:t>
      </w:r>
    </w:p>
    <w:p>
      <w:pPr>
        <w:pStyle w:val="TextBody"/>
        <w:bidi w:val="0"/>
        <w:spacing w:before="0" w:after="240"/>
        <w:ind w:left="0" w:right="0" w:firstLine="720"/>
        <w:jc w:val="center"/>
        <w:rPr>
          <w:rFonts w:ascii="Times" w:hAnsi="Times"/>
          <w:b/>
          <w:smallCaps/>
          <w:sz w:val="24"/>
        </w:rPr>
      </w:pPr>
      <w:r>
        <w:rPr>
          <w:rFonts w:ascii="Times" w:hAnsi="Times"/>
          <w:b/>
          <w:smallCaps/>
          <w:sz w:val="24"/>
        </w:rPr>
        <w:t>Calculations as of _____________, _______</w:t>
      </w:r>
    </w:p>
    <w:p>
      <w:pPr>
        <w:pStyle w:val="TextBody"/>
        <w:pBdr>
          <w:bottom w:val="double" w:sz="6" w:space="1" w:color="000000"/>
        </w:pBdr>
        <w:bidi w:val="0"/>
        <w:spacing w:before="0" w:after="28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09"/>
        <w:gridCol w:w="6296"/>
      </w:tblGrid>
      <w:tr>
        <w:trPr/>
        <w:tc>
          <w:tcPr>
            <w:tcW w:w="3909" w:type="dxa"/>
            <w:tcBorders/>
            <w:vAlign w:val="center"/>
          </w:tcPr>
          <w:p>
            <w:pPr>
              <w:pStyle w:val="TableContents"/>
              <w:bidi w:val="0"/>
              <w:spacing w:before="0" w:after="0"/>
              <w:ind w:left="0" w:right="0" w:hanging="0"/>
              <w:jc w:val="left"/>
              <w:rPr/>
            </w:pPr>
            <w:r>
              <w:rPr/>
              <w:t>​</w:t>
            </w:r>
          </w:p>
        </w:tc>
        <w:tc>
          <w:tcPr>
            <w:tcW w:w="6296" w:type="dxa"/>
            <w:tcBorders/>
            <w:vAlign w:val="center"/>
          </w:tcPr>
          <w:p>
            <w:pPr>
              <w:pStyle w:val="TableContents"/>
              <w:bidi w:val="0"/>
              <w:spacing w:before="0" w:after="0"/>
              <w:ind w:left="0" w:right="0" w:hanging="0"/>
              <w:jc w:val="left"/>
              <w:rPr/>
            </w:pPr>
            <w:r>
              <w:rPr/>
              <w:t>​</w:t>
            </w:r>
          </w:p>
        </w:tc>
      </w:tr>
      <w:tr>
        <w:trPr/>
        <w:tc>
          <w:tcPr>
            <w:tcW w:w="3909"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A.</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Total Indebtedness to Total Asset Value Ratio (Section 8.20(a))</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A1 to A2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A3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3909" w:type="dxa"/>
            <w:tcBorders/>
            <w:vAlign w:val="center"/>
          </w:tcPr>
          <w:p>
            <w:pPr>
              <w:pStyle w:val="TableContents"/>
              <w:pBdr/>
              <w:bidi w:val="0"/>
              <w:spacing w:before="0" w:after="0"/>
              <w:ind w:left="0" w:right="0" w:hanging="720"/>
              <w:jc w:val="left"/>
              <w:rPr/>
            </w:pPr>
            <w:r>
              <w:rPr/>
              <w:t>​</w:t>
            </w:r>
          </w:p>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Indebtedness to Total Asset Value Ratio (Section 8.20(b))</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Secured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B1 to B2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B3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0.40:1.0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502" w:type="dxa"/>
        <w:jc w:val="left"/>
        <w:tblInd w:w="0" w:type="dxa"/>
        <w:tblLayout w:type="fixed"/>
        <w:tblCellMar>
          <w:top w:w="0" w:type="dxa"/>
          <w:left w:w="0" w:type="dxa"/>
          <w:bottom w:w="0" w:type="dxa"/>
          <w:right w:w="0" w:type="dxa"/>
        </w:tblCellMar>
      </w:tblPr>
      <w:tblGrid>
        <w:gridCol w:w="5911"/>
        <w:gridCol w:w="1591"/>
      </w:tblGrid>
      <w:tr>
        <w:trPr/>
        <w:tc>
          <w:tcPr>
            <w:tcW w:w="5911"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C.</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EBITDA to Fixed Charges Ratio (Section 8.20(c))</w:t>
            </w:r>
          </w:p>
        </w:tc>
        <w:tc>
          <w:tcPr>
            <w:tcW w:w="1591" w:type="dxa"/>
            <w:tcBorders/>
            <w:vAlign w:val="center"/>
          </w:tcPr>
          <w:p>
            <w:pPr>
              <w:pStyle w:val="TableContents"/>
              <w:bidi w:val="0"/>
              <w:spacing w:before="0" w:after="240"/>
              <w:ind w:left="0" w:right="0" w:hanging="0"/>
              <w:jc w:val="center"/>
              <w:rPr/>
            </w:pPr>
            <w:r>
              <w:rPr/>
              <w:t>​</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Depreciation and amortization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losses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Non-Cash Compensation Paid in Equity Securities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gains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benefits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C2, C3, C4, C5 and C6</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C7 and C8</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Line C1 plus Line C9 minus Line C10 </w:t>
            </w:r>
            <w:r>
              <w:rPr>
                <w:rFonts w:ascii="Times New Roman;Times;serif" w:hAnsi="Times New Roman;Times;serif"/>
                <w:i/>
                <w:sz w:val="24"/>
              </w:rPr>
              <w:t>(“EBITDA”</w:t>
            </w:r>
            <w:r>
              <w:rPr>
                <w:rFonts w:ascii="Times New Roman;Times;serif" w:hAnsi="Times New Roman;Times;serif"/>
                <w:sz w:val="24"/>
              </w:rPr>
              <w:t>)</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Principal Amortization Payments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Dividends on Preferred Stock</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Taxes Paid</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C12, C13, C14 and C15 (“</w:t>
            </w:r>
            <w:r>
              <w:rPr>
                <w:rFonts w:ascii="Times New Roman;Times;serif" w:hAnsi="Times New Roman;Times;serif"/>
                <w:i/>
                <w:sz w:val="24"/>
              </w:rPr>
              <w:t>Fixed Charges”</w:t>
            </w:r>
            <w:r>
              <w:rPr>
                <w:rFonts w:ascii="Times New Roman;Times;serif" w:hAnsi="Times New Roman;Times;serif"/>
                <w:sz w:val="24"/>
              </w:rPr>
              <w:t>)</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C11 to Line C16</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C1 shall not be less than</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1.50:1.0</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59"/>
        <w:gridCol w:w="5646"/>
      </w:tblGrid>
      <w:tr>
        <w:trPr/>
        <w:tc>
          <w:tcPr>
            <w:tcW w:w="4559"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20.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559"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D.</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Recourse Indebtedness to Total Asset Value Ratio (Section 8.20(d))</w:t>
            </w:r>
          </w:p>
        </w:tc>
        <w:tc>
          <w:tcPr>
            <w:tcW w:w="5646" w:type="dxa"/>
            <w:tcBorders/>
            <w:vAlign w:val="center"/>
          </w:tcPr>
          <w:p>
            <w:pPr>
              <w:pStyle w:val="TableContents"/>
              <w:bidi w:val="0"/>
              <w:spacing w:before="0" w:after="240"/>
              <w:ind w:left="0" w:right="0" w:hanging="0"/>
              <w:jc w:val="center"/>
              <w:rPr/>
            </w:pPr>
            <w:r>
              <w:rPr/>
              <w:t>​</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Secured Recourse Indebtedness </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D1 to Line D2</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D3 shall not exceed</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0.10:1.0</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E.</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Unsecured Indebtedness to Unencumbered Asset Value Ratio (Section 8.20(e))</w:t>
            </w:r>
          </w:p>
        </w:tc>
        <w:tc>
          <w:tcPr>
            <w:tcW w:w="5646" w:type="dxa"/>
            <w:tcBorders/>
            <w:vAlign w:val="center"/>
          </w:tcPr>
          <w:p>
            <w:pPr>
              <w:pStyle w:val="TableContents"/>
              <w:bidi w:val="0"/>
              <w:spacing w:before="140" w:after="240"/>
              <w:ind w:left="0" w:right="0" w:hanging="0"/>
              <w:jc w:val="center"/>
              <w:rPr/>
            </w:pPr>
            <w:r>
              <w:rPr/>
              <w:t>​</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Unsecured Indebtedness</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E1 to E2</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E3 must not exceed</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559"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F.</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u w:val="single"/>
              </w:rPr>
              <w:t xml:space="preserve">Minimum </w:t>
            </w:r>
            <w:bookmarkStart w:id="1819" w:name="_cp_change_207"/>
            <w:bookmarkEnd w:id="1819"/>
            <w:r>
              <w:rPr>
                <w:rFonts w:ascii="Times New Roman;Times;serif" w:hAnsi="Times New Roman;Times;serif"/>
                <w:color w:val="0000FF"/>
                <w:sz w:val="24"/>
                <w:u w:val="single"/>
              </w:rPr>
              <w:t xml:space="preserve">Income from </w:t>
            </w:r>
            <w:r>
              <w:rPr>
                <w:rFonts w:ascii="Times New Roman;Times;serif" w:hAnsi="Times New Roman;Times;serif"/>
                <w:sz w:val="24"/>
                <w:u w:val="single"/>
              </w:rPr>
              <w:t xml:space="preserve">Unencumbered </w:t>
            </w:r>
            <w:bookmarkStart w:id="1820" w:name="_cp_change_208"/>
            <w:bookmarkEnd w:id="1820"/>
            <w:r>
              <w:rPr>
                <w:rFonts w:ascii="Times New Roman;Times;serif" w:hAnsi="Times New Roman;Times;serif"/>
                <w:color w:val="FF0000"/>
                <w:sz w:val="24"/>
                <w:u w:val="single"/>
              </w:rPr>
              <w:t>Pool NOI</w:t>
            </w:r>
            <w:bookmarkStart w:id="1821" w:name="_cp_change_209"/>
            <w:bookmarkEnd w:id="1821"/>
            <w:r>
              <w:rPr>
                <w:rFonts w:ascii="Times New Roman;Times;serif" w:hAnsi="Times New Roman;Times;serif"/>
                <w:color w:val="0000FF"/>
                <w:sz w:val="24"/>
                <w:u w:val="single"/>
              </w:rPr>
              <w:t>Assets</w:t>
            </w:r>
            <w:r>
              <w:rPr>
                <w:rFonts w:ascii="Times New Roman;Times;serif" w:hAnsi="Times New Roman;Times;serif"/>
                <w:sz w:val="24"/>
                <w:u w:val="single"/>
              </w:rPr>
              <w:t xml:space="preserve"> to Unsecured Interest Expense (Section 8.20(f))</w:t>
            </w:r>
          </w:p>
        </w:tc>
        <w:tc>
          <w:tcPr>
            <w:tcW w:w="5646" w:type="dxa"/>
            <w:tcBorders/>
            <w:vAlign w:val="center"/>
          </w:tcPr>
          <w:p>
            <w:pPr>
              <w:pStyle w:val="TableContents"/>
              <w:bidi w:val="0"/>
              <w:spacing w:before="0" w:after="240"/>
              <w:ind w:left="0" w:right="0" w:hanging="0"/>
              <w:jc w:val="center"/>
              <w:rPr/>
            </w:pPr>
            <w:r>
              <w:rPr/>
              <w:t>​</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Pool NOI as calculated on Exhibit B hereto</w:t>
            </w:r>
          </w:p>
        </w:tc>
        <w:tc>
          <w:tcPr>
            <w:tcW w:w="564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559"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1822" w:name="_cp_change_214"/>
            <w:bookmarkEnd w:id="1822"/>
            <w:r>
              <w:rPr>
                <w:rFonts w:ascii="Times New Roman;Times;serif" w:hAnsi="Times New Roman;Times;serif"/>
                <w:color w:val="0000FF"/>
                <w:sz w:val="24"/>
                <w:u w:val="single"/>
              </w:rPr>
              <w:t>2.</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 xml:space="preserve">Income actually received from Unencumbered Mortgage Receivables </w:t>
            </w:r>
          </w:p>
        </w:tc>
        <w:tc>
          <w:tcPr>
            <w:tcW w:w="5646" w:type="dxa"/>
            <w:tcBorders/>
            <w:shd w:fill="E6E6FA" w:val="clear"/>
            <w:vAlign w:val="center"/>
          </w:tcPr>
          <w:p>
            <w:pPr>
              <w:pStyle w:val="TableContents"/>
              <w:bidi w:val="0"/>
              <w:spacing w:before="140" w:after="240"/>
              <w:ind w:left="0" w:right="0" w:hanging="0"/>
              <w:jc w:val="center"/>
              <w:rPr>
                <w:rFonts w:ascii="Times" w:hAnsi="Times"/>
                <w:color w:val="0000FF"/>
                <w:sz w:val="24"/>
                <w:u w:val="single"/>
              </w:rPr>
            </w:pPr>
            <w:r>
              <w:rPr>
                <w:rFonts w:ascii="Times" w:hAnsi="Times"/>
                <w:color w:val="0000FF"/>
                <w:sz w:val="24"/>
                <w:u w:val="single"/>
              </w:rPr>
              <w:t>$___________</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018"/>
        <w:gridCol w:w="205"/>
        <w:gridCol w:w="982"/>
      </w:tblGrid>
      <w:tr>
        <w:trPr/>
        <w:tc>
          <w:tcPr>
            <w:tcW w:w="9018" w:type="dxa"/>
            <w:tcBorders/>
            <w:vAlign w:val="center"/>
          </w:tcPr>
          <w:p>
            <w:pPr>
              <w:pStyle w:val="TableContents"/>
              <w:bidi w:val="0"/>
              <w:spacing w:before="140" w:after="0"/>
              <w:ind w:left="0" w:right="0" w:hanging="0"/>
              <w:jc w:val="left"/>
              <w:rPr>
                <w:rFonts w:ascii="Times New Roman;Times;serif" w:hAnsi="Times New Roman;Times;serif"/>
                <w:sz w:val="24"/>
              </w:rPr>
            </w:pPr>
            <w:bookmarkStart w:id="1823" w:name="_cp_change_215"/>
            <w:bookmarkEnd w:id="1823"/>
            <w:r>
              <w:rPr>
                <w:rFonts w:ascii="Times New Roman;Times;serif" w:hAnsi="Times New Roman;Times;serif"/>
                <w:color w:val="FF0000"/>
                <w:sz w:val="24"/>
              </w:rPr>
              <w:t>2</w:t>
            </w:r>
            <w:bookmarkStart w:id="1824" w:name="_cp_change_216"/>
            <w:bookmarkEnd w:id="1824"/>
            <w:r>
              <w:rPr>
                <w:rFonts w:ascii="Times New Roman;Times;serif" w:hAnsi="Times New Roman;Times;serif"/>
                <w:color w:val="0000FF"/>
                <w:sz w:val="24"/>
                <w:u w:val="single"/>
              </w:rPr>
              <w:t>3</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 on Unsecured Indebtedness assuming an interest rate equal to the higher of (i) the weighted average interest rate for such period on Unsecured Indebtedness, (ii)  5.75% and (iii) the 10-year treasury rate on the last day of such period plus 1.75%</w:t>
            </w:r>
          </w:p>
        </w:tc>
        <w:tc>
          <w:tcPr>
            <w:tcW w:w="1187" w:type="dxa"/>
            <w:gridSpan w:val="2"/>
            <w:tcBorders/>
            <w:vAlign w:val="center"/>
          </w:tcPr>
          <w:p>
            <w:pPr>
              <w:pStyle w:val="TableContents"/>
              <w:bidi w:val="0"/>
              <w:spacing w:before="140" w:after="240"/>
              <w:ind w:left="0" w:right="0" w:hanging="0"/>
              <w:jc w:val="center"/>
              <w:rPr>
                <w:rFonts w:ascii="Times New Roman;Times;serif" w:hAnsi="Times New Roman;Times;serif"/>
                <w:sz w:val="24"/>
              </w:rPr>
            </w:pPr>
            <w:bookmarkStart w:id="1825" w:name="_cp_change_217"/>
            <w:bookmarkEnd w:id="1825"/>
            <w:r>
              <w:rPr>
                <w:rFonts w:ascii="Times" w:hAnsi="Times"/>
                <w:color w:val="0000FF"/>
                <w:sz w:val="24"/>
                <w:u w:val="single"/>
              </w:rPr>
              <w:t>$</w:t>
            </w: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bookmarkStart w:id="1826" w:name="_cp_change_218"/>
            <w:bookmarkEnd w:id="1826"/>
            <w:r>
              <w:rPr>
                <w:rFonts w:ascii="Times New Roman;Times;serif" w:hAnsi="Times New Roman;Times;serif"/>
                <w:color w:val="FF0000"/>
                <w:sz w:val="24"/>
              </w:rPr>
              <w:t>3</w:t>
            </w:r>
            <w:bookmarkStart w:id="1827" w:name="_cp_change_219"/>
            <w:bookmarkEnd w:id="1827"/>
            <w:r>
              <w:rPr>
                <w:rFonts w:ascii="Times New Roman;Times;serif" w:hAnsi="Times New Roman;Times;serif"/>
                <w:color w:val="0000FF"/>
                <w:sz w:val="24"/>
                <w:u w:val="single"/>
              </w:rPr>
              <w:t>4</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Ratio of </w:t>
            </w:r>
            <w:bookmarkStart w:id="1828" w:name="_cp_change_220"/>
            <w:bookmarkEnd w:id="1828"/>
            <w:r>
              <w:rPr>
                <w:rFonts w:ascii="Times New Roman;Times;serif" w:hAnsi="Times New Roman;Times;serif"/>
                <w:color w:val="0000FF"/>
                <w:sz w:val="24"/>
                <w:u w:val="single"/>
              </w:rPr>
              <w:t xml:space="preserve">(i) </w:t>
            </w:r>
            <w:r>
              <w:rPr>
                <w:rFonts w:ascii="Times New Roman;Times;serif" w:hAnsi="Times New Roman;Times;serif"/>
                <w:sz w:val="24"/>
              </w:rPr>
              <w:t xml:space="preserve">Line F1 </w:t>
            </w:r>
            <w:bookmarkStart w:id="1829" w:name="_cp_change_221"/>
            <w:bookmarkEnd w:id="1829"/>
            <w:r>
              <w:rPr>
                <w:rFonts w:ascii="Times New Roman;Times;serif" w:hAnsi="Times New Roman;Times;serif"/>
                <w:color w:val="FF0000"/>
                <w:sz w:val="24"/>
              </w:rPr>
              <w:t>to the greater of Line</w:t>
            </w:r>
            <w:bookmarkStart w:id="1830" w:name="_cp_change_222"/>
            <w:bookmarkEnd w:id="1830"/>
            <w:r>
              <w:rPr>
                <w:rFonts w:ascii="Times New Roman;Times;serif" w:hAnsi="Times New Roman;Times;serif"/>
                <w:color w:val="0000FF"/>
                <w:sz w:val="24"/>
                <w:u w:val="single"/>
              </w:rPr>
              <w:t>plus</w:t>
            </w:r>
            <w:r>
              <w:rPr>
                <w:rFonts w:ascii="Times New Roman;Times;serif" w:hAnsi="Times New Roman;Times;serif"/>
                <w:sz w:val="24"/>
              </w:rPr>
              <w:t xml:space="preserve"> F2 </w:t>
            </w:r>
            <w:bookmarkStart w:id="1831" w:name="_cp_change_223"/>
            <w:bookmarkEnd w:id="1831"/>
            <w:r>
              <w:rPr>
                <w:rFonts w:ascii="Times New Roman;Times;serif" w:hAnsi="Times New Roman;Times;serif"/>
                <w:color w:val="FF0000"/>
                <w:sz w:val="24"/>
              </w:rPr>
              <w:t>and</w:t>
            </w:r>
            <w:bookmarkStart w:id="1832" w:name="_cp_change_224"/>
            <w:bookmarkEnd w:id="1832"/>
            <w:r>
              <w:rPr>
                <w:rFonts w:ascii="Times New Roman;Times;serif" w:hAnsi="Times New Roman;Times;serif"/>
                <w:color w:val="0000FF"/>
                <w:sz w:val="24"/>
                <w:u w:val="single"/>
              </w:rPr>
              <w:t>to (ii) Line</w:t>
            </w:r>
            <w:r>
              <w:rPr>
                <w:rFonts w:ascii="Times New Roman;Times;serif" w:hAnsi="Times New Roman;Times;serif"/>
                <w:sz w:val="24"/>
              </w:rPr>
              <w:t xml:space="preserve"> F3 </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bookmarkStart w:id="1833" w:name="_cp_change_225"/>
            <w:bookmarkEnd w:id="1833"/>
            <w:r>
              <w:rPr>
                <w:rFonts w:ascii="Times New Roman;Times;serif" w:hAnsi="Times New Roman;Times;serif"/>
                <w:color w:val="FF0000"/>
                <w:sz w:val="24"/>
              </w:rPr>
              <w:t>4</w:t>
            </w:r>
            <w:bookmarkStart w:id="1834" w:name="_cp_change_226"/>
            <w:bookmarkEnd w:id="1834"/>
            <w:r>
              <w:rPr>
                <w:rFonts w:ascii="Times New Roman;Times;serif" w:hAnsi="Times New Roman;Times;serif"/>
                <w:color w:val="0000FF"/>
                <w:sz w:val="24"/>
                <w:u w:val="single"/>
              </w:rPr>
              <w:t>5</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Line </w:t>
            </w:r>
            <w:bookmarkStart w:id="1835" w:name="_cp_change_227"/>
            <w:bookmarkEnd w:id="1835"/>
            <w:r>
              <w:rPr>
                <w:rFonts w:ascii="Times New Roman;Times;serif" w:hAnsi="Times New Roman;Times;serif"/>
                <w:color w:val="FF0000"/>
                <w:sz w:val="24"/>
              </w:rPr>
              <w:t>F4</w:t>
            </w:r>
            <w:bookmarkStart w:id="1836" w:name="_cp_change_228"/>
            <w:bookmarkEnd w:id="1836"/>
            <w:r>
              <w:rPr>
                <w:rFonts w:ascii="Times New Roman;Times;serif" w:hAnsi="Times New Roman;Times;serif"/>
                <w:color w:val="0000FF"/>
                <w:sz w:val="24"/>
                <w:u w:val="single"/>
              </w:rPr>
              <w:t>F5</w:t>
            </w:r>
            <w:r>
              <w:rPr>
                <w:rFonts w:ascii="Times New Roman;Times;serif" w:hAnsi="Times New Roman;Times;serif"/>
                <w:sz w:val="24"/>
              </w:rPr>
              <w:t xml:space="preserve"> shall not be less than</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1.75:1.0</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bookmarkStart w:id="1837" w:name="_cp_change_229"/>
            <w:bookmarkEnd w:id="1837"/>
            <w:r>
              <w:rPr>
                <w:rFonts w:ascii="Times New Roman;Times;serif" w:hAnsi="Times New Roman;Times;serif"/>
                <w:color w:val="FF0000"/>
                <w:sz w:val="24"/>
              </w:rPr>
              <w:t>5</w:t>
            </w:r>
            <w:bookmarkStart w:id="1838" w:name="_cp_change_230"/>
            <w:bookmarkEnd w:id="1838"/>
            <w:r>
              <w:rPr>
                <w:rFonts w:ascii="Times New Roman;Times;serif" w:hAnsi="Times New Roman;Times;serif"/>
                <w:color w:val="0000FF"/>
                <w:sz w:val="24"/>
                <w:u w:val="single"/>
              </w:rPr>
              <w:t>6</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01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G.</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Tangible Net Worth (Section 8.20(f))</w:t>
            </w:r>
          </w:p>
        </w:tc>
        <w:tc>
          <w:tcPr>
            <w:tcW w:w="1187" w:type="dxa"/>
            <w:gridSpan w:val="2"/>
            <w:tcBorders/>
            <w:vAlign w:val="center"/>
          </w:tcPr>
          <w:p>
            <w:pPr>
              <w:pStyle w:val="TableContents"/>
              <w:bidi w:val="0"/>
              <w:spacing w:before="140" w:after="240"/>
              <w:ind w:left="0" w:right="0" w:hanging="0"/>
              <w:jc w:val="center"/>
              <w:rPr/>
            </w:pPr>
            <w:r>
              <w:rPr/>
              <w:t>​</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Tangible Net Worth</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net proceeds of Stock and Stock Equivalent offerings after June 30, 2022</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75% of Line G2</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$212,500,000 plus Line G3 </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G1 shall not be less than Line G4</w:t>
            </w:r>
          </w:p>
        </w:tc>
        <w:tc>
          <w:tcPr>
            <w:tcW w:w="1187" w:type="dxa"/>
            <w:gridSpan w:val="2"/>
            <w:tcBorders/>
            <w:vAlign w:val="center"/>
          </w:tcPr>
          <w:p>
            <w:pPr>
              <w:pStyle w:val="TableContents"/>
              <w:bidi w:val="0"/>
              <w:spacing w:before="140" w:after="240"/>
              <w:ind w:left="0" w:right="0" w:hanging="0"/>
              <w:jc w:val="center"/>
              <w:rPr/>
            </w:pPr>
            <w:r>
              <w:rPr/>
              <w:t>​</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223" w:type="dxa"/>
            <w:gridSpan w:val="2"/>
            <w:tcBorders/>
            <w:vAlign w:val="center"/>
          </w:tcPr>
          <w:p>
            <w:pPr>
              <w:pStyle w:val="TableContents"/>
              <w:pBdr/>
              <w:bidi w:val="0"/>
              <w:spacing w:before="280" w:after="0"/>
              <w:ind w:left="0" w:right="0" w:hanging="0"/>
              <w:jc w:val="left"/>
              <w:rPr/>
            </w:pPr>
            <w:r>
              <w:rPr/>
              <w:t>​</w:t>
            </w:r>
          </w:p>
        </w:tc>
        <w:tc>
          <w:tcPr>
            <w:tcW w:w="982" w:type="dxa"/>
            <w:tcBorders/>
            <w:vAlign w:val="center"/>
          </w:tcPr>
          <w:p>
            <w:pPr>
              <w:pStyle w:val="TableContents"/>
              <w:bidi w:val="0"/>
              <w:spacing w:before="0" w:after="24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140" w:after="24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140" w:after="24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140" w:after="24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0" w:after="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14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50"/>
        <w:gridCol w:w="955"/>
      </w:tblGrid>
      <w:tr>
        <w:trPr/>
        <w:tc>
          <w:tcPr>
            <w:tcW w:w="925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Restricted Payments (Section 8.25(a))</w:t>
            </w:r>
          </w:p>
        </w:tc>
        <w:tc>
          <w:tcPr>
            <w:tcW w:w="955" w:type="dxa"/>
            <w:tcBorders/>
            <w:vAlign w:val="center"/>
          </w:tcPr>
          <w:p>
            <w:pPr>
              <w:pStyle w:val="TableContents"/>
              <w:bidi w:val="0"/>
              <w:spacing w:before="0" w:after="240"/>
              <w:ind w:left="0" w:right="0" w:hanging="0"/>
              <w:jc w:val="center"/>
              <w:rPr/>
            </w:pPr>
            <w:r>
              <w:rPr/>
              <w:t>​</w:t>
            </w:r>
          </w:p>
        </w:tc>
      </w:tr>
      <w:tr>
        <w:trPr/>
        <w:tc>
          <w:tcPr>
            <w:tcW w:w="925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Aggregate amount of </w:t>
            </w:r>
            <w:bookmarkStart w:id="1839" w:name="_cp_change_231"/>
            <w:bookmarkEnd w:id="1839"/>
            <w:r>
              <w:rPr>
                <w:rFonts w:ascii="Times New Roman;Times;serif" w:hAnsi="Times New Roman;Times;serif"/>
                <w:color w:val="FF0000"/>
                <w:sz w:val="24"/>
              </w:rPr>
              <w:t>cash distributions made by the Parent to its equity holders</w:t>
            </w:r>
            <w:bookmarkStart w:id="1840" w:name="_cp_change_232"/>
            <w:bookmarkEnd w:id="1840"/>
            <w:r>
              <w:rPr>
                <w:rFonts w:ascii="Times New Roman;Times;serif" w:hAnsi="Times New Roman;Times;serif"/>
                <w:color w:val="0000FF"/>
                <w:sz w:val="24"/>
                <w:u w:val="single"/>
              </w:rPr>
              <w:t>Restricted Payments made in cash</w:t>
            </w:r>
            <w:r>
              <w:rPr>
                <w:rFonts w:ascii="Times New Roman;Times;serif" w:hAnsi="Times New Roman;Times;serif"/>
                <w:sz w:val="24"/>
              </w:rPr>
              <w:t xml:space="preserve"> during such period</w:t>
            </w:r>
          </w:p>
        </w:tc>
        <w:tc>
          <w:tcPr>
            <w:tcW w:w="955"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25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Parent’s Adjusted FFO for such period</w:t>
            </w:r>
            <w:bookmarkStart w:id="1841" w:name="_cp_change_233"/>
            <w:bookmarkEnd w:id="1841"/>
            <w:r>
              <w:rPr>
                <w:rFonts w:ascii="Times New Roman;Times;serif" w:hAnsi="Times New Roman;Times;serif"/>
                <w:color w:val="0000FF"/>
                <w:sz w:val="24"/>
                <w:u w:val="single"/>
              </w:rPr>
              <w:t xml:space="preserve"> (excluding any regular distributions to holders of preferred partnership units in Borrower and distributions necessary to pay holders of preferred stock of Parent) </w:t>
            </w:r>
          </w:p>
        </w:tc>
        <w:tc>
          <w:tcPr>
            <w:tcW w:w="955"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5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95% of Line H2</w:t>
            </w:r>
          </w:p>
        </w:tc>
        <w:tc>
          <w:tcPr>
            <w:tcW w:w="955"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5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Amount necessary for the Parent to be able to make </w:t>
            </w:r>
            <w:bookmarkStart w:id="1842" w:name="_cp_change_234"/>
            <w:bookmarkEnd w:id="1842"/>
            <w:r>
              <w:rPr>
                <w:rFonts w:ascii="Times New Roman;Times;serif" w:hAnsi="Times New Roman;Times;serif"/>
                <w:color w:val="FF0000"/>
                <w:sz w:val="24"/>
              </w:rPr>
              <w:t>distributions</w:t>
            </w:r>
            <w:bookmarkStart w:id="1843" w:name="_cp_change_235"/>
            <w:bookmarkEnd w:id="1843"/>
            <w:r>
              <w:rPr>
                <w:rFonts w:ascii="Times New Roman;Times;serif" w:hAnsi="Times New Roman;Times;serif"/>
                <w:color w:val="0000FF"/>
                <w:sz w:val="24"/>
                <w:u w:val="single"/>
              </w:rPr>
              <w:t>Restricted Payments</w:t>
            </w:r>
            <w:r>
              <w:rPr>
                <w:rFonts w:ascii="Times New Roman;Times;serif" w:hAnsi="Times New Roman;Times;serif"/>
                <w:sz w:val="24"/>
              </w:rPr>
              <w:t xml:space="preserve"> required to maintain its status as a REIT (i.e., to satisfy the distribution requirements set forth in Section 4981 of the Code)</w:t>
            </w:r>
          </w:p>
        </w:tc>
        <w:tc>
          <w:tcPr>
            <w:tcW w:w="955" w:type="dxa"/>
            <w:tcBorders/>
            <w:vAlign w:val="center"/>
          </w:tcPr>
          <w:p>
            <w:pPr>
              <w:pStyle w:val="TableContents"/>
              <w:bidi w:val="0"/>
              <w:spacing w:before="140" w:after="240"/>
              <w:ind w:left="0" w:right="0" w:hanging="0"/>
              <w:jc w:val="center"/>
              <w:rPr/>
            </w:pPr>
            <w:r>
              <w:rPr/>
              <w:t>​</w:t>
            </w:r>
          </w:p>
          <w:p>
            <w:pPr>
              <w:pStyle w:val="TableContents"/>
              <w:bidi w:val="0"/>
              <w:spacing w:before="140" w:after="240"/>
              <w:ind w:left="0" w:right="0" w:hanging="0"/>
              <w:jc w:val="center"/>
              <w:rPr/>
            </w:pPr>
            <w:r>
              <w:rPr/>
              <w:t>​</w:t>
            </w:r>
          </w:p>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5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Greater of Line H3 and Line H4</w:t>
            </w:r>
          </w:p>
        </w:tc>
        <w:tc>
          <w:tcPr>
            <w:tcW w:w="955"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5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 xml:space="preserve">6. </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H1 shall not exceed Line H5</w:t>
            </w:r>
          </w:p>
        </w:tc>
        <w:tc>
          <w:tcPr>
            <w:tcW w:w="955" w:type="dxa"/>
            <w:tcBorders/>
            <w:vAlign w:val="center"/>
          </w:tcPr>
          <w:p>
            <w:pPr>
              <w:pStyle w:val="TableContents"/>
              <w:bidi w:val="0"/>
              <w:spacing w:before="140" w:after="240"/>
              <w:ind w:left="0" w:right="0" w:hanging="0"/>
              <w:jc w:val="center"/>
              <w:rPr/>
            </w:pPr>
            <w:r>
              <w:rPr/>
              <w:t>​</w:t>
            </w:r>
          </w:p>
        </w:tc>
      </w:tr>
      <w:tr>
        <w:trPr/>
        <w:tc>
          <w:tcPr>
            <w:tcW w:w="925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955"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center"/>
        <w:rPr>
          <w:smallCaps/>
        </w:rPr>
      </w:pPr>
      <w:r>
        <w:rPr>
          <w:smallCaps/>
        </w:rPr>
        <w:t>​</w:t>
      </w:r>
    </w:p>
    <w:tbl>
      <w:tblPr>
        <w:tblW w:w="7562" w:type="dxa"/>
        <w:jc w:val="left"/>
        <w:tblInd w:w="0" w:type="dxa"/>
        <w:tblLayout w:type="fixed"/>
        <w:tblCellMar>
          <w:top w:w="0" w:type="dxa"/>
          <w:left w:w="0" w:type="dxa"/>
          <w:bottom w:w="0" w:type="dxa"/>
          <w:right w:w="0" w:type="dxa"/>
        </w:tblCellMar>
      </w:tblPr>
      <w:tblGrid>
        <w:gridCol w:w="5971"/>
        <w:gridCol w:w="1591"/>
      </w:tblGrid>
      <w:tr>
        <w:trPr/>
        <w:tc>
          <w:tcPr>
            <w:tcW w:w="59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u w:val="single"/>
              </w:rPr>
              <w:t xml:space="preserve">Number of Unencumbered </w:t>
            </w:r>
            <w:bookmarkStart w:id="1844" w:name="_cp_change_236"/>
            <w:bookmarkEnd w:id="1844"/>
            <w:r>
              <w:rPr>
                <w:rFonts w:ascii="Times New Roman;Times;serif" w:hAnsi="Times New Roman;Times;serif"/>
                <w:color w:val="0000FF"/>
                <w:sz w:val="24"/>
                <w:u w:val="single"/>
              </w:rPr>
              <w:t xml:space="preserve">Real Property </w:t>
            </w:r>
            <w:r>
              <w:rPr>
                <w:rFonts w:ascii="Times New Roman;Times;serif" w:hAnsi="Times New Roman;Times;serif"/>
                <w:sz w:val="24"/>
                <w:u w:val="single"/>
              </w:rPr>
              <w:t>Assets</w:t>
            </w:r>
          </w:p>
        </w:tc>
        <w:tc>
          <w:tcPr>
            <w:tcW w:w="1591" w:type="dxa"/>
            <w:tcBorders/>
            <w:vAlign w:val="center"/>
          </w:tcPr>
          <w:p>
            <w:pPr>
              <w:pStyle w:val="TableContents"/>
              <w:bidi w:val="0"/>
              <w:spacing w:before="0" w:after="240"/>
              <w:ind w:left="0" w:right="0" w:hanging="0"/>
              <w:jc w:val="center"/>
              <w:rPr/>
            </w:pPr>
            <w:r>
              <w:rPr/>
              <w:t>​</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The number of Unencumbered </w:t>
            </w:r>
            <w:bookmarkStart w:id="1845" w:name="_cp_change_237"/>
            <w:bookmarkEnd w:id="1845"/>
            <w:r>
              <w:rPr>
                <w:rFonts w:ascii="Times New Roman;Times;serif" w:hAnsi="Times New Roman;Times;serif"/>
                <w:color w:val="0000FF"/>
                <w:sz w:val="24"/>
                <w:u w:val="single"/>
              </w:rPr>
              <w:t xml:space="preserve">Real Property </w:t>
            </w:r>
            <w:r>
              <w:rPr>
                <w:rFonts w:ascii="Times New Roman;Times;serif" w:hAnsi="Times New Roman;Times;serif"/>
                <w:sz w:val="24"/>
              </w:rPr>
              <w:t>Assets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I1 shall not be less than 20</w:t>
            </w:r>
          </w:p>
        </w:tc>
        <w:tc>
          <w:tcPr>
            <w:tcW w:w="1591" w:type="dxa"/>
            <w:tcBorders/>
            <w:vAlign w:val="center"/>
          </w:tcPr>
          <w:p>
            <w:pPr>
              <w:pStyle w:val="TableContents"/>
              <w:bidi w:val="0"/>
              <w:spacing w:before="140" w:after="240"/>
              <w:ind w:left="0" w:right="0" w:hanging="0"/>
              <w:jc w:val="center"/>
              <w:rPr/>
            </w:pPr>
            <w:r>
              <w:rPr/>
              <w:t>​</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5971"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J.</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 Value</w:t>
            </w:r>
          </w:p>
        </w:tc>
        <w:tc>
          <w:tcPr>
            <w:tcW w:w="1591" w:type="dxa"/>
            <w:tcBorders/>
            <w:vAlign w:val="center"/>
          </w:tcPr>
          <w:p>
            <w:pPr>
              <w:pStyle w:val="TableContents"/>
              <w:bidi w:val="0"/>
              <w:spacing w:before="0" w:after="240"/>
              <w:ind w:left="0" w:right="0" w:hanging="0"/>
              <w:jc w:val="center"/>
              <w:rPr/>
            </w:pPr>
            <w:r>
              <w:rPr/>
              <w:t>​</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J1 shall not be less than $200,000,000</w:t>
            </w:r>
          </w:p>
        </w:tc>
        <w:tc>
          <w:tcPr>
            <w:tcW w:w="1591" w:type="dxa"/>
            <w:tcBorders/>
            <w:vAlign w:val="center"/>
          </w:tcPr>
          <w:p>
            <w:pPr>
              <w:pStyle w:val="TableContents"/>
              <w:bidi w:val="0"/>
              <w:spacing w:before="140" w:after="240"/>
              <w:ind w:left="0" w:right="0" w:hanging="0"/>
              <w:jc w:val="center"/>
              <w:rPr/>
            </w:pPr>
            <w:r>
              <w:rPr/>
              <w:t>​</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74"/>
        <w:gridCol w:w="631"/>
      </w:tblGrid>
      <w:tr>
        <w:trPr/>
        <w:tc>
          <w:tcPr>
            <w:tcW w:w="9574" w:type="dxa"/>
            <w:tcBorders/>
            <w:vAlign w:val="center"/>
          </w:tcPr>
          <w:p>
            <w:pPr>
              <w:pStyle w:val="TableContents"/>
              <w:pBdr/>
              <w:bidi w:val="0"/>
              <w:spacing w:before="280" w:after="0"/>
              <w:ind w:left="0" w:right="0" w:hanging="0"/>
              <w:jc w:val="left"/>
              <w:rPr/>
            </w:pPr>
            <w:r>
              <w:rPr/>
              <w:t>​</w:t>
            </w:r>
          </w:p>
        </w:tc>
        <w:tc>
          <w:tcPr>
            <w:tcW w:w="631" w:type="dxa"/>
            <w:tcBorders/>
            <w:vAlign w:val="center"/>
          </w:tcPr>
          <w:p>
            <w:pPr>
              <w:pStyle w:val="TableContents"/>
              <w:bidi w:val="0"/>
              <w:spacing w:before="0" w:after="240"/>
              <w:ind w:left="0" w:right="0" w:hanging="0"/>
              <w:jc w:val="center"/>
              <w:rPr/>
            </w:pPr>
            <w:r>
              <w:rPr/>
              <w:t>​</w:t>
            </w:r>
          </w:p>
        </w:tc>
      </w:tr>
      <w:tr>
        <w:trPr/>
        <w:tc>
          <w:tcPr>
            <w:tcW w:w="9574"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K.</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Individual Unencumbered Asset Value</w:t>
            </w:r>
          </w:p>
        </w:tc>
        <w:tc>
          <w:tcPr>
            <w:tcW w:w="631" w:type="dxa"/>
            <w:tcBorders/>
            <w:vAlign w:val="center"/>
          </w:tcPr>
          <w:p>
            <w:pPr>
              <w:pStyle w:val="TableContents"/>
              <w:bidi w:val="0"/>
              <w:spacing w:before="0" w:after="240"/>
              <w:ind w:left="0" w:right="0" w:hanging="0"/>
              <w:jc w:val="center"/>
              <w:rPr/>
            </w:pPr>
            <w:r>
              <w:rPr/>
              <w:t>​</w:t>
            </w:r>
          </w:p>
        </w:tc>
      </w:tr>
      <w:tr>
        <w:trPr/>
        <w:tc>
          <w:tcPr>
            <w:tcW w:w="95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Percentage of Unencumbered Asset Value of each Unencumbered Asset is set forth [above or on the attached Schedule] and the largest Unencumbered Asset Value or any Unencumbered Asset is $___________ for the ___________ Unencumbered Asset.</w:t>
            </w:r>
          </w:p>
        </w:tc>
        <w:tc>
          <w:tcPr>
            <w:tcW w:w="631" w:type="dxa"/>
            <w:tcBorders/>
            <w:vAlign w:val="center"/>
          </w:tcPr>
          <w:p>
            <w:pPr>
              <w:pStyle w:val="TableContents"/>
              <w:bidi w:val="0"/>
              <w:spacing w:before="140" w:after="240"/>
              <w:ind w:left="0" w:right="0" w:hanging="0"/>
              <w:jc w:val="center"/>
              <w:rPr/>
            </w:pPr>
            <w:r>
              <w:rPr/>
              <w:t>​</w:t>
            </w:r>
          </w:p>
        </w:tc>
      </w:tr>
      <w:tr>
        <w:trPr/>
        <w:tc>
          <w:tcPr>
            <w:tcW w:w="9574"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No Unencumbered Asset comprises more than 25% of Unencumbered Asset Value</w:t>
            </w:r>
          </w:p>
        </w:tc>
        <w:tc>
          <w:tcPr>
            <w:tcW w:w="631" w:type="dxa"/>
            <w:tcBorders/>
            <w:vAlign w:val="center"/>
          </w:tcPr>
          <w:p>
            <w:pPr>
              <w:pStyle w:val="TableContents"/>
              <w:bidi w:val="0"/>
              <w:spacing w:before="140" w:after="240"/>
              <w:ind w:left="0" w:right="0" w:hanging="0"/>
              <w:jc w:val="center"/>
              <w:rPr/>
            </w:pPr>
            <w:r>
              <w:rPr/>
              <w:t>​</w:t>
            </w:r>
          </w:p>
        </w:tc>
      </w:tr>
      <w:tr>
        <w:trPr/>
        <w:tc>
          <w:tcPr>
            <w:tcW w:w="95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31" w:type="dxa"/>
            <w:tcBorders/>
            <w:vAlign w:val="center"/>
          </w:tcPr>
          <w:p>
            <w:pPr>
              <w:pStyle w:val="TableContents"/>
              <w:bidi w:val="0"/>
              <w:spacing w:before="140" w:after="240"/>
              <w:ind w:left="0" w:right="0" w:hanging="0"/>
              <w:jc w:val="center"/>
              <w:rPr/>
            </w:pPr>
            <w:r>
              <w:rPr>
                <w:rFonts w:ascii="Times" w:hAnsi="Times"/>
                <w:sz w:val="24"/>
              </w:rPr>
              <w:t>yes/no</w:t>
            </w:r>
            <w:hyperlink w:anchor="footnote-2">
              <w:r>
                <w:rPr>
                  <w:rStyle w:val="InternetLink"/>
                  <w:rFonts w:ascii="Times" w:hAnsi="Times"/>
                  <w:sz w:val="20"/>
                </w:rPr>
                <w:t>1</w:t>
              </w:r>
            </w:hyperlink>
          </w:p>
        </w:tc>
      </w:tr>
      <w:tr>
        <w:trPr/>
        <w:tc>
          <w:tcPr>
            <w:tcW w:w="9574"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L.</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Single Tenant Unencumbered Asset Value</w:t>
            </w:r>
          </w:p>
        </w:tc>
        <w:tc>
          <w:tcPr>
            <w:tcW w:w="631" w:type="dxa"/>
            <w:tcBorders/>
            <w:vAlign w:val="center"/>
          </w:tcPr>
          <w:p>
            <w:pPr>
              <w:pStyle w:val="TableContents"/>
              <w:bidi w:val="0"/>
              <w:spacing w:before="0" w:after="240"/>
              <w:ind w:left="0" w:right="0" w:hanging="0"/>
              <w:jc w:val="center"/>
              <w:rPr/>
            </w:pPr>
            <w:r>
              <w:rPr/>
              <w:t>​</w:t>
            </w:r>
          </w:p>
        </w:tc>
      </w:tr>
      <w:tr>
        <w:trPr/>
        <w:tc>
          <w:tcPr>
            <w:tcW w:w="95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largest amount of Unencumbered Asset Value from a single Tenant that does not maintain a Rating of at least BBB-/Baa3 from S&amp;P or Moody’s, respectively, is $_____________ from _____________.</w:t>
            </w:r>
          </w:p>
        </w:tc>
        <w:tc>
          <w:tcPr>
            <w:tcW w:w="631" w:type="dxa"/>
            <w:tcBorders/>
            <w:vAlign w:val="center"/>
          </w:tcPr>
          <w:p>
            <w:pPr>
              <w:pStyle w:val="TableContents"/>
              <w:bidi w:val="0"/>
              <w:spacing w:before="140" w:after="240"/>
              <w:ind w:left="0" w:right="0" w:hanging="0"/>
              <w:jc w:val="center"/>
              <w:rPr/>
            </w:pPr>
            <w:r>
              <w:rPr/>
              <w:t>​</w:t>
            </w:r>
          </w:p>
        </w:tc>
      </w:tr>
      <w:tr>
        <w:trPr/>
        <w:tc>
          <w:tcPr>
            <w:tcW w:w="95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 single Tenant that does not maintain a Rating of at least BBB-/Baa3 from S&amp;P or Moody’s, respectively, comprises more than 20% of Unencumbered Asset Value</w:t>
            </w:r>
          </w:p>
        </w:tc>
        <w:tc>
          <w:tcPr>
            <w:tcW w:w="631" w:type="dxa"/>
            <w:tcBorders/>
            <w:vAlign w:val="center"/>
          </w:tcPr>
          <w:p>
            <w:pPr>
              <w:pStyle w:val="TableContents"/>
              <w:bidi w:val="0"/>
              <w:spacing w:before="140" w:after="240"/>
              <w:ind w:left="0" w:right="0" w:hanging="0"/>
              <w:jc w:val="center"/>
              <w:rPr/>
            </w:pPr>
            <w:r>
              <w:rPr/>
              <w:t>​</w:t>
            </w:r>
          </w:p>
        </w:tc>
      </w:tr>
      <w:tr>
        <w:trPr/>
        <w:tc>
          <w:tcPr>
            <w:tcW w:w="95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31" w:type="dxa"/>
            <w:tcBorders/>
            <w:vAlign w:val="center"/>
          </w:tcPr>
          <w:p>
            <w:pPr>
              <w:pStyle w:val="TableContents"/>
              <w:bidi w:val="0"/>
              <w:spacing w:before="140" w:after="240"/>
              <w:ind w:left="0" w:right="0" w:hanging="0"/>
              <w:jc w:val="center"/>
              <w:rPr/>
            </w:pPr>
            <w:r>
              <w:rPr>
                <w:rFonts w:ascii="Times" w:hAnsi="Times"/>
                <w:sz w:val="24"/>
              </w:rPr>
              <w:t>yes/no</w:t>
            </w:r>
            <w:hyperlink w:anchor="footnote-3">
              <w:r>
                <w:rPr>
                  <w:rStyle w:val="InternetLink"/>
                  <w:rFonts w:ascii="Times" w:hAnsi="Times"/>
                  <w:sz w:val="20"/>
                </w:rPr>
                <w:t>2</w:t>
              </w:r>
            </w:hyperlink>
          </w:p>
        </w:tc>
      </w:tr>
      <w:tr>
        <w:trPr/>
        <w:tc>
          <w:tcPr>
            <w:tcW w:w="9574"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M.</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Assets Subject to Acceptable Leasehold Interests</w:t>
            </w:r>
          </w:p>
        </w:tc>
        <w:tc>
          <w:tcPr>
            <w:tcW w:w="631" w:type="dxa"/>
            <w:tcBorders/>
            <w:vAlign w:val="center"/>
          </w:tcPr>
          <w:p>
            <w:pPr>
              <w:pStyle w:val="TableContents"/>
              <w:bidi w:val="0"/>
              <w:spacing w:before="0" w:after="240"/>
              <w:ind w:left="0" w:right="0" w:hanging="0"/>
              <w:jc w:val="center"/>
              <w:rPr/>
            </w:pPr>
            <w:r>
              <w:rPr/>
              <w:t>​</w:t>
            </w:r>
          </w:p>
        </w:tc>
      </w:tr>
      <w:tr>
        <w:trPr/>
        <w:tc>
          <w:tcPr>
            <w:tcW w:w="95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that are leased by Borrower or a Subsidiary pursuant to an Acceptable Leasehold Interest</w:t>
            </w:r>
          </w:p>
        </w:tc>
        <w:tc>
          <w:tcPr>
            <w:tcW w:w="63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74"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w:t>
            </w:r>
            <w:r>
              <w:rPr>
                <w:rFonts w:ascii="Times New Roman;Times;serif" w:hAnsi="Times New Roman;Times;serif"/>
                <w:sz w:val="24"/>
              </w:rPr>
              <w:t>Line M1 shall not be greater than 15%</w:t>
            </w:r>
          </w:p>
        </w:tc>
        <w:tc>
          <w:tcPr>
            <w:tcW w:w="631" w:type="dxa"/>
            <w:tcBorders/>
            <w:vAlign w:val="center"/>
          </w:tcPr>
          <w:p>
            <w:pPr>
              <w:pStyle w:val="TableContents"/>
              <w:bidi w:val="0"/>
              <w:spacing w:before="140" w:after="240"/>
              <w:ind w:left="0" w:right="0" w:hanging="0"/>
              <w:jc w:val="center"/>
              <w:rPr/>
            </w:pPr>
            <w:r>
              <w:rPr/>
              <w:t>​</w:t>
            </w:r>
          </w:p>
        </w:tc>
      </w:tr>
      <w:tr>
        <w:trPr/>
        <w:tc>
          <w:tcPr>
            <w:tcW w:w="95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31" w:type="dxa"/>
            <w:tcBorders/>
            <w:vAlign w:val="center"/>
          </w:tcPr>
          <w:p>
            <w:pPr>
              <w:pStyle w:val="TableContents"/>
              <w:bidi w:val="0"/>
              <w:spacing w:before="140" w:after="240"/>
              <w:ind w:left="0" w:right="0" w:hanging="0"/>
              <w:jc w:val="center"/>
              <w:rPr/>
            </w:pPr>
            <w:r>
              <w:rPr>
                <w:rFonts w:ascii="Times" w:hAnsi="Times"/>
                <w:sz w:val="24"/>
              </w:rPr>
              <w:t>yes/no</w:t>
            </w:r>
            <w:hyperlink w:anchor="footnote-4">
              <w:r>
                <w:rPr>
                  <w:rStyle w:val="InternetLink"/>
                  <w:rFonts w:ascii="Times" w:hAnsi="Times"/>
                  <w:sz w:val="20"/>
                </w:rPr>
                <w:t>3</w:t>
              </w:r>
            </w:hyperlink>
          </w:p>
        </w:tc>
      </w:tr>
    </w:tbl>
    <w:p>
      <w:pPr>
        <w:pStyle w:val="TextBody"/>
        <w:bidi w:val="0"/>
        <w:spacing w:before="0" w:after="0"/>
        <w:ind w:left="0" w:right="0" w:hanging="0"/>
        <w:jc w:val="left"/>
        <w:rPr>
          <w:rFonts w:ascii="Times New Roman;Times;serif" w:hAnsi="Times New Roman;Times;serif"/>
          <w:sz w:val="20"/>
        </w:rPr>
      </w:pPr>
      <w:bookmarkStart w:id="1846" w:name="footnote-2"/>
      <w:bookmarkEnd w:id="1846"/>
      <w:r>
        <w:rPr>
          <w:rFonts w:ascii="Times New Roman;Times;serif" w:hAnsi="Times New Roman;Times;serif"/>
          <w:sz w:val="15"/>
        </w:rPr>
        <w:t>1</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s attributable to any Unencumbered Assets to the extent it exceeds the 25% concentration limit.</w:t>
      </w:r>
    </w:p>
    <w:p>
      <w:pPr>
        <w:pStyle w:val="TextBody"/>
        <w:bidi w:val="0"/>
        <w:spacing w:before="0" w:after="0"/>
        <w:ind w:left="0" w:right="0" w:hanging="0"/>
        <w:jc w:val="left"/>
        <w:rPr>
          <w:rFonts w:ascii="Times New Roman;Times;serif" w:hAnsi="Times New Roman;Times;serif"/>
          <w:sz w:val="20"/>
        </w:rPr>
      </w:pPr>
      <w:bookmarkStart w:id="1847" w:name="footnote-3"/>
      <w:bookmarkEnd w:id="1847"/>
      <w:r>
        <w:rPr>
          <w:rFonts w:ascii="Times New Roman;Times;serif" w:hAnsi="Times New Roman;Times;serif"/>
          <w:sz w:val="15"/>
        </w:rPr>
        <w:t>2</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is attributable to any Unencumbered Assets to the extent it exceeds the 20% concentration limit.</w:t>
      </w:r>
    </w:p>
    <w:p>
      <w:pPr>
        <w:pStyle w:val="TextBody"/>
        <w:bidi w:val="0"/>
        <w:spacing w:before="0" w:after="0"/>
        <w:ind w:left="0" w:right="0" w:hanging="0"/>
        <w:jc w:val="left"/>
        <w:rPr>
          <w:rFonts w:ascii="Times New Roman;Times;serif" w:hAnsi="Times New Roman;Times;serif"/>
          <w:sz w:val="20"/>
        </w:rPr>
      </w:pPr>
      <w:bookmarkStart w:id="1848" w:name="footnote-4"/>
      <w:bookmarkEnd w:id="1848"/>
      <w:r>
        <w:rPr>
          <w:rFonts w:ascii="Times New Roman;Times;serif" w:hAnsi="Times New Roman;Times;serif"/>
          <w:sz w:val="15"/>
        </w:rPr>
        <w:t>3</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Assets leased by the Borrower or a Subsidiary pursuant to an Acceptable Leasehold Interest to the extent it exceeds the 15% concentration limit.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82"/>
        <w:gridCol w:w="723"/>
      </w:tblGrid>
      <w:tr>
        <w:trPr/>
        <w:tc>
          <w:tcPr>
            <w:tcW w:w="9482"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N.</w:t>
            </w:r>
          </w:p>
          <w:p>
            <w:pPr>
              <w:pStyle w:val="TableContents"/>
              <w:bidi w:val="0"/>
              <w:spacing w:before="280" w:after="0"/>
              <w:ind w:left="0" w:right="0" w:hanging="0"/>
              <w:jc w:val="left"/>
              <w:rPr/>
            </w:pPr>
            <w:r>
              <w:rPr>
                <w:rFonts w:ascii="Times New Roman;Times;serif" w:hAnsi="Times New Roman;Times;serif"/>
                <w:sz w:val="24"/>
                <w:u w:val="single"/>
              </w:rPr>
              <w:t>MSA</w:t>
            </w:r>
            <w:hyperlink w:anchor="footnote-5">
              <w:r>
                <w:rPr>
                  <w:rStyle w:val="InternetLink"/>
                  <w:rFonts w:ascii="Times" w:hAnsi="Times"/>
                  <w:sz w:val="20"/>
                  <w:u w:val="single"/>
                </w:rPr>
                <w:t>4</w:t>
              </w:r>
            </w:hyperlink>
          </w:p>
        </w:tc>
        <w:tc>
          <w:tcPr>
            <w:tcW w:w="723" w:type="dxa"/>
            <w:tcBorders/>
            <w:vAlign w:val="center"/>
          </w:tcPr>
          <w:p>
            <w:pPr>
              <w:pStyle w:val="TableContents"/>
              <w:pBdr/>
              <w:bidi w:val="0"/>
              <w:spacing w:before="280" w:after="0"/>
              <w:ind w:left="0" w:right="0" w:hanging="0"/>
              <w:jc w:val="left"/>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in [________] MSA</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N1 shall not be greater than 25%</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482" w:type="dxa"/>
            <w:tcBorders/>
            <w:shd w:fill="E6E6FA" w:val="clear"/>
            <w:vAlign w:val="center"/>
          </w:tcPr>
          <w:p>
            <w:pPr>
              <w:pStyle w:val="TableContents"/>
              <w:bidi w:val="0"/>
              <w:spacing w:before="140" w:after="0"/>
              <w:ind w:left="0" w:right="0" w:hanging="0"/>
              <w:jc w:val="left"/>
              <w:rPr/>
            </w:pPr>
            <w:bookmarkStart w:id="1849" w:name="_cp_change_244"/>
            <w:bookmarkEnd w:id="1849"/>
            <w:r>
              <w:rPr>
                <w:rFonts w:ascii="Times New Roman;Times;serif" w:hAnsi="Times New Roman;Times;serif"/>
                <w:b w:val="false"/>
                <w:i w:val="false"/>
                <w:caps w:val="false"/>
                <w:smallCaps w:val="false"/>
                <w:color w:val="0000FF"/>
                <w:sz w:val="24"/>
                <w:u w:val="single"/>
              </w:rPr>
              <w:t>O.</w:t>
            </w:r>
            <w:r>
              <w:rPr>
                <w:rFonts w:ascii="Times New Roman;Times;serif" w:hAnsi="Times New Roman;Times;serif"/>
                <w:color w:val="0000FF"/>
                <w:sz w:val="24"/>
                <w:u w:val="single"/>
              </w:rPr>
              <w:t>Mortgage Receivables Value</w:t>
            </w:r>
            <w:hyperlink w:anchor="footnote-6">
              <w:r>
                <w:rPr>
                  <w:rStyle w:val="InternetLink"/>
                  <w:rFonts w:ascii="Times" w:hAnsi="Times"/>
                  <w:color w:val="0000FF"/>
                  <w:sz w:val="20"/>
                  <w:u w:val="single"/>
                </w:rPr>
                <w:t>5</w:t>
              </w:r>
            </w:hyperlink>
            <w:r>
              <w:rPr>
                <w:rFonts w:ascii="Times New Roman;Times;serif" w:hAnsi="Times New Roman;Times;serif"/>
                <w:color w:val="0000FF"/>
                <w:sz w:val="24"/>
                <w:u w:val="single"/>
              </w:rPr>
              <w:t xml:space="preserve"> </w:t>
            </w:r>
          </w:p>
        </w:tc>
        <w:tc>
          <w:tcPr>
            <w:tcW w:w="723" w:type="dxa"/>
            <w:tcBorders/>
            <w:shd w:fill="E6E6FA" w:val="clear"/>
            <w:vAlign w:val="center"/>
          </w:tcPr>
          <w:p>
            <w:pPr>
              <w:pStyle w:val="TableContents"/>
              <w:bidi w:val="0"/>
              <w:spacing w:before="140" w:after="240"/>
              <w:ind w:left="0" w:right="0" w:hanging="0"/>
              <w:jc w:val="center"/>
              <w:rPr>
                <w:color w:val="0000FF"/>
              </w:rPr>
            </w:pPr>
            <w:r>
              <w:rPr>
                <w:color w:val="0000FF"/>
              </w:rPr>
              <w:t>​</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1850" w:name="_cp_change_249"/>
            <w:bookmarkEnd w:id="1850"/>
            <w:r>
              <w:rPr>
                <w:rFonts w:ascii="Times New Roman;Times;serif" w:hAnsi="Times New Roman;Times;serif"/>
                <w:color w:val="0000FF"/>
                <w:sz w:val="24"/>
                <w:u w:val="single"/>
              </w:rPr>
              <w:t>1.</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Percent of Unencumbered Asset Value attributable to Unencumbered Mortgage Receivables</w:t>
            </w:r>
          </w:p>
        </w:tc>
        <w:tc>
          <w:tcPr>
            <w:tcW w:w="723" w:type="dxa"/>
            <w:tcBorders/>
            <w:shd w:fill="E6E6FA" w:val="clear"/>
            <w:vAlign w:val="center"/>
          </w:tcPr>
          <w:p>
            <w:pPr>
              <w:pStyle w:val="TableContents"/>
              <w:bidi w:val="0"/>
              <w:spacing w:before="140" w:after="240"/>
              <w:ind w:left="0" w:right="0" w:hanging="0"/>
              <w:jc w:val="center"/>
              <w:rPr>
                <w:rFonts w:ascii="Times" w:hAnsi="Times"/>
                <w:color w:val="0000FF"/>
                <w:sz w:val="24"/>
                <w:u w:val="single"/>
              </w:rPr>
            </w:pPr>
            <w:r>
              <w:rPr>
                <w:rFonts w:ascii="Times" w:hAnsi="Times"/>
                <w:color w:val="0000FF"/>
                <w:sz w:val="24"/>
                <w:u w:val="single"/>
              </w:rPr>
              <w:t>__%</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1851" w:name="_cp_change_253"/>
            <w:bookmarkEnd w:id="1851"/>
            <w:r>
              <w:rPr>
                <w:rFonts w:ascii="Times New Roman;Times;serif" w:hAnsi="Times New Roman;Times;serif"/>
                <w:color w:val="0000FF"/>
                <w:sz w:val="24"/>
                <w:u w:val="single"/>
              </w:rPr>
              <w:t>2.</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Line O1 shall not be greater than 10%</w:t>
            </w:r>
          </w:p>
        </w:tc>
        <w:tc>
          <w:tcPr>
            <w:tcW w:w="723" w:type="dxa"/>
            <w:tcBorders/>
            <w:shd w:fill="E6E6FA" w:val="clear"/>
            <w:vAlign w:val="center"/>
          </w:tcPr>
          <w:p>
            <w:pPr>
              <w:pStyle w:val="TableContents"/>
              <w:bidi w:val="0"/>
              <w:spacing w:before="140" w:after="240"/>
              <w:ind w:left="0" w:right="0" w:hanging="0"/>
              <w:jc w:val="center"/>
              <w:rPr>
                <w:color w:val="0000FF"/>
              </w:rPr>
            </w:pPr>
            <w:r>
              <w:rPr>
                <w:color w:val="0000FF"/>
              </w:rPr>
              <w:t>​</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1852" w:name="_cp_change_258"/>
            <w:bookmarkEnd w:id="1852"/>
            <w:r>
              <w:rPr>
                <w:rFonts w:ascii="Times New Roman;Times;serif" w:hAnsi="Times New Roman;Times;serif"/>
                <w:color w:val="0000FF"/>
                <w:sz w:val="24"/>
                <w:u w:val="single"/>
              </w:rPr>
              <w:t>3.</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The Borrower is in compliance (circle yes or no)</w:t>
            </w:r>
          </w:p>
        </w:tc>
        <w:tc>
          <w:tcPr>
            <w:tcW w:w="723" w:type="dxa"/>
            <w:tcBorders/>
            <w:shd w:fill="E6E6FA" w:val="clear"/>
            <w:vAlign w:val="center"/>
          </w:tcPr>
          <w:p>
            <w:pPr>
              <w:pStyle w:val="TableContents"/>
              <w:bidi w:val="0"/>
              <w:spacing w:before="140" w:after="240"/>
              <w:ind w:left="0" w:right="0" w:hanging="0"/>
              <w:jc w:val="center"/>
              <w:rPr>
                <w:rFonts w:ascii="Times" w:hAnsi="Times"/>
                <w:color w:val="0000FF"/>
                <w:sz w:val="24"/>
                <w:u w:val="single"/>
              </w:rPr>
            </w:pPr>
            <w:r>
              <w:rPr>
                <w:rFonts w:ascii="Times" w:hAnsi="Times"/>
                <w:color w:val="0000FF"/>
                <w:sz w:val="24"/>
                <w:u w:val="single"/>
              </w:rPr>
              <w:t>yes/no</w:t>
            </w:r>
          </w:p>
        </w:tc>
      </w:tr>
      <w:tr>
        <w:trPr/>
        <w:tc>
          <w:tcPr>
            <w:tcW w:w="9482" w:type="dxa"/>
            <w:tcBorders/>
            <w:shd w:fill="E6E6FA" w:val="clear"/>
            <w:vAlign w:val="center"/>
          </w:tcPr>
          <w:p>
            <w:pPr>
              <w:pStyle w:val="TableContents"/>
              <w:bidi w:val="0"/>
              <w:spacing w:before="140" w:after="0"/>
              <w:ind w:left="0" w:right="0" w:hanging="0"/>
              <w:jc w:val="left"/>
              <w:rPr/>
            </w:pPr>
            <w:bookmarkStart w:id="1853" w:name="_cp_change_265"/>
            <w:bookmarkEnd w:id="1853"/>
            <w:r>
              <w:rPr>
                <w:rFonts w:ascii="Times New Roman;Times;serif" w:hAnsi="Times New Roman;Times;serif"/>
                <w:b w:val="false"/>
                <w:i w:val="false"/>
                <w:caps w:val="false"/>
                <w:smallCaps w:val="false"/>
                <w:color w:val="0000FF"/>
                <w:sz w:val="24"/>
                <w:u w:val="single"/>
              </w:rPr>
              <w:t>P.</w:t>
            </w:r>
            <w:r>
              <w:rPr>
                <w:rFonts w:ascii="Times New Roman;Times;serif" w:hAnsi="Times New Roman;Times;serif"/>
                <w:color w:val="0000FF"/>
                <w:sz w:val="24"/>
                <w:u w:val="single"/>
              </w:rPr>
              <w:t>Mortgage Receivables Income</w:t>
            </w:r>
            <w:hyperlink w:anchor="footnote-7">
              <w:r>
                <w:rPr>
                  <w:rStyle w:val="InternetLink"/>
                  <w:rFonts w:ascii="Times" w:hAnsi="Times"/>
                  <w:color w:val="0000FF"/>
                  <w:sz w:val="20"/>
                  <w:u w:val="single"/>
                </w:rPr>
                <w:t>6</w:t>
              </w:r>
            </w:hyperlink>
            <w:r>
              <w:rPr>
                <w:rFonts w:ascii="Times New Roman;Times;serif" w:hAnsi="Times New Roman;Times;serif"/>
                <w:color w:val="0000FF"/>
                <w:sz w:val="24"/>
                <w:u w:val="single"/>
              </w:rPr>
              <w:t xml:space="preserve"> </w:t>
            </w:r>
          </w:p>
        </w:tc>
        <w:tc>
          <w:tcPr>
            <w:tcW w:w="723" w:type="dxa"/>
            <w:tcBorders/>
            <w:shd w:fill="E6E6FA" w:val="clear"/>
            <w:vAlign w:val="center"/>
          </w:tcPr>
          <w:p>
            <w:pPr>
              <w:pStyle w:val="TableContents"/>
              <w:bidi w:val="0"/>
              <w:spacing w:before="140" w:after="240"/>
              <w:ind w:left="0" w:right="0" w:hanging="0"/>
              <w:jc w:val="center"/>
              <w:rPr>
                <w:color w:val="0000FF"/>
              </w:rPr>
            </w:pPr>
            <w:r>
              <w:rPr>
                <w:color w:val="0000FF"/>
              </w:rPr>
              <w:t>​</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1854" w:name="_cp_change_270"/>
            <w:bookmarkEnd w:id="1854"/>
            <w:r>
              <w:rPr>
                <w:rFonts w:ascii="Times New Roman;Times;serif" w:hAnsi="Times New Roman;Times;serif"/>
                <w:color w:val="0000FF"/>
                <w:sz w:val="24"/>
                <w:u w:val="single"/>
              </w:rPr>
              <w:t>1.</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Percent of Unencumbered Pool Total Income (Line F1 plus F2) attributable to Unencumbered Mortgage Receivables</w:t>
            </w:r>
          </w:p>
        </w:tc>
        <w:tc>
          <w:tcPr>
            <w:tcW w:w="723" w:type="dxa"/>
            <w:tcBorders/>
            <w:shd w:fill="E6E6FA" w:val="clear"/>
            <w:vAlign w:val="center"/>
          </w:tcPr>
          <w:p>
            <w:pPr>
              <w:pStyle w:val="TableContents"/>
              <w:bidi w:val="0"/>
              <w:spacing w:before="140" w:after="240"/>
              <w:ind w:left="0" w:right="0" w:hanging="0"/>
              <w:jc w:val="center"/>
              <w:rPr>
                <w:rFonts w:ascii="Times" w:hAnsi="Times"/>
                <w:color w:val="0000FF"/>
                <w:sz w:val="24"/>
                <w:u w:val="single"/>
              </w:rPr>
            </w:pPr>
            <w:r>
              <w:rPr>
                <w:rFonts w:ascii="Times" w:hAnsi="Times"/>
                <w:color w:val="0000FF"/>
                <w:sz w:val="24"/>
                <w:u w:val="single"/>
              </w:rPr>
              <w:t>__%</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1855" w:name="_cp_change_274"/>
            <w:bookmarkEnd w:id="1855"/>
            <w:r>
              <w:rPr>
                <w:rFonts w:ascii="Times New Roman;Times;serif" w:hAnsi="Times New Roman;Times;serif"/>
                <w:color w:val="0000FF"/>
                <w:sz w:val="24"/>
                <w:u w:val="single"/>
              </w:rPr>
              <w:t>2.</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Line P1 shall not be greater than 10%</w:t>
            </w:r>
          </w:p>
        </w:tc>
        <w:tc>
          <w:tcPr>
            <w:tcW w:w="723" w:type="dxa"/>
            <w:tcBorders/>
            <w:shd w:fill="E6E6FA" w:val="clear"/>
            <w:vAlign w:val="center"/>
          </w:tcPr>
          <w:p>
            <w:pPr>
              <w:pStyle w:val="TableContents"/>
              <w:bidi w:val="0"/>
              <w:spacing w:before="140" w:after="240"/>
              <w:ind w:left="0" w:right="0" w:hanging="0"/>
              <w:jc w:val="center"/>
              <w:rPr>
                <w:color w:val="0000FF"/>
              </w:rPr>
            </w:pPr>
            <w:r>
              <w:rPr>
                <w:color w:val="0000FF"/>
              </w:rPr>
              <w:t>​</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1856" w:name="_cp_change_279"/>
            <w:bookmarkEnd w:id="1856"/>
            <w:r>
              <w:rPr>
                <w:rFonts w:ascii="Times New Roman;Times;serif" w:hAnsi="Times New Roman;Times;serif"/>
                <w:color w:val="0000FF"/>
                <w:sz w:val="24"/>
                <w:u w:val="single"/>
              </w:rPr>
              <w:t>3.</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The Borrower is in compliance (circle yes or no)</w:t>
            </w:r>
          </w:p>
        </w:tc>
        <w:tc>
          <w:tcPr>
            <w:tcW w:w="723" w:type="dxa"/>
            <w:tcBorders/>
            <w:shd w:fill="E6E6FA" w:val="clear"/>
            <w:vAlign w:val="center"/>
          </w:tcPr>
          <w:p>
            <w:pPr>
              <w:pStyle w:val="TableContents"/>
              <w:bidi w:val="0"/>
              <w:spacing w:before="140" w:after="240"/>
              <w:ind w:left="0" w:right="0" w:hanging="0"/>
              <w:jc w:val="center"/>
              <w:rPr>
                <w:rFonts w:ascii="Times" w:hAnsi="Times"/>
                <w:color w:val="0000FF"/>
                <w:sz w:val="24"/>
                <w:u w:val="single"/>
              </w:rPr>
            </w:pPr>
            <w:r>
              <w:rPr>
                <w:rFonts w:ascii="Times" w:hAnsi="Times"/>
                <w:color w:val="0000FF"/>
                <w:sz w:val="24"/>
                <w:u w:val="single"/>
              </w:rPr>
              <w:t>yes/no</w:t>
            </w:r>
          </w:p>
        </w:tc>
      </w:tr>
      <w:tr>
        <w:trPr/>
        <w:tc>
          <w:tcPr>
            <w:tcW w:w="9482" w:type="dxa"/>
            <w:tcBorders/>
            <w:vAlign w:val="center"/>
          </w:tcPr>
          <w:p>
            <w:pPr>
              <w:pStyle w:val="TableContents"/>
              <w:bidi w:val="0"/>
              <w:spacing w:before="140" w:after="0"/>
              <w:ind w:left="0" w:right="0" w:hanging="0"/>
              <w:jc w:val="left"/>
              <w:rPr>
                <w:rFonts w:ascii="Times New Roman;Times;serif" w:hAnsi="Times New Roman;Times;serif"/>
                <w:sz w:val="24"/>
              </w:rPr>
            </w:pPr>
            <w:bookmarkStart w:id="1857" w:name="_cp_change_280"/>
            <w:bookmarkEnd w:id="1857"/>
            <w:r>
              <w:rPr>
                <w:rFonts w:ascii="Times New Roman;Times;serif" w:hAnsi="Times New Roman;Times;serif"/>
                <w:b w:val="false"/>
                <w:i w:val="false"/>
                <w:caps w:val="false"/>
                <w:smallCaps w:val="false"/>
                <w:color w:val="FF0000"/>
                <w:sz w:val="24"/>
              </w:rPr>
              <w:t>O</w:t>
            </w:r>
            <w:bookmarkStart w:id="1858" w:name="_cp_change_281"/>
            <w:bookmarkEnd w:id="1858"/>
            <w:r>
              <w:rPr>
                <w:rFonts w:ascii="Times New Roman;Times;serif" w:hAnsi="Times New Roman;Times;serif"/>
                <w:b w:val="false"/>
                <w:i w:val="false"/>
                <w:caps w:val="false"/>
                <w:smallCaps w:val="false"/>
                <w:color w:val="0000FF"/>
                <w:sz w:val="24"/>
                <w:u w:val="single"/>
              </w:rPr>
              <w:t>Q</w:t>
            </w:r>
            <w:r>
              <w:rPr>
                <w:rFonts w:ascii="Times New Roman;Times;serif" w:hAnsi="Times New Roman;Times;serif"/>
                <w:b w:val="false"/>
                <w:i w:val="false"/>
                <w:caps w:val="false"/>
                <w:smallCaps w:val="false"/>
                <w:sz w:val="24"/>
              </w:rPr>
              <w:t>.</w:t>
            </w:r>
            <w:r>
              <w:rPr>
                <w:rFonts w:ascii="Times New Roman;Times;serif" w:hAnsi="Times New Roman;Times;serif"/>
                <w:sz w:val="24"/>
                <w:u w:val="single"/>
              </w:rPr>
              <w:t>Occupancy Rate</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Occupancy Rate of Unencumbered Assets</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Line </w:t>
            </w:r>
            <w:bookmarkStart w:id="1859" w:name="_cp_change_282"/>
            <w:bookmarkEnd w:id="1859"/>
            <w:r>
              <w:rPr>
                <w:rFonts w:ascii="Times New Roman;Times;serif" w:hAnsi="Times New Roman;Times;serif"/>
                <w:color w:val="FF0000"/>
                <w:sz w:val="24"/>
              </w:rPr>
              <w:t>O1</w:t>
            </w:r>
            <w:bookmarkStart w:id="1860" w:name="_cp_change_283"/>
            <w:bookmarkEnd w:id="1860"/>
            <w:r>
              <w:rPr>
                <w:rFonts w:ascii="Times New Roman;Times;serif" w:hAnsi="Times New Roman;Times;serif"/>
                <w:color w:val="0000FF"/>
                <w:sz w:val="24"/>
                <w:u w:val="single"/>
              </w:rPr>
              <w:t>Q1</w:t>
            </w:r>
            <w:r>
              <w:rPr>
                <w:rFonts w:ascii="Times New Roman;Times;serif" w:hAnsi="Times New Roman;Times;serif"/>
                <w:sz w:val="24"/>
              </w:rPr>
              <w:t xml:space="preserve"> shall not be less than 85%</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61" w:name="footnote-5"/>
      <w:bookmarkEnd w:id="1861"/>
      <w:r>
        <w:rPr>
          <w:rFonts w:ascii="Times New Roman;Times;serif" w:hAnsi="Times New Roman;Times;serif"/>
          <w:sz w:val="15"/>
        </w:rPr>
        <w:t>4</w:t>
      </w:r>
      <w:r>
        <w:rPr>
          <w:rFonts w:ascii="Times New Roman;Times;serif" w:hAnsi="Times New Roman;Times;serif"/>
          <w:sz w:val="20"/>
        </w:rPr>
        <w:t xml:space="preserve"> To be duplicated for each MSA with Unencumbered Assets.</w:t>
      </w:r>
    </w:p>
    <w:p>
      <w:pPr>
        <w:pStyle w:val="TextBody"/>
        <w:bidi w:val="0"/>
        <w:spacing w:before="0" w:after="0"/>
        <w:ind w:left="0" w:right="0" w:hanging="0"/>
        <w:jc w:val="left"/>
        <w:rPr>
          <w:rFonts w:ascii="Times New Roman;Times;serif" w:hAnsi="Times New Roman;Times;serif"/>
          <w:sz w:val="20"/>
        </w:rPr>
      </w:pPr>
      <w:bookmarkStart w:id="1862" w:name="_cp_change_240"/>
      <w:bookmarkStart w:id="1863" w:name="footnote-6"/>
      <w:bookmarkEnd w:id="1862"/>
      <w:bookmarkEnd w:id="1863"/>
      <w:r>
        <w:rPr>
          <w:rFonts w:ascii="Times New Roman;Times;serif" w:hAnsi="Times New Roman;Times;serif"/>
          <w:color w:val="0000FF"/>
          <w:sz w:val="15"/>
        </w:rPr>
        <w:t>5</w:t>
      </w:r>
      <w:r>
        <w:rPr>
          <w:rFonts w:ascii="Times New Roman;Times;serif" w:hAnsi="Times New Roman;Times;serif"/>
          <w:color w:val="0000FF"/>
          <w:sz w:val="20"/>
          <w:u w:val="single"/>
        </w:rPr>
        <w:t xml:space="preserve"> If applicable, the calculation of Unencumbered Asset Value includes an adjustment to exclude that portion of the book value of any Unencumbered Mortgage Receivables to the extent it exceeds the 10% concentration limit.</w:t>
      </w:r>
      <w:bookmarkStart w:id="1864" w:name="_cp_change_241"/>
      <w:bookmarkEnd w:id="1864"/>
    </w:p>
    <w:p>
      <w:pPr>
        <w:pStyle w:val="TextBody"/>
        <w:bidi w:val="0"/>
        <w:spacing w:before="0" w:after="0"/>
        <w:ind w:left="0" w:right="0" w:hanging="0"/>
        <w:jc w:val="left"/>
        <w:rPr>
          <w:rFonts w:ascii="Times New Roman;Times;serif" w:hAnsi="Times New Roman;Times;serif"/>
          <w:sz w:val="20"/>
        </w:rPr>
      </w:pPr>
      <w:bookmarkStart w:id="1865" w:name="footnote-7"/>
      <w:bookmarkStart w:id="1866" w:name="_cp_change_261"/>
      <w:bookmarkEnd w:id="1865"/>
      <w:bookmarkEnd w:id="1866"/>
      <w:r>
        <w:rPr>
          <w:rFonts w:ascii="Times New Roman;Times;serif" w:hAnsi="Times New Roman;Times;serif"/>
          <w:color w:val="0000FF"/>
          <w:sz w:val="15"/>
        </w:rPr>
        <w:t>6</w:t>
      </w:r>
      <w:r>
        <w:rPr>
          <w:rFonts w:ascii="Times New Roman;Times;serif" w:hAnsi="Times New Roman;Times;serif"/>
          <w:color w:val="0000FF"/>
          <w:sz w:val="20"/>
          <w:u w:val="single"/>
        </w:rPr>
        <w:t xml:space="preserve"> If applicable, the calculation of Unencumbered Pool Total Income includes an adjustment to exclude that portion of the cash interest income form any Unencumbered Mortgage Receivables to the extent it exceeds the 10% concentration limit.</w:t>
      </w:r>
      <w:bookmarkStart w:id="1867" w:name="_cp_change_262"/>
      <w:bookmarkEnd w:id="1867"/>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A, with a calculation date of __________,______, is attached to Schedule I to the Compliance Certificate of Alpine Income Property OP, LP dated ___________, 20__, as amended, and delivered to KeyBank National Association, as Administrative Agent, and the Lenders party to the Amended and Restated Credit Agreement, as amended, referred to therein.  The undersigned hereby certifies that the following is a true, correct and complete calculation of Total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tbl>
      <w:tblPr>
        <w:tblW w:w="5338" w:type="dxa"/>
        <w:jc w:val="left"/>
        <w:tblInd w:w="0" w:type="dxa"/>
        <w:tblLayout w:type="fixed"/>
        <w:tblCellMar>
          <w:top w:w="0" w:type="dxa"/>
          <w:left w:w="0" w:type="dxa"/>
          <w:bottom w:w="0" w:type="dxa"/>
          <w:right w:w="0" w:type="dxa"/>
        </w:tblCellMar>
      </w:tblPr>
      <w:tblGrid>
        <w:gridCol w:w="124"/>
        <w:gridCol w:w="1259"/>
        <w:gridCol w:w="265"/>
        <w:gridCol w:w="478"/>
        <w:gridCol w:w="321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78740" cy="175260"/>
                      <wp:effectExtent l="0" t="0" r="0" b="0"/>
                      <wp:wrapNone/>
                      <wp:docPr id="453" name="Frame45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271270" cy="29210"/>
                      <wp:effectExtent l="0" t="0" r="0" b="0"/>
                      <wp:wrapNone/>
                      <wp:docPr id="454" name="Frame454"/>
                      <a:graphic xmlns:a="http://schemas.openxmlformats.org/drawingml/2006/main">
                        <a:graphicData uri="http://schemas.microsoft.com/office/word/2010/wordprocessingShape">
                          <wps:wsp>
                            <wps:cNvSpPr txBox="1"/>
                            <wps:spPr>
                              <a:xfrm>
                                <a:off x="0" y="0"/>
                                <a:ext cx="12712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39620" cy="175260"/>
                      <wp:effectExtent l="0" t="0" r="0" b="0"/>
                      <wp:wrapNone/>
                      <wp:docPr id="455" name="Frame455"/>
                      <a:graphic xmlns:a="http://schemas.openxmlformats.org/drawingml/2006/main">
                        <a:graphicData uri="http://schemas.microsoft.com/office/word/2010/wordprocessingShape">
                          <wps:wsp>
                            <wps:cNvSpPr txBox="1"/>
                            <wps:spPr>
                              <a:xfrm>
                                <a:off x="0" y="0"/>
                                <a:ext cx="2039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214" w:type="dxa"/>
            <w:gridSpan w:val="4"/>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521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2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Alpine Income Property GP, LLC, a </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283"/>
              <w:ind w:left="0" w:right="0" w:hanging="0"/>
              <w:jc w:val="left"/>
              <w:rPr>
                <w:sz w:val="4"/>
                <w:szCs w:val="4"/>
              </w:rPr>
            </w:pPr>
            <w:r>
              <w:rPr>
                <w:sz w:val="4"/>
                <w:szCs w:val="4"/>
              </w:rPr>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 limited liability company, its</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pPr>
            <w:r>
              <w:rPr/>
              <w:t>​</w:t>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533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2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pPr>
            <w:r>
              <w:rPr/>
              <w:t>​</w:t>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Maryland corporation, its sole member</w:t>
            </w:r>
          </w:p>
        </w:tc>
      </w:tr>
    </w:tbl>
    <w:p>
      <w:pPr>
        <w:pStyle w:val="TextBody"/>
        <w:pBdr/>
        <w:bidi w:val="0"/>
        <w:spacing w:before="0" w:after="0"/>
        <w:ind w:left="4680" w:right="0" w:hanging="288"/>
        <w:jc w:val="left"/>
        <w:rPr>
          <w:smallCaps/>
        </w:rPr>
      </w:pPr>
      <w:r>
        <w:rPr>
          <w:smallCaps/>
        </w:rPr>
        <w:t>​</w:t>
      </w:r>
    </w:p>
    <w:tbl>
      <w:tblPr>
        <w:tblW w:w="1465" w:type="dxa"/>
        <w:jc w:val="center"/>
        <w:tblInd w:w="0" w:type="dxa"/>
        <w:tblLayout w:type="fixed"/>
        <w:tblCellMar>
          <w:top w:w="0" w:type="dxa"/>
          <w:left w:w="0" w:type="dxa"/>
          <w:bottom w:w="0" w:type="dxa"/>
          <w:right w:w="0" w:type="dxa"/>
        </w:tblCellMar>
      </w:tblPr>
      <w:tblGrid>
        <w:gridCol w:w="124"/>
        <w:gridCol w:w="451"/>
        <w:gridCol w:w="73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78740" cy="175260"/>
                      <wp:effectExtent l="0" t="0" r="0" b="0"/>
                      <wp:wrapNone/>
                      <wp:docPr id="456" name="Frame45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78740" cy="175260"/>
                      <wp:effectExtent l="0" t="0" r="0" b="0"/>
                      <wp:wrapNone/>
                      <wp:docPr id="457" name="Frame45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86385" cy="29210"/>
                      <wp:effectExtent l="0" t="0" r="0" b="0"/>
                      <wp:wrapNone/>
                      <wp:docPr id="458" name="Frame458"/>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65150" cy="175260"/>
                      <wp:effectExtent l="0" t="0" r="0" b="0"/>
                      <wp:wrapNone/>
                      <wp:docPr id="459" name="Frame459"/>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0"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88"/>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B, with a calculation date of __________,______, is attached to Schedule I to the Compliance Certificate of Alpine Income Property OP, LP dated _________, 2021, as amended, and delivered to KeyBank National Association, as Administrative Agent, and the Lenders party to the Amended and Restated Credit Agreement, as amended, referred to therein.  The undersigned hereby certifies that the following is a true, correct and complete calculation of Property NOI for all Properties for Rolling Period most recently ended:</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28" w:type="dxa"/>
          <w:left w:w="103" w:type="dxa"/>
          <w:bottom w:w="28" w:type="dxa"/>
          <w:right w:w="103" w:type="dxa"/>
        </w:tblCellMar>
      </w:tblPr>
      <w:tblGrid>
        <w:gridCol w:w="796"/>
        <w:gridCol w:w="879"/>
        <w:gridCol w:w="556"/>
        <w:gridCol w:w="1747"/>
        <w:gridCol w:w="556"/>
        <w:gridCol w:w="1321"/>
        <w:gridCol w:w="556"/>
        <w:gridCol w:w="2305"/>
        <w:gridCol w:w="601"/>
        <w:gridCol w:w="888"/>
      </w:tblGrid>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Income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Expenses (without Cap. Ex. Reserve or Management Fees)</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Capital Expenditure Reserve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Greater of 1% (for retail net lease properties) or 3% of rents for other properties or actual management fees</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NOI</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Properties:$_____________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smallCaps/>
          <w:sz w:val="24"/>
        </w:rPr>
        <w:t xml:space="preserve">Total Property NOI for all Unencumbered </w:t>
      </w:r>
      <w:bookmarkStart w:id="1868" w:name="_cp_change_284"/>
      <w:bookmarkEnd w:id="1868"/>
      <w:r>
        <w:rPr>
          <w:rFonts w:ascii="Times New Roman;Times;serif" w:hAnsi="Times New Roman;Times;serif"/>
          <w:b/>
          <w:smallCaps/>
          <w:color w:val="0000FF"/>
          <w:sz w:val="24"/>
        </w:rPr>
        <w:t xml:space="preserve">Real Property </w:t>
      </w:r>
      <w:r>
        <w:rPr>
          <w:rFonts w:ascii="Times New Roman;Times;serif" w:hAnsi="Times New Roman;Times;serif"/>
          <w:b/>
          <w:smallCaps/>
          <w:sz w:val="24"/>
        </w:rPr>
        <w:t>Assets:$_____________</w:t>
      </w:r>
    </w:p>
    <w:p>
      <w:pPr>
        <w:pStyle w:val="TextBody"/>
        <w:bidi w:val="0"/>
        <w:spacing w:before="0" w:after="0"/>
        <w:ind w:left="0" w:right="0" w:hanging="0"/>
        <w:jc w:val="left"/>
        <w:rPr>
          <w:smallCaps/>
        </w:rPr>
      </w:pPr>
      <w:r>
        <w:rPr>
          <w:smallCaps/>
        </w:rPr>
        <w:t>​</w:t>
      </w:r>
    </w:p>
    <w:tbl>
      <w:tblPr>
        <w:tblW w:w="5338" w:type="dxa"/>
        <w:jc w:val="left"/>
        <w:tblInd w:w="0" w:type="dxa"/>
        <w:tblLayout w:type="fixed"/>
        <w:tblCellMar>
          <w:top w:w="0" w:type="dxa"/>
          <w:left w:w="0" w:type="dxa"/>
          <w:bottom w:w="0" w:type="dxa"/>
          <w:right w:w="0" w:type="dxa"/>
        </w:tblCellMar>
      </w:tblPr>
      <w:tblGrid>
        <w:gridCol w:w="124"/>
        <w:gridCol w:w="1259"/>
        <w:gridCol w:w="265"/>
        <w:gridCol w:w="478"/>
        <w:gridCol w:w="321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78740" cy="175260"/>
                      <wp:effectExtent l="0" t="0" r="0" b="0"/>
                      <wp:wrapNone/>
                      <wp:docPr id="460" name="Frame46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271270" cy="29210"/>
                      <wp:effectExtent l="0" t="0" r="0" b="0"/>
                      <wp:wrapNone/>
                      <wp:docPr id="461" name="Frame461"/>
                      <a:graphic xmlns:a="http://schemas.openxmlformats.org/drawingml/2006/main">
                        <a:graphicData uri="http://schemas.microsoft.com/office/word/2010/wordprocessingShape">
                          <wps:wsp>
                            <wps:cNvSpPr txBox="1"/>
                            <wps:spPr>
                              <a:xfrm>
                                <a:off x="0" y="0"/>
                                <a:ext cx="12712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39620" cy="175260"/>
                      <wp:effectExtent l="0" t="0" r="0" b="0"/>
                      <wp:wrapNone/>
                      <wp:docPr id="462" name="Frame462"/>
                      <a:graphic xmlns:a="http://schemas.openxmlformats.org/drawingml/2006/main">
                        <a:graphicData uri="http://schemas.microsoft.com/office/word/2010/wordprocessingShape">
                          <wps:wsp>
                            <wps:cNvSpPr txBox="1"/>
                            <wps:spPr>
                              <a:xfrm>
                                <a:off x="0" y="0"/>
                                <a:ext cx="2039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214" w:type="dxa"/>
            <w:gridSpan w:val="4"/>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521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2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Alpine Income Property GP, LLC, a </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283"/>
              <w:ind w:left="0" w:right="0" w:hanging="0"/>
              <w:jc w:val="left"/>
              <w:rPr>
                <w:sz w:val="4"/>
                <w:szCs w:val="4"/>
              </w:rPr>
            </w:pPr>
            <w:r>
              <w:rPr>
                <w:sz w:val="4"/>
                <w:szCs w:val="4"/>
              </w:rPr>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 limited liability company, its</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pPr>
            <w:r>
              <w:rPr/>
              <w:t>​</w:t>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533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2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pPr>
            <w:r>
              <w:rPr/>
              <w:t>​</w:t>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Maryland corporation, its sole member</w:t>
            </w:r>
          </w:p>
        </w:tc>
      </w:tr>
    </w:tbl>
    <w:p>
      <w:pPr>
        <w:pStyle w:val="TextBody"/>
        <w:bidi w:val="0"/>
        <w:spacing w:before="0" w:after="0"/>
        <w:ind w:left="0" w:right="0" w:hanging="0"/>
        <w:jc w:val="left"/>
        <w:rPr>
          <w:smallCaps/>
        </w:rPr>
      </w:pPr>
      <w:r>
        <w:rPr>
          <w:smallCaps/>
        </w:rPr>
        <w:t>​</w:t>
      </w:r>
    </w:p>
    <w:tbl>
      <w:tblPr>
        <w:tblW w:w="1465" w:type="dxa"/>
        <w:jc w:val="center"/>
        <w:tblInd w:w="0" w:type="dxa"/>
        <w:tblLayout w:type="fixed"/>
        <w:tblCellMar>
          <w:top w:w="0" w:type="dxa"/>
          <w:left w:w="0" w:type="dxa"/>
          <w:bottom w:w="0" w:type="dxa"/>
          <w:right w:w="0" w:type="dxa"/>
        </w:tblCellMar>
      </w:tblPr>
      <w:tblGrid>
        <w:gridCol w:w="124"/>
        <w:gridCol w:w="451"/>
        <w:gridCol w:w="73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8740" cy="175260"/>
                      <wp:effectExtent l="0" t="0" r="0" b="0"/>
                      <wp:wrapNone/>
                      <wp:docPr id="463" name="Frame46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78740" cy="175260"/>
                      <wp:effectExtent l="0" t="0" r="0" b="0"/>
                      <wp:wrapNone/>
                      <wp:docPr id="464" name="Frame46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86385" cy="29210"/>
                      <wp:effectExtent l="0" t="0" r="0" b="0"/>
                      <wp:wrapNone/>
                      <wp:docPr id="465" name="Frame465"/>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65150" cy="175260"/>
                      <wp:effectExtent l="0" t="0" r="0" b="0"/>
                      <wp:wrapNone/>
                      <wp:docPr id="466" name="Frame466"/>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0"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C, with a calculation date of __________,______, is attached to Schedule I to the Compliance Certificate of Alpine Income Property OP, LP dated ___________, 20__, as amended, and delivered to KeyBank National Association, as Administrative Agent, and the Lenders party to the Amended and Restated Credit Agreement, as amended, referred to therein.  The undersigned hereby certifies that the following is a true, correct and complete calculation of Unencumbered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left"/>
        <w:rPr>
          <w:smallCaps/>
        </w:rPr>
      </w:pPr>
      <w:r>
        <w:rPr>
          <w:smallCaps/>
        </w:rPr>
        <w:t>​</w:t>
      </w:r>
    </w:p>
    <w:tbl>
      <w:tblPr>
        <w:tblW w:w="5338" w:type="dxa"/>
        <w:jc w:val="left"/>
        <w:tblInd w:w="0" w:type="dxa"/>
        <w:tblLayout w:type="fixed"/>
        <w:tblCellMar>
          <w:top w:w="0" w:type="dxa"/>
          <w:left w:w="0" w:type="dxa"/>
          <w:bottom w:w="0" w:type="dxa"/>
          <w:right w:w="0" w:type="dxa"/>
        </w:tblCellMar>
      </w:tblPr>
      <w:tblGrid>
        <w:gridCol w:w="124"/>
        <w:gridCol w:w="1259"/>
        <w:gridCol w:w="265"/>
        <w:gridCol w:w="478"/>
        <w:gridCol w:w="321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78740" cy="175260"/>
                      <wp:effectExtent l="0" t="0" r="0" b="0"/>
                      <wp:wrapNone/>
                      <wp:docPr id="467" name="Frame46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271270" cy="29210"/>
                      <wp:effectExtent l="0" t="0" r="0" b="0"/>
                      <wp:wrapNone/>
                      <wp:docPr id="468" name="Frame468"/>
                      <a:graphic xmlns:a="http://schemas.openxmlformats.org/drawingml/2006/main">
                        <a:graphicData uri="http://schemas.microsoft.com/office/word/2010/wordprocessingShape">
                          <wps:wsp>
                            <wps:cNvSpPr txBox="1"/>
                            <wps:spPr>
                              <a:xfrm>
                                <a:off x="0" y="0"/>
                                <a:ext cx="12712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39620" cy="175260"/>
                      <wp:effectExtent l="0" t="0" r="0" b="0"/>
                      <wp:wrapNone/>
                      <wp:docPr id="469" name="Frame469"/>
                      <a:graphic xmlns:a="http://schemas.openxmlformats.org/drawingml/2006/main">
                        <a:graphicData uri="http://schemas.microsoft.com/office/word/2010/wordprocessingShape">
                          <wps:wsp>
                            <wps:cNvSpPr txBox="1"/>
                            <wps:spPr>
                              <a:xfrm>
                                <a:off x="0" y="0"/>
                                <a:ext cx="2039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214" w:type="dxa"/>
            <w:gridSpan w:val="4"/>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521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2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Alpine Income Property GP, LLC, a </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283"/>
              <w:ind w:left="0" w:right="0" w:hanging="0"/>
              <w:jc w:val="left"/>
              <w:rPr>
                <w:sz w:val="4"/>
                <w:szCs w:val="4"/>
              </w:rPr>
            </w:pPr>
            <w:r>
              <w:rPr>
                <w:sz w:val="4"/>
                <w:szCs w:val="4"/>
              </w:rPr>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 limited liability company, its</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pPr>
            <w:r>
              <w:rPr/>
              <w:t>​</w:t>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General Partner</w:t>
            </w:r>
          </w:p>
        </w:tc>
      </w:tr>
      <w:tr>
        <w:trPr/>
        <w:tc>
          <w:tcPr>
            <w:tcW w:w="533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2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w:t>
            </w:r>
          </w:p>
        </w:tc>
      </w:tr>
      <w:tr>
        <w:trPr/>
        <w:tc>
          <w:tcPr>
            <w:tcW w:w="124"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left"/>
              <w:rPr/>
            </w:pPr>
            <w:r>
              <w:rPr/>
              <w:t>​</w:t>
            </w:r>
          </w:p>
        </w:tc>
        <w:tc>
          <w:tcPr>
            <w:tcW w:w="39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Maryland corporation, its sole member</w:t>
            </w:r>
          </w:p>
        </w:tc>
      </w:tr>
    </w:tbl>
    <w:p>
      <w:pPr>
        <w:pStyle w:val="TextBody"/>
        <w:bidi w:val="0"/>
        <w:spacing w:before="0" w:after="0"/>
        <w:ind w:left="0" w:right="0" w:hanging="0"/>
        <w:jc w:val="left"/>
        <w:rPr>
          <w:smallCaps/>
        </w:rPr>
      </w:pPr>
      <w:r>
        <w:rPr>
          <w:smallCaps/>
        </w:rPr>
        <w:t>​</w:t>
      </w:r>
    </w:p>
    <w:tbl>
      <w:tblPr>
        <w:tblW w:w="1465" w:type="dxa"/>
        <w:jc w:val="center"/>
        <w:tblInd w:w="0" w:type="dxa"/>
        <w:tblLayout w:type="fixed"/>
        <w:tblCellMar>
          <w:top w:w="0" w:type="dxa"/>
          <w:left w:w="0" w:type="dxa"/>
          <w:bottom w:w="0" w:type="dxa"/>
          <w:right w:w="0" w:type="dxa"/>
        </w:tblCellMar>
      </w:tblPr>
      <w:tblGrid>
        <w:gridCol w:w="124"/>
        <w:gridCol w:w="451"/>
        <w:gridCol w:w="73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78740" cy="175260"/>
                      <wp:effectExtent l="0" t="0" r="0" b="0"/>
                      <wp:wrapNone/>
                      <wp:docPr id="470" name="Frame47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78740" cy="175260"/>
                      <wp:effectExtent l="0" t="0" r="0" b="0"/>
                      <wp:wrapNone/>
                      <wp:docPr id="471" name="Frame47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86385" cy="29210"/>
                      <wp:effectExtent l="0" t="0" r="0" b="0"/>
                      <wp:wrapNone/>
                      <wp:docPr id="472" name="Frame472"/>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65150" cy="175260"/>
                      <wp:effectExtent l="0" t="0" r="0" b="0"/>
                      <wp:wrapNone/>
                      <wp:docPr id="473" name="Frame473"/>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0"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88"/>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F</w:t>
        <w:br/>
        <w:br/>
        <w:t>Assignment and Acceptance</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Dated _____________, _______</w:t>
      </w:r>
    </w:p>
    <w:p>
      <w:pPr>
        <w:pStyle w:val="TextBody"/>
        <w:bidi w:val="0"/>
        <w:spacing w:before="200" w:after="240"/>
        <w:ind w:left="0" w:right="0" w:firstLine="720"/>
        <w:jc w:val="both"/>
        <w:rPr>
          <w:rFonts w:ascii="Times New Roman;Times;serif" w:hAnsi="Times New Roman;Times;serif"/>
          <w:sz w:val="24"/>
        </w:rPr>
      </w:pPr>
      <w:r>
        <w:rPr>
          <w:rFonts w:ascii="Times" w:hAnsi="Times"/>
          <w:sz w:val="24"/>
        </w:rPr>
        <w:t xml:space="preserve">Reference is made to the Amended and Restated Credit Agreement dated as of September 30, 2022,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xml:space="preserve">) among Alpine Income Property OP, LP, the Guarantors from time to time party thereto, the Lenders and KeyBank National Association, as Administrative Agent (the </w:t>
      </w:r>
      <w:r>
        <w:rPr>
          <w:rFonts w:ascii="Times New Roman;Times;serif" w:hAnsi="Times New Roman;Times;serif"/>
          <w:sz w:val="24"/>
        </w:rPr>
        <w:t>“</w:t>
      </w:r>
      <w:r>
        <w:rPr>
          <w:rFonts w:ascii="Times" w:hAnsi="Times"/>
          <w:i/>
          <w:sz w:val="24"/>
        </w:rPr>
        <w:t>Administrative Agent”</w:t>
      </w:r>
      <w:r>
        <w:rPr>
          <w:rFonts w:ascii="Times" w:hAnsi="Times"/>
          <w:sz w:val="24"/>
        </w:rPr>
        <w:t>).  Terms defined in the Credit Agreement are used herein with the same meaning.</w:t>
      </w:r>
    </w:p>
    <w:p>
      <w:pPr>
        <w:pStyle w:val="TextBody"/>
        <w:bidi w:val="0"/>
        <w:spacing w:before="200" w:after="240"/>
        <w:ind w:left="0" w:right="0" w:firstLine="720"/>
        <w:jc w:val="both"/>
        <w:rPr>
          <w:rFonts w:ascii="Times New Roman;Times;serif" w:hAnsi="Times New Roman;Times;serif"/>
          <w:sz w:val="24"/>
        </w:rPr>
      </w:pPr>
      <w:r>
        <w:rPr>
          <w:rFonts w:ascii="Times" w:hAnsi="Times"/>
          <w:sz w:val="24"/>
        </w:rPr>
        <w:t xml:space="preserve">______________________________________________________ (the </w:t>
      </w:r>
      <w:r>
        <w:rPr>
          <w:rFonts w:ascii="Times New Roman;Times;serif" w:hAnsi="Times New Roman;Times;serif"/>
          <w:sz w:val="24"/>
        </w:rPr>
        <w:t>“</w:t>
      </w:r>
      <w:r>
        <w:rPr>
          <w:rFonts w:ascii="Times" w:hAnsi="Times"/>
          <w:i/>
          <w:sz w:val="24"/>
        </w:rPr>
        <w:t>Assignor”</w:t>
      </w:r>
      <w:r>
        <w:rPr>
          <w:rFonts w:ascii="Times" w:hAnsi="Times"/>
          <w:sz w:val="24"/>
        </w:rPr>
        <w:t xml:space="preserve">) and _________________________ (the </w:t>
      </w:r>
      <w:r>
        <w:rPr>
          <w:rFonts w:ascii="Times New Roman;Times;serif" w:hAnsi="Times New Roman;Times;serif"/>
          <w:sz w:val="24"/>
        </w:rPr>
        <w:t>“</w:t>
      </w:r>
      <w:r>
        <w:rPr>
          <w:rFonts w:ascii="Times" w:hAnsi="Times"/>
          <w:i/>
          <w:sz w:val="24"/>
        </w:rPr>
        <w:t>Assignee”</w:t>
      </w:r>
      <w:r>
        <w:rPr>
          <w:rFonts w:ascii="Times" w:hAnsi="Times"/>
          <w:sz w:val="24"/>
        </w:rPr>
        <w:t>) agree as follows:</w:t>
      </w:r>
    </w:p>
    <w:p>
      <w:pPr>
        <w:pStyle w:val="TextBody"/>
        <w:bidi w:val="0"/>
        <w:spacing w:before="200" w:after="240"/>
        <w:ind w:left="720" w:right="0" w:hanging="0"/>
        <w:jc w:val="both"/>
        <w:rPr>
          <w:rFonts w:ascii="Times" w:hAnsi="Times"/>
          <w:sz w:val="24"/>
        </w:rPr>
      </w:pPr>
      <w:r>
        <w:rPr>
          <w:rFonts w:ascii="Times" w:hAnsi="Times"/>
          <w:sz w:val="24"/>
        </w:rPr>
        <w:t>1.The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Revolving Credit Commitments as in effect on the Effective Date and the Loans, if any, owing to the Assignor on the Effective Date and the Assignor’s Applicable Percentage of any outstanding L/C Obligations.</w:t>
      </w:r>
    </w:p>
    <w:p>
      <w:pPr>
        <w:pStyle w:val="TextBody"/>
        <w:bidi w:val="0"/>
        <w:spacing w:before="200" w:after="240"/>
        <w:ind w:left="720" w:right="0" w:hanging="0"/>
        <w:jc w:val="both"/>
        <w:rPr>
          <w:rFonts w:ascii="Times" w:hAnsi="Times"/>
          <w:sz w:val="24"/>
        </w:rPr>
      </w:pPr>
      <w:r>
        <w:rPr>
          <w:rFonts w:ascii="Times" w:hAnsi="Times"/>
          <w:sz w:val="24"/>
        </w:rPr>
        <w:t>2.The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pStyle w:val="TextBody"/>
        <w:bidi w:val="0"/>
        <w:spacing w:before="200" w:after="0"/>
        <w:ind w:left="720" w:right="0" w:hanging="0"/>
        <w:jc w:val="both"/>
        <w:rPr>
          <w:rFonts w:ascii="Times" w:hAnsi="Times"/>
          <w:sz w:val="24"/>
        </w:rPr>
      </w:pPr>
      <w:r>
        <w:rPr>
          <w:rFonts w:ascii="Times" w:hAnsi="Times"/>
          <w:sz w:val="24"/>
        </w:rPr>
        <w:t xml:space="preserve">3.The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Agent on its behalf and to exercise such powers under the Credit Agreement and the other Loan Documents as are delegated to the Administrative Agent by the terms thereof, together with such powers as are reasonably incidental thereto; (iv) agrees that it will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perform in accordance with their terms all of the obligations which by the terms of the Credit Agreement are required to be performed by it as a Lender; and (v) specifies as its lending office (and address for notices) the offices set forth on its Administrative Questionnaire.</w:t>
      </w:r>
    </w:p>
    <w:p>
      <w:pPr>
        <w:pStyle w:val="TextBody"/>
        <w:bidi w:val="0"/>
        <w:spacing w:before="200" w:after="240"/>
        <w:ind w:left="720" w:right="0" w:hanging="0"/>
        <w:jc w:val="both"/>
        <w:rPr>
          <w:rFonts w:ascii="Times" w:hAnsi="Times"/>
          <w:sz w:val="24"/>
        </w:rPr>
      </w:pPr>
      <w:r>
        <w:rPr>
          <w:rFonts w:ascii="Times" w:hAnsi="Times"/>
          <w:sz w:val="24"/>
        </w:rPr>
        <w:t>4.As consideration for the assignment and sale contemplated in Annex I hereof, the Assignee shall pay to the Assignor on the Effective Date in Federal funds the amount agreed upon between them.  It is understood that commitment and/or letter of credit fees accrued to the Effective Date with respect to the interest assigned hereby are for the account of the Assignor and such fees accruing from and including the Effective Date are for the account of the Assignee.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pStyle w:val="TextBody"/>
        <w:bidi w:val="0"/>
        <w:spacing w:before="200" w:after="240"/>
        <w:ind w:left="720" w:right="0" w:hanging="0"/>
        <w:jc w:val="both"/>
        <w:rPr>
          <w:rFonts w:ascii="Times New Roman;Times;serif" w:hAnsi="Times New Roman;Times;serif"/>
          <w:sz w:val="24"/>
        </w:rPr>
      </w:pPr>
      <w:r>
        <w:rPr>
          <w:rFonts w:ascii="Times" w:hAnsi="Times"/>
          <w:sz w:val="24"/>
        </w:rPr>
        <w:t xml:space="preserve">5.The effective date for this Assignment and Acceptance shall be </w:t>
      </w:r>
      <w:r>
        <w:rPr>
          <w:rFonts w:ascii="Times" w:hAnsi="Times"/>
          <w:sz w:val="24"/>
          <w:u w:val="single"/>
        </w:rPr>
        <w:t>___________</w:t>
      </w:r>
      <w:r>
        <w:rPr>
          <w:rFonts w:ascii="Times New Roman;Times;serif" w:hAnsi="Times New Roman;Times;serif"/>
          <w:sz w:val="24"/>
        </w:rPr>
        <w:t xml:space="preserve"> </w:t>
      </w:r>
      <w:r>
        <w:rPr>
          <w:rFonts w:ascii="Times" w:hAnsi="Times"/>
          <w:sz w:val="24"/>
        </w:rPr>
        <w:t xml:space="preserve">(the </w:t>
      </w:r>
      <w:r>
        <w:rPr>
          <w:rFonts w:ascii="Times New Roman;Times;serif" w:hAnsi="Times New Roman;Times;serif"/>
          <w:sz w:val="24"/>
        </w:rPr>
        <w:t>“</w:t>
      </w:r>
      <w:r>
        <w:rPr>
          <w:rFonts w:ascii="Times" w:hAnsi="Times"/>
          <w:i/>
          <w:sz w:val="24"/>
        </w:rPr>
        <w:t>Effective Date”</w:t>
      </w:r>
      <w:r>
        <w:rPr>
          <w:rFonts w:ascii="Times" w:hAnsi="Times"/>
          <w:sz w:val="24"/>
        </w:rPr>
        <w:t>).  Following the execution of this Assignment and Acceptance, it will be delivered to the Administrative Agent for acceptance and recording by the Administrative Agent and, if required, the Borrower.</w:t>
      </w:r>
    </w:p>
    <w:p>
      <w:pPr>
        <w:pStyle w:val="TextBody"/>
        <w:bidi w:val="0"/>
        <w:spacing w:before="200" w:after="240"/>
        <w:ind w:left="720" w:right="0" w:hanging="0"/>
        <w:jc w:val="both"/>
        <w:rPr>
          <w:rFonts w:ascii="Times" w:hAnsi="Times"/>
          <w:sz w:val="24"/>
        </w:rPr>
      </w:pPr>
      <w:r>
        <w:rPr>
          <w:rFonts w:ascii="Times" w:hAnsi="Times"/>
          <w:sz w:val="24"/>
        </w:rPr>
        <w:t>6.Upon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pStyle w:val="TextBody"/>
        <w:bidi w:val="0"/>
        <w:spacing w:before="200" w:after="240"/>
        <w:ind w:left="720" w:right="0" w:hanging="0"/>
        <w:jc w:val="both"/>
        <w:rPr>
          <w:rFonts w:ascii="Times" w:hAnsi="Times"/>
          <w:sz w:val="24"/>
        </w:rPr>
      </w:pPr>
      <w:r>
        <w:rPr>
          <w:rFonts w:ascii="Times" w:hAnsi="Times"/>
          <w:sz w:val="24"/>
        </w:rPr>
        <w:t>7.Upon such acceptance and recording, from and after the Effective Date, the Administrative Agent shall make all payments under the Credit Agreement in respect of the interest assigned hereby (including, without limitation, all payments of principal, interest and commitment fees with respect thereto) to the Assignee.  The Assignor and Assignee shall make all appropriate adjustments in payments under the Credit Agreement for periods prior to the Effective Date directly between themselves.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8.This Assignment and Acceptance shall be governed by, and construed in accordance with, the internal laws of the State of New York.</w:t>
      </w:r>
    </w:p>
    <w:p>
      <w:pPr>
        <w:pStyle w:val="TextBody"/>
        <w:bidi w:val="0"/>
        <w:spacing w:before="280" w:after="0"/>
        <w:ind w:left="4680" w:right="0" w:hanging="0"/>
        <w:jc w:val="left"/>
        <w:rPr>
          <w:smallCaps/>
        </w:rPr>
      </w:pPr>
      <w:r>
        <w:rPr>
          <w:smallCaps/>
        </w:rPr>
        <w:t>​</w:t>
      </w:r>
    </w:p>
    <w:tbl>
      <w:tblPr>
        <w:tblW w:w="2269" w:type="dxa"/>
        <w:jc w:val="center"/>
        <w:tblInd w:w="0" w:type="dxa"/>
        <w:tblLayout w:type="fixed"/>
        <w:tblCellMar>
          <w:top w:w="0" w:type="dxa"/>
          <w:left w:w="0" w:type="dxa"/>
          <w:bottom w:w="0" w:type="dxa"/>
          <w:right w:w="0" w:type="dxa"/>
        </w:tblCellMar>
      </w:tblPr>
      <w:tblGrid>
        <w:gridCol w:w="124"/>
        <w:gridCol w:w="687"/>
        <w:gridCol w:w="1188"/>
        <w:gridCol w:w="27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78740" cy="175260"/>
                      <wp:effectExtent l="0" t="0" r="0" b="0"/>
                      <wp:wrapNone/>
                      <wp:docPr id="474" name="Frame47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p>
        </w:tc>
        <w:tc>
          <w:tcPr>
            <w:tcW w:w="1188"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78740" cy="175260"/>
                      <wp:effectExtent l="0" t="0" r="0" b="0"/>
                      <wp:wrapNone/>
                      <wp:docPr id="475" name="Frame47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36245" cy="29210"/>
                      <wp:effectExtent l="0" t="0" r="0" b="0"/>
                      <wp:wrapNone/>
                      <wp:docPr id="476" name="Frame476"/>
                      <a:graphic xmlns:a="http://schemas.openxmlformats.org/drawingml/2006/main">
                        <a:graphicData uri="http://schemas.microsoft.com/office/word/2010/wordprocessingShape">
                          <wps:wsp>
                            <wps:cNvSpPr txBox="1"/>
                            <wps:spPr>
                              <a:xfrm>
                                <a:off x="0" y="0"/>
                                <a:ext cx="436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925830" cy="175260"/>
                      <wp:effectExtent l="0" t="0" r="0" b="0"/>
                      <wp:wrapNone/>
                      <wp:docPr id="477" name="Frame477"/>
                      <a:graphic xmlns:a="http://schemas.openxmlformats.org/drawingml/2006/main">
                        <a:graphicData uri="http://schemas.microsoft.com/office/word/2010/wordprocessingShape">
                          <wps:wsp>
                            <wps:cNvSpPr txBox="1"/>
                            <wps:spPr>
                              <a:xfrm>
                                <a:off x="0" y="0"/>
                                <a:ext cx="925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145"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[Assignor Lender]</w:t>
            </w:r>
          </w:p>
        </w:tc>
      </w:tr>
      <w:tr>
        <w:trPr/>
        <w:tc>
          <w:tcPr>
            <w:tcW w:w="12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458" w:type="dxa"/>
            <w:gridSpan w:val="2"/>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283"/>
              <w:ind w:left="0" w:right="0" w:hanging="0"/>
              <w:jc w:val="left"/>
              <w:rPr>
                <w:sz w:val="4"/>
                <w:szCs w:val="4"/>
              </w:rPr>
            </w:pPr>
            <w:r>
              <w:rPr>
                <w:sz w:val="4"/>
                <w:szCs w:val="4"/>
              </w:rPr>
            </w:r>
          </w:p>
        </w:tc>
        <w:tc>
          <w:tcPr>
            <w:tcW w:w="11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283"/>
              <w:ind w:left="0" w:right="0" w:hanging="0"/>
              <w:jc w:val="left"/>
              <w:rPr>
                <w:sz w:val="4"/>
                <w:szCs w:val="4"/>
              </w:rPr>
            </w:pPr>
            <w:r>
              <w:rPr>
                <w:sz w:val="4"/>
                <w:szCs w:val="4"/>
              </w:rPr>
            </w:r>
          </w:p>
        </w:tc>
        <w:tc>
          <w:tcPr>
            <w:tcW w:w="11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7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tbl>
      <w:tblPr>
        <w:tblW w:w="2238" w:type="dxa"/>
        <w:jc w:val="center"/>
        <w:tblInd w:w="0" w:type="dxa"/>
        <w:tblLayout w:type="fixed"/>
        <w:tblCellMar>
          <w:top w:w="0" w:type="dxa"/>
          <w:left w:w="0" w:type="dxa"/>
          <w:bottom w:w="0" w:type="dxa"/>
          <w:right w:w="0" w:type="dxa"/>
        </w:tblCellMar>
      </w:tblPr>
      <w:tblGrid>
        <w:gridCol w:w="124"/>
        <w:gridCol w:w="677"/>
        <w:gridCol w:w="1171"/>
        <w:gridCol w:w="26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78740" cy="175260"/>
                      <wp:effectExtent l="0" t="0" r="0" b="0"/>
                      <wp:wrapNone/>
                      <wp:docPr id="478" name="Frame47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78740" cy="175260"/>
                      <wp:effectExtent l="0" t="0" r="0" b="0"/>
                      <wp:wrapNone/>
                      <wp:docPr id="479" name="Frame47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29895" cy="29210"/>
                      <wp:effectExtent l="0" t="0" r="0" b="0"/>
                      <wp:wrapNone/>
                      <wp:docPr id="480" name="Frame480"/>
                      <a:graphic xmlns:a="http://schemas.openxmlformats.org/drawingml/2006/main">
                        <a:graphicData uri="http://schemas.microsoft.com/office/word/2010/wordprocessingShape">
                          <wps:wsp>
                            <wps:cNvSpPr txBox="1"/>
                            <wps:spPr>
                              <a:xfrm>
                                <a:off x="0" y="0"/>
                                <a:ext cx="4298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3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913130" cy="175260"/>
                      <wp:effectExtent l="0" t="0" r="0" b="0"/>
                      <wp:wrapNone/>
                      <wp:docPr id="481" name="Frame481"/>
                      <a:graphic xmlns:a="http://schemas.openxmlformats.org/drawingml/2006/main">
                        <a:graphicData uri="http://schemas.microsoft.com/office/word/2010/wordprocessingShape">
                          <wps:wsp>
                            <wps:cNvSpPr txBox="1"/>
                            <wps:spPr>
                              <a:xfrm>
                                <a:off x="0" y="0"/>
                                <a:ext cx="913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114"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[Assignee Lender]</w:t>
            </w:r>
          </w:p>
        </w:tc>
      </w:tr>
      <w:tr>
        <w:trPr/>
        <w:tc>
          <w:tcPr>
            <w:tcW w:w="12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left"/>
              <w:rPr/>
            </w:pPr>
            <w:r>
              <w:rPr/>
              <w:t>​</w:t>
            </w:r>
          </w:p>
        </w:tc>
        <w:tc>
          <w:tcPr>
            <w:tcW w:w="1437" w:type="dxa"/>
            <w:gridSpan w:val="2"/>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437"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283"/>
              <w:ind w:left="0" w:right="0" w:hanging="0"/>
              <w:jc w:val="left"/>
              <w:rPr>
                <w:sz w:val="4"/>
                <w:szCs w:val="4"/>
              </w:rPr>
            </w:pPr>
            <w:r>
              <w:rPr>
                <w:sz w:val="4"/>
                <w:szCs w:val="4"/>
              </w:rPr>
            </w:r>
          </w:p>
        </w:tc>
        <w:tc>
          <w:tcPr>
            <w:tcW w:w="11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6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320" w:after="0"/>
        <w:ind w:left="0" w:right="0" w:hanging="4954"/>
        <w:jc w:val="left"/>
        <w:rPr>
          <w:smallCaps/>
        </w:rPr>
      </w:pPr>
      <w:r>
        <w:rPr>
          <w:smallCaps/>
        </w:rPr>
        <w:t>​</w:t>
      </w:r>
    </w:p>
    <w:tbl>
      <w:tblPr>
        <w:tblW w:w="3991" w:type="dxa"/>
        <w:jc w:val="center"/>
        <w:tblInd w:w="0" w:type="dxa"/>
        <w:tblLayout w:type="fixed"/>
        <w:tblCellMar>
          <w:top w:w="0" w:type="dxa"/>
          <w:left w:w="0" w:type="dxa"/>
          <w:bottom w:w="0" w:type="dxa"/>
          <w:right w:w="0" w:type="dxa"/>
        </w:tblCellMar>
      </w:tblPr>
      <w:tblGrid>
        <w:gridCol w:w="2083"/>
        <w:gridCol w:w="116"/>
        <w:gridCol w:w="298"/>
        <w:gridCol w:w="299"/>
        <w:gridCol w:w="260"/>
        <w:gridCol w:w="563"/>
        <w:gridCol w:w="109"/>
        <w:gridCol w:w="109"/>
        <w:gridCol w:w="154"/>
      </w:tblGrid>
      <w:tr>
        <w:trPr/>
        <w:tc>
          <w:tcPr>
            <w:tcW w:w="3619" w:type="dxa"/>
            <w:gridSpan w:val="6"/>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298065" cy="175260"/>
                      <wp:effectExtent l="0" t="0" r="0" b="0"/>
                      <wp:wrapNone/>
                      <wp:docPr id="482" name="Frame482"/>
                      <a:graphic xmlns:a="http://schemas.openxmlformats.org/drawingml/2006/main">
                        <a:graphicData uri="http://schemas.microsoft.com/office/word/2010/wordprocessingShape">
                          <wps:wsp>
                            <wps:cNvSpPr txBox="1"/>
                            <wps:spPr>
                              <a:xfrm>
                                <a:off x="0" y="0"/>
                                <a:ext cx="2298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19" w:type="dxa"/>
            <w:gridSpan w:val="6"/>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298065" cy="175260"/>
                      <wp:effectExtent l="0" t="0" r="0" b="0"/>
                      <wp:wrapNone/>
                      <wp:docPr id="483" name="Frame483"/>
                      <a:graphic xmlns:a="http://schemas.openxmlformats.org/drawingml/2006/main">
                        <a:graphicData uri="http://schemas.microsoft.com/office/word/2010/wordprocessingShape">
                          <wps:wsp>
                            <wps:cNvSpPr txBox="1"/>
                            <wps:spPr>
                              <a:xfrm>
                                <a:off x="0" y="0"/>
                                <a:ext cx="2298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9215" cy="29210"/>
                      <wp:effectExtent l="0" t="0" r="0" b="0"/>
                      <wp:wrapNone/>
                      <wp:docPr id="484" name="Frame48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6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67005" cy="175260"/>
                      <wp:effectExtent l="0" t="0" r="0" b="0"/>
                      <wp:wrapNone/>
                      <wp:docPr id="485" name="Frame48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9"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Accepted and consented this</w:t>
            </w:r>
          </w:p>
        </w:tc>
        <w:tc>
          <w:tcPr>
            <w:tcW w:w="372"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199"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7"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day of</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2" w:type="dxa"/>
            <w:gridSpan w:val="3"/>
            <w:tcBorders>
              <w:bottom w:val="single" w:sz="2" w:space="0" w:color="000000"/>
            </w:tcBorders>
            <w:tcMar>
              <w:bottom w:w="28" w:type="dxa"/>
            </w:tcMar>
            <w:vAlign w:val="center"/>
          </w:tcPr>
          <w:p>
            <w:pPr>
              <w:pStyle w:val="TableContents"/>
              <w:bidi w:val="0"/>
              <w:spacing w:before="0" w:after="0"/>
              <w:ind w:left="0" w:right="0" w:hanging="0"/>
              <w:jc w:val="left"/>
              <w:rPr>
                <w:smallCaps/>
              </w:rPr>
            </w:pPr>
            <w:r>
              <w:rPr>
                <w:smallCaps/>
              </w:rPr>
              <w:t>​</w:t>
            </w:r>
          </w:p>
        </w:tc>
      </w:tr>
      <w:tr>
        <w:trPr/>
        <w:tc>
          <w:tcPr>
            <w:tcW w:w="2497" w:type="dxa"/>
            <w:gridSpan w:val="3"/>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59" w:type="dxa"/>
            <w:gridSpan w:val="2"/>
            <w:tcBorders/>
            <w:vAlign w:val="center"/>
          </w:tcPr>
          <w:p>
            <w:pPr>
              <w:pStyle w:val="TableContents"/>
              <w:bidi w:val="0"/>
              <w:spacing w:before="0" w:after="0"/>
              <w:ind w:left="0" w:right="0" w:hanging="0"/>
              <w:jc w:val="left"/>
              <w:rPr/>
            </w:pPr>
            <w:r>
              <w:rPr/>
              <w:t>​</w:t>
            </w:r>
          </w:p>
        </w:tc>
        <w:tc>
          <w:tcPr>
            <w:tcW w:w="56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72" w:type="dxa"/>
            <w:gridSpan w:val="3"/>
            <w:tcBorders/>
            <w:vAlign w:val="center"/>
          </w:tcPr>
          <w:p>
            <w:pPr>
              <w:pStyle w:val="TableContents"/>
              <w:bidi w:val="0"/>
              <w:spacing w:before="0" w:after="0"/>
              <w:ind w:left="0" w:right="0" w:hanging="0"/>
              <w:jc w:val="left"/>
              <w:rPr/>
            </w:pPr>
            <w:r>
              <w:rPr/>
              <w:t>​</w:t>
            </w:r>
          </w:p>
        </w:tc>
      </w:tr>
      <w:tr>
        <w:trPr/>
        <w:tc>
          <w:tcPr>
            <w:tcW w:w="3619" w:type="dxa"/>
            <w:gridSpan w:val="6"/>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c>
          <w:tcPr>
            <w:tcW w:w="372"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3619" w:type="dxa"/>
            <w:gridSpan w:val="6"/>
            <w:tcBorders/>
            <w:vAlign w:val="center"/>
          </w:tcPr>
          <w:p>
            <w:pPr>
              <w:pStyle w:val="TableContents"/>
              <w:bidi w:val="0"/>
              <w:spacing w:before="0" w:after="0"/>
              <w:ind w:left="0" w:right="0" w:hanging="0"/>
              <w:jc w:val="left"/>
              <w:rPr>
                <w:smallCaps/>
              </w:rPr>
            </w:pPr>
            <w:r>
              <w:rPr>
                <w:smallCaps/>
              </w:rPr>
              <w:t>​</w:t>
            </w:r>
          </w:p>
        </w:tc>
        <w:tc>
          <w:tcPr>
            <w:tcW w:w="372" w:type="dxa"/>
            <w:gridSpan w:val="3"/>
            <w:tcBorders/>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536" w:type="dxa"/>
            <w:gridSpan w:val="5"/>
            <w:tcBorders/>
            <w:vAlign w:val="center"/>
          </w:tcPr>
          <w:p>
            <w:pPr>
              <w:pStyle w:val="TableContents"/>
              <w:bidi w:val="0"/>
              <w:spacing w:before="0" w:after="0"/>
              <w:ind w:left="0" w:right="0" w:hanging="0"/>
              <w:jc w:val="left"/>
              <w:rPr>
                <w:smallCaps/>
              </w:rPr>
            </w:pPr>
            <w:r>
              <w:rPr>
                <w:smallCaps/>
              </w:rPr>
              <w:t>​</w:t>
            </w:r>
          </w:p>
        </w:tc>
        <w:tc>
          <w:tcPr>
            <w:tcW w:w="372" w:type="dxa"/>
            <w:gridSpan w:val="3"/>
            <w:tcBorders/>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smallCaps/>
              </w:rPr>
            </w:pPr>
            <w:r>
              <w:rPr>
                <w:smallCaps/>
              </w:rPr>
              <w:t>​</w:t>
            </w:r>
          </w:p>
        </w:tc>
        <w:tc>
          <w:tcPr>
            <w:tcW w:w="713" w:type="dxa"/>
            <w:gridSpan w:val="3"/>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823"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smallCaps/>
              </w:rPr>
            </w:pPr>
            <w:r>
              <w:rPr>
                <w:smallCaps/>
              </w:rPr>
              <w:t>​</w:t>
            </w:r>
          </w:p>
        </w:tc>
        <w:tc>
          <w:tcPr>
            <w:tcW w:w="372" w:type="dxa"/>
            <w:gridSpan w:val="3"/>
            <w:tcBorders/>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pPr>
            <w:r>
              <w:rPr/>
              <w:t>​</w:t>
            </w:r>
          </w:p>
        </w:tc>
        <w:tc>
          <w:tcPr>
            <w:tcW w:w="713"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823"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pBdr/>
        <w:bidi w:val="0"/>
        <w:spacing w:before="360" w:after="0"/>
        <w:ind w:left="0" w:right="0" w:hanging="4954"/>
        <w:jc w:val="left"/>
        <w:rPr/>
      </w:pPr>
      <w:r>
        <w:rPr/>
        <w:t>​</w:t>
      </w:r>
    </w:p>
    <w:tbl>
      <w:tblPr>
        <w:tblW w:w="7061" w:type="dxa"/>
        <w:jc w:val="center"/>
        <w:tblInd w:w="0" w:type="dxa"/>
        <w:tblLayout w:type="fixed"/>
        <w:tblCellMar>
          <w:top w:w="0" w:type="dxa"/>
          <w:left w:w="0" w:type="dxa"/>
          <w:bottom w:w="0" w:type="dxa"/>
          <w:right w:w="0" w:type="dxa"/>
        </w:tblCellMar>
      </w:tblPr>
      <w:tblGrid>
        <w:gridCol w:w="2199"/>
        <w:gridCol w:w="3660"/>
        <w:gridCol w:w="125"/>
        <w:gridCol w:w="109"/>
        <w:gridCol w:w="61"/>
        <w:gridCol w:w="291"/>
        <w:gridCol w:w="291"/>
        <w:gridCol w:w="62"/>
        <w:gridCol w:w="109"/>
        <w:gridCol w:w="154"/>
      </w:tblGrid>
      <w:tr>
        <w:trPr/>
        <w:tc>
          <w:tcPr>
            <w:tcW w:w="6154" w:type="dxa"/>
            <w:gridSpan w:val="5"/>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3907790" cy="175260"/>
                      <wp:effectExtent l="0" t="0" r="0" b="0"/>
                      <wp:wrapNone/>
                      <wp:docPr id="486" name="Frame486"/>
                      <a:graphic xmlns:a="http://schemas.openxmlformats.org/drawingml/2006/main">
                        <a:graphicData uri="http://schemas.microsoft.com/office/word/2010/wordprocessingShape">
                          <wps:wsp>
                            <wps:cNvSpPr txBox="1"/>
                            <wps:spPr>
                              <a:xfrm>
                                <a:off x="0" y="0"/>
                                <a:ext cx="390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p>
        </w:tc>
        <w:tc>
          <w:tcPr>
            <w:tcW w:w="291" w:type="dxa"/>
            <w:tcBorders/>
            <w:vAlign w:val="center"/>
          </w:tcPr>
          <w:p>
            <w:pPr>
              <w:pStyle w:val="TableContents"/>
              <w:bidi w:val="0"/>
              <w:spacing w:before="0" w:after="0"/>
              <w:ind w:left="0" w:right="0" w:hanging="0"/>
              <w:jc w:val="left"/>
              <w:rPr/>
            </w:pPr>
            <w:r>
              <w:rPr/>
              <w:t>​</w:t>
            </w:r>
          </w:p>
        </w:tc>
        <w:tc>
          <w:tcPr>
            <w:tcW w:w="325" w:type="dxa"/>
            <w:gridSpan w:val="3"/>
            <w:tcBorders/>
            <w:vAlign w:val="center"/>
          </w:tcPr>
          <w:p>
            <w:pPr>
              <w:pStyle w:val="TableContents"/>
              <w:bidi w:val="0"/>
              <w:spacing w:before="0" w:after="0"/>
              <w:ind w:left="0" w:right="0" w:hanging="0"/>
              <w:jc w:val="left"/>
              <w:rPr/>
            </w:pPr>
            <w:r>
              <w:rPr/>
              <w:t>​</w:t>
            </w:r>
          </w:p>
        </w:tc>
      </w:tr>
      <w:tr>
        <w:trPr/>
        <w:tc>
          <w:tcPr>
            <w:tcW w:w="6154" w:type="dxa"/>
            <w:gridSpan w:val="5"/>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3907790" cy="175260"/>
                      <wp:effectExtent l="0" t="0" r="0" b="0"/>
                      <wp:wrapNone/>
                      <wp:docPr id="487" name="Frame487"/>
                      <a:graphic xmlns:a="http://schemas.openxmlformats.org/drawingml/2006/main">
                        <a:graphicData uri="http://schemas.microsoft.com/office/word/2010/wordprocessingShape">
                          <wps:wsp>
                            <wps:cNvSpPr txBox="1"/>
                            <wps:spPr>
                              <a:xfrm>
                                <a:off x="0" y="0"/>
                                <a:ext cx="390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84785" cy="29210"/>
                      <wp:effectExtent l="0" t="0" r="0" b="0"/>
                      <wp:wrapNone/>
                      <wp:docPr id="488" name="Frame488"/>
                      <a:graphic xmlns:a="http://schemas.openxmlformats.org/drawingml/2006/main">
                        <a:graphicData uri="http://schemas.microsoft.com/office/word/2010/wordprocessingShape">
                          <wps:wsp>
                            <wps:cNvSpPr txBox="1"/>
                            <wps:spPr>
                              <a:xfrm>
                                <a:off x="0" y="0"/>
                                <a:ext cx="184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6" w:type="dxa"/>
            <w:gridSpan w:val="4"/>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91160" cy="175260"/>
                      <wp:effectExtent l="0" t="0" r="0" b="0"/>
                      <wp:wrapNone/>
                      <wp:docPr id="489" name="Frame48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8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Accepted and consented to by the Administrative Agent this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5" w:type="dxa"/>
            <w:gridSpan w:val="4"/>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day of</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 xml:space="preserve">KeyBank National Association, </w:t>
            </w:r>
            <w:r>
              <w:rPr>
                <w:rFonts w:ascii="Times New Roman;Times;serif" w:hAnsi="Times New Roman;Times;serif"/>
                <w:sz w:val="24"/>
              </w:rPr>
              <w:t>as Administrative Agent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05" w:type="dxa"/>
            <w:gridSpan w:val="4"/>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6093" w:type="dxa"/>
            <w:gridSpan w:val="4"/>
            <w:tcBorders/>
            <w:vAlign w:val="center"/>
          </w:tcPr>
          <w:p>
            <w:pPr>
              <w:pStyle w:val="TableContents"/>
              <w:bidi w:val="0"/>
              <w:spacing w:before="0" w:after="0"/>
              <w:ind w:left="0" w:right="0" w:hanging="0"/>
              <w:jc w:val="left"/>
              <w:rPr>
                <w:smallCaps/>
              </w:rPr>
            </w:pPr>
            <w:r>
              <w:rPr>
                <w:smallCaps/>
              </w:rPr>
              <w:t>​</w:t>
            </w:r>
          </w:p>
        </w:tc>
        <w:tc>
          <w:tcPr>
            <w:tcW w:w="814" w:type="dxa"/>
            <w:gridSpan w:val="5"/>
            <w:tcBorders/>
            <w:vAlign w:val="center"/>
          </w:tcPr>
          <w:p>
            <w:pPr>
              <w:pStyle w:val="TableContents"/>
              <w:bidi w:val="0"/>
              <w:spacing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894" w:type="dxa"/>
            <w:gridSpan w:val="3"/>
            <w:tcBorders/>
            <w:vAlign w:val="center"/>
          </w:tcPr>
          <w:p>
            <w:pPr>
              <w:pStyle w:val="TableContents"/>
              <w:bidi w:val="0"/>
              <w:spacing w:before="0" w:after="0"/>
              <w:ind w:left="0" w:right="0" w:hanging="0"/>
              <w:jc w:val="left"/>
              <w:rPr>
                <w:smallCaps/>
              </w:rPr>
            </w:pPr>
            <w:r>
              <w:rPr>
                <w:smallCaps/>
              </w:rPr>
              <w:t>​</w:t>
            </w:r>
          </w:p>
        </w:tc>
        <w:tc>
          <w:tcPr>
            <w:tcW w:w="814" w:type="dxa"/>
            <w:gridSpan w:val="5"/>
            <w:tcBorders/>
            <w:vAlign w:val="center"/>
          </w:tcPr>
          <w:p>
            <w:pPr>
              <w:pStyle w:val="TableContents"/>
              <w:bidi w:val="0"/>
              <w:spacing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9" w:type="dxa"/>
            <w:tcBorders/>
            <w:vAlign w:val="center"/>
          </w:tcPr>
          <w:p>
            <w:pPr>
              <w:pStyle w:val="TableContents"/>
              <w:bidi w:val="0"/>
              <w:spacing w:before="0" w:after="0"/>
              <w:ind w:left="0" w:right="0" w:hanging="0"/>
              <w:jc w:val="left"/>
              <w:rPr>
                <w:smallCaps/>
              </w:rPr>
            </w:pPr>
            <w:r>
              <w:rPr>
                <w:smallCaps/>
              </w:rPr>
              <w:t>​</w:t>
            </w:r>
          </w:p>
        </w:tc>
        <w:tc>
          <w:tcPr>
            <w:tcW w:w="366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3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smallCaps/>
              </w:rPr>
            </w:pPr>
            <w:r>
              <w:rPr>
                <w:smallCaps/>
              </w:rPr>
              <w:t>​</w:t>
            </w:r>
          </w:p>
        </w:tc>
        <w:tc>
          <w:tcPr>
            <w:tcW w:w="814" w:type="dxa"/>
            <w:gridSpan w:val="5"/>
            <w:tcBorders/>
            <w:vAlign w:val="center"/>
          </w:tcPr>
          <w:p>
            <w:pPr>
              <w:pStyle w:val="TableContents"/>
              <w:bidi w:val="0"/>
              <w:spacing w:before="0" w:after="0"/>
              <w:ind w:left="0" w:right="0" w:hanging="0"/>
              <w:jc w:val="left"/>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9" w:type="dxa"/>
            <w:tcBorders/>
            <w:vAlign w:val="center"/>
          </w:tcPr>
          <w:p>
            <w:pPr>
              <w:pStyle w:val="TableContents"/>
              <w:bidi w:val="0"/>
              <w:spacing w:before="0" w:after="0"/>
              <w:ind w:left="0" w:right="0" w:hanging="0"/>
              <w:jc w:val="left"/>
              <w:rPr/>
            </w:pPr>
            <w:r>
              <w:rPr/>
              <w:t>​</w:t>
            </w:r>
          </w:p>
        </w:tc>
        <w:tc>
          <w:tcPr>
            <w:tcW w:w="36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3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14" w:type="dxa"/>
            <w:gridSpan w:val="5"/>
            <w:tcBorders/>
            <w:vAlign w:val="cente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Annex I</w:t>
      </w:r>
    </w:p>
    <w:p>
      <w:pPr>
        <w:pStyle w:val="TextBody"/>
        <w:bidi w:val="0"/>
        <w:spacing w:before="0" w:after="400"/>
        <w:ind w:left="0" w:right="0" w:hanging="0"/>
        <w:jc w:val="center"/>
        <w:rPr>
          <w:rFonts w:ascii="Times New Roman;Times;serif" w:hAnsi="Times New Roman;Times;serif"/>
          <w:b/>
          <w:smallCaps/>
          <w:sz w:val="24"/>
        </w:rPr>
      </w:pPr>
      <w:r>
        <w:rPr>
          <w:rFonts w:ascii="Times New Roman;Times;serif" w:hAnsi="Times New Roman;Times;serif"/>
          <w:b/>
          <w:smallCaps/>
          <w:sz w:val="24"/>
        </w:rPr>
        <w:t>to Assignment and Acceptance</w:t>
      </w:r>
    </w:p>
    <w:p>
      <w:pPr>
        <w:pStyle w:val="TextBody"/>
        <w:bidi w:val="0"/>
        <w:spacing w:before="0" w:after="240"/>
        <w:ind w:left="0" w:right="0" w:firstLine="720"/>
        <w:jc w:val="both"/>
        <w:rPr>
          <w:rFonts w:ascii="Times" w:hAnsi="Times"/>
          <w:sz w:val="24"/>
        </w:rPr>
      </w:pPr>
      <w:r>
        <w:rPr>
          <w:rFonts w:ascii="Times" w:hAnsi="Times"/>
          <w:sz w:val="24"/>
        </w:rPr>
        <w:t>The assignee hereby purchases and assumes from the assignor the following interest in and to all of the Assignor’s rights and obligations under the Credit Agreement as of the effective date.</w:t>
      </w:r>
    </w:p>
    <w:tbl>
      <w:tblPr>
        <w:tblW w:w="9214" w:type="dxa"/>
        <w:jc w:val="left"/>
        <w:tblInd w:w="0" w:type="dxa"/>
        <w:tblLayout w:type="fixed"/>
        <w:tblCellMar>
          <w:top w:w="0" w:type="dxa"/>
          <w:left w:w="0" w:type="dxa"/>
          <w:bottom w:w="0" w:type="dxa"/>
          <w:right w:w="0" w:type="dxa"/>
        </w:tblCellMar>
      </w:tblPr>
      <w:tblGrid>
        <w:gridCol w:w="2206"/>
        <w:gridCol w:w="2221"/>
        <w:gridCol w:w="2221"/>
        <w:gridCol w:w="2566"/>
      </w:tblGrid>
      <w:tr>
        <w:trPr/>
        <w:tc>
          <w:tcPr>
            <w:tcW w:w="2206" w:type="dxa"/>
            <w:tcBorders/>
            <w:vAlign w:val="center"/>
          </w:tcPr>
          <w:p>
            <w:pPr>
              <w:pStyle w:val="TableContents"/>
              <w:bidi w:val="0"/>
              <w:spacing w:before="0" w:after="0"/>
              <w:ind w:left="0" w:right="0" w:hanging="0"/>
              <w:jc w:val="center"/>
              <w:rPr/>
            </w:pPr>
            <w:r>
              <w:rPr/>
              <w:t>●</w:t>
            </w:r>
            <w:r>
              <w:rPr>
                <w:rFonts w:ascii="Times New Roman;Times;serif" w:hAnsi="Times New Roman;Times;serif"/>
                <w:smallCaps/>
                <w:sz w:val="24"/>
              </w:rPr>
              <w:t>Facility Assigned</w:t>
            </w:r>
          </w:p>
        </w:tc>
        <w:tc>
          <w:tcPr>
            <w:tcW w:w="2221"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Aggregate</w:t>
              <w:br/>
              <w:t>Commitment/Loans</w:t>
              <w:br/>
              <w:t>for All Lenders</w:t>
            </w:r>
          </w:p>
        </w:tc>
        <w:tc>
          <w:tcPr>
            <w:tcW w:w="2221"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Amount of</w:t>
              <w:br/>
              <w:t>Commitment/Loans</w:t>
              <w:br/>
              <w:t>Assigned</w:t>
            </w:r>
          </w:p>
        </w:tc>
        <w:tc>
          <w:tcPr>
            <w:tcW w:w="2566"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Percentage Assigned</w:t>
              <w:br/>
              <w:t>of Commitment/Loans</w:t>
            </w:r>
          </w:p>
        </w:tc>
      </w:tr>
      <w:tr>
        <w:trPr/>
        <w:tc>
          <w:tcPr>
            <w:tcW w:w="220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Term Loan</w:t>
            </w:r>
          </w:p>
        </w:tc>
        <w:tc>
          <w:tcPr>
            <w:tcW w:w="2221"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$____________</w:t>
            </w:r>
          </w:p>
        </w:tc>
        <w:tc>
          <w:tcPr>
            <w:tcW w:w="2221"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$____________</w:t>
            </w:r>
          </w:p>
        </w:tc>
        <w:tc>
          <w:tcPr>
            <w:tcW w:w="2566"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G</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Additional Guarantor Supplement</w:t>
      </w:r>
    </w:p>
    <w:p>
      <w:pPr>
        <w:pStyle w:val="TextBody"/>
        <w:bidi w:val="0"/>
        <w:spacing w:before="0" w:after="240"/>
        <w:ind w:left="0" w:right="0" w:firstLine="720"/>
        <w:jc w:val="right"/>
        <w:rPr>
          <w:rFonts w:ascii="Times" w:hAnsi="Times"/>
          <w:sz w:val="24"/>
        </w:rPr>
      </w:pPr>
      <w:r>
        <w:rPr>
          <w:rFonts w:ascii="Times" w:hAnsi="Times"/>
          <w:sz w:val="24"/>
        </w:rPr>
        <w:t>______________, ___</w:t>
      </w:r>
    </w:p>
    <w:p>
      <w:pPr>
        <w:pStyle w:val="TextBody"/>
        <w:bidi w:val="0"/>
        <w:spacing w:before="140" w:after="240"/>
        <w:ind w:left="0" w:right="4320" w:hanging="0"/>
        <w:jc w:val="both"/>
        <w:rPr>
          <w:rFonts w:ascii="Times New Roman;Times;serif" w:hAnsi="Times New Roman;Times;serif"/>
          <w:sz w:val="24"/>
        </w:rPr>
      </w:pPr>
      <w:r>
        <w:rPr>
          <w:rFonts w:ascii="Times" w:hAnsi="Times"/>
          <w:sz w:val="24"/>
        </w:rPr>
        <w:t>KeyBank National Association,</w:t>
      </w:r>
      <w:r>
        <w:rPr>
          <w:rFonts w:ascii="Times New Roman;Times;serif" w:hAnsi="Times New Roman;Times;serif"/>
          <w:smallCaps/>
          <w:sz w:val="24"/>
        </w:rPr>
        <w:t xml:space="preserve"> </w:t>
      </w:r>
      <w:r>
        <w:rPr>
          <w:rFonts w:ascii="Times" w:hAnsi="Times"/>
          <w:sz w:val="24"/>
        </w:rPr>
        <w:t xml:space="preserve">as Administrative Agent for the Lenders named in the Amended and Restated Credit Agreement dated as of September 30, 2022, among Alpine Income Property OP, LP, as Borrower, the Guarantors signatories thereto, the Lenders from time to time party thereto, and the Administrative Agent (the </w:t>
      </w:r>
      <w:r>
        <w:rPr>
          <w:rFonts w:ascii="Times New Roman;Times;serif" w:hAnsi="Times New Roman;Times;serif"/>
          <w:sz w:val="24"/>
        </w:rPr>
        <w:t>“</w:t>
      </w:r>
      <w:r>
        <w:rPr>
          <w:rFonts w:ascii="Times" w:hAnsi="Times"/>
          <w:i/>
          <w:sz w:val="24"/>
        </w:rPr>
        <w:t>Credit Agreement”</w:t>
      </w:r>
      <w:r>
        <w:rPr>
          <w:rFonts w:ascii="Times" w:hAnsi="Times"/>
          <w:sz w:val="24"/>
        </w:rPr>
        <w:t>)</w:t>
      </w:r>
    </w:p>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0" w:after="240"/>
        <w:ind w:left="0" w:right="0" w:firstLine="720"/>
        <w:jc w:val="both"/>
        <w:rPr>
          <w:rFonts w:ascii="Times" w:hAnsi="Times"/>
          <w:sz w:val="24"/>
        </w:rPr>
      </w:pPr>
      <w:r>
        <w:rPr>
          <w:rFonts w:ascii="Times" w:hAnsi="Times"/>
          <w:sz w:val="24"/>
        </w:rPr>
        <w:t>Reference is made to the Credit Agreement described above.  Terms not defined herein which are defined in the Credit Agreement shall have for the purposes hereof the meaning provided therein.</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The undersigned, </w:t>
      </w:r>
      <w:r>
        <w:rPr>
          <w:rFonts w:ascii="Times" w:hAnsi="Times"/>
          <w:b/>
          <w:sz w:val="24"/>
        </w:rPr>
        <w:t>[name of Subsidiary Guarantor]</w:t>
      </w:r>
      <w:r>
        <w:rPr>
          <w:rFonts w:ascii="Times" w:hAnsi="Times"/>
          <w:sz w:val="24"/>
        </w:rPr>
        <w:t xml:space="preserve">, a </w:t>
      </w:r>
      <w:r>
        <w:rPr>
          <w:rFonts w:ascii="Times" w:hAnsi="Times"/>
          <w:b/>
          <w:sz w:val="24"/>
        </w:rPr>
        <w:t>[jurisdiction of incorporation or organization]</w:t>
      </w:r>
      <w:r>
        <w:rPr>
          <w:rFonts w:ascii="Times New Roman;Times;serif" w:hAnsi="Times New Roman;Times;serif"/>
          <w:sz w:val="24"/>
        </w:rPr>
        <w:t xml:space="preserve"> </w:t>
      </w:r>
      <w:r>
        <w:rPr>
          <w:rFonts w:ascii="Times" w:hAnsi="Times"/>
          <w:sz w:val="24"/>
        </w:rPr>
        <w:t xml:space="preserve">hereby elects to be a </w:t>
      </w:r>
      <w:r>
        <w:rPr>
          <w:rFonts w:ascii="Times New Roman;Times;serif" w:hAnsi="Times New Roman;Times;serif"/>
          <w:sz w:val="24"/>
        </w:rPr>
        <w:t>“</w:t>
      </w:r>
      <w:r>
        <w:rPr>
          <w:rFonts w:ascii="Times" w:hAnsi="Times"/>
          <w:i/>
          <w:sz w:val="24"/>
        </w:rPr>
        <w:t>Guarantor”</w:t>
      </w:r>
      <w:r>
        <w:rPr>
          <w:rFonts w:ascii="Times New Roman;Times;serif" w:hAnsi="Times New Roman;Times;serif"/>
          <w:sz w:val="24"/>
        </w:rPr>
        <w:t xml:space="preserve"> </w:t>
      </w:r>
      <w:r>
        <w:rPr>
          <w:rFonts w:ascii="Times" w:hAnsi="Times"/>
          <w:sz w:val="24"/>
        </w:rPr>
        <w:t>for all purposes of the Credit Agreement, effective from 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pStyle w:val="TextBody"/>
        <w:bidi w:val="0"/>
        <w:spacing w:before="0" w:after="240"/>
        <w:ind w:left="0" w:right="0" w:firstLine="720"/>
        <w:jc w:val="both"/>
        <w:rPr>
          <w:rFonts w:ascii="Times" w:hAnsi="Times"/>
          <w:sz w:val="24"/>
        </w:rPr>
      </w:pPr>
      <w:r>
        <w:rPr>
          <w:rFonts w:ascii="Times" w:hAnsi="Times"/>
          <w:sz w:val="24"/>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  </w:t>
      </w:r>
    </w:p>
    <w:p>
      <w:pPr>
        <w:pStyle w:val="TextBody"/>
        <w:bidi w:val="0"/>
        <w:spacing w:before="0" w:after="240"/>
        <w:ind w:left="0" w:right="0" w:firstLine="720"/>
        <w:jc w:val="both"/>
        <w:rPr>
          <w:rFonts w:ascii="Times" w:hAnsi="Times"/>
          <w:sz w:val="24"/>
        </w:rPr>
      </w:pPr>
      <w:r>
        <w:rPr>
          <w:rFonts w:ascii="Times" w:hAnsi="Times"/>
          <w:sz w:val="24"/>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tbl>
      <w:tblPr>
        <w:tblW w:w="3873" w:type="dxa"/>
        <w:jc w:val="left"/>
        <w:tblInd w:w="0" w:type="dxa"/>
        <w:tblLayout w:type="fixed"/>
        <w:tblCellMar>
          <w:top w:w="0" w:type="dxa"/>
          <w:left w:w="0" w:type="dxa"/>
          <w:bottom w:w="0" w:type="dxa"/>
          <w:right w:w="0" w:type="dxa"/>
        </w:tblCellMar>
      </w:tblPr>
      <w:tblGrid>
        <w:gridCol w:w="124"/>
        <w:gridCol w:w="2974"/>
        <w:gridCol w:w="99"/>
        <w:gridCol w:w="676"/>
      </w:tblGrid>
      <w:tr>
        <w:trPr/>
        <w:tc>
          <w:tcPr>
            <w:tcW w:w="124" w:type="dxa"/>
            <w:tcBorders/>
            <w:vAlign w:val="center"/>
          </w:tcPr>
          <w:p>
            <w:pPr>
              <w:pStyle w:val="TableContents"/>
              <w:bidi w:val="0"/>
              <w:spacing w:before="0" w:after="0"/>
              <w:ind w:left="0" w:right="0" w:hanging="0"/>
              <w:jc w:val="left"/>
              <w:rPr/>
            </w:pPr>
            <w:r>
              <w:rPr/>
              <w:t>​</w:t>
            </w:r>
          </w:p>
        </w:tc>
        <w:tc>
          <w:tcPr>
            <w:tcW w:w="3073" w:type="dxa"/>
            <w:gridSpan w:val="2"/>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[Name of Subsidiary Guarantor]</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7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7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7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504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G]</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H</w:t>
        <w:br/>
        <w:br/>
        <w:t>Commitment Amount Increase Request</w:t>
      </w:r>
    </w:p>
    <w:p>
      <w:pPr>
        <w:pStyle w:val="TextBody"/>
        <w:bidi w:val="0"/>
        <w:spacing w:before="0" w:after="0"/>
        <w:ind w:left="0" w:right="0" w:hanging="0"/>
        <w:jc w:val="center"/>
        <w:rPr/>
      </w:pPr>
      <w:r>
        <w:rPr/>
        <w:t>●</w:t>
      </w:r>
      <w:r>
        <w:rPr>
          <w:rFonts w:ascii="Times New Roman;Times;serif" w:hAnsi="Times New Roman;Times;serif"/>
          <w:sz w:val="24"/>
        </w:rPr>
        <w:t>_______________, ____</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40"/>
              <w:jc w:val="both"/>
              <w:rPr>
                <w:rFonts w:ascii="Times" w:hAnsi="Times"/>
                <w:sz w:val="24"/>
              </w:rPr>
            </w:pPr>
            <w:r>
              <w:rPr>
                <w:rFonts w:ascii="Times" w:hAnsi="Times"/>
                <w:sz w:val="24"/>
              </w:rPr>
              <w:t>To:</w:t>
            </w:r>
          </w:p>
        </w:tc>
        <w:tc>
          <w:tcPr>
            <w:tcW w:w="9901" w:type="dxa"/>
            <w:tcBorders/>
            <w:vAlign w:val="center"/>
          </w:tcPr>
          <w:p>
            <w:pPr>
              <w:pStyle w:val="TableContents"/>
              <w:bidi w:val="0"/>
              <w:spacing w:before="0" w:after="240"/>
              <w:jc w:val="both"/>
              <w:rPr>
                <w:rFonts w:ascii="Times New Roman;Times;serif" w:hAnsi="Times New Roman;Times;serif"/>
                <w:sz w:val="24"/>
              </w:rPr>
            </w:pPr>
            <w:r>
              <w:rPr>
                <w:rFonts w:ascii="Times" w:hAnsi="Times"/>
                <w:sz w:val="24"/>
              </w:rPr>
              <w:t xml:space="preserve">KeyBank National Association, as Administrative Agent for the Lenders parties to the Amended and Restated Credit Agreement dated as of September 30, 2022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among Alpine Income Property OP, LP, the Guarantors which are signatories thereto, certain Lenders parties thereto, and the Administrative Agent</w:t>
            </w:r>
          </w:p>
        </w:tc>
      </w:tr>
    </w:tbl>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The undersigned, Alpine Income Property OP, LP (the </w:t>
      </w:r>
      <w:r>
        <w:rPr>
          <w:rFonts w:ascii="Times New Roman;Times;serif" w:hAnsi="Times New Roman;Times;serif"/>
          <w:sz w:val="24"/>
        </w:rPr>
        <w:t>“</w:t>
      </w:r>
      <w:r>
        <w:rPr>
          <w:rFonts w:ascii="Times" w:hAnsi="Times"/>
          <w:i/>
          <w:sz w:val="24"/>
        </w:rPr>
        <w:t>Borrower”</w:t>
      </w:r>
      <w:r>
        <w:rPr>
          <w:rFonts w:ascii="Times" w:hAnsi="Times"/>
          <w:sz w:val="24"/>
        </w:rPr>
        <w:t xml:space="preserve">) hereby refers to the Credit Agreement and requests that the Administrative Agent consent to an </w:t>
      </w:r>
      <w:r>
        <w:rPr>
          <w:rFonts w:ascii="Times" w:hAnsi="Times"/>
          <w:b/>
          <w:sz w:val="24"/>
        </w:rPr>
        <w:t>[increase in the aggregate Revolving Credit Commitments] [[__] Incremental Term Loan Commitment]</w:t>
      </w:r>
      <w:r>
        <w:rPr>
          <w:rFonts w:ascii="Times New Roman;Times;serif" w:hAnsi="Times New Roman;Times;serif"/>
          <w:sz w:val="24"/>
        </w:rPr>
        <w:t xml:space="preserve"> </w:t>
      </w:r>
      <w:r>
        <w:rPr>
          <w:rFonts w:ascii="Times" w:hAnsi="Times"/>
          <w:sz w:val="24"/>
        </w:rPr>
        <w:t xml:space="preserve">(the </w:t>
      </w:r>
      <w:r>
        <w:rPr>
          <w:rFonts w:ascii="Times New Roman;Times;serif" w:hAnsi="Times New Roman;Times;serif"/>
          <w:sz w:val="24"/>
        </w:rPr>
        <w:t>“</w:t>
      </w:r>
      <w:r>
        <w:rPr>
          <w:rFonts w:ascii="Times" w:hAnsi="Times"/>
          <w:i/>
          <w:sz w:val="24"/>
        </w:rPr>
        <w:t>Commitment Increase”</w:t>
      </w:r>
      <w:r>
        <w:rPr>
          <w:rFonts w:ascii="Times" w:hAnsi="Times"/>
          <w:sz w:val="24"/>
        </w:rPr>
        <w:t xml:space="preserve">), in accordance with Section 1.15 of the Credit Agreement, to be effected by </w:t>
      </w:r>
      <w:r>
        <w:rPr>
          <w:rFonts w:ascii="Times" w:hAnsi="Times"/>
          <w:b/>
          <w:sz w:val="24"/>
        </w:rPr>
        <w:t xml:space="preserve">[an increase in the Revolving Credit Commitment of [name of existing Lender] [[__] Incremental Term Loan Commitment] [the addition of [name of new Lender] (the </w:t>
      </w:r>
      <w:r>
        <w:rPr>
          <w:rFonts w:ascii="Times New Roman;Times;serif" w:hAnsi="Times New Roman;Times;serif"/>
          <w:sz w:val="24"/>
        </w:rPr>
        <w:t>“</w:t>
      </w:r>
      <w:r>
        <w:rPr>
          <w:rFonts w:ascii="Times" w:hAnsi="Times"/>
          <w:b/>
          <w:i/>
          <w:sz w:val="24"/>
        </w:rPr>
        <w:t>New Lender”</w:t>
      </w:r>
      <w:r>
        <w:rPr>
          <w:rFonts w:ascii="Times" w:hAnsi="Times"/>
          <w:b/>
          <w:sz w:val="24"/>
        </w:rPr>
        <w:t>) as a Lender under the terms of the Credit Agreement]</w:t>
      </w:r>
      <w:r>
        <w:rPr>
          <w:rFonts w:ascii="Times" w:hAnsi="Times"/>
          <w:sz w:val="24"/>
        </w:rPr>
        <w:t>.  Capitalized terms used herein without definition shall have the same meanings herein as such terms have in the Credit Agreement.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After giving effect to such Commitment Amount Increase, </w:t>
      </w:r>
      <w:r>
        <w:rPr>
          <w:rFonts w:ascii="Times" w:hAnsi="Times"/>
          <w:b/>
          <w:sz w:val="24"/>
        </w:rPr>
        <w:t>[the Revolving Credit Commitment] [[__] Incremental Term Loan Commitment]</w:t>
      </w:r>
      <w:r>
        <w:rPr>
          <w:rFonts w:ascii="Times New Roman;Times;serif" w:hAnsi="Times New Roman;Times;serif"/>
          <w:sz w:val="24"/>
        </w:rPr>
        <w:t xml:space="preserve"> </w:t>
      </w:r>
      <w:r>
        <w:rPr>
          <w:rFonts w:ascii="Times" w:hAnsi="Times"/>
          <w:sz w:val="24"/>
        </w:rPr>
        <w:t xml:space="preserve">of the </w:t>
      </w:r>
      <w:r>
        <w:rPr>
          <w:rFonts w:ascii="Times" w:hAnsi="Times"/>
          <w:b/>
          <w:sz w:val="24"/>
        </w:rPr>
        <w:t xml:space="preserve">[Lender] [New Lender] </w:t>
      </w:r>
      <w:r>
        <w:rPr>
          <w:rFonts w:ascii="Times" w:hAnsi="Times"/>
          <w:sz w:val="24"/>
        </w:rPr>
        <w:t>shall be $_____________.</w:t>
      </w:r>
    </w:p>
    <w:p>
      <w:pPr>
        <w:pStyle w:val="TextBody"/>
        <w:bidi w:val="0"/>
        <w:spacing w:before="0" w:after="240"/>
        <w:ind w:left="0" w:right="0" w:firstLine="720"/>
        <w:jc w:val="center"/>
        <w:rPr>
          <w:rFonts w:ascii="Times" w:hAnsi="Times"/>
          <w:b/>
          <w:sz w:val="24"/>
        </w:rPr>
      </w:pPr>
      <w:r>
        <w:rPr>
          <w:rFonts w:ascii="Times" w:hAnsi="Times"/>
          <w:b/>
          <w:sz w:val="24"/>
        </w:rPr>
        <w:t>[Include paragraphs 1-4 for a New Lender]</w:t>
      </w:r>
    </w:p>
    <w:p>
      <w:pPr>
        <w:pStyle w:val="TextBody"/>
        <w:bidi w:val="0"/>
        <w:spacing w:before="0" w:after="240"/>
        <w:ind w:left="0" w:right="0" w:hanging="0"/>
        <w:jc w:val="both"/>
        <w:rPr>
          <w:rFonts w:ascii="Times" w:hAnsi="Times"/>
          <w:sz w:val="24"/>
        </w:rPr>
      </w:pPr>
      <w:r>
        <w:rPr>
          <w:rFonts w:ascii="Times" w:hAnsi="Times"/>
          <w:sz w:val="24"/>
        </w:rPr>
        <w:t>1.The New Lender hereby confirms that it has received a copy of the Loan Documents and the exhibits related thereto, together with copies of the documents which were required to be delivered under the Credit Agreement as a condition to the making of the Revolving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pStyle w:val="TextBody"/>
        <w:bidi w:val="0"/>
        <w:spacing w:before="0" w:after="0"/>
        <w:ind w:left="0" w:right="0" w:hanging="0"/>
        <w:jc w:val="both"/>
        <w:rPr>
          <w:rFonts w:ascii="Times New Roman;Times;serif" w:hAnsi="Times New Roman;Times;serif"/>
          <w:sz w:val="24"/>
        </w:rPr>
      </w:pPr>
      <w:r>
        <w:rPr>
          <w:rFonts w:ascii="Times" w:hAnsi="Times"/>
          <w:sz w:val="24"/>
        </w:rPr>
        <w:t xml:space="preserve">2.Except as otherwise provided in the Credit Agreement, effective as of the date of acceptance hereof by the Administrative Agent, the New Lender (i) shall be deemed automatically to have become a party to the Credit Agreement and have all the rights and obligations of a </w:t>
      </w:r>
      <w:r>
        <w:rPr>
          <w:rFonts w:ascii="Times New Roman;Times;serif" w:hAnsi="Times New Roman;Times;serif"/>
          <w:sz w:val="24"/>
        </w:rPr>
        <w:t>“</w:t>
      </w:r>
      <w:r>
        <w:rPr>
          <w:rFonts w:ascii="Times" w:hAnsi="Times"/>
          <w:i/>
          <w:sz w:val="24"/>
        </w:rPr>
        <w:t>Lender”</w:t>
      </w:r>
      <w:r>
        <w:rPr>
          <w:rFonts w:ascii="Times New Roman;Times;serif" w:hAnsi="Times New Roman;Times;serif"/>
          <w:sz w:val="24"/>
        </w:rPr>
        <w:t xml:space="preserve"> </w:t>
      </w:r>
      <w:r>
        <w:rPr>
          <w:rFonts w:ascii="Times" w:hAnsi="Times"/>
          <w:sz w:val="24"/>
        </w:rPr>
        <w:t xml:space="preserve">under the Credit Agreement as if it were an original signatory thereto and (ii) agrees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be bound by the terms and conditions set forth in the Credit Agreement as if it were an original signatory thereto.</w:t>
      </w:r>
    </w:p>
    <w:p>
      <w:pPr>
        <w:pStyle w:val="TextBody"/>
        <w:bidi w:val="0"/>
        <w:spacing w:before="0" w:after="240"/>
        <w:ind w:left="0" w:right="0" w:hanging="0"/>
        <w:jc w:val="both"/>
        <w:rPr>
          <w:rFonts w:ascii="Times" w:hAnsi="Times"/>
          <w:sz w:val="24"/>
        </w:rPr>
      </w:pPr>
      <w:r>
        <w:rPr>
          <w:rFonts w:ascii="Times" w:hAnsi="Times"/>
          <w:sz w:val="24"/>
        </w:rPr>
        <w:t>3.The New Lender shall deliver to the Administrative Agent an Administrative Questionnaire and shall have executed an Incremental Term Loan Amendment.</w:t>
      </w:r>
    </w:p>
    <w:p>
      <w:pPr>
        <w:pStyle w:val="TextBody"/>
        <w:bidi w:val="0"/>
        <w:spacing w:before="0" w:after="240"/>
        <w:ind w:left="0" w:right="0" w:hanging="0"/>
        <w:jc w:val="both"/>
        <w:rPr/>
      </w:pPr>
      <w:r>
        <w:rPr>
          <w:rFonts w:ascii="Times" w:hAnsi="Times"/>
          <w:b/>
          <w:sz w:val="24"/>
        </w:rPr>
        <w:t>[4.The New Lender has delivered, if appropriate, to the Borrower and the Administrative Agent (or is delivering to the Borrower and the Administrative Agent concurrently herewith) the tax forms referred to in [Section 12.1] of the Credit Agreement.]</w:t>
      </w:r>
      <w:hyperlink w:anchor="footnote-8">
        <w:r>
          <w:rPr>
            <w:rStyle w:val="InternetLink"/>
            <w:rFonts w:ascii="Symbol" w:hAnsi="Symbol"/>
            <w:b w:val="false"/>
            <w:sz w:val="20"/>
          </w:rPr>
          <w:t>*</w:t>
        </w:r>
      </w:hyperlink>
    </w:p>
    <w:p>
      <w:pPr>
        <w:pStyle w:val="TextBody"/>
        <w:bidi w:val="0"/>
        <w:spacing w:before="160" w:after="240"/>
        <w:ind w:left="0" w:right="0" w:firstLine="720"/>
        <w:jc w:val="both"/>
        <w:rPr>
          <w:rFonts w:ascii="Times" w:hAnsi="Times"/>
          <w:smallCaps/>
          <w:sz w:val="24"/>
        </w:rPr>
      </w:pPr>
      <w:r>
        <w:rPr>
          <w:rFonts w:ascii="Times" w:hAnsi="Times"/>
          <w:smallCaps/>
          <w:sz w:val="24"/>
        </w:rPr>
        <w:t>This Agreement shall be deemed to be a contractual obligation under, and shall be governed by and construed in accordance with, the internal laws of the state of New York.</w:t>
      </w:r>
    </w:p>
    <w:p>
      <w:pPr>
        <w:pStyle w:val="TextBody"/>
        <w:bidi w:val="0"/>
        <w:spacing w:before="0" w:after="240"/>
        <w:ind w:left="0" w:right="0" w:firstLine="720"/>
        <w:jc w:val="both"/>
        <w:rPr>
          <w:rFonts w:ascii="Times" w:hAnsi="Times"/>
          <w:sz w:val="24"/>
        </w:rPr>
      </w:pPr>
      <w:r>
        <w:rPr>
          <w:rFonts w:ascii="Times" w:hAnsi="Times"/>
          <w:sz w:val="24"/>
        </w:rPr>
        <w:t>The Commitment Increase shall be effective when the executed consent of the Administrative Agent is received or otherwise in accordance with Section 1.15 of the Credit Agreement, but not in any case prior to ___________________, ____.  It shall be a condition to the effectiveness of the Commitment Amount Increase that all expenses referred to in Section 1.15 of the Credit Agreement shall have been paid.</w:t>
      </w:r>
    </w:p>
    <w:p>
      <w:pPr>
        <w:pStyle w:val="TextBody"/>
        <w:bidi w:val="0"/>
        <w:spacing w:before="0" w:after="240"/>
        <w:ind w:left="0" w:right="0" w:firstLine="720"/>
        <w:jc w:val="both"/>
        <w:rPr>
          <w:rFonts w:ascii="Times" w:hAnsi="Times"/>
          <w:sz w:val="24"/>
        </w:rPr>
      </w:pPr>
      <w:r>
        <w:rPr>
          <w:rFonts w:ascii="Times" w:hAnsi="Times"/>
          <w:sz w:val="24"/>
        </w:rPr>
        <w:t>The Borrower hereby certifies that no Default or Event of Default has occurred and is continuing.</w:t>
      </w:r>
    </w:p>
    <w:p>
      <w:pPr>
        <w:pStyle w:val="TextBody"/>
        <w:pBdr/>
        <w:bidi w:val="0"/>
        <w:spacing w:before="0" w:after="0"/>
        <w:ind w:left="0" w:right="0" w:hanging="180"/>
        <w:jc w:val="left"/>
        <w:rPr>
          <w:rFonts w:ascii="Times New Roman;Times;serif" w:hAnsi="Times New Roman;Times;serif"/>
          <w:sz w:val="20"/>
        </w:rPr>
      </w:pPr>
      <w:bookmarkStart w:id="1869" w:name="footnote-8"/>
      <w:bookmarkEnd w:id="1869"/>
      <w:r>
        <w:rPr>
          <w:rFonts w:ascii="Symbol" w:hAnsi="Symbol"/>
          <w:sz w:val="15"/>
        </w:rPr>
        <w:t>*</w:t>
      </w:r>
      <w:r>
        <w:rPr>
          <w:rFonts w:ascii="Times New Roman;Times;serif" w:hAnsi="Times New Roman;Times;serif"/>
          <w:sz w:val="20"/>
        </w:rPr>
        <w:t xml:space="preserve"> Insert bracketed paragraph if New Lender is organized under the law of a jurisdiction other than the United States of America or a state thereof.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Please indicate the Administrative Agent’s consent to such Commitment Increase by signing the enclosed copy of this letter in the space provided below.</w:t>
      </w:r>
    </w:p>
    <w:tbl>
      <w:tblPr>
        <w:tblW w:w="6122" w:type="dxa"/>
        <w:jc w:val="left"/>
        <w:tblInd w:w="0" w:type="dxa"/>
        <w:tblLayout w:type="fixed"/>
        <w:tblCellMar>
          <w:top w:w="0" w:type="dxa"/>
          <w:left w:w="0" w:type="dxa"/>
          <w:bottom w:w="0" w:type="dxa"/>
          <w:right w:w="0" w:type="dxa"/>
        </w:tblCellMar>
      </w:tblPr>
      <w:tblGrid>
        <w:gridCol w:w="124"/>
        <w:gridCol w:w="3887"/>
        <w:gridCol w:w="213"/>
        <w:gridCol w:w="213"/>
        <w:gridCol w:w="213"/>
        <w:gridCol w:w="147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78740" cy="175260"/>
                      <wp:effectExtent l="0" t="0" r="0" b="0"/>
                      <wp:wrapNone/>
                      <wp:docPr id="490" name="Frame49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3"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738755" cy="29210"/>
                      <wp:effectExtent l="0" t="0" r="0" b="0"/>
                      <wp:wrapNone/>
                      <wp:docPr id="491" name="Frame491"/>
                      <a:graphic xmlns:a="http://schemas.openxmlformats.org/drawingml/2006/main">
                        <a:graphicData uri="http://schemas.microsoft.com/office/word/2010/wordprocessingShape">
                          <wps:wsp>
                            <wps:cNvSpPr txBox="1"/>
                            <wps:spPr>
                              <a:xfrm>
                                <a:off x="0" y="0"/>
                                <a:ext cx="27387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069975" cy="175260"/>
                      <wp:effectExtent l="0" t="0" r="0" b="0"/>
                      <wp:wrapNone/>
                      <wp:docPr id="492" name="Frame492"/>
                      <a:graphic xmlns:a="http://schemas.openxmlformats.org/drawingml/2006/main">
                        <a:graphicData uri="http://schemas.microsoft.com/office/word/2010/wordprocessingShape">
                          <wps:wsp>
                            <wps:cNvSpPr txBox="1"/>
                            <wps:spPr>
                              <a:xfrm>
                                <a:off x="0" y="0"/>
                                <a:ext cx="1069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11" w:type="dxa"/>
            <w:gridSpan w:val="4"/>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1898"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898"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pPr>
            <w:r>
              <w:rPr/>
              <w:t>​</w:t>
            </w:r>
          </w:p>
        </w:tc>
        <w:tc>
          <w:tcPr>
            <w:tcW w:w="211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w:t>
            </w:r>
            <w:r>
              <w:rPr>
                <w:rFonts w:ascii="Times New Roman;Times;serif" w:hAnsi="Times New Roman;Times;serif"/>
                <w:b/>
                <w:smallCaps/>
                <w:sz w:val="24"/>
              </w:rPr>
              <w:t>New or existing Lender Increasing Commitments]</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pPr>
            <w:r>
              <w:rPr/>
              <w:t>​</w:t>
            </w:r>
          </w:p>
        </w:tc>
        <w:tc>
          <w:tcPr>
            <w:tcW w:w="211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pPr>
            <w:r>
              <w:rPr/>
              <w:t>​</w:t>
            </w:r>
          </w:p>
        </w:tc>
        <w:tc>
          <w:tcPr>
            <w:tcW w:w="211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11" w:type="dxa"/>
            <w:gridSpan w:val="4"/>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2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147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2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47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bidi w:val="0"/>
        <w:spacing w:before="0" w:after="240"/>
        <w:ind w:left="0" w:right="5587" w:firstLine="720"/>
        <w:jc w:val="left"/>
        <w:rPr>
          <w:rFonts w:ascii="Times New Roman;Times;serif" w:hAnsi="Times New Roman;Times;serif"/>
          <w:sz w:val="24"/>
        </w:rPr>
      </w:pPr>
      <w:r>
        <w:rPr>
          <w:rFonts w:ascii="Times New Roman;Times;serif" w:hAnsi="Times New Roman;Times;serif"/>
          <w:sz w:val="24"/>
        </w:rPr>
        <w:t>The undersigned hereby consents on this __ day of _____________, _____ to the above-requested Commitment Amount Increase.</w:t>
      </w:r>
    </w:p>
    <w:tbl>
      <w:tblPr>
        <w:tblW w:w="3782" w:type="dxa"/>
        <w:jc w:val="left"/>
        <w:tblInd w:w="0" w:type="dxa"/>
        <w:tblLayout w:type="fixed"/>
        <w:tblCellMar>
          <w:top w:w="0" w:type="dxa"/>
          <w:left w:w="0" w:type="dxa"/>
          <w:bottom w:w="0" w:type="dxa"/>
          <w:right w:w="0" w:type="dxa"/>
        </w:tblCellMar>
      </w:tblPr>
      <w:tblGrid>
        <w:gridCol w:w="2627"/>
        <w:gridCol w:w="147"/>
        <w:gridCol w:w="147"/>
        <w:gridCol w:w="707"/>
        <w:gridCol w:w="154"/>
      </w:tblGrid>
      <w:tr>
        <w:trPr/>
        <w:tc>
          <w:tcPr>
            <w:tcW w:w="277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761490" cy="29210"/>
                      <wp:effectExtent l="0" t="0" r="0" b="0"/>
                      <wp:wrapNone/>
                      <wp:docPr id="493" name="Frame493"/>
                      <a:graphic xmlns:a="http://schemas.openxmlformats.org/drawingml/2006/main">
                        <a:graphicData uri="http://schemas.microsoft.com/office/word/2010/wordprocessingShape">
                          <wps:wsp>
                            <wps:cNvSpPr txBox="1"/>
                            <wps:spPr>
                              <a:xfrm>
                                <a:off x="0" y="0"/>
                                <a:ext cx="17614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5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42290" cy="175260"/>
                      <wp:effectExtent l="0" t="0" r="0" b="0"/>
                      <wp:wrapNone/>
                      <wp:docPr id="494" name="Frame49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3628" w:type="dxa"/>
            <w:gridSpan w:val="4"/>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KeyBank National Association,</w:t>
            </w:r>
          </w:p>
        </w:tc>
        <w:tc>
          <w:tcPr>
            <w:tcW w:w="154" w:type="dxa"/>
            <w:tcBorders/>
            <w:vAlign w:val="center"/>
          </w:tcPr>
          <w:p>
            <w:pPr>
              <w:pStyle w:val="TableContents"/>
              <w:bidi w:val="0"/>
              <w:spacing w:before="0" w:after="0"/>
              <w:ind w:left="0" w:right="0" w:hanging="0"/>
              <w:jc w:val="left"/>
              <w:rPr/>
            </w:pPr>
            <w:r>
              <w:rPr/>
              <w:t>​</w:t>
            </w:r>
          </w:p>
        </w:tc>
      </w:tr>
      <w:tr>
        <w:trPr/>
        <w:tc>
          <w:tcPr>
            <w:tcW w:w="3628"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Administrative Agent</w:t>
            </w:r>
          </w:p>
        </w:tc>
        <w:tc>
          <w:tcPr>
            <w:tcW w:w="154" w:type="dxa"/>
            <w:tcBorders/>
            <w:vAlign w:val="center"/>
          </w:tcPr>
          <w:p>
            <w:pPr>
              <w:pStyle w:val="TableContents"/>
              <w:bidi w:val="0"/>
              <w:spacing w:before="0" w:after="0"/>
              <w:ind w:left="0" w:right="0" w:hanging="0"/>
              <w:jc w:val="left"/>
              <w:rPr/>
            </w:pPr>
            <w:r>
              <w:rPr/>
              <w:t>​</w:t>
            </w:r>
          </w:p>
        </w:tc>
      </w:tr>
      <w:tr>
        <w:trPr/>
        <w:tc>
          <w:tcPr>
            <w:tcW w:w="2627" w:type="dxa"/>
            <w:tcBorders/>
            <w:vAlign w:val="center"/>
          </w:tcPr>
          <w:p>
            <w:pPr>
              <w:pStyle w:val="TableContents"/>
              <w:bidi w:val="0"/>
              <w:spacing w:before="0" w:after="0"/>
              <w:ind w:left="0" w:right="0" w:hanging="0"/>
              <w:jc w:val="left"/>
              <w:rPr/>
            </w:pPr>
            <w:r>
              <w:rPr/>
              <w:t>​</w:t>
            </w:r>
          </w:p>
        </w:tc>
        <w:tc>
          <w:tcPr>
            <w:tcW w:w="1001"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27" w:type="dxa"/>
            <w:tcBorders/>
            <w:vAlign w:val="center"/>
          </w:tcPr>
          <w:p>
            <w:pPr>
              <w:pStyle w:val="TableContents"/>
              <w:bidi w:val="0"/>
              <w:spacing w:before="0" w:after="0"/>
              <w:ind w:left="0" w:right="0" w:hanging="0"/>
              <w:jc w:val="left"/>
              <w:rPr/>
            </w:pPr>
            <w:r>
              <w:rPr/>
              <w:t>​</w:t>
            </w:r>
          </w:p>
        </w:tc>
        <w:tc>
          <w:tcPr>
            <w:tcW w:w="1001"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2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001"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21"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0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21"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0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360"/>
        <w:jc w:val="left"/>
        <w:rPr/>
      </w:pPr>
      <w:r>
        <w:rPr/>
        <w:t>​</w:t>
      </w:r>
    </w:p>
    <w:p>
      <w:pPr>
        <w:pStyle w:val="TextBody"/>
        <w:pBdr/>
        <w:bidi w:val="0"/>
        <w:spacing w:before="0" w:after="0"/>
        <w:ind w:left="0" w:right="0" w:hanging="36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I</w:t>
        <w:br/>
        <w:br/>
        <w:t>RESERVED</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I-1]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I</w:t>
        <w:br/>
        <w:br/>
        <w:t>Commitments</w:t>
      </w:r>
    </w:p>
    <w:p>
      <w:pPr>
        <w:pStyle w:val="TextBody"/>
        <w:bidi w:val="0"/>
        <w:spacing w:before="0" w:after="0"/>
        <w:ind w:left="0" w:right="0" w:hanging="0"/>
        <w:jc w:val="left"/>
        <w:rPr/>
      </w:pPr>
      <w:r>
        <w:rPr/>
        <w:t>​</w:t>
      </w:r>
    </w:p>
    <w:tbl>
      <w:tblPr>
        <w:tblW w:w="10205" w:type="dxa"/>
        <w:jc w:val="center"/>
        <w:tblInd w:w="0" w:type="dxa"/>
        <w:tblLayout w:type="fixed"/>
        <w:tblCellMar>
          <w:top w:w="28" w:type="dxa"/>
          <w:left w:w="75" w:type="dxa"/>
          <w:bottom w:w="28" w:type="dxa"/>
          <w:right w:w="75" w:type="dxa"/>
        </w:tblCellMar>
      </w:tblPr>
      <w:tblGrid>
        <w:gridCol w:w="1598"/>
        <w:gridCol w:w="1860"/>
        <w:gridCol w:w="2461"/>
        <w:gridCol w:w="1824"/>
        <w:gridCol w:w="2462"/>
      </w:tblGrid>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4"/>
              </w:rPr>
            </w:pPr>
            <w:r>
              <w:rPr>
                <w:rFonts w:ascii="Times" w:hAnsi="Times"/>
                <w:smallCaps/>
                <w:sz w:val="24"/>
              </w:rPr>
              <w:t>Name of Lender</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4"/>
              </w:rPr>
            </w:pPr>
            <w:r>
              <w:rPr>
                <w:rFonts w:ascii="Times" w:hAnsi="Times"/>
                <w:smallCaps/>
                <w:sz w:val="24"/>
              </w:rPr>
              <w:t>Revolving Credit Commitment</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4"/>
              </w:rPr>
            </w:pPr>
            <w:r>
              <w:rPr>
                <w:rFonts w:ascii="Times" w:hAnsi="Times"/>
                <w:smallCaps/>
                <w:sz w:val="24"/>
              </w:rPr>
              <w:t>Applicable Percentage for Revolving Facility</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4"/>
              </w:rPr>
            </w:pPr>
            <w:r>
              <w:rPr>
                <w:rFonts w:ascii="Times" w:hAnsi="Times"/>
                <w:smallCaps/>
                <w:sz w:val="24"/>
              </w:rPr>
              <w:t>2027 Term Loan Commitment</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4"/>
              </w:rPr>
            </w:pPr>
            <w:r>
              <w:rPr>
                <w:rFonts w:ascii="Times" w:hAnsi="Times"/>
                <w:smallCaps/>
                <w:sz w:val="24"/>
              </w:rPr>
              <w:t>Applicable Percentage for 2027 Term Loans</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 xml:space="preserve">KeyBank National Association </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$50,000,000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20.000000000000%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$23,333,334</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23.333334000000%</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The Huntington National Bank</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$40,000,000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16.000000000000%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10.000000000000%</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Regions Bank</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$40,000,000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16.000000000000%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$23,333,333</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23.333334000000%</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Raymond James Bank</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$40,000,000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16.000000000000%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10.000000000000%</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Bank of Montreal</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$25,000,000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10.000000000000%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10.000000000000%</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Truist Bank</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$25,000,000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10.000000000000%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$0</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pPr>
            <w:r>
              <w:rPr/>
              <w:t>​</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U.S. Bank National Association</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pPr>
            <w:r>
              <w:rPr/>
              <w:t>​</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$23,333,333</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23.333334000000%</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PNC Bank, National Association</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$20,000,000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8.000000000000%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$0</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softHyphen/>
              <w:t>0%</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Synovus Bank</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$10,000,000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4.000000000000%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$0</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0%</w:t>
            </w:r>
          </w:p>
        </w:tc>
      </w:tr>
      <w:tr>
        <w:trPr/>
        <w:tc>
          <w:tcPr>
            <w:tcW w:w="15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Total</w:t>
            </w:r>
          </w:p>
        </w:tc>
        <w:tc>
          <w:tcPr>
            <w:tcW w:w="18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u w:val="single"/>
              </w:rPr>
            </w:pPr>
            <w:r>
              <w:rPr>
                <w:rFonts w:ascii="Times New Roman;Times;serif" w:hAnsi="Times New Roman;Times;serif"/>
                <w:sz w:val="24"/>
                <w:u w:val="single"/>
              </w:rPr>
              <w:t>$250,000,000</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u w:val="single"/>
              </w:rPr>
            </w:pPr>
            <w:r>
              <w:rPr>
                <w:rFonts w:ascii="Times New Roman;Times;serif" w:hAnsi="Times New Roman;Times;serif"/>
                <w:sz w:val="24"/>
                <w:u w:val="single"/>
              </w:rPr>
              <w:t>100%</w:t>
            </w:r>
          </w:p>
        </w:tc>
        <w:tc>
          <w:tcPr>
            <w:tcW w:w="18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4"/>
                <w:u w:val="single"/>
              </w:rPr>
            </w:pPr>
            <w:r>
              <w:rPr>
                <w:rFonts w:ascii="Times New Roman;Times;serif" w:hAnsi="Times New Roman;Times;serif"/>
                <w:sz w:val="24"/>
                <w:u w:val="single"/>
              </w:rPr>
              <w:t>$100,000,000</w:t>
            </w:r>
          </w:p>
        </w:tc>
        <w:tc>
          <w:tcPr>
            <w:tcW w:w="24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180" w:hanging="0"/>
              <w:jc w:val="center"/>
              <w:rPr>
                <w:rFonts w:ascii="Times New Roman;Times;serif" w:hAnsi="Times New Roman;Times;serif"/>
                <w:sz w:val="24"/>
                <w:u w:val="single"/>
              </w:rPr>
            </w:pPr>
            <w:r>
              <w:rPr>
                <w:rFonts w:ascii="Times New Roman;Times;serif" w:hAnsi="Times New Roman;Times;serif"/>
                <w:sz w:val="24"/>
                <w:u w:val="single"/>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1.1</w:t>
      </w:r>
    </w:p>
    <w:p>
      <w:pPr>
        <w:pStyle w:val="TextBody"/>
        <w:bidi w:val="0"/>
        <w:spacing w:before="0" w:after="0"/>
        <w:ind w:left="0" w:right="0" w:hanging="0"/>
        <w:jc w:val="center"/>
        <w:rPr/>
      </w:pPr>
      <w:r>
        <w:rPr>
          <w:smallCaps/>
        </w:rPr>
        <w:t>​</w:t>
      </w:r>
      <w:r>
        <w:rPr>
          <w:rFonts w:ascii="Times New Roman;Times;serif" w:hAnsi="Times New Roman;Times;serif"/>
          <w:b/>
          <w:smallCaps/>
          <w:sz w:val="24"/>
        </w:rPr>
        <w:br/>
        <w:t xml:space="preserve">Initial </w:t>
      </w:r>
      <w:bookmarkStart w:id="1870" w:name="_cp_change_285"/>
      <w:bookmarkEnd w:id="1870"/>
      <w:r>
        <w:rPr>
          <w:rFonts w:ascii="Times New Roman;Times;serif" w:hAnsi="Times New Roman;Times;serif"/>
          <w:b/>
          <w:smallCaps/>
          <w:color w:val="FF0000"/>
          <w:sz w:val="24"/>
        </w:rPr>
        <w:t xml:space="preserve">Properties </w:t>
      </w:r>
      <w:bookmarkStart w:id="1871" w:name="_cp_change_286"/>
      <w:bookmarkEnd w:id="1871"/>
      <w:r>
        <w:rPr>
          <w:rFonts w:ascii="Times New Roman;Times;serif" w:hAnsi="Times New Roman;Times;serif"/>
          <w:b/>
          <w:smallCaps/>
          <w:color w:val="0000FF"/>
          <w:sz w:val="24"/>
        </w:rPr>
        <w:t>Unencumbered Assets</w:t>
      </w:r>
      <w:r>
        <w:rPr>
          <w:rFonts w:ascii="Times New Roman;Times;serif" w:hAnsi="Times New Roman;Times;serif"/>
          <w:smallCaps/>
          <w:sz w:val="24"/>
        </w:rPr>
        <w:t xml:space="preserve">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w:hAnsi="Times"/>
          <w:color w:val="0000FF"/>
          <w:sz w:val="24"/>
          <w:u w:val="single"/>
        </w:rPr>
      </w:pPr>
      <w:bookmarkStart w:id="1872" w:name="_cp_change_288"/>
      <w:bookmarkEnd w:id="1872"/>
      <w:r>
        <w:rPr>
          <w:rFonts w:ascii="Times" w:hAnsi="Times"/>
          <w:color w:val="0000FF"/>
          <w:sz w:val="24"/>
          <w:u w:val="single"/>
        </w:rPr>
        <w:t>Part I – Unencumbered Real Property Assets</w:t>
      </w:r>
      <w:bookmarkStart w:id="1873" w:name="_cp_change_287"/>
      <w:bookmarkEnd w:id="1873"/>
    </w:p>
    <w:tbl>
      <w:tblPr>
        <w:tblW w:w="7113" w:type="dxa"/>
        <w:jc w:val="left"/>
        <w:tblInd w:w="0" w:type="dxa"/>
        <w:tblLayout w:type="fixed"/>
        <w:tblCellMar>
          <w:top w:w="0" w:type="dxa"/>
          <w:left w:w="0" w:type="dxa"/>
          <w:bottom w:w="0" w:type="dxa"/>
          <w:right w:w="0" w:type="dxa"/>
        </w:tblCellMar>
      </w:tblPr>
      <w:tblGrid>
        <w:gridCol w:w="2881"/>
        <w:gridCol w:w="2851"/>
        <w:gridCol w:w="1381"/>
      </w:tblGrid>
      <w:tr>
        <w:trPr/>
        <w:tc>
          <w:tcPr>
            <w:tcW w:w="2881" w:type="dxa"/>
            <w:tcBorders/>
            <w:vAlign w:val="center"/>
          </w:tcPr>
          <w:p>
            <w:pPr>
              <w:pStyle w:val="TableContents"/>
              <w:bidi w:val="0"/>
              <w:spacing w:before="0" w:after="0"/>
              <w:ind w:left="0" w:right="0" w:hanging="0"/>
              <w:jc w:val="left"/>
              <w:rPr/>
            </w:pPr>
            <w:bookmarkStart w:id="1874" w:name="_cp_change_290"/>
            <w:bookmarkEnd w:id="1874"/>
            <w:r>
              <w:rPr/>
              <w:t>​</w:t>
            </w:r>
          </w:p>
        </w:tc>
        <w:tc>
          <w:tcPr>
            <w:tcW w:w="2851" w:type="dxa"/>
            <w:tcBorders/>
            <w:vAlign w:val="center"/>
          </w:tcPr>
          <w:p>
            <w:pPr>
              <w:pStyle w:val="TableContents"/>
              <w:bidi w:val="0"/>
              <w:spacing w:lineRule="atLeast" w:line="260" w:before="1" w:after="0"/>
              <w:ind w:left="602" w:right="593" w:hanging="0"/>
              <w:jc w:val="center"/>
              <w:rPr/>
            </w:pPr>
            <w:r>
              <w:rPr/>
              <w:t>​</w:t>
            </w:r>
          </w:p>
          <w:p>
            <w:pPr>
              <w:pStyle w:val="TableContents"/>
              <w:bidi w:val="0"/>
              <w:spacing w:before="0" w:after="0"/>
              <w:ind w:left="0" w:right="0" w:hanging="0"/>
              <w:jc w:val="left"/>
              <w:rPr/>
            </w:pPr>
            <w:r>
              <w:rPr/>
              <w:t>​</w:t>
            </w:r>
          </w:p>
        </w:tc>
        <w:tc>
          <w:tcPr>
            <w:tcW w:w="1381" w:type="dxa"/>
            <w:tcBorders/>
            <w:vAlign w:val="center"/>
          </w:tcPr>
          <w:p>
            <w:pPr>
              <w:pStyle w:val="TableContents"/>
              <w:bidi w:val="0"/>
              <w:spacing w:lineRule="atLeast" w:line="260" w:before="1" w:after="0"/>
              <w:ind w:left="9" w:right="0" w:hanging="0"/>
              <w:jc w:val="center"/>
              <w:rPr/>
            </w:pPr>
            <w:r>
              <w:rPr/>
              <w:t>​</w:t>
            </w:r>
          </w:p>
          <w:p>
            <w:pPr>
              <w:pStyle w:val="TableContents"/>
              <w:bidi w:val="0"/>
              <w:spacing w:before="0" w:after="0"/>
              <w:ind w:left="0" w:right="0" w:hanging="0"/>
              <w:jc w:val="left"/>
              <w:rPr/>
            </w:pPr>
            <w:r>
              <w:rPr/>
              <w: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60" w:before="280" w:after="0"/>
              <w:ind w:left="0" w:right="0" w:hanging="0"/>
              <w:jc w:val="center"/>
              <w:rPr>
                <w:rFonts w:ascii="Times New Roman;Times;serif" w:hAnsi="Times New Roman;Times;serif"/>
                <w:b/>
                <w:sz w:val="24"/>
              </w:rPr>
            </w:pPr>
            <w:r>
              <w:rPr>
                <w:rFonts w:ascii="Times New Roman;Times;serif" w:hAnsi="Times New Roman;Times;serif"/>
                <w:b/>
                <w:sz w:val="24"/>
              </w:rPr>
              <w:t>Tenant (DBA)</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City, State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Square Feet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LA Fitness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Riverview, Florida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45,000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Century Theater</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Reno, Nevada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52,474</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Dick’s Sporting Goods, Inc.</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46,315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Best Buy Stores, L.P.</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30,038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Alpine Valley Music Theatre</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East Troy, Wisconsin</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93,322</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Family Dollar</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Lynn, Massachusetts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9,228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Birmingham, Alabama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14,516</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Albany,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14,770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Alpharetta,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15,120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Old Time Pottery</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Orange Park, Florida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84,180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Freddy’s Frozen Custard</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Orange Park, Florida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3,200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Conn’s HomePlus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Hurst, Texas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37,957</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Hobby Lobby</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Tulsa, Oklahoma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84,180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Long John Silvers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Tulsa, Oklahoma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3,000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BP Convenience Store</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Highland Heights, Kentucky</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2,578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AMC Theatre</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Tynsborough, Massachusetts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39,474</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Hobby Lobby</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Arden, North Carolina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55,000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Barker,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9,275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Bingham, Maine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9" w:right="0" w:hanging="0"/>
              <w:jc w:val="center"/>
              <w:rPr>
                <w:rFonts w:ascii="Times New Roman;Times;serif" w:hAnsi="Times New Roman;Times;serif"/>
                <w:sz w:val="24"/>
              </w:rPr>
            </w:pPr>
            <w:r>
              <w:rPr>
                <w:rFonts w:ascii="Times New Roman;Times;serif" w:hAnsi="Times New Roman;Times;serif"/>
                <w:sz w:val="24"/>
              </w:rPr>
              <w:t>9,345</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08" w:type="dxa"/>
        <w:jc w:val="left"/>
        <w:tblInd w:w="0" w:type="dxa"/>
        <w:tblLayout w:type="fixed"/>
        <w:tblCellMar>
          <w:top w:w="28" w:type="dxa"/>
          <w:left w:w="28" w:type="dxa"/>
          <w:bottom w:w="28" w:type="dxa"/>
          <w:right w:w="28" w:type="dxa"/>
        </w:tblCellMar>
      </w:tblPr>
      <w:tblGrid>
        <w:gridCol w:w="2041"/>
        <w:gridCol w:w="2536"/>
        <w:gridCol w:w="931"/>
      </w:tblGrid>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Chazy,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9,277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Hammond,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9,219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Harrisville,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9,309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Heuvelton,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9,342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Howell, Michigan</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214,172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Limestone, Maine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9,167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Milford, Maine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9,128</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Newtonsville, Ohio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9,290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Odessa,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9,127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Salem,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9,199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Severn, Maryland</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6,876</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Somerville,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9,252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Willis,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9,138</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Winthrop,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9,167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Kermit,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10,920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Tacoma, Washington</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14,125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Cut &amp; Shoot,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9,096</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Del Rio,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9,219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Seguin,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9,155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89,902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Pet Supplies Plus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8,400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Salon Lofts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2"/>
              </w:rPr>
            </w:pPr>
            <w:r>
              <w:rPr>
                <w:rFonts w:ascii="Times New Roman;Times;serif" w:hAnsi="Times New Roman;Times;serif"/>
                <w:sz w:val="22"/>
              </w:rPr>
              <w:t>North Canton, Ohio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4,000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Burlington</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Richland Hills, TX</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70,891</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73" w:type="dxa"/>
        <w:jc w:val="left"/>
        <w:tblInd w:w="0" w:type="dxa"/>
        <w:tblLayout w:type="fixed"/>
        <w:tblCellMar>
          <w:top w:w="28" w:type="dxa"/>
          <w:left w:w="28" w:type="dxa"/>
          <w:bottom w:w="28" w:type="dxa"/>
          <w:right w:w="28" w:type="dxa"/>
        </w:tblCellMar>
      </w:tblPr>
      <w:tblGrid>
        <w:gridCol w:w="2596"/>
        <w:gridCol w:w="1966"/>
        <w:gridCol w:w="811"/>
      </w:tblGrid>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Florence, SC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58,410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Orscheln Farm &amp; Home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Durant,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37,965</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Big Lots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Durant,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36,794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Circle K</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Indianapolis, IN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4,283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Burger King</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Plymouth,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3,142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Demopolis, AL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10,159</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Firestone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Pittsburgh, PA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10,629</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Ware, MA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6,889</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Grease Monkey</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Stockbridge,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1,846</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Hardee’s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Boaz, AL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3,542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Schlotzsky’s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Sweetwater,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2,431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Athens,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6,871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Burlington,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11,394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O’Reilly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Duluth,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11,182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Midland,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14,624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Ludington,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6,604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New Baltimore,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6,784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Camping World</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Hermantown,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66,033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Stilwell,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9,828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O’Reilly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Angels Camp, CA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7,066</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Hempstead,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52,190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Jackson,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1,920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Leland,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3,343</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613" w:type="dxa"/>
        <w:jc w:val="left"/>
        <w:tblInd w:w="0" w:type="dxa"/>
        <w:tblLayout w:type="fixed"/>
        <w:tblCellMar>
          <w:top w:w="28" w:type="dxa"/>
          <w:left w:w="28" w:type="dxa"/>
          <w:bottom w:w="28" w:type="dxa"/>
          <w:right w:w="28" w:type="dxa"/>
        </w:tblCellMar>
      </w:tblPr>
      <w:tblGrid>
        <w:gridCol w:w="2776"/>
        <w:gridCol w:w="2026"/>
        <w:gridCol w:w="811"/>
      </w:tblGrid>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Hobby Lobby</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Aberdeen, SD</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49,034</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 Paul,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7,201</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89,460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Boston Market</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2,627</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Verizon</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6,027</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Albuquerque, NM</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30,346</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Albuquerque, NM</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10,023</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7-Eleven</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Olathe,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4,165</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Columbia, SC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72,000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Snellville,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67,247</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Ashley HomeStore</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Dayton,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33,310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AutoZone</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Winston-Salem,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8,008</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Dayton,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45,535</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Lafayette, LA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45,611</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Buffalo Wild Wings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Hattiesburg,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6,302</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Charles Schwab</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Webster,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5,556</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Crazy Alan's Swamp Shack</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9,356</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CVS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Baton Rouge, LA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13,813</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Darden Restaurants Inc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8,388</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Darden Restaurants Inc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Webster,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7,000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Dansville,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9,174</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Ellicottville,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9,144</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Perry,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9,181</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08" w:type="dxa"/>
        <w:jc w:val="left"/>
        <w:tblInd w:w="0" w:type="dxa"/>
        <w:tblLayout w:type="fixed"/>
        <w:tblCellMar>
          <w:top w:w="28" w:type="dxa"/>
          <w:left w:w="28" w:type="dxa"/>
          <w:bottom w:w="28" w:type="dxa"/>
          <w:right w:w="28" w:type="dxa"/>
        </w:tblCellMar>
      </w:tblPr>
      <w:tblGrid>
        <w:gridCol w:w="2596"/>
        <w:gridCol w:w="2101"/>
        <w:gridCol w:w="811"/>
      </w:tblGrid>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Warsaw,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14,495</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Sulphur,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Burlington,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Caneyville, KY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10,604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Dearing,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9,288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Gladewater,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10,111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Village, AR</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14,592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Madill,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9,682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McKenny, VA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10,531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Murfreesboro, AR</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Phillipsburg,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Plainville,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Sabetha,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Superior, NE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Tipton,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Van Buren,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Ethan Allen</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12,208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Amsterdam,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Medicine Lodge,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Town Creek, AL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Festival Foods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Portage, WI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54,720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Washington,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23,466</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LA Fitness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Houston,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45,208</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838" w:type="dxa"/>
        <w:jc w:val="left"/>
        <w:tblInd w:w="0" w:type="dxa"/>
        <w:tblLayout w:type="fixed"/>
        <w:tblCellMar>
          <w:top w:w="28" w:type="dxa"/>
          <w:left w:w="28" w:type="dxa"/>
          <w:bottom w:w="28" w:type="dxa"/>
          <w:right w:w="28" w:type="dxa"/>
        </w:tblCellMar>
      </w:tblPr>
      <w:tblGrid>
        <w:gridCol w:w="2581"/>
        <w:gridCol w:w="2326"/>
        <w:gridCol w:w="931"/>
      </w:tblGrid>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Columbus, 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6,944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Eden, NC</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1,790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Greensboro, NC</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1,678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Kearney, 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2,253</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Platte, 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1,529</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Logan, WV</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114,731</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Webster, TX</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163,300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Gadsden,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7,242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City, FL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Richmond, IN</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5,108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Depot/Office Max</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Gadsden,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23,638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Old Time Pottery</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West Chicago, IL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78,721</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Orscheln Farm and Home</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California,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23,042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Orscheln Farm and Home</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Owensville,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38,452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Party City</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Oceanside, NY</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Rib Crib BBQ</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Durant, OK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Rooms to Go</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51,868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Sportman’s Warehouse</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Morgantown, WV</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30,547</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The Burger Joint</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4,054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Tractor Supply</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Washington Court,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39,984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Cadiz,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1,292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Cleveland,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2,554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Lorain,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900</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063" w:type="dxa"/>
        <w:jc w:val="left"/>
        <w:tblInd w:w="0" w:type="dxa"/>
        <w:tblLayout w:type="fixed"/>
        <w:tblCellMar>
          <w:top w:w="28" w:type="dxa"/>
          <w:left w:w="28" w:type="dxa"/>
          <w:bottom w:w="28" w:type="dxa"/>
          <w:right w:w="28" w:type="dxa"/>
        </w:tblCellMar>
      </w:tblPr>
      <w:tblGrid>
        <w:gridCol w:w="2791"/>
        <w:gridCol w:w="2461"/>
        <w:gridCol w:w="811"/>
      </w:tblGrid>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Massillon,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1,363</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Parma,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1,884</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Visionworks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3,949</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Blackwood,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Brick,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14,550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Decatur, IL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Edgewater, MD</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Feasterville-Trevose, PA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Glen Burnie, MD</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14,490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Taylorville, IL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14,550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West Hartford, CT</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12,805</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SAFE Federal Credit Union</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Florence, SC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color w:val="0000FF"/>
          <w:sz w:val="24"/>
          <w:u w:val="single"/>
        </w:rPr>
      </w:pPr>
      <w:r>
        <w:rPr>
          <w:rFonts w:ascii="Times" w:hAnsi="Times"/>
          <w:color w:val="0000FF"/>
          <w:sz w:val="24"/>
          <w:u w:val="single"/>
        </w:rPr>
        <w:t>Part II – Unencumbered Mortgage Receivables</w:t>
      </w:r>
      <w:bookmarkStart w:id="1875" w:name="_cp_change_289"/>
      <w:bookmarkEnd w:id="1875"/>
    </w:p>
    <w:p>
      <w:pPr>
        <w:pStyle w:val="TextBody"/>
        <w:bidi w:val="0"/>
        <w:spacing w:before="0" w:after="240"/>
        <w:ind w:left="0" w:right="0" w:hanging="0"/>
        <w:jc w:val="both"/>
        <w:rPr>
          <w:rFonts w:ascii="Times" w:hAnsi="Times"/>
          <w:color w:val="0000FF"/>
          <w:sz w:val="24"/>
          <w:u w:val="single"/>
        </w:rPr>
      </w:pPr>
      <w:bookmarkStart w:id="1876" w:name="_cp_change_292"/>
      <w:bookmarkEnd w:id="1876"/>
      <w:r>
        <w:rPr>
          <w:rFonts w:ascii="Times" w:hAnsi="Times"/>
          <w:color w:val="0000FF"/>
          <w:sz w:val="24"/>
          <w:u w:val="single"/>
        </w:rPr>
        <w:t>[LIST]</w:t>
      </w:r>
      <w:bookmarkStart w:id="1877" w:name="_cp_change_291"/>
      <w:bookmarkEnd w:id="1877"/>
    </w:p>
    <w:p>
      <w:pPr>
        <w:pStyle w:val="TextBody"/>
        <w:bidi w:val="0"/>
        <w:spacing w:before="0" w:after="240"/>
        <w:ind w:left="0" w:right="0" w:hanging="0"/>
        <w:jc w:val="both"/>
        <w:rPr>
          <w:rFonts w:ascii="Times" w:hAnsi="Times"/>
          <w:color w:val="0000FF"/>
          <w:sz w:val="24"/>
          <w:u w:val="single"/>
        </w:rPr>
      </w:pPr>
      <w:bookmarkStart w:id="1878" w:name="_cp_change_294"/>
      <w:bookmarkEnd w:id="1878"/>
      <w:r>
        <w:rPr>
          <w:rFonts w:ascii="Times" w:hAnsi="Times"/>
          <w:color w:val="0000FF"/>
          <w:sz w:val="24"/>
          <w:u w:val="single"/>
        </w:rPr>
        <w:t>Part III – Unencumebered Equity Investments</w:t>
      </w:r>
      <w:bookmarkStart w:id="1879" w:name="_cp_change_293"/>
      <w:bookmarkEnd w:id="1879"/>
    </w:p>
    <w:p>
      <w:pPr>
        <w:pStyle w:val="TextBody"/>
        <w:bidi w:val="0"/>
        <w:spacing w:before="0" w:after="240"/>
        <w:ind w:left="0" w:right="0" w:hanging="0"/>
        <w:jc w:val="both"/>
        <w:rPr>
          <w:rFonts w:ascii="Times" w:hAnsi="Times"/>
          <w:color w:val="0000FF"/>
          <w:sz w:val="24"/>
          <w:u w:val="single"/>
        </w:rPr>
      </w:pPr>
      <w:bookmarkStart w:id="1880" w:name="_cp_change_296"/>
      <w:bookmarkEnd w:id="1880"/>
      <w:r>
        <w:rPr>
          <w:rFonts w:ascii="Times" w:hAnsi="Times"/>
          <w:color w:val="0000FF"/>
          <w:sz w:val="24"/>
          <w:u w:val="single"/>
        </w:rPr>
        <w:t>[LIST]</w:t>
      </w:r>
      <w:bookmarkStart w:id="1881" w:name="_cp_change_295"/>
      <w:bookmarkEnd w:id="1881"/>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90" w:firstLine="72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6.2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SUBSIDIARIES </w:t>
      </w:r>
    </w:p>
    <w:p>
      <w:pPr>
        <w:pStyle w:val="TextBody"/>
        <w:bidi w:val="0"/>
        <w:spacing w:before="0" w:after="0"/>
        <w:ind w:left="0" w:right="0" w:hanging="0"/>
        <w:jc w:val="center"/>
        <w:rPr/>
      </w:pPr>
      <w:r>
        <w:rPr/>
        <w:t>​</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66"/>
        <w:gridCol w:w="1881"/>
        <w:gridCol w:w="1881"/>
        <w:gridCol w:w="3777"/>
      </w:tblGrid>
      <w:tr>
        <w:trPr/>
        <w:tc>
          <w:tcPr>
            <w:tcW w:w="2666" w:type="dxa"/>
            <w:tcBorders/>
            <w:vAlign w:val="center"/>
          </w:tcPr>
          <w:p>
            <w:pPr>
              <w:pStyle w:val="TableContents"/>
              <w:bidi w:val="0"/>
              <w:spacing w:before="0" w:after="283"/>
              <w:ind w:left="0" w:right="0" w:hanging="0"/>
              <w:jc w:val="left"/>
              <w:rPr>
                <w:sz w:val="4"/>
                <w:szCs w:val="4"/>
              </w:rPr>
            </w:pPr>
            <w:r>
              <w:rPr>
                <w:sz w:val="4"/>
                <w:szCs w:val="4"/>
              </w:rPr>
            </w:r>
          </w:p>
        </w:tc>
        <w:tc>
          <w:tcPr>
            <w:tcW w:w="1881" w:type="dxa"/>
            <w:tcBorders/>
            <w:vAlign w:val="center"/>
          </w:tcPr>
          <w:p>
            <w:pPr>
              <w:pStyle w:val="TableContents"/>
              <w:bidi w:val="0"/>
              <w:spacing w:before="0" w:after="283"/>
              <w:ind w:left="0" w:right="0" w:hanging="0"/>
              <w:jc w:val="left"/>
              <w:rPr>
                <w:sz w:val="4"/>
                <w:szCs w:val="4"/>
              </w:rPr>
            </w:pPr>
            <w:r>
              <w:rPr>
                <w:sz w:val="4"/>
                <w:szCs w:val="4"/>
              </w:rPr>
            </w:r>
          </w:p>
        </w:tc>
        <w:tc>
          <w:tcPr>
            <w:tcW w:w="1881" w:type="dxa"/>
            <w:tcBorders/>
            <w:vAlign w:val="center"/>
          </w:tcPr>
          <w:p>
            <w:pPr>
              <w:pStyle w:val="TableContents"/>
              <w:bidi w:val="0"/>
              <w:spacing w:before="0" w:after="283"/>
              <w:ind w:left="0" w:right="0" w:hanging="0"/>
              <w:jc w:val="left"/>
              <w:rPr>
                <w:sz w:val="4"/>
                <w:szCs w:val="4"/>
              </w:rPr>
            </w:pPr>
            <w:r>
              <w:rPr>
                <w:sz w:val="4"/>
                <w:szCs w:val="4"/>
              </w:rPr>
            </w:r>
          </w:p>
        </w:tc>
        <w:tc>
          <w:tcPr>
            <w:tcW w:w="3777" w:type="dxa"/>
            <w:tcBorders/>
            <w:vAlign w:val="center"/>
          </w:tcPr>
          <w:p>
            <w:pPr>
              <w:pStyle w:val="TableContents"/>
              <w:bidi w:val="0"/>
              <w:spacing w:before="0" w:after="283"/>
              <w:ind w:left="0" w:right="0" w:hanging="0"/>
              <w:jc w:val="left"/>
              <w:rPr>
                <w:sz w:val="4"/>
                <w:szCs w:val="4"/>
              </w:rPr>
            </w:pPr>
            <w:r>
              <w:rPr>
                <w:sz w:val="4"/>
                <w:szCs w:val="4"/>
              </w:rPr>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Subsidiary</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Date of Formation</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State of Formation</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Calibri;Helvetica;sans-serif" w:hAnsi="Calibri;Helvetica;sans-serif"/>
                <w:b/>
                <w:sz w:val="24"/>
              </w:rPr>
            </w:pPr>
            <w:r>
              <w:rPr>
                <w:rFonts w:ascii="Calibri;Helvetica;sans-serif" w:hAnsi="Calibri;Helvetica;sans-serif"/>
                <w:b/>
                <w:sz w:val="24"/>
              </w:rPr>
              <w:t>Member/General Partner (as applicable)</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PINE19 ALPHARETTA GA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October 1, 2019</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INDIGO HENRY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May 26, 2006</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Florida</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CTO17 BRANDON FL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March 27, 2017</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CTO19 BIRMINGHAM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May 8, 2019</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CTLC18 LYNN MA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May 28, 2019</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CTO19 ALBANY GA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June 6, 2019</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CTO19 TROY WI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20, 2019</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HURST TX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December 16, 2019</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HIGHLAND KY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January 16,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TYN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January 16,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TULSA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February 6,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BLANDING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February 6,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p>
            <w:pPr>
              <w:pStyle w:val="TableContents"/>
              <w:bidi w:val="0"/>
              <w:spacing w:before="0" w:after="0"/>
              <w:ind w:left="0" w:right="0" w:hanging="0"/>
              <w:jc w:val="left"/>
              <w:rPr/>
            </w:pPr>
            <w:r>
              <w:rPr/>
              <w:t>​</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ARDEN NC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May 28,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HOWELL MI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May 28,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BARKER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CHAZY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HAMMOND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2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HARRISVILLE LLC</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2020</w:t>
            </w:r>
          </w:p>
        </w:tc>
        <w:tc>
          <w:tcPr>
            <w:tcW w:w="18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7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814" w:type="dxa"/>
        <w:jc w:val="left"/>
        <w:tblInd w:w="0" w:type="dxa"/>
        <w:tblLayout w:type="fixed"/>
        <w:tblCellMar>
          <w:top w:w="28" w:type="dxa"/>
          <w:left w:w="103" w:type="dxa"/>
          <w:bottom w:w="28" w:type="dxa"/>
          <w:right w:w="103" w:type="dxa"/>
        </w:tblCellMar>
      </w:tblPr>
      <w:tblGrid>
        <w:gridCol w:w="3496"/>
        <w:gridCol w:w="2026"/>
        <w:gridCol w:w="1051"/>
        <w:gridCol w:w="3241"/>
      </w:tblGrid>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HEUVELTON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NEWTONSVILLE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SALEM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WINTHROP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19,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SEVERN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WILLIS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30,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SOMERVILLE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30,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BINGHAM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September 3,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LIMESTONE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September 3,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MILFORD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September 3,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ODESSA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30,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KERMIT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30,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TACOMA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November 16,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DEL RIO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30,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SEGUIN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30,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PINE20 CUT &amp; SHOOT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30, 2020</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20, 2019</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GP, LLC</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CTO16 RENO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November 1, 2016</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ACQUISITIONS IV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June 17,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9603 WESTHEIMER ROAD,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March 9, 2022</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 MEX OH 2,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November 5,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Ohio</w:t>
            </w:r>
          </w:p>
        </w:tc>
        <w:tc>
          <w:tcPr>
            <w:tcW w:w="3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274" w:type="dxa"/>
        <w:jc w:val="left"/>
        <w:tblInd w:w="0" w:type="dxa"/>
        <w:tblLayout w:type="fixed"/>
        <w:tblCellMar>
          <w:top w:w="28" w:type="dxa"/>
          <w:left w:w="103" w:type="dxa"/>
          <w:bottom w:w="28" w:type="dxa"/>
          <w:right w:w="103" w:type="dxa"/>
        </w:tblCellMar>
      </w:tblPr>
      <w:tblGrid>
        <w:gridCol w:w="3061"/>
        <w:gridCol w:w="2026"/>
        <w:gridCol w:w="1051"/>
        <w:gridCol w:w="3136"/>
      </w:tblGrid>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 MEX OH,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October 6,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Ohio</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ACQUISITIONS II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April 15,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ACQUISITIONS III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June 2,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ACQUISITIONS V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June 23,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ACQUISITIONS VI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23,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ACQUISITIONS VII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July 26,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ACQUISITIONS VIII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9,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ACQUISITIONS X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August 18,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HOUSTON EAST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November 29,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HOUSTON WEST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November 29,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PINE21 SPORTS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November 29, 2021</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PINE22 CAESAR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April 12, 2022</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PINE22 MAPLE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March 9, 2022</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r>
        <w:trPr/>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PINE22 WASH MO LLC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April 7, 2022</w:t>
            </w:r>
          </w:p>
        </w:tc>
        <w:tc>
          <w:tcPr>
            <w:tcW w:w="1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Delaware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Calibri;Helvetica;sans-serif" w:hAnsi="Calibri;Helvetica;sans-serif"/>
                <w:sz w:val="24"/>
              </w:rPr>
            </w:pPr>
            <w:r>
              <w:rPr>
                <w:rFonts w:ascii="Calibri;Helvetica;sans-serif" w:hAnsi="Calibri;Helvetica;sans-serif"/>
                <w:sz w:val="24"/>
              </w:rPr>
              <w:t>Alpine Income Property OP, LP</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6.6</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Material Adverse Change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6.11</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Litigation</w:t>
      </w:r>
    </w:p>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6.12</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Tax Returns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6.17</w:t>
        <w:br/>
        <w:br/>
        <w:t>Environmental Issues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left"/>
        <w:rPr/>
      </w:pPr>
      <w:r>
        <w:rPr/>
        <w:t>​</w:t>
      </w:r>
    </w:p>
    <w:p>
      <w:pPr>
        <w:pStyle w:val="TextBody"/>
        <w:bidi w:val="0"/>
        <w:spacing w:before="0" w:after="0"/>
        <w:ind w:left="576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6.23</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Maintenance and Condition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8.7</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Existing Liens</w:t>
      </w:r>
    </w:p>
    <w:p>
      <w:pPr>
        <w:pStyle w:val="TextBody"/>
        <w:bidi w:val="0"/>
        <w:spacing w:before="0" w:after="0"/>
        <w:ind w:left="0" w:right="0" w:hanging="0"/>
        <w:jc w:val="left"/>
        <w:rPr/>
      </w:pPr>
      <w:r>
        <w:rPr/>
        <w:t>​</w:t>
      </w:r>
    </w:p>
    <w:p>
      <w:pPr>
        <w:pStyle w:val="TextBody"/>
        <w:bidi w:val="0"/>
        <w:spacing w:before="36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B</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Certificate</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To:</w:t>
            </w:r>
          </w:p>
        </w:tc>
        <w:tc>
          <w:tcPr>
            <w:tcW w:w="9868"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KeyBank National Association, as Administrative Agent under, and the Lenders party to, the Credit Agreement described below</w:t>
            </w:r>
          </w:p>
        </w:tc>
      </w:tr>
    </w:tbl>
    <w:p>
      <w:pPr>
        <w:pStyle w:val="TextBody"/>
        <w:pBdr/>
        <w:bidi w:val="0"/>
        <w:spacing w:before="560" w:after="0"/>
        <w:ind w:left="0" w:right="4680" w:hanging="72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This Compliance Certificate is furnished to the Administrative Agent and the Lenders pursuant to that certain Amended and Restated Credit Agreement dated as of September 30, 2022, as amended, among Alpine Income Property OP, LP, as Borrower, the Guarantors signatory thereto, the Administrative Agent and the Lenders party thereto (the </w:t>
      </w:r>
      <w:r>
        <w:rPr>
          <w:rFonts w:ascii="Times New Roman;Times;serif" w:hAnsi="Times New Roman;Times;serif"/>
          <w:sz w:val="24"/>
        </w:rPr>
        <w:t>“</w:t>
      </w:r>
      <w:r>
        <w:rPr>
          <w:rFonts w:ascii="Times" w:hAnsi="Times"/>
          <w:i/>
          <w:sz w:val="24"/>
        </w:rPr>
        <w:t>Credit Agreement”</w:t>
      </w:r>
      <w:r>
        <w:rPr>
          <w:rFonts w:ascii="Times" w:hAnsi="Times"/>
          <w:sz w:val="24"/>
        </w:rPr>
        <w:t>).  Unless otherwise defined herein, the terms used in this Compliance Certificate have the meanings ascribed thereto in the Credit Agreement</w:t>
      </w:r>
    </w:p>
    <w:p>
      <w:pPr>
        <w:pStyle w:val="TextBody"/>
        <w:bidi w:val="0"/>
        <w:spacing w:before="0" w:after="240"/>
        <w:ind w:left="0" w:right="0" w:firstLine="720"/>
        <w:jc w:val="both"/>
        <w:rPr>
          <w:rFonts w:ascii="Times" w:hAnsi="Times"/>
          <w:smallCaps/>
          <w:sz w:val="24"/>
        </w:rPr>
      </w:pPr>
      <w:r>
        <w:rPr>
          <w:rFonts w:ascii="Times" w:hAnsi="Times"/>
          <w:smallCaps/>
          <w:sz w:val="24"/>
        </w:rPr>
        <w:t>The Undersigned hereby certifies that:</w:t>
      </w:r>
    </w:p>
    <w:p>
      <w:pPr>
        <w:pStyle w:val="TextBody"/>
        <w:bidi w:val="0"/>
        <w:spacing w:before="0" w:after="240"/>
        <w:ind w:left="0" w:right="0" w:hanging="0"/>
        <w:jc w:val="both"/>
        <w:rPr>
          <w:rFonts w:ascii="Times" w:hAnsi="Times"/>
          <w:sz w:val="24"/>
        </w:rPr>
      </w:pPr>
      <w:r>
        <w:rPr>
          <w:rFonts w:ascii="Times" w:hAnsi="Times"/>
          <w:sz w:val="24"/>
        </w:rPr>
        <w:t>1.I am the duly elected ____________ of Alpine Income Property OP, LP;</w:t>
      </w:r>
    </w:p>
    <w:p>
      <w:pPr>
        <w:pStyle w:val="TextBody"/>
        <w:bidi w:val="0"/>
        <w:spacing w:before="0" w:after="240"/>
        <w:ind w:left="0" w:right="0" w:hanging="0"/>
        <w:jc w:val="both"/>
        <w:rPr>
          <w:rFonts w:ascii="Times" w:hAnsi="Times"/>
          <w:sz w:val="24"/>
        </w:rPr>
      </w:pPr>
      <w:r>
        <w:rPr>
          <w:rFonts w:ascii="Times" w:hAnsi="Times"/>
          <w:sz w:val="24"/>
        </w:rPr>
        <w:t>2.I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pStyle w:val="TextBody"/>
        <w:bidi w:val="0"/>
        <w:spacing w:before="0" w:after="240"/>
        <w:ind w:left="0" w:right="0" w:hanging="0"/>
        <w:jc w:val="both"/>
        <w:rPr>
          <w:rFonts w:ascii="Times" w:hAnsi="Times"/>
          <w:sz w:val="24"/>
        </w:rPr>
      </w:pPr>
      <w:r>
        <w:rPr>
          <w:rFonts w:ascii="Times" w:hAnsi="Times"/>
          <w:sz w:val="24"/>
        </w:rPr>
        <w:t>3.The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pStyle w:val="TextBody"/>
        <w:bidi w:val="0"/>
        <w:spacing w:before="0" w:after="240"/>
        <w:ind w:left="0" w:right="0" w:hanging="0"/>
        <w:jc w:val="both"/>
        <w:rPr>
          <w:rFonts w:ascii="Times" w:hAnsi="Times"/>
          <w:sz w:val="24"/>
        </w:rPr>
      </w:pPr>
      <w:r>
        <w:rPr>
          <w:rFonts w:ascii="Times" w:hAnsi="Times"/>
          <w:sz w:val="24"/>
        </w:rPr>
        <w:t>4.The financial statements required by Section 8.5 of the Credit Agreement and being furnished to you concurrently with this Compliance Certificate are true, correct and complete as of the date and for the periods covered thereby; and</w:t>
      </w:r>
    </w:p>
    <w:p>
      <w:pPr>
        <w:pStyle w:val="TextBody"/>
        <w:bidi w:val="0"/>
        <w:spacing w:before="0" w:after="240"/>
        <w:ind w:left="0" w:right="0" w:hanging="0"/>
        <w:jc w:val="both"/>
        <w:rPr>
          <w:rFonts w:ascii="Times" w:hAnsi="Times"/>
          <w:sz w:val="24"/>
        </w:rPr>
      </w:pPr>
      <w:r>
        <w:rPr>
          <w:rFonts w:ascii="Times" w:hAnsi="Times"/>
          <w:sz w:val="24"/>
        </w:rPr>
        <w:t>5.The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pStyle w:val="TextBody"/>
        <w:bidi w:val="0"/>
        <w:spacing w:before="0" w:after="240"/>
        <w:ind w:left="0" w:right="0" w:firstLine="720"/>
        <w:jc w:val="both"/>
        <w:rPr>
          <w:rFonts w:ascii="Times" w:hAnsi="Times"/>
          <w:sz w:val="24"/>
        </w:rPr>
      </w:pPr>
      <w:r>
        <w:rPr>
          <w:rFonts w:ascii="Times" w:hAnsi="Times"/>
          <w:sz w:val="24"/>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907"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The foregoing certifications, together with the computations set forth in Schedule I hereto and the financial statements delivered with this Certificate in support hereof, are made and delivered this ______ day of __________________, 20___.</w:t>
      </w:r>
    </w:p>
    <w:p>
      <w:pPr>
        <w:pStyle w:val="TextBody"/>
        <w:bidi w:val="0"/>
        <w:spacing w:before="0" w:after="0"/>
        <w:ind w:left="0" w:right="0" w:hanging="0"/>
        <w:jc w:val="center"/>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78740" cy="175260"/>
                      <wp:effectExtent l="0" t="0" r="0" b="0"/>
                      <wp:wrapNone/>
                      <wp:docPr id="495" name="Frame49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367280" cy="29210"/>
                      <wp:effectExtent l="0" t="0" r="0" b="0"/>
                      <wp:wrapNone/>
                      <wp:docPr id="496" name="Frame496"/>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034155" cy="175260"/>
                      <wp:effectExtent l="0" t="0" r="0" b="0"/>
                      <wp:wrapNone/>
                      <wp:docPr id="497" name="Frame497"/>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bidi w:val="0"/>
        <w:spacing w:before="0" w:after="24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w:hAnsi="Times"/>
          <w:b/>
          <w:smallCaps/>
          <w:sz w:val="24"/>
        </w:rPr>
      </w:pPr>
      <w:r>
        <w:rPr>
          <w:rFonts w:ascii="Times" w:hAnsi="Times"/>
          <w:b/>
          <w:smallCaps/>
          <w:sz w:val="24"/>
        </w:rPr>
        <w:t>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_________________________________________________</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Calculations</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for Amended and Restated Credit Agreement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dated as of September 30, 2022, as amended</w:t>
      </w:r>
    </w:p>
    <w:p>
      <w:pPr>
        <w:pStyle w:val="TextBody"/>
        <w:bidi w:val="0"/>
        <w:spacing w:before="0" w:after="240"/>
        <w:ind w:left="0" w:right="0" w:firstLine="720"/>
        <w:jc w:val="center"/>
        <w:rPr>
          <w:rFonts w:ascii="Times" w:hAnsi="Times"/>
          <w:b/>
          <w:smallCaps/>
          <w:sz w:val="24"/>
        </w:rPr>
      </w:pPr>
      <w:r>
        <w:rPr>
          <w:rFonts w:ascii="Times" w:hAnsi="Times"/>
          <w:b/>
          <w:smallCaps/>
          <w:sz w:val="24"/>
        </w:rPr>
        <w:t>Calculations as of _____________, _______</w:t>
      </w:r>
    </w:p>
    <w:p>
      <w:pPr>
        <w:pStyle w:val="TextBody"/>
        <w:pBdr>
          <w:bottom w:val="double" w:sz="6" w:space="1" w:color="000000"/>
        </w:pBdr>
        <w:bidi w:val="0"/>
        <w:spacing w:before="0" w:after="28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09"/>
        <w:gridCol w:w="6296"/>
      </w:tblGrid>
      <w:tr>
        <w:trPr/>
        <w:tc>
          <w:tcPr>
            <w:tcW w:w="3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Total Indebtedness to Total Asset Value Ratio (Section 8.20(a))</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A1 to A2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A3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3909" w:type="dxa"/>
            <w:tcBorders/>
            <w:vAlign w:val="center"/>
          </w:tcPr>
          <w:p>
            <w:pPr>
              <w:pStyle w:val="TableContents"/>
              <w:pBdr/>
              <w:bidi w:val="0"/>
              <w:spacing w:before="0" w:after="0"/>
              <w:ind w:left="0" w:right="0" w:hanging="720"/>
              <w:jc w:val="left"/>
              <w:rPr/>
            </w:pPr>
            <w:r>
              <w:rPr/>
              <w:t>​</w:t>
            </w:r>
          </w:p>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Indebtedness to Total Asset Value Ratio (Section 8.20(b))</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Secured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B1 to B2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B3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0.40:1.0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B</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502" w:type="dxa"/>
        <w:jc w:val="left"/>
        <w:tblInd w:w="0" w:type="dxa"/>
        <w:tblLayout w:type="fixed"/>
        <w:tblCellMar>
          <w:top w:w="0" w:type="dxa"/>
          <w:left w:w="0" w:type="dxa"/>
          <w:bottom w:w="0" w:type="dxa"/>
          <w:right w:w="0" w:type="dxa"/>
        </w:tblCellMar>
      </w:tblPr>
      <w:tblGrid>
        <w:gridCol w:w="5911"/>
        <w:gridCol w:w="1591"/>
      </w:tblGrid>
      <w:tr>
        <w:trPr/>
        <w:tc>
          <w:tcPr>
            <w:tcW w:w="5911"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C.</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EBITDA to Fixed Charges Ratio (Section 8.20(c))</w:t>
            </w:r>
          </w:p>
        </w:tc>
        <w:tc>
          <w:tcPr>
            <w:tcW w:w="1591" w:type="dxa"/>
            <w:tcBorders/>
            <w:vAlign w:val="center"/>
          </w:tcPr>
          <w:p>
            <w:pPr>
              <w:pStyle w:val="TableContents"/>
              <w:bidi w:val="0"/>
              <w:spacing w:before="0" w:after="240"/>
              <w:ind w:left="0" w:right="0" w:hanging="0"/>
              <w:jc w:val="center"/>
              <w:rPr/>
            </w:pPr>
            <w:r>
              <w:rPr/>
              <w:t>​</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Depreciation and amortization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losses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Non-Cash Compensation Paid in Equity Securities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gains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benefits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C2, C3, C4, C5 and C6</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C7 and C8</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Line C1 plus Line C9 minus Line C10 </w:t>
            </w:r>
            <w:r>
              <w:rPr>
                <w:rFonts w:ascii="Times New Roman;Times;serif" w:hAnsi="Times New Roman;Times;serif"/>
                <w:i/>
                <w:sz w:val="24"/>
              </w:rPr>
              <w:t>(“EBITDA”</w:t>
            </w:r>
            <w:r>
              <w:rPr>
                <w:rFonts w:ascii="Times New Roman;Times;serif" w:hAnsi="Times New Roman;Times;serif"/>
                <w:sz w:val="24"/>
              </w:rPr>
              <w:t>)</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Principal Amortization Payments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Dividends on Preferred Stock</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Taxes Paid</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C12, C13, C14 and C15 (“</w:t>
            </w:r>
            <w:r>
              <w:rPr>
                <w:rFonts w:ascii="Times New Roman;Times;serif" w:hAnsi="Times New Roman;Times;serif"/>
                <w:i/>
                <w:sz w:val="24"/>
              </w:rPr>
              <w:t>Fixed Charges”</w:t>
            </w:r>
            <w:r>
              <w:rPr>
                <w:rFonts w:ascii="Times New Roman;Times;serif" w:hAnsi="Times New Roman;Times;serif"/>
                <w:sz w:val="24"/>
              </w:rPr>
              <w:t>)</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C11 to Line C16</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C1 shall not be less than</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1.50:1.0</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58"/>
        <w:gridCol w:w="5847"/>
      </w:tblGrid>
      <w:tr>
        <w:trPr/>
        <w:tc>
          <w:tcPr>
            <w:tcW w:w="4358"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20.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D.</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Recourse Indebtedness to Total Asset Value Ratio (Section 8.20(d))</w:t>
            </w:r>
          </w:p>
        </w:tc>
        <w:tc>
          <w:tcPr>
            <w:tcW w:w="5847" w:type="dxa"/>
            <w:tcBorders/>
            <w:vAlign w:val="center"/>
          </w:tcPr>
          <w:p>
            <w:pPr>
              <w:pStyle w:val="TableContents"/>
              <w:bidi w:val="0"/>
              <w:spacing w:before="0" w:after="240"/>
              <w:ind w:left="0" w:right="0" w:hanging="0"/>
              <w:jc w:val="center"/>
              <w:rPr/>
            </w:pPr>
            <w:r>
              <w:rPr/>
              <w:t>​</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Secured Recourse Indebtedness </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D1 to Line D2</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D3 shall not exceed</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0.10:1.0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E.</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Unsecured Indebtedness to Unencumbered Asset Value Ratio (Section 8.20(e))</w:t>
            </w:r>
          </w:p>
        </w:tc>
        <w:tc>
          <w:tcPr>
            <w:tcW w:w="5847" w:type="dxa"/>
            <w:tcBorders/>
            <w:vAlign w:val="center"/>
          </w:tcPr>
          <w:p>
            <w:pPr>
              <w:pStyle w:val="TableContents"/>
              <w:bidi w:val="0"/>
              <w:spacing w:before="140" w:after="240"/>
              <w:ind w:left="0" w:right="0" w:hanging="0"/>
              <w:jc w:val="center"/>
              <w:rPr/>
            </w:pPr>
            <w:r>
              <w:rPr/>
              <w:t>​</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Unsecured Indebtedness</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E1 to E2</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E3 must not exceed</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280" w:after="0"/>
              <w:jc w:val="left"/>
              <w:rPr>
                <w:rFonts w:ascii="Times New Roman;Times;serif" w:hAnsi="Times New Roman;Times;serif"/>
                <w:sz w:val="24"/>
              </w:rPr>
            </w:pPr>
            <w:bookmarkStart w:id="1882" w:name="_Hlk115350997"/>
            <w:bookmarkEnd w:id="1882"/>
            <w:r>
              <w:rPr>
                <w:rFonts w:ascii="Times New Roman;Times;serif" w:hAnsi="Times New Roman;Times;serif"/>
                <w:sz w:val="24"/>
              </w:rPr>
              <w:t>F.</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Income from Unencumbered Assets to Unsecured Interest Expense (Section 8.20(f))</w:t>
            </w:r>
          </w:p>
        </w:tc>
        <w:tc>
          <w:tcPr>
            <w:tcW w:w="5847" w:type="dxa"/>
            <w:tcBorders/>
            <w:vAlign w:val="center"/>
          </w:tcPr>
          <w:p>
            <w:pPr>
              <w:pStyle w:val="TableContents"/>
              <w:bidi w:val="0"/>
              <w:spacing w:before="0" w:after="240"/>
              <w:ind w:left="0" w:right="0" w:hanging="0"/>
              <w:jc w:val="center"/>
              <w:rPr/>
            </w:pPr>
            <w:r>
              <w:rPr/>
              <w:t>​</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Pool NOI as calculated on Exhibit B hereto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Income actually received from Unencumbered Mortgage Receivables </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018"/>
        <w:gridCol w:w="205"/>
        <w:gridCol w:w="982"/>
      </w:tblGrid>
      <w:tr>
        <w:trPr/>
        <w:tc>
          <w:tcPr>
            <w:tcW w:w="9018"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 on Unsecured Indebtedness assuming an interest rate equal to the higher of (i) the weighted average interest rate for such period on Unsecured Indebtedness, (ii)  5.75% and (iii) the 10-year treasury rate on the last day of such period plus 1.75%</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Ratio of (i) Line F1 plus F2 to (ii) Line F3 </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F5 shall not be less than</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1.75:1.0</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01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G.</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Tangible Net Worth (Section 8.20(f))</w:t>
            </w:r>
          </w:p>
        </w:tc>
        <w:tc>
          <w:tcPr>
            <w:tcW w:w="1187" w:type="dxa"/>
            <w:gridSpan w:val="2"/>
            <w:tcBorders/>
            <w:vAlign w:val="center"/>
          </w:tcPr>
          <w:p>
            <w:pPr>
              <w:pStyle w:val="TableContents"/>
              <w:bidi w:val="0"/>
              <w:spacing w:before="140" w:after="240"/>
              <w:ind w:left="0" w:right="0" w:hanging="0"/>
              <w:jc w:val="center"/>
              <w:rPr/>
            </w:pPr>
            <w:r>
              <w:rPr/>
              <w:t>​</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Tangible Net Worth</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net proceeds of Stock and Stock Equivalent offerings after June 30, 2022</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75% of Line G2</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$212,500,000 plus Line G3 </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G1 shall not be less than Line G4</w:t>
            </w:r>
          </w:p>
        </w:tc>
        <w:tc>
          <w:tcPr>
            <w:tcW w:w="1187" w:type="dxa"/>
            <w:gridSpan w:val="2"/>
            <w:tcBorders/>
            <w:vAlign w:val="center"/>
          </w:tcPr>
          <w:p>
            <w:pPr>
              <w:pStyle w:val="TableContents"/>
              <w:bidi w:val="0"/>
              <w:spacing w:before="140" w:after="240"/>
              <w:ind w:left="0" w:right="0" w:hanging="0"/>
              <w:jc w:val="center"/>
              <w:rPr/>
            </w:pPr>
            <w:r>
              <w:rPr/>
              <w:t>​</w:t>
            </w:r>
          </w:p>
        </w:tc>
      </w:tr>
      <w:tr>
        <w:trPr/>
        <w:tc>
          <w:tcPr>
            <w:tcW w:w="901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7"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223" w:type="dxa"/>
            <w:gridSpan w:val="2"/>
            <w:tcBorders/>
            <w:vAlign w:val="center"/>
          </w:tcPr>
          <w:p>
            <w:pPr>
              <w:pStyle w:val="TableContents"/>
              <w:pBdr/>
              <w:bidi w:val="0"/>
              <w:spacing w:before="280" w:after="0"/>
              <w:ind w:left="0" w:right="0" w:hanging="0"/>
              <w:jc w:val="left"/>
              <w:rPr/>
            </w:pPr>
            <w:r>
              <w:rPr/>
              <w:t>​</w:t>
            </w:r>
          </w:p>
        </w:tc>
        <w:tc>
          <w:tcPr>
            <w:tcW w:w="982" w:type="dxa"/>
            <w:tcBorders/>
            <w:vAlign w:val="center"/>
          </w:tcPr>
          <w:p>
            <w:pPr>
              <w:pStyle w:val="TableContents"/>
              <w:bidi w:val="0"/>
              <w:spacing w:before="0" w:after="24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140" w:after="24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140" w:after="24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140" w:after="24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0" w:after="0"/>
              <w:ind w:left="0" w:right="0" w:hanging="0"/>
              <w:jc w:val="center"/>
              <w:rPr/>
            </w:pPr>
            <w:r>
              <w:rPr/>
              <w:t>​</w:t>
            </w:r>
          </w:p>
        </w:tc>
      </w:tr>
      <w:tr>
        <w:trPr/>
        <w:tc>
          <w:tcPr>
            <w:tcW w:w="9223" w:type="dxa"/>
            <w:gridSpan w:val="2"/>
            <w:tcBorders/>
            <w:vAlign w:val="center"/>
          </w:tcPr>
          <w:p>
            <w:pPr>
              <w:pStyle w:val="TableContents"/>
              <w:pBdr/>
              <w:bidi w:val="0"/>
              <w:spacing w:before="140" w:after="0"/>
              <w:ind w:left="0" w:right="0" w:hanging="0"/>
              <w:jc w:val="left"/>
              <w:rPr/>
            </w:pPr>
            <w:r>
              <w:rPr/>
              <w:t>​</w:t>
            </w:r>
          </w:p>
        </w:tc>
        <w:tc>
          <w:tcPr>
            <w:tcW w:w="982" w:type="dxa"/>
            <w:tcBorders/>
            <w:vAlign w:val="center"/>
          </w:tcPr>
          <w:p>
            <w:pPr>
              <w:pStyle w:val="TableContents"/>
              <w:bidi w:val="0"/>
              <w:spacing w:before="140" w:after="240"/>
              <w:ind w:left="0" w:right="0" w:hanging="0"/>
              <w:jc w:val="center"/>
              <w:rPr/>
            </w:pPr>
            <w:r>
              <w:rPr/>
              <w:t>​</w:t>
            </w:r>
          </w:p>
        </w:tc>
      </w:tr>
    </w:tbl>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07"/>
        <w:gridCol w:w="998"/>
      </w:tblGrid>
      <w:tr>
        <w:trPr/>
        <w:tc>
          <w:tcPr>
            <w:tcW w:w="920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Restricted Payments (Section 8.25(a))</w:t>
            </w:r>
          </w:p>
        </w:tc>
        <w:tc>
          <w:tcPr>
            <w:tcW w:w="998" w:type="dxa"/>
            <w:tcBorders/>
            <w:vAlign w:val="center"/>
          </w:tcPr>
          <w:p>
            <w:pPr>
              <w:pStyle w:val="TableContents"/>
              <w:bidi w:val="0"/>
              <w:spacing w:before="0" w:after="240"/>
              <w:ind w:left="0" w:right="0" w:hanging="0"/>
              <w:jc w:val="center"/>
              <w:rPr/>
            </w:pPr>
            <w:r>
              <w:rPr/>
              <w:t>​</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amount of Restricted Payments made in cash during such period</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Parent’s Adjusted FFO for such period (excluding any regular distributions to holders of preferred partnership units in Borrower and distributions necessary to pay holders of preferred stock of Parent) </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95% of Line H2</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Amount necessary for the Parent to be able to make Restricted Payments required to maintain its status as a REIT (i.e., to satisfy the distribution requirements set forth in Section 4981 of the Code)</w:t>
            </w:r>
          </w:p>
        </w:tc>
        <w:tc>
          <w:tcPr>
            <w:tcW w:w="998" w:type="dxa"/>
            <w:tcBorders/>
            <w:vAlign w:val="center"/>
          </w:tcPr>
          <w:p>
            <w:pPr>
              <w:pStyle w:val="TableContents"/>
              <w:bidi w:val="0"/>
              <w:spacing w:before="140" w:after="240"/>
              <w:ind w:left="0" w:right="0" w:hanging="0"/>
              <w:jc w:val="center"/>
              <w:rPr/>
            </w:pPr>
            <w:r>
              <w:rPr/>
              <w:t>​</w:t>
            </w:r>
          </w:p>
          <w:p>
            <w:pPr>
              <w:pStyle w:val="TableContents"/>
              <w:bidi w:val="0"/>
              <w:spacing w:before="140" w:after="240"/>
              <w:ind w:left="0" w:right="0" w:hanging="0"/>
              <w:jc w:val="center"/>
              <w:rPr/>
            </w:pPr>
            <w:r>
              <w:rPr/>
              <w:t>​</w:t>
            </w:r>
          </w:p>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Greater of Line H3 and Line H4</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 xml:space="preserve">6. </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H1 shall not exceed Line H5</w:t>
            </w:r>
          </w:p>
        </w:tc>
        <w:tc>
          <w:tcPr>
            <w:tcW w:w="998" w:type="dxa"/>
            <w:tcBorders/>
            <w:vAlign w:val="center"/>
          </w:tcPr>
          <w:p>
            <w:pPr>
              <w:pStyle w:val="TableContents"/>
              <w:bidi w:val="0"/>
              <w:spacing w:before="140" w:after="240"/>
              <w:ind w:left="0" w:right="0" w:hanging="0"/>
              <w:jc w:val="center"/>
              <w:rPr/>
            </w:pPr>
            <w:r>
              <w:rPr/>
              <w:t>​</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pPr>
      <w:r>
        <w:rPr/>
        <w:t>​</w:t>
      </w:r>
    </w:p>
    <w:tbl>
      <w:tblPr>
        <w:tblW w:w="7562" w:type="dxa"/>
        <w:jc w:val="left"/>
        <w:tblInd w:w="0" w:type="dxa"/>
        <w:tblLayout w:type="fixed"/>
        <w:tblCellMar>
          <w:top w:w="0" w:type="dxa"/>
          <w:left w:w="0" w:type="dxa"/>
          <w:bottom w:w="0" w:type="dxa"/>
          <w:right w:w="0" w:type="dxa"/>
        </w:tblCellMar>
      </w:tblPr>
      <w:tblGrid>
        <w:gridCol w:w="5971"/>
        <w:gridCol w:w="1591"/>
      </w:tblGrid>
      <w:tr>
        <w:trPr/>
        <w:tc>
          <w:tcPr>
            <w:tcW w:w="59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Number of Unencumbered Real Property Assets</w:t>
            </w:r>
          </w:p>
        </w:tc>
        <w:tc>
          <w:tcPr>
            <w:tcW w:w="1591" w:type="dxa"/>
            <w:tcBorders/>
            <w:vAlign w:val="center"/>
          </w:tcPr>
          <w:p>
            <w:pPr>
              <w:pStyle w:val="TableContents"/>
              <w:bidi w:val="0"/>
              <w:spacing w:before="0" w:after="240"/>
              <w:ind w:left="0" w:right="0" w:hanging="0"/>
              <w:jc w:val="center"/>
              <w:rPr/>
            </w:pPr>
            <w:r>
              <w:rPr/>
              <w:t>​</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number of Unencumbered Real Property Assets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I1 shall not be less than 20</w:t>
            </w:r>
          </w:p>
        </w:tc>
        <w:tc>
          <w:tcPr>
            <w:tcW w:w="1591" w:type="dxa"/>
            <w:tcBorders/>
            <w:vAlign w:val="center"/>
          </w:tcPr>
          <w:p>
            <w:pPr>
              <w:pStyle w:val="TableContents"/>
              <w:bidi w:val="0"/>
              <w:spacing w:before="140" w:after="240"/>
              <w:ind w:left="0" w:right="0" w:hanging="0"/>
              <w:jc w:val="center"/>
              <w:rPr/>
            </w:pPr>
            <w:r>
              <w:rPr/>
              <w:t>​</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5971"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J.</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 Value</w:t>
            </w:r>
          </w:p>
        </w:tc>
        <w:tc>
          <w:tcPr>
            <w:tcW w:w="1591" w:type="dxa"/>
            <w:tcBorders/>
            <w:vAlign w:val="center"/>
          </w:tcPr>
          <w:p>
            <w:pPr>
              <w:pStyle w:val="TableContents"/>
              <w:bidi w:val="0"/>
              <w:spacing w:before="0" w:after="240"/>
              <w:ind w:left="0" w:right="0" w:hanging="0"/>
              <w:jc w:val="center"/>
              <w:rPr/>
            </w:pPr>
            <w:r>
              <w:rPr/>
              <w:t>​</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J1 shall not be less than $200,000,000</w:t>
            </w:r>
          </w:p>
        </w:tc>
        <w:tc>
          <w:tcPr>
            <w:tcW w:w="1591" w:type="dxa"/>
            <w:tcBorders/>
            <w:vAlign w:val="center"/>
          </w:tcPr>
          <w:p>
            <w:pPr>
              <w:pStyle w:val="TableContents"/>
              <w:bidi w:val="0"/>
              <w:spacing w:before="140" w:after="240"/>
              <w:ind w:left="0" w:right="0" w:hanging="0"/>
              <w:jc w:val="center"/>
              <w:rPr/>
            </w:pPr>
            <w:r>
              <w:rPr/>
              <w:t>​</w:t>
            </w:r>
          </w:p>
        </w:tc>
      </w:tr>
      <w:tr>
        <w:trPr/>
        <w:tc>
          <w:tcPr>
            <w:tcW w:w="597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5971" w:type="dxa"/>
            <w:tcBorders/>
            <w:vAlign w:val="center"/>
          </w:tcPr>
          <w:p>
            <w:pPr>
              <w:pStyle w:val="TableContents"/>
              <w:pBdr/>
              <w:bidi w:val="0"/>
              <w:spacing w:before="280" w:after="0"/>
              <w:ind w:left="0" w:right="0" w:hanging="0"/>
              <w:jc w:val="left"/>
              <w:rPr/>
            </w:pPr>
            <w:r>
              <w:rPr/>
              <w:t>​</w:t>
            </w:r>
          </w:p>
        </w:tc>
        <w:tc>
          <w:tcPr>
            <w:tcW w:w="1591"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78"/>
        <w:gridCol w:w="627"/>
      </w:tblGrid>
      <w:tr>
        <w:trPr/>
        <w:tc>
          <w:tcPr>
            <w:tcW w:w="9578"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K.</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Individual Unencumbered Asset Value</w:t>
            </w:r>
          </w:p>
        </w:tc>
        <w:tc>
          <w:tcPr>
            <w:tcW w:w="627" w:type="dxa"/>
            <w:tcBorders/>
            <w:vAlign w:val="center"/>
          </w:tcPr>
          <w:p>
            <w:pPr>
              <w:pStyle w:val="TableContents"/>
              <w:bidi w:val="0"/>
              <w:spacing w:before="0" w:after="240"/>
              <w:ind w:left="0" w:right="0" w:hanging="0"/>
              <w:jc w:val="center"/>
              <w:rPr/>
            </w:pPr>
            <w:r>
              <w:rPr/>
              <w:t>​</w:t>
            </w:r>
          </w:p>
        </w:tc>
      </w:tr>
      <w:tr>
        <w:trPr/>
        <w:tc>
          <w:tcPr>
            <w:tcW w:w="957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Percentage of Unencumbered Asset Value of each Unencumbered Asset is set forth [above or on the attached Schedule] and the largest Unencumbered Asset Value or any Unencumbered Asset is $___________ for the ___________ Unencumbered Asset.</w:t>
            </w:r>
          </w:p>
        </w:tc>
        <w:tc>
          <w:tcPr>
            <w:tcW w:w="627" w:type="dxa"/>
            <w:tcBorders/>
            <w:vAlign w:val="center"/>
          </w:tcPr>
          <w:p>
            <w:pPr>
              <w:pStyle w:val="TableContents"/>
              <w:bidi w:val="0"/>
              <w:spacing w:before="140" w:after="240"/>
              <w:ind w:left="0" w:right="0" w:hanging="0"/>
              <w:jc w:val="center"/>
              <w:rPr/>
            </w:pPr>
            <w:r>
              <w:rPr/>
              <w:t>​</w:t>
            </w:r>
          </w:p>
        </w:tc>
      </w:tr>
      <w:tr>
        <w:trPr/>
        <w:tc>
          <w:tcPr>
            <w:tcW w:w="957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No Unencumbered Asset comprises more than 25% of Unencumbered Asset Value</w:t>
            </w:r>
          </w:p>
        </w:tc>
        <w:tc>
          <w:tcPr>
            <w:tcW w:w="627" w:type="dxa"/>
            <w:tcBorders/>
            <w:vAlign w:val="center"/>
          </w:tcPr>
          <w:p>
            <w:pPr>
              <w:pStyle w:val="TableContents"/>
              <w:bidi w:val="0"/>
              <w:spacing w:before="140" w:after="240"/>
              <w:ind w:left="0" w:right="0" w:hanging="0"/>
              <w:jc w:val="center"/>
              <w:rPr/>
            </w:pPr>
            <w:r>
              <w:rPr/>
              <w:t>​</w:t>
            </w:r>
          </w:p>
        </w:tc>
      </w:tr>
      <w:tr>
        <w:trPr/>
        <w:tc>
          <w:tcPr>
            <w:tcW w:w="957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7" w:type="dxa"/>
            <w:tcBorders/>
            <w:vAlign w:val="center"/>
          </w:tcPr>
          <w:p>
            <w:pPr>
              <w:pStyle w:val="TableContents"/>
              <w:bidi w:val="0"/>
              <w:spacing w:before="140" w:after="240"/>
              <w:ind w:left="0" w:right="0" w:hanging="0"/>
              <w:jc w:val="center"/>
              <w:rPr/>
            </w:pPr>
            <w:r>
              <w:rPr>
                <w:rFonts w:ascii="Times" w:hAnsi="Times"/>
                <w:sz w:val="24"/>
              </w:rPr>
              <w:t>yes/no</w:t>
            </w:r>
            <w:hyperlink w:anchor="footnote-9">
              <w:r>
                <w:rPr>
                  <w:rStyle w:val="InternetLink"/>
                  <w:rFonts w:ascii="Times" w:hAnsi="Times"/>
                  <w:sz w:val="18"/>
                </w:rPr>
                <w:t>7</w:t>
              </w:r>
            </w:hyperlink>
          </w:p>
        </w:tc>
      </w:tr>
      <w:tr>
        <w:trPr/>
        <w:tc>
          <w:tcPr>
            <w:tcW w:w="957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L.</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Single Tenant Unencumbered Asset Value</w:t>
            </w:r>
          </w:p>
        </w:tc>
        <w:tc>
          <w:tcPr>
            <w:tcW w:w="627" w:type="dxa"/>
            <w:tcBorders/>
            <w:vAlign w:val="center"/>
          </w:tcPr>
          <w:p>
            <w:pPr>
              <w:pStyle w:val="TableContents"/>
              <w:bidi w:val="0"/>
              <w:spacing w:before="0" w:after="240"/>
              <w:ind w:left="0" w:right="0" w:hanging="0"/>
              <w:jc w:val="center"/>
              <w:rPr/>
            </w:pPr>
            <w:r>
              <w:rPr/>
              <w:t>​</w:t>
            </w:r>
          </w:p>
        </w:tc>
      </w:tr>
      <w:tr>
        <w:trPr/>
        <w:tc>
          <w:tcPr>
            <w:tcW w:w="957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largest amount of Unencumbered Asset Value from a single Tenant that does not maintain a Rating of at least BBB-/Baa3 from S&amp;P or Moody’s, respectively, is $_____________ from _____________.</w:t>
            </w:r>
          </w:p>
        </w:tc>
        <w:tc>
          <w:tcPr>
            <w:tcW w:w="627" w:type="dxa"/>
            <w:tcBorders/>
            <w:vAlign w:val="center"/>
          </w:tcPr>
          <w:p>
            <w:pPr>
              <w:pStyle w:val="TableContents"/>
              <w:bidi w:val="0"/>
              <w:spacing w:before="140" w:after="240"/>
              <w:ind w:left="0" w:right="0" w:hanging="0"/>
              <w:jc w:val="center"/>
              <w:rPr/>
            </w:pPr>
            <w:r>
              <w:rPr/>
              <w:t>​</w:t>
            </w:r>
          </w:p>
        </w:tc>
      </w:tr>
      <w:tr>
        <w:trPr/>
        <w:tc>
          <w:tcPr>
            <w:tcW w:w="957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 single Tenant that does not maintain a Rating of at least BBB-/Baa3 from S&amp;P or Moody’s, respectively, comprises more than 20% of Unencumbered Asset Value</w:t>
            </w:r>
          </w:p>
        </w:tc>
        <w:tc>
          <w:tcPr>
            <w:tcW w:w="627" w:type="dxa"/>
            <w:tcBorders/>
            <w:vAlign w:val="center"/>
          </w:tcPr>
          <w:p>
            <w:pPr>
              <w:pStyle w:val="TableContents"/>
              <w:bidi w:val="0"/>
              <w:spacing w:before="140" w:after="240"/>
              <w:ind w:left="0" w:right="0" w:hanging="0"/>
              <w:jc w:val="center"/>
              <w:rPr/>
            </w:pPr>
            <w:r>
              <w:rPr/>
              <w:t>​</w:t>
            </w:r>
          </w:p>
        </w:tc>
      </w:tr>
      <w:tr>
        <w:trPr/>
        <w:tc>
          <w:tcPr>
            <w:tcW w:w="957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7" w:type="dxa"/>
            <w:tcBorders/>
            <w:vAlign w:val="center"/>
          </w:tcPr>
          <w:p>
            <w:pPr>
              <w:pStyle w:val="TableContents"/>
              <w:bidi w:val="0"/>
              <w:spacing w:before="140" w:after="240"/>
              <w:ind w:left="0" w:right="0" w:hanging="0"/>
              <w:jc w:val="center"/>
              <w:rPr/>
            </w:pPr>
            <w:r>
              <w:rPr>
                <w:rFonts w:ascii="Times" w:hAnsi="Times"/>
                <w:sz w:val="24"/>
              </w:rPr>
              <w:t>yes/no</w:t>
            </w:r>
            <w:hyperlink w:anchor="footnote-10">
              <w:r>
                <w:rPr>
                  <w:rStyle w:val="InternetLink"/>
                  <w:rFonts w:ascii="Times" w:hAnsi="Times"/>
                  <w:sz w:val="18"/>
                </w:rPr>
                <w:t>8</w:t>
              </w:r>
            </w:hyperlink>
          </w:p>
        </w:tc>
      </w:tr>
      <w:tr>
        <w:trPr/>
        <w:tc>
          <w:tcPr>
            <w:tcW w:w="957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M.</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Assets Subject to Acceptable Leasehold Interests</w:t>
            </w:r>
          </w:p>
        </w:tc>
        <w:tc>
          <w:tcPr>
            <w:tcW w:w="627" w:type="dxa"/>
            <w:tcBorders/>
            <w:vAlign w:val="center"/>
          </w:tcPr>
          <w:p>
            <w:pPr>
              <w:pStyle w:val="TableContents"/>
              <w:bidi w:val="0"/>
              <w:spacing w:before="0" w:after="240"/>
              <w:ind w:left="0" w:right="0" w:hanging="0"/>
              <w:jc w:val="center"/>
              <w:rPr/>
            </w:pPr>
            <w:r>
              <w:rPr/>
              <w:t>​</w:t>
            </w:r>
          </w:p>
        </w:tc>
      </w:tr>
      <w:tr>
        <w:trPr/>
        <w:tc>
          <w:tcPr>
            <w:tcW w:w="957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that are leased by Borrower or a Subsidiary pursuant to an Acceptable Leasehold Interest</w:t>
            </w:r>
          </w:p>
        </w:tc>
        <w:tc>
          <w:tcPr>
            <w:tcW w:w="62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7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M1 shall not be greater than 15%</w:t>
            </w:r>
          </w:p>
        </w:tc>
        <w:tc>
          <w:tcPr>
            <w:tcW w:w="627" w:type="dxa"/>
            <w:tcBorders/>
            <w:vAlign w:val="center"/>
          </w:tcPr>
          <w:p>
            <w:pPr>
              <w:pStyle w:val="TableContents"/>
              <w:bidi w:val="0"/>
              <w:spacing w:before="140" w:after="240"/>
              <w:ind w:left="0" w:right="0" w:hanging="0"/>
              <w:jc w:val="center"/>
              <w:rPr/>
            </w:pPr>
            <w:r>
              <w:rPr/>
              <w:t>​</w:t>
            </w:r>
          </w:p>
        </w:tc>
      </w:tr>
      <w:tr>
        <w:trPr/>
        <w:tc>
          <w:tcPr>
            <w:tcW w:w="957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7" w:type="dxa"/>
            <w:tcBorders/>
            <w:vAlign w:val="center"/>
          </w:tcPr>
          <w:p>
            <w:pPr>
              <w:pStyle w:val="TableContents"/>
              <w:bidi w:val="0"/>
              <w:spacing w:before="140" w:after="240"/>
              <w:ind w:left="0" w:right="0" w:hanging="0"/>
              <w:jc w:val="center"/>
              <w:rPr/>
            </w:pPr>
            <w:r>
              <w:rPr>
                <w:rFonts w:ascii="Times" w:hAnsi="Times"/>
                <w:sz w:val="24"/>
              </w:rPr>
              <w:t>yes/no</w:t>
            </w:r>
            <w:hyperlink w:anchor="footnote-11">
              <w:r>
                <w:rPr>
                  <w:rStyle w:val="InternetLink"/>
                  <w:rFonts w:ascii="Times" w:hAnsi="Times"/>
                  <w:sz w:val="18"/>
                </w:rPr>
                <w:t>9</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83" w:name="footnote-9"/>
      <w:bookmarkEnd w:id="1883"/>
      <w:r>
        <w:rPr>
          <w:rFonts w:ascii="Times New Roman;Times;serif" w:hAnsi="Times New Roman;Times;serif"/>
          <w:sz w:val="15"/>
        </w:rPr>
        <w:t>7</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s attributable to any Unencumbered Assets to the extent it exceeds the 25% concentration limit.</w:t>
      </w:r>
    </w:p>
    <w:p>
      <w:pPr>
        <w:pStyle w:val="TextBody"/>
        <w:bidi w:val="0"/>
        <w:spacing w:before="0" w:after="0"/>
        <w:ind w:left="0" w:right="0" w:hanging="0"/>
        <w:jc w:val="left"/>
        <w:rPr>
          <w:rFonts w:ascii="Times New Roman;Times;serif" w:hAnsi="Times New Roman;Times;serif"/>
          <w:sz w:val="20"/>
        </w:rPr>
      </w:pPr>
      <w:bookmarkStart w:id="1884" w:name="footnote-10"/>
      <w:bookmarkEnd w:id="1884"/>
      <w:r>
        <w:rPr>
          <w:rFonts w:ascii="Times New Roman;Times;serif" w:hAnsi="Times New Roman;Times;serif"/>
          <w:sz w:val="15"/>
        </w:rPr>
        <w:t>8</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is attributable to any Unencumbered Assets to the extent it exceeds the 20% concentration limit.</w:t>
      </w:r>
    </w:p>
    <w:p>
      <w:pPr>
        <w:pStyle w:val="TextBody"/>
        <w:bidi w:val="0"/>
        <w:spacing w:before="0" w:after="0"/>
        <w:ind w:left="0" w:right="0" w:hanging="0"/>
        <w:jc w:val="left"/>
        <w:rPr>
          <w:rFonts w:ascii="Times New Roman;Times;serif" w:hAnsi="Times New Roman;Times;serif"/>
          <w:sz w:val="20"/>
        </w:rPr>
      </w:pPr>
      <w:bookmarkStart w:id="1885" w:name="footnote-11"/>
      <w:bookmarkEnd w:id="1885"/>
      <w:r>
        <w:rPr>
          <w:rFonts w:ascii="Times New Roman;Times;serif" w:hAnsi="Times New Roman;Times;serif"/>
          <w:sz w:val="15"/>
        </w:rPr>
        <w:t>9</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Assets leased by the Borrower or a Subsidiary pursuant to an Acceptable Leasehold Interest to the extent it exceeds the 15% concentration limit.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82"/>
        <w:gridCol w:w="723"/>
      </w:tblGrid>
      <w:tr>
        <w:trPr/>
        <w:tc>
          <w:tcPr>
            <w:tcW w:w="9482"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r>
      <w:tr>
        <w:trPr/>
        <w:tc>
          <w:tcPr>
            <w:tcW w:w="9482"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N.</w:t>
            </w:r>
          </w:p>
          <w:p>
            <w:pPr>
              <w:pStyle w:val="TableContents"/>
              <w:bidi w:val="0"/>
              <w:spacing w:before="280" w:after="0"/>
              <w:ind w:left="0" w:right="0" w:hanging="0"/>
              <w:jc w:val="left"/>
              <w:rPr/>
            </w:pPr>
            <w:r>
              <w:rPr>
                <w:rFonts w:ascii="Times New Roman;Times;serif" w:hAnsi="Times New Roman;Times;serif"/>
                <w:sz w:val="24"/>
                <w:u w:val="single"/>
              </w:rPr>
              <w:t>MSA</w:t>
            </w:r>
            <w:hyperlink w:anchor="footnote-12">
              <w:r>
                <w:rPr>
                  <w:rStyle w:val="InternetLink"/>
                  <w:rFonts w:ascii="Times New Roman;Times;serif" w:hAnsi="Times New Roman;Times;serif"/>
                  <w:sz w:val="18"/>
                </w:rPr>
                <w:t>10</w:t>
              </w:r>
            </w:hyperlink>
          </w:p>
        </w:tc>
        <w:tc>
          <w:tcPr>
            <w:tcW w:w="723" w:type="dxa"/>
            <w:tcBorders/>
            <w:vAlign w:val="center"/>
          </w:tcPr>
          <w:p>
            <w:pPr>
              <w:pStyle w:val="TableContents"/>
              <w:pBdr/>
              <w:bidi w:val="0"/>
              <w:spacing w:before="280" w:after="0"/>
              <w:ind w:left="0" w:right="0" w:hanging="0"/>
              <w:jc w:val="left"/>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in [________] MSA</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N1 shall not be greater than 25%</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482"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O.</w:t>
            </w:r>
            <w:r>
              <w:rPr>
                <w:rFonts w:ascii="Times New Roman;Times;serif" w:hAnsi="Times New Roman;Times;serif"/>
                <w:sz w:val="24"/>
                <w:u w:val="single"/>
              </w:rPr>
              <w:t>Mortgage Receivables Value</w:t>
            </w:r>
            <w:hyperlink w:anchor="footnote-13">
              <w:r>
                <w:rPr>
                  <w:rStyle w:val="InternetLink"/>
                  <w:rFonts w:ascii="Times New Roman;Times;serif" w:hAnsi="Times New Roman;Times;serif"/>
                  <w:sz w:val="18"/>
                </w:rPr>
                <w:t>11</w:t>
              </w:r>
            </w:hyperlink>
            <w:r>
              <w:rPr>
                <w:rFonts w:ascii="Times New Roman;Times;serif" w:hAnsi="Times New Roman;Times;serif"/>
                <w:sz w:val="24"/>
              </w:rPr>
              <w:t xml:space="preserve"> </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Mortgage Receivables</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O1 shall not be greater than 10%</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482"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P.</w:t>
            </w:r>
            <w:r>
              <w:rPr>
                <w:rFonts w:ascii="Times New Roman;Times;serif" w:hAnsi="Times New Roman;Times;serif"/>
                <w:sz w:val="24"/>
                <w:u w:val="single"/>
              </w:rPr>
              <w:t>Mortgage Receivables Income</w:t>
            </w:r>
            <w:hyperlink w:anchor="footnote-14">
              <w:r>
                <w:rPr>
                  <w:rStyle w:val="InternetLink"/>
                  <w:rFonts w:ascii="Times New Roman;Times;serif" w:hAnsi="Times New Roman;Times;serif"/>
                  <w:sz w:val="18"/>
                </w:rPr>
                <w:t>12</w:t>
              </w:r>
            </w:hyperlink>
            <w:r>
              <w:rPr>
                <w:rFonts w:ascii="Times New Roman;Times;serif" w:hAnsi="Times New Roman;Times;serif"/>
                <w:sz w:val="24"/>
              </w:rPr>
              <w:t xml:space="preserve"> </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Pool Total Income (Line F1 plus F2) attributable to Unencumbered Mortgage Receivables</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P1 shall not be greater than 10%</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482"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Q.</w:t>
            </w:r>
            <w:r>
              <w:rPr>
                <w:rFonts w:ascii="Times New Roman;Times;serif" w:hAnsi="Times New Roman;Times;serif"/>
                <w:sz w:val="24"/>
                <w:u w:val="single"/>
              </w:rPr>
              <w:t>Occupancy Rate</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Occupancy Rate of Unencumbered Assets</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Q1 shall not be less than 85%</w:t>
            </w:r>
          </w:p>
        </w:tc>
        <w:tc>
          <w:tcPr>
            <w:tcW w:w="723" w:type="dxa"/>
            <w:tcBorders/>
            <w:vAlign w:val="center"/>
          </w:tcPr>
          <w:p>
            <w:pPr>
              <w:pStyle w:val="TableContents"/>
              <w:bidi w:val="0"/>
              <w:spacing w:before="140" w:after="24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86" w:name="footnote-12"/>
      <w:bookmarkEnd w:id="1886"/>
      <w:r>
        <w:rPr>
          <w:rFonts w:ascii="Times New Roman;Times;serif" w:hAnsi="Times New Roman;Times;serif"/>
          <w:sz w:val="15"/>
        </w:rPr>
        <w:t>10</w:t>
      </w:r>
      <w:r>
        <w:rPr>
          <w:rFonts w:ascii="Times New Roman;Times;serif" w:hAnsi="Times New Roman;Times;serif"/>
          <w:sz w:val="20"/>
        </w:rPr>
        <w:t xml:space="preserve"> To be duplicated for each MSA with Unencumbered Assets.</w:t>
      </w:r>
    </w:p>
    <w:p>
      <w:pPr>
        <w:pStyle w:val="TextBody"/>
        <w:bidi w:val="0"/>
        <w:spacing w:before="0" w:after="0"/>
        <w:ind w:left="0" w:right="0" w:hanging="0"/>
        <w:jc w:val="left"/>
        <w:rPr>
          <w:rFonts w:ascii="Times New Roman;Times;serif" w:hAnsi="Times New Roman;Times;serif"/>
          <w:sz w:val="20"/>
        </w:rPr>
      </w:pPr>
      <w:bookmarkStart w:id="1887" w:name="footnote-13"/>
      <w:bookmarkEnd w:id="1887"/>
      <w:r>
        <w:rPr>
          <w:rFonts w:ascii="Times New Roman;Times;serif" w:hAnsi="Times New Roman;Times;serif"/>
          <w:sz w:val="15"/>
        </w:rPr>
        <w:t>11</w:t>
      </w:r>
      <w:r>
        <w:rPr>
          <w:rFonts w:ascii="Times New Roman;Times;serif" w:hAnsi="Times New Roman;Times;serif"/>
          <w:sz w:val="20"/>
        </w:rPr>
        <w:t xml:space="preserve"> If applicable, the calculation of Unencumbered Asset Value includes an adjustment to exclude that portion of the book value of any Unencumbered Mortgage Receivables to the extent it exceeds the 10% concentration limit.</w:t>
      </w:r>
    </w:p>
    <w:p>
      <w:pPr>
        <w:pStyle w:val="TextBody"/>
        <w:bidi w:val="0"/>
        <w:spacing w:before="0" w:after="0"/>
        <w:ind w:left="0" w:right="0" w:hanging="0"/>
        <w:jc w:val="left"/>
        <w:rPr>
          <w:rFonts w:ascii="Times New Roman;Times;serif" w:hAnsi="Times New Roman;Times;serif"/>
          <w:sz w:val="20"/>
        </w:rPr>
      </w:pPr>
      <w:bookmarkStart w:id="1888" w:name="footnote-14"/>
      <w:bookmarkEnd w:id="1888"/>
      <w:r>
        <w:rPr>
          <w:rFonts w:ascii="Times New Roman;Times;serif" w:hAnsi="Times New Roman;Times;serif"/>
          <w:sz w:val="15"/>
        </w:rPr>
        <w:t>12</w:t>
      </w:r>
      <w:r>
        <w:rPr>
          <w:rFonts w:ascii="Times New Roman;Times;serif" w:hAnsi="Times New Roman;Times;serif"/>
          <w:sz w:val="20"/>
        </w:rPr>
        <w:t xml:space="preserve"> If applicable, the calculation of Unencumbered Pool Total Income includes an adjustment to exclude that portion of the cash interest income form any Unencumbered Mortgage Receivables to the extent it exceeds the 10% concentration limit.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A, with a calculation date of __________,______, is attached to Schedule I to the Compliance Certificate of Alpine Income Property OP, LP dated ___________, 20__, as amended, and delivered to KeyBank National Association, as Administrative Agent, and the Lenders party to the Amended and Restated Credit Agreement, as amended, referred to therein.  The undersigned hereby certifies that the following is a true, correct and complete calculation of Total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78740" cy="175260"/>
                      <wp:effectExtent l="0" t="0" r="0" b="0"/>
                      <wp:wrapNone/>
                      <wp:docPr id="498" name="Frame49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367280" cy="29210"/>
                      <wp:effectExtent l="0" t="0" r="0" b="0"/>
                      <wp:wrapNone/>
                      <wp:docPr id="499" name="Frame499"/>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034155" cy="175260"/>
                      <wp:effectExtent l="0" t="0" r="0" b="0"/>
                      <wp:wrapNone/>
                      <wp:docPr id="500" name="Frame500"/>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88"/>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B, with a calculation date of __________,______, is attached to Schedule I to the Compliance Certificate of Alpine Income Property OP, LP dated _________, 2021, as amended, and delivered to KeyBank National Association, as Administrative Agent, and the Lenders party to the Amended and Restated Credit Agreement, as amended, referred to therein.  The undersigned hereby certifies that the following is a true, correct and complete calculation of Property NOI for all Properties for Rolling Period most recently ended:</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28" w:type="dxa"/>
          <w:left w:w="103" w:type="dxa"/>
          <w:bottom w:w="28" w:type="dxa"/>
          <w:right w:w="103" w:type="dxa"/>
        </w:tblCellMar>
      </w:tblPr>
      <w:tblGrid>
        <w:gridCol w:w="796"/>
        <w:gridCol w:w="879"/>
        <w:gridCol w:w="556"/>
        <w:gridCol w:w="1747"/>
        <w:gridCol w:w="556"/>
        <w:gridCol w:w="1321"/>
        <w:gridCol w:w="556"/>
        <w:gridCol w:w="2305"/>
        <w:gridCol w:w="601"/>
        <w:gridCol w:w="888"/>
      </w:tblGrid>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Income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Expenses (without Cap. Ex. Reserve or Management Fees)</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Capital Expenditure Reserve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Greater of 1% (for retail net lease properties) or 3% of rents for other properties or actual management fees</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NOI</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Properties:$_____________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Unencumbered Real Property Assets:$_____________</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78740" cy="175260"/>
                      <wp:effectExtent l="0" t="0" r="0" b="0"/>
                      <wp:wrapNone/>
                      <wp:docPr id="501" name="Frame50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367280" cy="29210"/>
                      <wp:effectExtent l="0" t="0" r="0" b="0"/>
                      <wp:wrapNone/>
                      <wp:docPr id="502" name="Frame502"/>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034155" cy="175260"/>
                      <wp:effectExtent l="0" t="0" r="0" b="0"/>
                      <wp:wrapNone/>
                      <wp:docPr id="503" name="Frame503"/>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88"/>
        <w:jc w:val="left"/>
        <w:rPr>
          <w:smallCaps/>
        </w:rPr>
      </w:pPr>
      <w:r>
        <w:rPr>
          <w:smallCaps/>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C, with a calculation date of __________,______, is attached to Schedule I to the Compliance Certificate of Alpine Income Property OP, LP dated ___________, 20__, as amended, and delivered to KeyBank National Association, as Administrative Agent, and the Lenders party to the Amended and Restated Credit Agreement, as amended, referred to therein.  The undersigned hereby certifies that the following is a true, correct and complete calculation of Unencumbered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78740" cy="175260"/>
                      <wp:effectExtent l="0" t="0" r="0" b="0"/>
                      <wp:wrapNone/>
                      <wp:docPr id="504" name="Frame50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367280" cy="29210"/>
                      <wp:effectExtent l="0" t="0" r="0" b="0"/>
                      <wp:wrapNone/>
                      <wp:docPr id="505" name="Frame505"/>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034155" cy="175260"/>
                      <wp:effectExtent l="0" t="0" r="0" b="0"/>
                      <wp:wrapNone/>
                      <wp:docPr id="506" name="Frame506"/>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88"/>
        <w:jc w:val="left"/>
        <w:rPr>
          <w:smallCaps/>
        </w:rPr>
      </w:pPr>
      <w:r>
        <w:rPr>
          <w:smallCaps/>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1.1</w:t>
      </w:r>
    </w:p>
    <w:p>
      <w:pPr>
        <w:pStyle w:val="TextBody"/>
        <w:bidi w:val="0"/>
        <w:spacing w:before="0" w:after="0"/>
        <w:ind w:left="0" w:right="0" w:hanging="0"/>
        <w:jc w:val="center"/>
        <w:rPr>
          <w:smallCaps/>
        </w:rPr>
      </w:pPr>
      <w:r>
        <w:rPr>
          <w:smallCaps/>
        </w:rPr>
        <w:t>​</w:t>
      </w:r>
      <w:r>
        <w:rPr>
          <w:rFonts w:ascii="Times New Roman;Times;serif" w:hAnsi="Times New Roman;Times;serif"/>
          <w:b/>
          <w:smallCaps/>
          <w:sz w:val="24"/>
        </w:rPr>
        <w:br/>
        <w:t xml:space="preserve">Initial Unencumbered Assets </w:t>
      </w:r>
    </w:p>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w:hAnsi="Times"/>
          <w:sz w:val="24"/>
        </w:rPr>
      </w:pPr>
      <w:r>
        <w:rPr>
          <w:rFonts w:ascii="Times" w:hAnsi="Times"/>
          <w:sz w:val="24"/>
        </w:rPr>
        <w:t>Part I – Unencumbered Real Property Assets</w:t>
      </w:r>
    </w:p>
    <w:tbl>
      <w:tblPr>
        <w:tblW w:w="7233" w:type="dxa"/>
        <w:jc w:val="left"/>
        <w:tblInd w:w="0" w:type="dxa"/>
        <w:tblLayout w:type="fixed"/>
        <w:tblCellMar>
          <w:top w:w="0" w:type="dxa"/>
          <w:left w:w="0" w:type="dxa"/>
          <w:bottom w:w="0" w:type="dxa"/>
          <w:right w:w="0" w:type="dxa"/>
        </w:tblCellMar>
      </w:tblPr>
      <w:tblGrid>
        <w:gridCol w:w="2881"/>
        <w:gridCol w:w="2971"/>
        <w:gridCol w:w="1381"/>
      </w:tblGrid>
      <w:tr>
        <w:trPr/>
        <w:tc>
          <w:tcPr>
            <w:tcW w:w="288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lineRule="atLeast" w:line="260" w:before="1" w:after="0"/>
              <w:ind w:left="602" w:right="593" w:hanging="0"/>
              <w:jc w:val="center"/>
              <w:rPr/>
            </w:pPr>
            <w:r>
              <w:rPr/>
              <w:t>​</w:t>
            </w:r>
          </w:p>
          <w:p>
            <w:pPr>
              <w:pStyle w:val="TableContents"/>
              <w:bidi w:val="0"/>
              <w:spacing w:before="0" w:after="0"/>
              <w:ind w:left="0" w:right="0" w:hanging="0"/>
              <w:jc w:val="left"/>
              <w:rPr/>
            </w:pPr>
            <w:r>
              <w:rPr/>
              <w:t>​</w:t>
            </w:r>
          </w:p>
        </w:tc>
        <w:tc>
          <w:tcPr>
            <w:tcW w:w="1381" w:type="dxa"/>
            <w:tcBorders/>
            <w:vAlign w:val="center"/>
          </w:tcPr>
          <w:p>
            <w:pPr>
              <w:pStyle w:val="TableContents"/>
              <w:bidi w:val="0"/>
              <w:spacing w:lineRule="atLeast" w:line="260" w:before="1" w:after="0"/>
              <w:ind w:left="9" w:right="0" w:hanging="0"/>
              <w:jc w:val="center"/>
              <w:rPr/>
            </w:pPr>
            <w:r>
              <w:rPr/>
              <w:t>​</w:t>
            </w:r>
          </w:p>
          <w:p>
            <w:pPr>
              <w:pStyle w:val="TableContents"/>
              <w:bidi w:val="0"/>
              <w:spacing w:before="0" w:after="0"/>
              <w:ind w:left="0" w:right="0" w:hanging="0"/>
              <w:jc w:val="left"/>
              <w:rPr/>
            </w:pPr>
            <w:r>
              <w:rPr/>
              <w: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60" w:before="280" w:after="0"/>
              <w:ind w:left="0" w:right="0" w:hanging="0"/>
              <w:jc w:val="center"/>
              <w:rPr>
                <w:rFonts w:ascii="Times New Roman;Times;serif" w:hAnsi="Times New Roman;Times;serif"/>
                <w:b/>
                <w:sz w:val="24"/>
              </w:rPr>
            </w:pPr>
            <w:r>
              <w:rPr>
                <w:rFonts w:ascii="Times New Roman;Times;serif" w:hAnsi="Times New Roman;Times;serif"/>
                <w:b/>
                <w:sz w:val="24"/>
              </w:rPr>
              <w:t>Tenant (DBA)</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City, State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Square Feet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Century Theater</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Reno, Nevada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52,474</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Dick’s Sporting Goods, Inc.</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46,315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Best Buy Stores, L.P.</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30,038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Alpine Valley Music Theatre</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East Troy, Wisconsin</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93,322</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Family Dollar</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Lynn, Massachusetts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9,228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Birmingham, Alabama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14,516</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Albany,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14,770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Old Time Pottery</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Orange Park, Florida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84,180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AMC Theatre</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Tyngsborough, Massachusetts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39,474</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Barker,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9,275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Bingham, Maine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9,345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Chazy,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9,277</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Hammond,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9,219</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Harrisville,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9,309</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Heuvelton,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9,342</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Howell, Michigan</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214,172</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Limestone, Maine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9" w:right="0" w:hanging="0"/>
              <w:jc w:val="center"/>
              <w:rPr>
                <w:rFonts w:ascii="Times New Roman;Times;serif" w:hAnsi="Times New Roman;Times;serif"/>
                <w:sz w:val="24"/>
              </w:rPr>
            </w:pPr>
            <w:r>
              <w:rPr>
                <w:rFonts w:ascii="Times New Roman;Times;serif" w:hAnsi="Times New Roman;Times;serif"/>
                <w:sz w:val="24"/>
              </w:rPr>
              <w:t>9,167</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88" w:type="dxa"/>
        <w:jc w:val="left"/>
        <w:tblInd w:w="0" w:type="dxa"/>
        <w:tblLayout w:type="fixed"/>
        <w:tblCellMar>
          <w:top w:w="28" w:type="dxa"/>
          <w:left w:w="28" w:type="dxa"/>
          <w:bottom w:w="28" w:type="dxa"/>
          <w:right w:w="28" w:type="dxa"/>
        </w:tblCellMar>
      </w:tblPr>
      <w:tblGrid>
        <w:gridCol w:w="2041"/>
        <w:gridCol w:w="2536"/>
        <w:gridCol w:w="811"/>
      </w:tblGrid>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Milford, Maine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9,128</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Newtonsville,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9,290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Odessa,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9,127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Salem, New York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9,199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Severn, Maryland</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6,876</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Somerville,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9,252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Willis,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9,138</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Winthrop, New York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9,167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Kermit,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10,920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Tacoma, Washington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14,125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Cut &amp; Shoot,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9,096</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Del Rio,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9,219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Seguin,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9,155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89,902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Pet Supplies Plus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8,400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Salon Lofts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4,000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Burlington</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Richland Hills,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70,891</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Florence, SC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58,410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Circle K</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Indianapolis, IN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4,283</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Burger King</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Plymouth,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3,142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Demopolis, AL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10,159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Firestone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Pittsburgh, PA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10,629</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73" w:type="dxa"/>
        <w:jc w:val="left"/>
        <w:tblInd w:w="0" w:type="dxa"/>
        <w:tblLayout w:type="fixed"/>
        <w:tblCellMar>
          <w:top w:w="28" w:type="dxa"/>
          <w:left w:w="28" w:type="dxa"/>
          <w:bottom w:w="28" w:type="dxa"/>
          <w:right w:w="28" w:type="dxa"/>
        </w:tblCellMar>
      </w:tblPr>
      <w:tblGrid>
        <w:gridCol w:w="2596"/>
        <w:gridCol w:w="1966"/>
        <w:gridCol w:w="811"/>
      </w:tblGrid>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Ware, MA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6,889</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Athens,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6,871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Burlington,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11,394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O’Reilly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Duluth,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11,182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Midland,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14,624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Ludington,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6,604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New Baltimore,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6,784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Camping World</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Hermantown,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66,033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Stilwell,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9,828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O’Reilly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Angels Camp, CA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7,066</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Hempstead,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52,190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Jackson,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1,920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Leland,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3,343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 Paul,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7,201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89,460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Boston Market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2,627</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Verizon</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6,027</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Albuquerque, NM</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30,346</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Albuquerque, NM</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10,023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7-Eleven</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Olathe,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4,165</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Ashley HomeStore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Dayton,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33,310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Dayton,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45,535</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68" w:type="dxa"/>
        <w:jc w:val="left"/>
        <w:tblInd w:w="0" w:type="dxa"/>
        <w:tblLayout w:type="fixed"/>
        <w:tblCellMar>
          <w:top w:w="28" w:type="dxa"/>
          <w:left w:w="28" w:type="dxa"/>
          <w:bottom w:w="28" w:type="dxa"/>
          <w:right w:w="28" w:type="dxa"/>
        </w:tblCellMar>
      </w:tblPr>
      <w:tblGrid>
        <w:gridCol w:w="2596"/>
        <w:gridCol w:w="1861"/>
        <w:gridCol w:w="811"/>
      </w:tblGrid>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Lafayette, LA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45,611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CVS</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Baton Rouge, LA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13,813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Dansville,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9,174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Ellicottville,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9,144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Perry,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9,181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Warsaw,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14,495</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Sulphur,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Burlington,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Caneyville, KY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10,604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Dearing,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9,288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Gladewater,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10,111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Village, AR</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14,592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Madill,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9,682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McKenny, VA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10,531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Murfreesboro, AR</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Phillipsburg,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Plainville,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Sabetha,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Superior, NE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Tipton,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Van Buren,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Amsterdam,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973" w:type="dxa"/>
        <w:jc w:val="left"/>
        <w:tblInd w:w="0" w:type="dxa"/>
        <w:tblLayout w:type="fixed"/>
        <w:tblCellMar>
          <w:top w:w="28" w:type="dxa"/>
          <w:left w:w="28" w:type="dxa"/>
          <w:bottom w:w="28" w:type="dxa"/>
          <w:right w:w="28" w:type="dxa"/>
        </w:tblCellMar>
      </w:tblPr>
      <w:tblGrid>
        <w:gridCol w:w="2581"/>
        <w:gridCol w:w="2461"/>
        <w:gridCol w:w="931"/>
      </w:tblGrid>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Medicine Lodge, KS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Town Creek,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Washington,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23,466</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Logan, WV</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114,731</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Gadsden,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7,242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City, FL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Richmond, IN</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5,108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Depot/Office Max</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Gadsden,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23,638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Old Time Pottery</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West Chicago, IL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78,721</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Orscheln Farm and Home</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Owensville,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38,452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Party City</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Oceanside, NY</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Sportman’s Warehouse</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Morgantown, WV</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30,547</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Tractor Supply</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Washington Court,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39,984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Cadiz,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1,292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Cleveland,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2,554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Lorain,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Blackwood, NJ</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Brick, NJ</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14,550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Decatur, IL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Edgewater, MD</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Feasterville-Trevose, PA</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Glen Burnie, MD</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14,490</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688" w:type="dxa"/>
        <w:jc w:val="left"/>
        <w:tblInd w:w="0" w:type="dxa"/>
        <w:tblLayout w:type="fixed"/>
        <w:tblCellMar>
          <w:top w:w="28" w:type="dxa"/>
          <w:left w:w="28" w:type="dxa"/>
          <w:bottom w:w="28" w:type="dxa"/>
          <w:right w:w="28" w:type="dxa"/>
        </w:tblCellMar>
      </w:tblPr>
      <w:tblGrid>
        <w:gridCol w:w="5026"/>
        <w:gridCol w:w="2671"/>
        <w:gridCol w:w="991"/>
      </w:tblGrid>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Taylorville, IL</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14,550</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West Hartford, CT</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12,805</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SAFE Federal Credit Union</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Florence, SC</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0</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Houston, TX</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131,644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Chesterfield Township, MI</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49,979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Tecumseh, NE</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10,644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Home Depot</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Woodridge, IL</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110,626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Victor, NY</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120,908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Vacant</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Victor, NY</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20,055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Caney, KS</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10,555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Auburn, NE</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10,577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Anderson, AL</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10,607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Malden, MO</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48,081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Des Arc. AR</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10,555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Marshalls, Michaels, Home Goods, Starbucks, et al.</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84,922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Verizon</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6,034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20,460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50,000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Home Depot</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125,218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Red Robin</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4,575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Adrian, MI</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101,287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Fremont, OH</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125,357 </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48" w:type="dxa"/>
        <w:jc w:val="left"/>
        <w:tblInd w:w="0" w:type="dxa"/>
        <w:tblLayout w:type="fixed"/>
        <w:tblCellMar>
          <w:top w:w="28" w:type="dxa"/>
          <w:left w:w="28" w:type="dxa"/>
          <w:bottom w:w="28" w:type="dxa"/>
          <w:right w:w="28" w:type="dxa"/>
        </w:tblCellMar>
      </w:tblPr>
      <w:tblGrid>
        <w:gridCol w:w="2416"/>
        <w:gridCol w:w="2161"/>
        <w:gridCol w:w="871"/>
      </w:tblGrid>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Anthony, KS</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10,500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Crunch Fitness</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Buford, GA</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24,800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Kohl's</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Phoenix, AZ</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86,584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McGehee, AR</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10,993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City, AR</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10,424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Downers Grove, IL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62,860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Golf Galaxy</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Downers Grove, IL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38,297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Golf Galaxy</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Glen Allen, VA</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23,635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 / Beach House</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Bradenton Beach, FL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22,131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 / Sand Bar</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Anna Maria, FL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10,600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 / Mar Vista</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Longboat Key, FL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6,520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Part II – Unencumbered Mortgage Receivables</w:t>
      </w:r>
    </w:p>
    <w:p>
      <w:pPr>
        <w:pStyle w:val="TextBody"/>
        <w:bidi w:val="0"/>
        <w:spacing w:before="0" w:after="240"/>
        <w:ind w:left="0" w:right="0" w:hanging="0"/>
        <w:jc w:val="both"/>
        <w:rPr>
          <w:rFonts w:ascii="Times" w:hAnsi="Times"/>
          <w:sz w:val="24"/>
        </w:rPr>
      </w:pPr>
      <w:r>
        <w:rPr>
          <w:rFonts w:ascii="Times" w:hAnsi="Times"/>
          <w:sz w:val="24"/>
        </w:rPr>
        <w:t>None.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6.2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SUBSIDIARIES </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144"/>
        <w:gridCol w:w="1779"/>
        <w:gridCol w:w="1801"/>
        <w:gridCol w:w="3481"/>
      </w:tblGrid>
      <w:tr>
        <w:trPr/>
        <w:tc>
          <w:tcPr>
            <w:tcW w:w="3144" w:type="dxa"/>
            <w:tcBorders/>
            <w:vAlign w:val="center"/>
          </w:tcPr>
          <w:p>
            <w:pPr>
              <w:pStyle w:val="TableContents"/>
              <w:bidi w:val="0"/>
              <w:spacing w:before="0" w:after="283"/>
              <w:ind w:left="0" w:right="0" w:hanging="0"/>
              <w:jc w:val="left"/>
              <w:rPr>
                <w:sz w:val="4"/>
                <w:szCs w:val="4"/>
              </w:rPr>
            </w:pPr>
            <w:r>
              <w:rPr>
                <w:sz w:val="4"/>
                <w:szCs w:val="4"/>
              </w:rPr>
            </w:r>
          </w:p>
        </w:tc>
        <w:tc>
          <w:tcPr>
            <w:tcW w:w="1779" w:type="dxa"/>
            <w:tcBorders/>
            <w:vAlign w:val="center"/>
          </w:tcPr>
          <w:p>
            <w:pPr>
              <w:pStyle w:val="TableContents"/>
              <w:bidi w:val="0"/>
              <w:spacing w:before="0" w:after="283"/>
              <w:ind w:left="0" w:right="0" w:hanging="0"/>
              <w:jc w:val="left"/>
              <w:rPr>
                <w:sz w:val="4"/>
                <w:szCs w:val="4"/>
              </w:rPr>
            </w:pPr>
            <w:r>
              <w:rPr>
                <w:sz w:val="4"/>
                <w:szCs w:val="4"/>
              </w:rPr>
            </w:r>
          </w:p>
        </w:tc>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Subsidiary</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Date of Formation</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State of Formation</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Member/General Partner (as applicable)</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PINE19 ALPHARETTA GA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1,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INDIGO HENRY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26, 2006</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Florida</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CTO17 BRANDON FL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27, 2017</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BIRMINGHAM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8,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CTLC18 LYNN MA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ALBANY GA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6,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TROY WI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20,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HURST TX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16,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HIGHLAND KY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January 16,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TYN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January 16,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BLANDING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6,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p>
            <w:pPr>
              <w:pStyle w:val="TableContents"/>
              <w:bidi w:val="0"/>
              <w:spacing w:before="0" w:after="0"/>
              <w:ind w:left="0" w:right="0" w:hanging="0"/>
              <w:jc w:val="left"/>
              <w:rPr/>
            </w:pPr>
            <w:r>
              <w:rPr/>
              <w:t>​</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ARDEN NC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HOWELL MI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BARKER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CHAZY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HAMMOND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HARRISVILLE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HEUVELTON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NEWTONSVILLE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3977"/>
        <w:gridCol w:w="1958"/>
        <w:gridCol w:w="1021"/>
        <w:gridCol w:w="3249"/>
      </w:tblGrid>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SALEM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WINTHROP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19,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SEVERN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WILLIS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SOMERVILLE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BINGHAM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LIMESTONE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MILFORD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ODESSA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KERMIT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TACOMA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16,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DEL RIO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SEGUIN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CUT &amp; SHOOT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20,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CTO16 RENO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1, 2016</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IV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17,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9603 WESTHEIMER ROAD,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9,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OH 2,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5,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Ohio</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OH,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6,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Ohio</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5,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II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15,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III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2,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04" w:type="dxa"/>
        <w:jc w:val="left"/>
        <w:tblInd w:w="0" w:type="dxa"/>
        <w:tblLayout w:type="fixed"/>
        <w:tblCellMar>
          <w:top w:w="28" w:type="dxa"/>
          <w:left w:w="103" w:type="dxa"/>
          <w:bottom w:w="28" w:type="dxa"/>
          <w:right w:w="103" w:type="dxa"/>
        </w:tblCellMar>
      </w:tblPr>
      <w:tblGrid>
        <w:gridCol w:w="3661"/>
        <w:gridCol w:w="2011"/>
        <w:gridCol w:w="1021"/>
        <w:gridCol w:w="3211"/>
      </w:tblGrid>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23,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23,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VII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26,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VIII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IX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13,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X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HOUSTON EAST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HOUSTON WEST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SPORTS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ACQ 3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20,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CAESAR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12,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MAPLE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9,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MALDEN MO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15,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WASH MO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7,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PINE23 IN LENDER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20,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PINE23 MM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26,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PINE23 TN LENDER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21, 2023</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CLEAR CREEK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12,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COOLRAY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10,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DOWNERS GROVE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5,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KNOXVILLE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4,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MT CARMEL OH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7,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OCEANSIDE BH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11,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4178"/>
        <w:gridCol w:w="1927"/>
        <w:gridCol w:w="1021"/>
        <w:gridCol w:w="3079"/>
      </w:tblGrid>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OCEANSIDE SB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22,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SHORT PUMP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8,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PINE19 GEORGETOWN TX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10,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PINE19 SLAUGHTER AUSTIN TX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10,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WINSTON-SALEM NC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13,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VII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PINE21 ACQUISITIONS IX LLC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ACQ 3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MALDEN MO LLC</w:t>
      </w:r>
    </w:p>
    <w:p>
      <w:pPr>
        <w:pStyle w:val="TextBody"/>
        <w:bidi w:val="0"/>
        <w:spacing w:before="0" w:after="0"/>
        <w:ind w:left="0" w:right="0" w:hanging="0"/>
        <w:jc w:val="left"/>
        <w:rPr>
          <w:rFonts w:ascii="Times New Roman;Times;serif" w:hAnsi="Times New Roman;Times;serif"/>
          <w:sz w:val="24"/>
        </w:rPr>
      </w:pPr>
      <w:bookmarkStart w:id="1889" w:name="_Hlk185507197"/>
      <w:bookmarkEnd w:id="1889"/>
      <w:r>
        <w:rPr>
          <w:rFonts w:ascii="Times New Roman;Times;serif" w:hAnsi="Times New Roman;Times;serif"/>
          <w:sz w:val="24"/>
        </w:rPr>
        <w:t>PINE24 OCEANSIDE BH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OCEANSIDE SB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SHORT PUMP LLC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890" w:name="pine-20241231xex10d23.htm"/>
      <w:bookmarkStart w:id="1891" w:name="kspine20241231xex10d23"/>
      <w:bookmarkEnd w:id="1890"/>
      <w:bookmarkEnd w:id="1891"/>
      <w:r>
        <w:rPr>
          <w:rFonts w:ascii="Times New Roman;Times;serif" w:hAnsi="Times New Roman;Times;serif"/>
          <w:b/>
          <w:sz w:val="24"/>
        </w:rPr>
        <w:t>Exhibit 10.23</w:t>
      </w:r>
      <w:r>
        <w:br w:type="page"/>
      </w:r>
    </w:p>
    <w:p>
      <w:pPr>
        <w:pStyle w:val="TextBody"/>
        <w:bidi w:val="0"/>
        <w:spacing w:before="0" w:after="0"/>
        <w:ind w:left="0" w:right="0" w:hanging="0"/>
        <w:jc w:val="right"/>
        <w:rPr>
          <w:rFonts w:ascii="Times New Roman;Times;serif" w:hAnsi="Times New Roman;Times;serif"/>
          <w:b/>
          <w:i/>
          <w:sz w:val="24"/>
        </w:rPr>
      </w:pPr>
      <w:r>
        <w:rPr>
          <w:rFonts w:ascii="Times New Roman;Times;serif" w:hAnsi="Times New Roman;Times;serif"/>
          <w:b/>
          <w:i/>
          <w:sz w:val="24"/>
        </w:rPr>
        <w:t>Execution Version</w:t>
      </w:r>
    </w:p>
    <w:p>
      <w:pPr>
        <w:pStyle w:val="TextBody"/>
        <w:bidi w:val="0"/>
        <w:spacing w:before="0" w:after="360"/>
        <w:ind w:left="0" w:right="0" w:hanging="0"/>
        <w:jc w:val="center"/>
        <w:rPr>
          <w:rFonts w:ascii="Times New Roman;Times;serif" w:hAnsi="Times New Roman;Times;serif"/>
          <w:sz w:val="24"/>
        </w:rPr>
      </w:pPr>
      <w:r>
        <w:rPr>
          <w:rFonts w:ascii="Times New Roman;Times;serif" w:hAnsi="Times New Roman;Times;serif"/>
          <w:b/>
          <w:sz w:val="24"/>
        </w:rPr>
        <w:t xml:space="preserve">THIRD AMENDMENT TO </w:t>
      </w:r>
      <w:r>
        <w:rPr>
          <w:rFonts w:ascii="Times New Roman;Times;serif" w:hAnsi="Times New Roman;Times;serif"/>
          <w:b/>
          <w:caps/>
          <w:sz w:val="24"/>
        </w:rPr>
        <w:t>Credit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This </w:t>
      </w:r>
      <w:r>
        <w:rPr>
          <w:rFonts w:ascii="Times New Roman;Times;serif" w:hAnsi="Times New Roman;Times;serif"/>
          <w:caps/>
          <w:sz w:val="24"/>
        </w:rPr>
        <w:t>THIRD AMENDMENT to Credit Agreement</w:t>
      </w:r>
      <w:r>
        <w:rPr>
          <w:rFonts w:ascii="Times New Roman;Times;serif" w:hAnsi="Times New Roman;Times;serif"/>
          <w:sz w:val="24"/>
        </w:rPr>
        <w:t xml:space="preserve"> (this “</w:t>
      </w:r>
      <w:r>
        <w:rPr>
          <w:rFonts w:ascii="Times New Roman;Times;serif" w:hAnsi="Times New Roman;Times;serif"/>
          <w:b/>
          <w:i/>
          <w:sz w:val="24"/>
        </w:rPr>
        <w:t>Amendment</w:t>
      </w:r>
      <w:r>
        <w:rPr>
          <w:rFonts w:ascii="Times New Roman;Times;serif" w:hAnsi="Times New Roman;Times;serif"/>
          <w:sz w:val="24"/>
        </w:rPr>
        <w:t>”) is made as of December 20, 2024, by and among ALPINE INCOME PROPERTY OP, LP, a Delaware limited partnership (the “</w:t>
      </w:r>
      <w:r>
        <w:rPr>
          <w:rFonts w:ascii="Times New Roman;Times;serif" w:hAnsi="Times New Roman;Times;serif"/>
          <w:b/>
          <w:i/>
          <w:sz w:val="24"/>
        </w:rPr>
        <w:t>Borrower</w:t>
      </w:r>
      <w:r>
        <w:rPr>
          <w:rFonts w:ascii="Times New Roman;Times;serif" w:hAnsi="Times New Roman;Times;serif"/>
          <w:sz w:val="24"/>
        </w:rPr>
        <w:t>”), ALPINE INCOME PROPERTY TRUST, INC., a Maryland corporation (“</w:t>
      </w:r>
      <w:r>
        <w:rPr>
          <w:rFonts w:ascii="Times New Roman;Times;serif" w:hAnsi="Times New Roman;Times;serif"/>
          <w:b/>
          <w:i/>
          <w:sz w:val="24"/>
        </w:rPr>
        <w:t>Parent Guarantor</w:t>
      </w:r>
      <w:r>
        <w:rPr>
          <w:rFonts w:ascii="Times New Roman;Times;serif" w:hAnsi="Times New Roman;Times;serif"/>
          <w:sz w:val="24"/>
        </w:rPr>
        <w:t>” and together with the other Guarantors party hereto, both individually and collectively, the “</w:t>
      </w:r>
      <w:r>
        <w:rPr>
          <w:rFonts w:ascii="Times New Roman;Times;serif" w:hAnsi="Times New Roman;Times;serif"/>
          <w:b/>
          <w:i/>
          <w:sz w:val="24"/>
        </w:rPr>
        <w:t>Guarantor(s)</w:t>
      </w:r>
      <w:r>
        <w:rPr>
          <w:rFonts w:ascii="Times New Roman;Times;serif" w:hAnsi="Times New Roman;Times;serif"/>
          <w:sz w:val="24"/>
        </w:rPr>
        <w:t>”), TRUIST BANK, N.A., as administrative agent (together with any successor administrative agent, the “</w:t>
      </w:r>
      <w:r>
        <w:rPr>
          <w:rFonts w:ascii="Times New Roman;Times;serif" w:hAnsi="Times New Roman;Times;serif"/>
          <w:b/>
          <w:i/>
          <w:sz w:val="24"/>
        </w:rPr>
        <w:t>Administrative Agent</w:t>
      </w:r>
      <w:r>
        <w:rPr>
          <w:rFonts w:ascii="Times New Roman;Times;serif" w:hAnsi="Times New Roman;Times;serif"/>
          <w:sz w:val="24"/>
        </w:rPr>
        <w:t>”) for the Lenders, and the banks, financial institutions and other institutional lenders listed on the signature pages hereof as the lenders (individually and collectively, the “</w:t>
      </w:r>
      <w:r>
        <w:rPr>
          <w:rFonts w:ascii="Times New Roman;Times;serif" w:hAnsi="Times New Roman;Times;serif"/>
          <w:b/>
          <w:i/>
          <w:sz w:val="24"/>
        </w:rPr>
        <w:t>Lender</w:t>
      </w:r>
      <w:r>
        <w:rPr>
          <w:rFonts w:ascii="Times New Roman;Times;serif" w:hAnsi="Times New Roman;Times;serif"/>
          <w:sz w:val="24"/>
        </w:rPr>
        <w:t>” or “</w:t>
      </w:r>
      <w:r>
        <w:rPr>
          <w:rFonts w:ascii="Times New Roman;Times;serif" w:hAnsi="Times New Roman;Times;serif"/>
          <w:b/>
          <w:i/>
          <w:sz w:val="24"/>
        </w:rPr>
        <w:t>Lenders</w:t>
      </w:r>
      <w:r>
        <w:rPr>
          <w:rFonts w:ascii="Times New Roman;Times;serif" w:hAnsi="Times New Roman;Times;serif"/>
          <w:sz w:val="24"/>
        </w:rPr>
        <w:t>”).  Unless otherwise defined herein, terms defined in the Credit Agreement set forth below shall have the same meaning herein.</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W I T N E S S E T H:</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Borrower, the Guarantors, the Administrative Agent and certain Lenders have entered into a certain Credit Agreement dated as of May 21, 2021 (as amended by that certain Amendment, Increase and Joinder to Credit Agreement dated as of April 14, 2022 and that certain Second Amendment to Credit Agreement dated as of October 5, 2022, the “</w:t>
      </w:r>
      <w:r>
        <w:rPr>
          <w:rFonts w:ascii="Times New Roman;Times;serif" w:hAnsi="Times New Roman;Times;serif"/>
          <w:b/>
          <w:i/>
          <w:sz w:val="24"/>
        </w:rPr>
        <w:t>Existing Credit Agreement</w:t>
      </w:r>
      <w:r>
        <w:rPr>
          <w:rFonts w:ascii="Times New Roman;Times;serif" w:hAnsi="Times New Roman;Times;serif"/>
          <w:sz w:val="24"/>
        </w:rPr>
        <w:t>”; and the Existing Credit Agreement, as amended by this Amendment, and as may be further amended, restated, supplemented, or otherwise modified from time to time, the “</w:t>
      </w:r>
      <w:r>
        <w:rPr>
          <w:rFonts w:ascii="Times New Roman;Times;serif" w:hAnsi="Times New Roman;Times;serif"/>
          <w:b/>
          <w:i/>
          <w:sz w:val="24"/>
        </w:rPr>
        <w:t>Credit Agreement</w:t>
      </w:r>
      <w:r>
        <w:rPr>
          <w:rFonts w:ascii="Times New Roman;Times;serif" w:hAnsi="Times New Roman;Times;serif"/>
          <w:sz w:val="24"/>
        </w:rPr>
        <w:t xml:space="preserv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Borrower has notified Administrative Agent of certain reporting inconsistencies with respect to Restricted Payments that may have resulted in a breach of Section 8.25 of the Credit Agreement for the Fiscal Quarters ending September 30, 2023 and December 31, 2023, which may have resulted in a Default or Event of Default under Section 9.1(b) of the Credit Agreement (the “</w:t>
      </w:r>
      <w:r>
        <w:rPr>
          <w:rFonts w:ascii="Times New Roman;Times;serif" w:hAnsi="Times New Roman;Times;serif"/>
          <w:b/>
          <w:i/>
          <w:sz w:val="24"/>
        </w:rPr>
        <w:t>Reporting Inconsistencies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Borrower has requested that Administrative Agent and the Lenders agree to waive any Default or Event of Default resulting from the Reporting Inconsistencies;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Borrower, Administrative Agent and Lenders have agreed that certain financial covenants and certain other provisions set forth in the Existing Credit Agreement be amended as provided herein;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promises and agreements herein contained, the parties hereto hereby agree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Waiver</w:t>
      </w:r>
      <w:r>
        <w:rPr>
          <w:rFonts w:ascii="Times New Roman;Times;serif" w:hAnsi="Times New Roman;Times;serif"/>
          <w:sz w:val="24"/>
        </w:rPr>
        <w:t xml:space="preserve">.  Subject to satisfaction of the conditions set forth in Section 3 below, the Administrative Agent and the Lenders hereby waive any Default or Event of Default that may have resulted from the Reporting Inconsistencies.  The waiver specified herein is a one-time waiver only, relates only to the Reporting Inconsistencies and shall not be deemed to constitute a modification or waiver of (a) Section 8.25 or Section 9.1(b) of the Credit Agreement, or (b) any other provisions of the Credit Agreement or other Loan Documents.  The Borrower hereby acknowledges and agrees that, except as specifically provided herein with respect to the Reporting Inconsistencies, nothing in this section or anywhere in this Amendment shall be deemed or </w:t>
      </w:r>
    </w:p>
    <w:p>
      <w:pPr>
        <w:pStyle w:val="TextBody"/>
        <w:bidi w:val="0"/>
        <w:spacing w:before="0" w:after="0"/>
        <w:ind w:left="0" w:right="0" w:hanging="0"/>
        <w:jc w:val="left"/>
        <w:rPr>
          <w:rFonts w:ascii="Times New Roman;Times;serif" w:hAnsi="Times New Roman;Times;serif"/>
          <w:sz w:val="16"/>
        </w:rPr>
      </w:pPr>
      <w:bookmarkStart w:id="1892" w:name="_iDocIDField1615f505-a593-4657-8b06-3be5"/>
      <w:bookmarkEnd w:id="1892"/>
      <w:r>
        <w:rPr>
          <w:rFonts w:ascii="Times New Roman;Times;serif" w:hAnsi="Times New Roman;Times;serif"/>
          <w:sz w:val="16"/>
        </w:rPr>
        <w:t>4184923.4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otherwise construed as a waiver by the Administrative Agent or the Lenders of any representation, covenant, or other obligation of the Borrower or the Guarantors under the Loan Documents or any of the Administrative Agent’s or the Lenders’ rights and remedies pursuant to the Loan Documents, applicable law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Amendment to Credit Agreement</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(a)The Existing Credit Agreement </w:t>
      </w:r>
      <w:bookmarkStart w:id="1893" w:name="_cp_change_411"/>
      <w:bookmarkEnd w:id="1893"/>
      <w:r>
        <w:rPr>
          <w:rFonts w:ascii="Times New Roman;Times;serif" w:hAnsi="Times New Roman;Times;serif"/>
          <w:sz w:val="22"/>
          <w:shd w:fill="FFFFFF" w:val="clear"/>
        </w:rPr>
        <w:t xml:space="preserve">(not including the Exhibits and Schedules thereto) </w:t>
      </w:r>
      <w:r>
        <w:rPr>
          <w:rFonts w:ascii="Times New Roman;Times;serif" w:hAnsi="Times New Roman;Times;serif"/>
          <w:sz w:val="24"/>
        </w:rPr>
        <w:t xml:space="preserve">is hereby amended to delete the stricken text (indicated textually in the same manner as the following example: </w:t>
      </w:r>
      <w:r>
        <w:rPr>
          <w:rFonts w:ascii="Times New Roman;Times;serif" w:hAnsi="Times New Roman;Times;serif"/>
          <w:color w:val="FF0000"/>
          <w:sz w:val="24"/>
        </w:rPr>
        <w:t xml:space="preserve">stricken text </w:t>
      </w:r>
      <w:r>
        <w:rPr>
          <w:rFonts w:ascii="Times New Roman;Times;serif" w:hAnsi="Times New Roman;Times;serif"/>
          <w:sz w:val="24"/>
        </w:rPr>
        <w:t xml:space="preserve">or </w:t>
      </w:r>
      <w:r>
        <w:rPr>
          <w:rFonts w:ascii="Times New Roman;Times;serif" w:hAnsi="Times New Roman;Times;serif"/>
          <w:color w:val="70AD47"/>
          <w:sz w:val="24"/>
        </w:rPr>
        <w:t>stricken text</w:t>
      </w:r>
      <w:r>
        <w:rPr>
          <w:rFonts w:ascii="Times New Roman;Times;serif" w:hAnsi="Times New Roman;Times;serif"/>
          <w:sz w:val="24"/>
        </w:rPr>
        <w:t xml:space="preserve">) and to add the double-underlined text (indicated textually in the same manner as the following example: </w:t>
      </w:r>
      <w:r>
        <w:rPr>
          <w:rFonts w:ascii="Times New Roman;Times;serif" w:hAnsi="Times New Roman;Times;serif"/>
          <w:color w:val="4472C4"/>
          <w:sz w:val="24"/>
          <w:u w:val="single"/>
        </w:rPr>
        <w:t>double-underlined text</w:t>
      </w:r>
      <w:r>
        <w:rPr>
          <w:rFonts w:ascii="Times New Roman;Times;serif" w:hAnsi="Times New Roman;Times;serif"/>
          <w:sz w:val="24"/>
        </w:rPr>
        <w:t xml:space="preserve"> or </w:t>
      </w:r>
      <w:r>
        <w:rPr>
          <w:rFonts w:ascii="Times New Roman;Times;serif" w:hAnsi="Times New Roman;Times;serif"/>
          <w:color w:val="70AD47"/>
          <w:sz w:val="24"/>
          <w:u w:val="single"/>
        </w:rPr>
        <w:t>double-underlined text</w:t>
      </w:r>
      <w:r>
        <w:rPr>
          <w:rFonts w:ascii="Times New Roman;Times;serif" w:hAnsi="Times New Roman;Times;serif"/>
          <w:sz w:val="24"/>
        </w:rPr>
        <w:t xml:space="preserve">) as set forth on the pages of the Credit Agreement attached hereto as </w:t>
      </w:r>
      <w:r>
        <w:rPr>
          <w:rFonts w:ascii="Times New Roman;Times;serif" w:hAnsi="Times New Roman;Times;serif"/>
          <w:sz w:val="24"/>
          <w:u w:val="single"/>
        </w:rPr>
        <w:t>Annex A</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(b)Exhibit C to the Existing Credit Agreement is hereby amended and restated in its entirety as set forth on </w:t>
      </w:r>
      <w:r>
        <w:rPr>
          <w:rFonts w:ascii="Times New Roman;Times;serif" w:hAnsi="Times New Roman;Times;serif"/>
          <w:sz w:val="24"/>
          <w:u w:val="single"/>
        </w:rPr>
        <w:t>Annex B</w:t>
      </w:r>
      <w:r>
        <w:rPr>
          <w:rFonts w:ascii="Times New Roman;Times;serif" w:hAnsi="Times New Roman;Times;serif"/>
          <w:sz w:val="24"/>
        </w:rPr>
        <w:t xml:space="preserve"> attached hereto.</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(c)Schedule 1.1 of the Existing Credit Agreement is hereby amended and restated in its entirety as set forth on </w:t>
      </w:r>
      <w:r>
        <w:rPr>
          <w:rFonts w:ascii="Times New Roman;Times;serif" w:hAnsi="Times New Roman;Times;serif"/>
          <w:sz w:val="24"/>
          <w:u w:val="single"/>
        </w:rPr>
        <w:t>Annex C</w:t>
      </w:r>
      <w:r>
        <w:rPr>
          <w:rFonts w:ascii="Times New Roman;Times;serif" w:hAnsi="Times New Roman;Times;serif"/>
          <w:sz w:val="24"/>
        </w:rPr>
        <w:t xml:space="preserve"> attached hereto.</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(d)</w:t>
      </w:r>
      <w:bookmarkStart w:id="1894" w:name="_cp_change_242"/>
      <w:bookmarkStart w:id="1895" w:name="_cp_change_263"/>
      <w:bookmarkEnd w:id="1894"/>
      <w:bookmarkEnd w:id="1895"/>
      <w:r>
        <w:rPr>
          <w:rFonts w:ascii="Times New Roman;Times;serif" w:hAnsi="Times New Roman;Times;serif"/>
          <w:sz w:val="24"/>
          <w:shd w:fill="FFFFFF" w:val="clear"/>
        </w:rPr>
        <w:t xml:space="preserve">Schedule 6.2 of the Existing Credit Agreement is hereby amended and restated in its entirety as set forth on </w:t>
      </w:r>
      <w:r>
        <w:rPr>
          <w:rFonts w:ascii="Times New Roman;Times;serif" w:hAnsi="Times New Roman;Times;serif"/>
          <w:sz w:val="24"/>
          <w:u w:val="single"/>
          <w:shd w:fill="FFFFFF" w:val="clear"/>
        </w:rPr>
        <w:t>Annex D</w:t>
      </w:r>
      <w:r>
        <w:rPr>
          <w:rFonts w:ascii="Times New Roman;Times;serif" w:hAnsi="Times New Roman;Times;serif"/>
          <w:sz w:val="24"/>
          <w:shd w:fill="FFFFFF" w:val="clear"/>
        </w:rPr>
        <w:t xml:space="preserve"> attached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w:t>
      </w:r>
      <w:bookmarkStart w:id="1896" w:name="_Ref184976030"/>
      <w:bookmarkEnd w:id="1896"/>
      <w:r>
        <w:rPr>
          <w:rFonts w:ascii="Times New Roman;Times;serif" w:hAnsi="Times New Roman;Times;serif"/>
          <w:sz w:val="24"/>
          <w:u w:val="single"/>
        </w:rPr>
        <w:t>Conditions to Effectiveness</w:t>
      </w:r>
      <w:r>
        <w:rPr>
          <w:rFonts w:ascii="Times New Roman;Times;serif" w:hAnsi="Times New Roman;Times;serif"/>
          <w:sz w:val="24"/>
        </w:rPr>
        <w:t>.  The amendments set forth in Section 2 of this Amendment shall not be effective until the date (the “</w:t>
      </w:r>
      <w:r>
        <w:rPr>
          <w:rFonts w:ascii="Times New Roman;Times;serif" w:hAnsi="Times New Roman;Times;serif"/>
          <w:b/>
          <w:i/>
          <w:sz w:val="24"/>
        </w:rPr>
        <w:t>Amendment Effective Date</w:t>
      </w:r>
      <w:r>
        <w:rPr>
          <w:rFonts w:ascii="Times New Roman;Times;serif" w:hAnsi="Times New Roman;Times;serif"/>
          <w:sz w:val="24"/>
        </w:rPr>
        <w:t>”) on which the following conditions precedent has been fulfilled to the reasonable satisfaction of the Administrative Agent on or prior the date of this Amendment: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(a)This Amendment shall have been duly executed and delivered by the Borrower, the Guarantors, Administrative Agent and all of the Lenders;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(b)All action on the part of the Borrower and the Guarantors necessary for the valid execution, delivery and performance by the Borrower and the Guarantors of this Amendment shall have been duly and effectively taken.  The Lenders shall have received such customary corporate resolutions, certificates and other customary corporate documents as the Administrative Agent shall reasonably request;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w:t>
      </w:r>
      <w:bookmarkStart w:id="1897" w:name="_cp_change_701"/>
      <w:bookmarkStart w:id="1898" w:name="_cp_change_721"/>
      <w:bookmarkEnd w:id="1897"/>
      <w:bookmarkEnd w:id="1898"/>
      <w:r>
        <w:rPr>
          <w:rFonts w:ascii="Times New Roman;Times;serif" w:hAnsi="Times New Roman;Times;serif"/>
          <w:sz w:val="24"/>
          <w:shd w:fill="FFFFFF" w:val="clear"/>
        </w:rPr>
        <w:t>The Administrative Agent shall have received a Compliance Certificate dated as of the Amendment Effective Date which shall evidence compliance with the covenants set forth in Sections 8.20, 8.21 and 8.25 after giving effect to this Amendment;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(d)After giving effect to this Amendment, no Default or Event of Default shall have occurred and be continuing;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w:t>
      </w:r>
      <w:bookmarkStart w:id="1899" w:name="_cp_change_781"/>
      <w:bookmarkStart w:id="1900" w:name="_cp_change_801"/>
      <w:bookmarkEnd w:id="1899"/>
      <w:bookmarkEnd w:id="1900"/>
      <w:r>
        <w:rPr>
          <w:rFonts w:ascii="Times New Roman;Times;serif" w:hAnsi="Times New Roman;Times;serif"/>
          <w:sz w:val="24"/>
          <w:shd w:fill="FFFFFF" w:val="clear"/>
        </w:rPr>
        <w:t xml:space="preserve">The Borrower shall have paid to the Administrative Agent, for its own use and benefit and for the benefit of the Lenders, as applicable, the fees agreed to between the Administrative Agent and the Borrower in writing between them and all other amounts due </w:t>
      </w:r>
    </w:p>
    <w:p>
      <w:pPr>
        <w:pStyle w:val="TextBody"/>
        <w:bidi w:val="0"/>
        <w:spacing w:before="0" w:after="0"/>
        <w:ind w:left="0" w:right="0" w:hanging="0"/>
        <w:jc w:val="left"/>
        <w:rPr/>
      </w:pPr>
      <w:bookmarkStart w:id="1901" w:name="_iDocIDField65948b34-5507-4bf7-a26c-d631"/>
      <w:bookmarkEnd w:id="1901"/>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and payable under the Credit Agreement, including reimbursement or payment of all out-of-pocket expenses required to be reimbursed or paid by the Borrower.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bookmarkStart w:id="1902" w:name="_cp_change_331"/>
      <w:bookmarkStart w:id="1903" w:name="_cp_change_351"/>
      <w:bookmarkEnd w:id="1902"/>
      <w:bookmarkEnd w:id="1903"/>
      <w:r>
        <w:rPr>
          <w:rFonts w:ascii="Times New Roman;Times;serif" w:hAnsi="Times New Roman;Times;serif"/>
          <w:sz w:val="24"/>
          <w:u w:val="single"/>
          <w:shd w:fill="FFFFFF" w:val="clear"/>
        </w:rPr>
        <w:t>Post-Closing Joinder of Guarantors</w:t>
      </w:r>
      <w:r>
        <w:rPr>
          <w:rFonts w:ascii="Times New Roman;Times;serif" w:hAnsi="Times New Roman;Times;serif"/>
          <w:sz w:val="24"/>
          <w:shd w:fill="FFFFFF" w:val="clear"/>
        </w:rPr>
        <w:t xml:space="preserve">.  Within thirty (30) days of the Amendment Effective Date, Borrower shall cause those certain Material Subsidiaries listed on </w:t>
      </w:r>
      <w:r>
        <w:rPr>
          <w:rFonts w:ascii="Times New Roman;Times;serif" w:hAnsi="Times New Roman;Times;serif"/>
          <w:sz w:val="24"/>
          <w:u w:val="single"/>
          <w:shd w:fill="FFFFFF" w:val="clear"/>
        </w:rPr>
        <w:t>Annex E</w:t>
      </w:r>
      <w:r>
        <w:rPr>
          <w:rFonts w:ascii="Times New Roman;Times;serif" w:hAnsi="Times New Roman;Times;serif"/>
          <w:sz w:val="24"/>
          <w:shd w:fill="FFFFFF" w:val="clear"/>
        </w:rPr>
        <w:t xml:space="preserve"> attached hereto to become Guarantors under the Credit Agreement pursuant to Section 4.2 of the Credit Agreement.  The Borrower shall deliver to Administrative Agent all documents, certificates, and resolutions required pursuant to Section 7.2 of the Credit Agreement within ten (10) days of the Amendment Effective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5.The Borrower hereby certifies that, before and after giving effect to this Amendment, (a) the representations and warranties contained in Section 6 of the Credit Agreement and the other Loan Documents are true and correct in all material respects on, and as of, the Amendment Effective Date, except to the extent that such representations and warranties (i) specifically refer to an earlier date, in which case they are true and correct in all material respects as of such earlier date, or (ii) have been modified to reflect events occurring after the date of the Credit Agreement, as the same have been disclosed publicly or in writing to the Administrative Agent on or prior to the date hereof or are permitted or not prohibited under the Loan Documents, and (b) no Default or Event of Default exists as of the Amendment Effective Date after giving effect to this Amendment.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6.Except as otherwise modified by this Amendment, the parties hereto hereby ratify, confirm, and reaffirm all of the terms and conditions of the Existing Credit Agreement.  The parties hereto further acknowledge and agree that all of the terms and conditions of the Existing Credit Agreement and the other Loan Documents</w:t>
      </w:r>
      <w:bookmarkStart w:id="1904" w:name="_cp_change_431"/>
      <w:bookmarkEnd w:id="1904"/>
      <w:r>
        <w:rPr>
          <w:rFonts w:ascii="Times New Roman;Times;serif" w:hAnsi="Times New Roman;Times;serif"/>
          <w:sz w:val="24"/>
          <w:shd w:fill="FFFFFF" w:val="clear"/>
        </w:rPr>
        <w:t>, including as to each Guarantor, its Guaranty,</w:t>
      </w:r>
      <w:r>
        <w:rPr>
          <w:rFonts w:ascii="Times New Roman;Times;serif" w:hAnsi="Times New Roman;Times;serif"/>
          <w:sz w:val="24"/>
        </w:rPr>
        <w:t xml:space="preserve"> shall remain in full force and effect, except as expressly provided in this Amendment.  This Amendment constitutes a Loan Document for all purposes.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7.This Amendment, which may be executed in multiple counterparts, constitutes the entire agreement of the parties regarding the matters contained herein and shall not be modified by any prior oral or written discussions.  Delivery of an executed counterpart of a signature page of this Amendment by telecopy or other electronic imaging transmission (e.g. PDF by email) shall be effective as delivery of a manually executed counterpart of this Amendment.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8.Any determination that any provision of this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Amendment.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9.This Amendment shall be governed by and construed in accordance with the laws of the State of New York, including Section 5-1401 of the General Obligations Law of the State of New York.</w:t>
      </w:r>
    </w:p>
    <w:p>
      <w:pPr>
        <w:pStyle w:val="TextBody"/>
        <w:bidi w:val="0"/>
        <w:spacing w:before="0" w:after="240"/>
        <w:ind w:left="720" w:right="0" w:hanging="0"/>
        <w:jc w:val="both"/>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[SIGNATURES ON FOLLOWING PAGE]</w:t>
      </w:r>
    </w:p>
    <w:p>
      <w:pPr>
        <w:pStyle w:val="TextBody"/>
        <w:bidi w:val="0"/>
        <w:spacing w:before="0" w:after="240"/>
        <w:ind w:left="0" w:right="0" w:hanging="0"/>
        <w:jc w:val="both"/>
        <w:rPr/>
      </w:pPr>
      <w:r>
        <w:rPr/>
        <w:t>​</w:t>
      </w:r>
    </w:p>
    <w:p>
      <w:pPr>
        <w:pStyle w:val="TextBody"/>
        <w:bidi w:val="0"/>
        <w:spacing w:before="0" w:after="0"/>
        <w:ind w:left="0" w:right="0" w:hanging="0"/>
        <w:jc w:val="left"/>
        <w:rPr/>
      </w:pPr>
      <w:bookmarkStart w:id="1905" w:name="_iDocIDField65948b34-5507-4bf7-a26c-d631"/>
      <w:bookmarkEnd w:id="1905"/>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IN WITNESS WHEREOF</w:t>
      </w:r>
      <w:r>
        <w:rPr>
          <w:rFonts w:ascii="Times New Roman;Times;serif" w:hAnsi="Times New Roman;Times;serif"/>
          <w:sz w:val="24"/>
        </w:rPr>
        <w:t>, each of the undersigned have caused this Amendment to be executed by its duly authorized representative as of the date first set forth above.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751"/>
        <w:gridCol w:w="1795"/>
        <w:gridCol w:w="3797"/>
        <w:gridCol w:w="505"/>
        <w:gridCol w:w="3233"/>
      </w:tblGrid>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4302" w:type="dxa"/>
            <w:gridSpan w:val="2"/>
            <w:tcBorders/>
            <w:vAlign w:val="center"/>
          </w:tcPr>
          <w:p>
            <w:pPr>
              <w:pStyle w:val="TableContents"/>
              <w:bidi w:val="0"/>
              <w:spacing w:before="0" w:after="0"/>
              <w:ind w:left="0" w:right="0" w:hanging="0"/>
              <w:jc w:val="left"/>
              <w:rPr/>
            </w:pPr>
            <w:r>
              <w:rPr/>
              <w:t>​</w:t>
            </w:r>
          </w:p>
        </w:tc>
        <w:tc>
          <w:tcPr>
            <w:tcW w:w="3233" w:type="dxa"/>
            <w:tcBorders/>
            <w:vAlign w:val="center"/>
          </w:tcPr>
          <w:p>
            <w:pPr>
              <w:pStyle w:val="TableContents"/>
              <w:bidi w:val="0"/>
              <w:spacing w:before="0" w:after="0"/>
              <w:ind w:left="0" w:right="0" w:hanging="0"/>
              <w:jc w:val="left"/>
              <w:rPr/>
            </w:pPr>
            <w:r>
              <w:rPr/>
              <w:t>​</w:t>
            </w:r>
          </w:p>
        </w:tc>
      </w:tr>
      <w:tr>
        <w:trPr/>
        <w:tc>
          <w:tcPr>
            <w:tcW w:w="10205" w:type="dxa"/>
            <w:gridSpan w:val="6"/>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BORROWER: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t>,</w:t>
              <w:br/>
            </w:r>
            <w:r>
              <w:rPr>
                <w:rFonts w:ascii="Times New Roman;Times;serif" w:hAnsi="Times New Roman;Times;serif"/>
                <w:sz w:val="24"/>
              </w:rPr>
              <w:t>a Delaware limited partnership</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4302" w:type="dxa"/>
            <w:gridSpan w:val="2"/>
            <w:tcBorders/>
            <w:vAlign w:val="center"/>
          </w:tcPr>
          <w:p>
            <w:pPr>
              <w:pStyle w:val="TableContents"/>
              <w:bidi w:val="0"/>
              <w:spacing w:before="0" w:after="0"/>
              <w:ind w:left="0" w:right="0" w:hanging="0"/>
              <w:jc w:val="left"/>
              <w:rPr/>
            </w:pPr>
            <w:r>
              <w:rPr/>
              <w:t>​</w:t>
            </w:r>
          </w:p>
        </w:tc>
        <w:tc>
          <w:tcPr>
            <w:tcW w:w="323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30"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4302" w:type="dxa"/>
            <w:gridSpan w:val="2"/>
            <w:tcBorders/>
            <w:vAlign w:val="center"/>
          </w:tcPr>
          <w:p>
            <w:pPr>
              <w:pStyle w:val="TableContents"/>
              <w:bidi w:val="0"/>
              <w:spacing w:before="0" w:after="0"/>
              <w:ind w:left="0" w:right="0" w:hanging="0"/>
              <w:jc w:val="left"/>
              <w:rPr/>
            </w:pPr>
            <w:r>
              <w:rPr/>
              <w:t>​</w:t>
            </w:r>
          </w:p>
        </w:tc>
        <w:tc>
          <w:tcPr>
            <w:tcW w:w="323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53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4302" w:type="dxa"/>
            <w:gridSpan w:val="2"/>
            <w:tcBorders/>
            <w:vAlign w:val="center"/>
          </w:tcPr>
          <w:p>
            <w:pPr>
              <w:pStyle w:val="TableContents"/>
              <w:bidi w:val="0"/>
              <w:spacing w:before="0" w:after="0"/>
              <w:ind w:left="0" w:right="0" w:hanging="0"/>
              <w:jc w:val="left"/>
              <w:rPr/>
            </w:pPr>
            <w:r>
              <w:rPr/>
              <w:t>​</w:t>
            </w:r>
          </w:p>
        </w:tc>
        <w:tc>
          <w:tcPr>
            <w:tcW w:w="323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4302" w:type="dxa"/>
            <w:gridSpan w:val="2"/>
            <w:tcBorders/>
            <w:vAlign w:val="center"/>
          </w:tcPr>
          <w:p>
            <w:pPr>
              <w:pStyle w:val="TableContents"/>
              <w:bidi w:val="0"/>
              <w:spacing w:before="0" w:after="0"/>
              <w:ind w:left="0" w:right="0" w:hanging="0"/>
              <w:jc w:val="left"/>
              <w:rPr/>
            </w:pPr>
            <w:r>
              <w:rPr/>
              <w:t>​</w:t>
            </w:r>
          </w:p>
        </w:tc>
        <w:tc>
          <w:tcPr>
            <w:tcW w:w="323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379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38"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379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3738"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Phillip Mays</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379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738"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4302" w:type="dxa"/>
            <w:gridSpan w:val="2"/>
            <w:tcBorders/>
            <w:vAlign w:val="center"/>
          </w:tcPr>
          <w:p>
            <w:pPr>
              <w:pStyle w:val="TableContents"/>
              <w:bidi w:val="0"/>
              <w:spacing w:before="0" w:after="0"/>
              <w:ind w:left="0" w:right="0" w:hanging="0"/>
              <w:jc w:val="left"/>
              <w:rPr/>
            </w:pPr>
            <w:r>
              <w:rPr/>
              <w:t>​</w:t>
            </w:r>
          </w:p>
        </w:tc>
        <w:tc>
          <w:tcPr>
            <w:tcW w:w="323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795" w:type="dxa"/>
            <w:tcBorders/>
            <w:vAlign w:val="center"/>
          </w:tcPr>
          <w:p>
            <w:pPr>
              <w:pStyle w:val="TableContents"/>
              <w:bidi w:val="0"/>
              <w:spacing w:before="0" w:after="0"/>
              <w:ind w:left="0" w:right="0" w:hanging="0"/>
              <w:jc w:val="left"/>
              <w:rPr/>
            </w:pPr>
            <w:r>
              <w:rPr/>
              <w:t>​</w:t>
            </w:r>
          </w:p>
        </w:tc>
        <w:tc>
          <w:tcPr>
            <w:tcW w:w="4302" w:type="dxa"/>
            <w:gridSpan w:val="2"/>
            <w:tcBorders/>
            <w:vAlign w:val="center"/>
          </w:tcPr>
          <w:p>
            <w:pPr>
              <w:pStyle w:val="TableContents"/>
              <w:bidi w:val="0"/>
              <w:spacing w:before="0" w:after="0"/>
              <w:ind w:left="0" w:right="0" w:hanging="0"/>
              <w:jc w:val="left"/>
              <w:rPr/>
            </w:pPr>
            <w:r>
              <w:rPr/>
              <w:t>​</w:t>
            </w:r>
          </w:p>
        </w:tc>
        <w:tc>
          <w:tcPr>
            <w:tcW w:w="323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794"/>
        <w:gridCol w:w="450"/>
        <w:gridCol w:w="557"/>
        <w:gridCol w:w="983"/>
        <w:gridCol w:w="729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78740" cy="175260"/>
                      <wp:effectExtent l="0" t="0" r="0" b="0"/>
                      <wp:wrapNone/>
                      <wp:docPr id="507" name="Frame50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24205" cy="29210"/>
                      <wp:effectExtent l="0" t="0" r="0" b="0"/>
                      <wp:wrapNone/>
                      <wp:docPr id="508" name="Frame508"/>
                      <a:graphic xmlns:a="http://schemas.openxmlformats.org/drawingml/2006/main">
                        <a:graphicData uri="http://schemas.microsoft.com/office/word/2010/wordprocessingShape">
                          <wps:wsp>
                            <wps:cNvSpPr txBox="1"/>
                            <wps:spPr>
                              <a:xfrm>
                                <a:off x="0" y="0"/>
                                <a:ext cx="624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633595" cy="175260"/>
                      <wp:effectExtent l="0" t="0" r="0" b="0"/>
                      <wp:wrapNone/>
                      <wp:docPr id="509" name="Frame509"/>
                      <a:graphic xmlns:a="http://schemas.openxmlformats.org/drawingml/2006/main">
                        <a:graphicData uri="http://schemas.microsoft.com/office/word/2010/wordprocessingShape">
                          <wps:wsp>
                            <wps:cNvSpPr txBox="1"/>
                            <wps:spPr>
                              <a:xfrm>
                                <a:off x="0" y="0"/>
                                <a:ext cx="463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Guarantors”</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Parent”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Alpine Income Property Trust, Inc.</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Maryland corporation</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87" w:type="dxa"/>
            <w:gridSpan w:val="4"/>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9287" w:type="dxa"/>
            <w:gridSpan w:val="4"/>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2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Material Subsidiaries”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aps/>
                <w:sz w:val="24"/>
              </w:rPr>
              <w:t>Indigo Henry</w:t>
            </w:r>
            <w:r>
              <w:rPr>
                <w:rFonts w:ascii="Times New Roman;Times;serif" w:hAnsi="Times New Roman;Times;serif"/>
                <w:smallCaps/>
                <w:sz w:val="24"/>
              </w:rPr>
              <w:t xml:space="preserve"> LLC</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br/>
              <w:t>a Delaware limited partnership, its member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92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837"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883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2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82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82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2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29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Phillip Mays</w:t>
            </w:r>
          </w:p>
        </w:tc>
      </w:tr>
      <w:tr>
        <w:trPr/>
        <w:tc>
          <w:tcPr>
            <w:tcW w:w="124"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29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center"/>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1" w:type="dxa"/>
        <w:jc w:val="left"/>
        <w:tblInd w:w="0" w:type="dxa"/>
        <w:tblLayout w:type="fixed"/>
        <w:tblCellMar>
          <w:top w:w="0" w:type="dxa"/>
          <w:left w:w="0" w:type="dxa"/>
          <w:bottom w:w="0" w:type="dxa"/>
          <w:right w:w="0" w:type="dxa"/>
        </w:tblCellMar>
      </w:tblPr>
      <w:tblGrid>
        <w:gridCol w:w="124"/>
        <w:gridCol w:w="451"/>
        <w:gridCol w:w="451"/>
        <w:gridCol w:w="560"/>
        <w:gridCol w:w="988"/>
        <w:gridCol w:w="73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78740" cy="175260"/>
                      <wp:effectExtent l="0" t="0" r="0" b="0"/>
                      <wp:wrapNone/>
                      <wp:docPr id="510" name="Frame5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27380" cy="29210"/>
                      <wp:effectExtent l="0" t="0" r="0" b="0"/>
                      <wp:wrapNone/>
                      <wp:docPr id="511" name="Frame511"/>
                      <a:graphic xmlns:a="http://schemas.openxmlformats.org/drawingml/2006/main">
                        <a:graphicData uri="http://schemas.microsoft.com/office/word/2010/wordprocessingShape">
                          <wps:wsp>
                            <wps:cNvSpPr txBox="1"/>
                            <wps:spPr>
                              <a:xfrm>
                                <a:off x="0" y="0"/>
                                <a:ext cx="627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684395" cy="175260"/>
                      <wp:effectExtent l="0" t="0" r="0" b="0"/>
                      <wp:wrapNone/>
                      <wp:docPr id="512" name="Frame512"/>
                      <a:graphic xmlns:a="http://schemas.openxmlformats.org/drawingml/2006/main">
                        <a:graphicData uri="http://schemas.microsoft.com/office/word/2010/wordprocessingShape">
                          <wps:wsp>
                            <wps:cNvSpPr txBox="1"/>
                            <wps:spPr>
                              <a:xfrm>
                                <a:off x="0" y="0"/>
                                <a:ext cx="468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CTO19 TROY WI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CTO19 ALBANY GA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BLANDING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TYN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BARKER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BINGHAM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CHAZY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HAMMOND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HARRISVILLE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HEUVELTON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HOWELL MI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LIMESTONE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MILFORD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NEWTONSVILLE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ODESSA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6"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3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3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1" w:type="dxa"/>
        <w:jc w:val="left"/>
        <w:tblInd w:w="0" w:type="dxa"/>
        <w:tblLayout w:type="fixed"/>
        <w:tblCellMar>
          <w:top w:w="0" w:type="dxa"/>
          <w:left w:w="0" w:type="dxa"/>
          <w:bottom w:w="0" w:type="dxa"/>
          <w:right w:w="0" w:type="dxa"/>
        </w:tblCellMar>
      </w:tblPr>
      <w:tblGrid>
        <w:gridCol w:w="124"/>
        <w:gridCol w:w="451"/>
        <w:gridCol w:w="451"/>
        <w:gridCol w:w="560"/>
        <w:gridCol w:w="988"/>
        <w:gridCol w:w="73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78740" cy="175260"/>
                      <wp:effectExtent l="0" t="0" r="0" b="0"/>
                      <wp:wrapNone/>
                      <wp:docPr id="513" name="Frame51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27380" cy="29210"/>
                      <wp:effectExtent l="0" t="0" r="0" b="0"/>
                      <wp:wrapNone/>
                      <wp:docPr id="514" name="Frame514"/>
                      <a:graphic xmlns:a="http://schemas.openxmlformats.org/drawingml/2006/main">
                        <a:graphicData uri="http://schemas.microsoft.com/office/word/2010/wordprocessingShape">
                          <wps:wsp>
                            <wps:cNvSpPr txBox="1"/>
                            <wps:spPr>
                              <a:xfrm>
                                <a:off x="0" y="0"/>
                                <a:ext cx="627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684395" cy="175260"/>
                      <wp:effectExtent l="0" t="0" r="0" b="0"/>
                      <wp:wrapNone/>
                      <wp:docPr id="515" name="Frame515"/>
                      <a:graphic xmlns:a="http://schemas.openxmlformats.org/drawingml/2006/main">
                        <a:graphicData uri="http://schemas.microsoft.com/office/word/2010/wordprocessingShape">
                          <wps:wsp>
                            <wps:cNvSpPr txBox="1"/>
                            <wps:spPr>
                              <a:xfrm>
                                <a:off x="0" y="0"/>
                                <a:ext cx="468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CTO16 RENO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CTLC18 LYNN MA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CTO19 BIRMINGHAM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PINE19 ALPHARETTA GA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SALEM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SEVERN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SOMERVILLE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PINE20 WILLIS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WINTHROP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KERMIT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TACOMA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CUT &amp; SHOOT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DEL RIO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SEGUIN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PINE21 ACQUISITIONS II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PINE21 ACQUISITIONS III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PINE21 ACQUISITIONS V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PINE21 ACQUISITIONS VI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PINE21 ACQUISITIONS VIII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PINE21 ACQUISITIONS X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OH,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2 OH,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MAPLE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WASH MO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DOWNERS GROVE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6"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Philip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3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Phillip Mays</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3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240"/>
        <w:ind w:left="4320" w:right="0" w:hanging="0"/>
        <w:jc w:val="both"/>
        <w:rPr>
          <w:caps/>
        </w:rPr>
      </w:pPr>
      <w:r>
        <w:rPr>
          <w:caps/>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74" w:type="dxa"/>
        <w:jc w:val="left"/>
        <w:tblInd w:w="0" w:type="dxa"/>
        <w:tblLayout w:type="fixed"/>
        <w:tblCellMar>
          <w:top w:w="0" w:type="dxa"/>
          <w:left w:w="0" w:type="dxa"/>
          <w:bottom w:w="0" w:type="dxa"/>
          <w:right w:w="0" w:type="dxa"/>
        </w:tblCellMar>
      </w:tblPr>
      <w:tblGrid>
        <w:gridCol w:w="124"/>
        <w:gridCol w:w="1190"/>
        <w:gridCol w:w="256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78740" cy="175260"/>
                      <wp:effectExtent l="0" t="0" r="0" b="0"/>
                      <wp:wrapNone/>
                      <wp:docPr id="516" name="Frame51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55650" cy="29210"/>
                      <wp:effectExtent l="0" t="0" r="0" b="0"/>
                      <wp:wrapNone/>
                      <wp:docPr id="517" name="Frame517"/>
                      <a:graphic xmlns:a="http://schemas.openxmlformats.org/drawingml/2006/main">
                        <a:graphicData uri="http://schemas.microsoft.com/office/word/2010/wordprocessingShape">
                          <wps:wsp>
                            <wps:cNvSpPr txBox="1"/>
                            <wps:spPr>
                              <a:xfrm>
                                <a:off x="0" y="0"/>
                                <a:ext cx="7556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625600" cy="175260"/>
                      <wp:effectExtent l="0" t="0" r="0" b="0"/>
                      <wp:wrapNone/>
                      <wp:docPr id="518" name="Frame518"/>
                      <a:graphic xmlns:a="http://schemas.openxmlformats.org/drawingml/2006/main">
                        <a:graphicData uri="http://schemas.microsoft.com/office/word/2010/wordprocessingShape">
                          <wps:wsp>
                            <wps:cNvSpPr txBox="1"/>
                            <wps:spPr>
                              <a:xfrm>
                                <a:off x="0" y="0"/>
                                <a:ext cx="162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 Bold" w:hAnsi="Times New Roman Bold"/>
                <w:b/>
                <w:caps/>
                <w:sz w:val="24"/>
              </w:rPr>
              <w:t>Administrative Agent</w:t>
            </w:r>
            <w:r>
              <w:rPr>
                <w:rFonts w:ascii="Times New Roman;Times;serif" w:hAnsi="Times New Roman;Times;serif"/>
                <w:b/>
                <w:sz w:val="24"/>
              </w:rPr>
              <w:t>:</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TRUIST BANK,</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Administrative Agent and a Lender</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/s/Ryan Almond</w:t>
            </w:r>
          </w:p>
        </w:tc>
      </w:tr>
      <w:tr>
        <w:trPr/>
        <w:tc>
          <w:tcPr>
            <w:tcW w:w="124"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56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Ryan Almond</w:t>
            </w:r>
          </w:p>
        </w:tc>
      </w:tr>
      <w:tr>
        <w:trPr/>
        <w:tc>
          <w:tcPr>
            <w:tcW w:w="124"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5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240"/>
        <w:ind w:left="0" w:right="0" w:hanging="0"/>
        <w:jc w:val="center"/>
        <w:rPr>
          <w:caps/>
        </w:rPr>
      </w:pPr>
      <w:r>
        <w:rPr>
          <w:caps/>
        </w:rPr>
        <w:t>​</w:t>
      </w:r>
    </w:p>
    <w:p>
      <w:pPr>
        <w:pStyle w:val="TextBody"/>
        <w:bidi w:val="0"/>
        <w:spacing w:before="0" w:after="0"/>
        <w:ind w:left="0" w:right="0" w:hanging="0"/>
        <w:jc w:val="left"/>
        <w:rPr/>
      </w:pPr>
      <w:r>
        <w:rPr/>
        <w:t>​</w:t>
      </w:r>
    </w:p>
    <w:p>
      <w:pPr>
        <w:pStyle w:val="TextBody"/>
        <w:bidi w:val="0"/>
        <w:spacing w:before="0" w:after="0"/>
        <w:ind w:left="4320" w:right="0" w:hanging="0"/>
        <w:jc w:val="both"/>
        <w:rPr>
          <w:caps/>
        </w:rPr>
      </w:pPr>
      <w:r>
        <w:rPr>
          <w:caps/>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26" w:type="dxa"/>
        <w:jc w:val="left"/>
        <w:tblInd w:w="0" w:type="dxa"/>
        <w:tblLayout w:type="fixed"/>
        <w:tblCellMar>
          <w:top w:w="0" w:type="dxa"/>
          <w:left w:w="0" w:type="dxa"/>
          <w:bottom w:w="0" w:type="dxa"/>
          <w:right w:w="0" w:type="dxa"/>
        </w:tblCellMar>
      </w:tblPr>
      <w:tblGrid>
        <w:gridCol w:w="124"/>
        <w:gridCol w:w="796"/>
        <w:gridCol w:w="22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8740" cy="175260"/>
                      <wp:effectExtent l="0" t="0" r="0" b="0"/>
                      <wp:wrapNone/>
                      <wp:docPr id="519" name="Frame5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05460" cy="29210"/>
                      <wp:effectExtent l="0" t="0" r="0" b="0"/>
                      <wp:wrapNone/>
                      <wp:docPr id="520" name="Frame520"/>
                      <a:graphic xmlns:a="http://schemas.openxmlformats.org/drawingml/2006/main">
                        <a:graphicData uri="http://schemas.microsoft.com/office/word/2010/wordprocessingShape">
                          <wps:wsp>
                            <wps:cNvSpPr txBox="1"/>
                            <wps:spPr>
                              <a:xfrm>
                                <a:off x="0" y="0"/>
                                <a:ext cx="505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400810" cy="175260"/>
                      <wp:effectExtent l="0" t="0" r="0" b="0"/>
                      <wp:wrapNone/>
                      <wp:docPr id="521" name="Frame521"/>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00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STIFEL BANK &amp; TRUST,</w:t>
              <w:br/>
              <w:t>as a Lender</w:t>
            </w:r>
          </w:p>
        </w:tc>
      </w:tr>
      <w:tr>
        <w:trPr/>
        <w:tc>
          <w:tcPr>
            <w:tcW w:w="124" w:type="dxa"/>
            <w:tcBorders/>
            <w:vAlign w:val="center"/>
          </w:tcPr>
          <w:p>
            <w:pPr>
              <w:pStyle w:val="TableContents"/>
              <w:bidi w:val="0"/>
              <w:spacing w:before="0" w:after="0"/>
              <w:ind w:left="0" w:right="0" w:hanging="0"/>
              <w:jc w:val="left"/>
              <w:rPr/>
            </w:pPr>
            <w:r>
              <w:rPr/>
              <w:t>​</w:t>
            </w:r>
          </w:p>
        </w:tc>
        <w:tc>
          <w:tcPr>
            <w:tcW w:w="30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Matthew L. Diehl</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2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Matthew L. Diehl</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799" w:type="dxa"/>
        <w:jc w:val="left"/>
        <w:tblInd w:w="0" w:type="dxa"/>
        <w:tblLayout w:type="fixed"/>
        <w:tblCellMar>
          <w:top w:w="0" w:type="dxa"/>
          <w:left w:w="0" w:type="dxa"/>
          <w:bottom w:w="0" w:type="dxa"/>
          <w:right w:w="0" w:type="dxa"/>
        </w:tblCellMar>
      </w:tblPr>
      <w:tblGrid>
        <w:gridCol w:w="124"/>
        <w:gridCol w:w="1036"/>
        <w:gridCol w:w="263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78740" cy="175260"/>
                      <wp:effectExtent l="0" t="0" r="0" b="0"/>
                      <wp:wrapNone/>
                      <wp:docPr id="522" name="Frame52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57860" cy="29210"/>
                      <wp:effectExtent l="0" t="0" r="0" b="0"/>
                      <wp:wrapNone/>
                      <wp:docPr id="523" name="Frame523"/>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675765" cy="175260"/>
                      <wp:effectExtent l="0" t="0" r="0" b="0"/>
                      <wp:wrapNone/>
                      <wp:docPr id="524" name="Frame524"/>
                      <a:graphic xmlns:a="http://schemas.openxmlformats.org/drawingml/2006/main">
                        <a:graphicData uri="http://schemas.microsoft.com/office/word/2010/wordprocessingShape">
                          <wps:wsp>
                            <wps:cNvSpPr txBox="1"/>
                            <wps:spPr>
                              <a:xfrm>
                                <a:off x="0" y="0"/>
                                <a:ext cx="167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RAYMOND JAMES BANK, N.A.,</w:t>
              <w:br/>
              <w:t>as a Lender</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6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Alexander Sierra</w:t>
            </w:r>
          </w:p>
        </w:tc>
      </w:tr>
      <w:tr>
        <w:trPr/>
        <w:tc>
          <w:tcPr>
            <w:tcW w:w="124"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63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Alexander Sierra</w:t>
            </w:r>
          </w:p>
        </w:tc>
      </w:tr>
      <w:tr>
        <w:trPr/>
        <w:tc>
          <w:tcPr>
            <w:tcW w:w="124"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63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SVP</w:t>
            </w:r>
          </w:p>
        </w:tc>
      </w:tr>
    </w:tbl>
    <w:p>
      <w:pPr>
        <w:pStyle w:val="TextBody"/>
        <w:bidi w:val="0"/>
        <w:spacing w:before="0" w:after="0"/>
        <w:ind w:left="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886" w:type="dxa"/>
        <w:jc w:val="left"/>
        <w:tblInd w:w="0" w:type="dxa"/>
        <w:tblLayout w:type="fixed"/>
        <w:tblCellMar>
          <w:top w:w="0" w:type="dxa"/>
          <w:left w:w="0" w:type="dxa"/>
          <w:bottom w:w="0" w:type="dxa"/>
          <w:right w:w="0" w:type="dxa"/>
        </w:tblCellMar>
      </w:tblPr>
      <w:tblGrid>
        <w:gridCol w:w="124"/>
        <w:gridCol w:w="796"/>
        <w:gridCol w:w="196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78740" cy="175260"/>
                      <wp:effectExtent l="0" t="0" r="0" b="0"/>
                      <wp:wrapNone/>
                      <wp:docPr id="525" name="Frame52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05460" cy="29210"/>
                      <wp:effectExtent l="0" t="0" r="0" b="0"/>
                      <wp:wrapNone/>
                      <wp:docPr id="526" name="Frame526"/>
                      <a:graphic xmlns:a="http://schemas.openxmlformats.org/drawingml/2006/main">
                        <a:graphicData uri="http://schemas.microsoft.com/office/word/2010/wordprocessingShape">
                          <wps:wsp>
                            <wps:cNvSpPr txBox="1"/>
                            <wps:spPr>
                              <a:xfrm>
                                <a:off x="0" y="0"/>
                                <a:ext cx="505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248410" cy="175260"/>
                      <wp:effectExtent l="0" t="0" r="0" b="0"/>
                      <wp:wrapNone/>
                      <wp:docPr id="527" name="Frame527"/>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76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BANK OF MONTREAL,</w:t>
              <w:br/>
              <w:t>as a Lender</w:t>
            </w:r>
          </w:p>
        </w:tc>
      </w:tr>
      <w:tr>
        <w:trPr/>
        <w:tc>
          <w:tcPr>
            <w:tcW w:w="124" w:type="dxa"/>
            <w:tcBorders/>
            <w:vAlign w:val="center"/>
          </w:tcPr>
          <w:p>
            <w:pPr>
              <w:pStyle w:val="TableContents"/>
              <w:bidi w:val="0"/>
              <w:spacing w:before="0" w:after="0"/>
              <w:ind w:left="0" w:right="0" w:hanging="0"/>
              <w:jc w:val="left"/>
              <w:rPr/>
            </w:pPr>
            <w:r>
              <w:rPr/>
              <w:t>​</w:t>
            </w:r>
          </w:p>
        </w:tc>
        <w:tc>
          <w:tcPr>
            <w:tcW w:w="276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6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Darin Mainquist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Darin Mainquist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09" w:type="dxa"/>
        <w:jc w:val="left"/>
        <w:tblInd w:w="0" w:type="dxa"/>
        <w:tblLayout w:type="fixed"/>
        <w:tblCellMar>
          <w:top w:w="0" w:type="dxa"/>
          <w:left w:w="0" w:type="dxa"/>
          <w:bottom w:w="0" w:type="dxa"/>
          <w:right w:w="0" w:type="dxa"/>
        </w:tblCellMar>
      </w:tblPr>
      <w:tblGrid>
        <w:gridCol w:w="124"/>
        <w:gridCol w:w="1189"/>
        <w:gridCol w:w="329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78740" cy="175260"/>
                      <wp:effectExtent l="0" t="0" r="0" b="0"/>
                      <wp:wrapNone/>
                      <wp:docPr id="528" name="Frame52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755015" cy="29210"/>
                      <wp:effectExtent l="0" t="0" r="0" b="0"/>
                      <wp:wrapNone/>
                      <wp:docPr id="529" name="Frame529"/>
                      <a:graphic xmlns:a="http://schemas.openxmlformats.org/drawingml/2006/main">
                        <a:graphicData uri="http://schemas.microsoft.com/office/word/2010/wordprocessingShape">
                          <wps:wsp>
                            <wps:cNvSpPr txBox="1"/>
                            <wps:spPr>
                              <a:xfrm>
                                <a:off x="0" y="0"/>
                                <a:ext cx="7550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92960" cy="175260"/>
                      <wp:effectExtent l="0" t="0" r="0" b="0"/>
                      <wp:wrapNone/>
                      <wp:docPr id="530" name="Frame530"/>
                      <a:graphic xmlns:a="http://schemas.openxmlformats.org/drawingml/2006/main">
                        <a:graphicData uri="http://schemas.microsoft.com/office/word/2010/wordprocessingShape">
                          <wps:wsp>
                            <wps:cNvSpPr txBox="1"/>
                            <wps:spPr>
                              <a:xfrm>
                                <a:off x="0" y="0"/>
                                <a:ext cx="209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aps/>
                <w:sz w:val="24"/>
              </w:rPr>
              <w:t>The Huntington National Bank</w:t>
            </w:r>
            <w:r>
              <w:rPr>
                <w:rFonts w:ascii="Times New Roman;Times;serif" w:hAnsi="Times New Roman;Times;serif"/>
                <w:sz w:val="24"/>
              </w:rPr>
              <w:t>,</w:t>
              <w:br/>
              <w:t>as a Lender</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Joe White</w:t>
            </w:r>
          </w:p>
        </w:tc>
      </w:tr>
      <w:tr>
        <w:trPr/>
        <w:tc>
          <w:tcPr>
            <w:tcW w:w="124"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2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Joe White</w:t>
            </w:r>
          </w:p>
        </w:tc>
      </w:tr>
      <w:tr>
        <w:trPr/>
        <w:tc>
          <w:tcPr>
            <w:tcW w:w="124"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2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4320" w:right="0" w:hanging="0"/>
        <w:jc w:val="left"/>
        <w:rPr>
          <w:caps/>
        </w:rPr>
      </w:pPr>
      <w:r>
        <w:rPr>
          <w:caps/>
        </w:rPr>
        <w:t>​</w:t>
      </w:r>
    </w:p>
    <w:p>
      <w:pPr>
        <w:pStyle w:val="TextBody"/>
        <w:bidi w:val="0"/>
        <w:spacing w:before="0" w:after="0"/>
        <w:ind w:left="4320" w:right="0" w:hanging="0"/>
        <w:jc w:val="left"/>
        <w:rPr>
          <w:caps/>
        </w:rPr>
      </w:pPr>
      <w:r>
        <w:rPr>
          <w:caps/>
        </w:rPr>
        <w:t>​</w:t>
      </w:r>
    </w:p>
    <w:p>
      <w:pPr>
        <w:pStyle w:val="TextBody"/>
        <w:bidi w:val="0"/>
        <w:spacing w:before="0" w:after="0"/>
        <w:ind w:left="4320" w:right="0" w:hanging="0"/>
        <w:jc w:val="left"/>
        <w:rPr>
          <w:caps/>
        </w:rPr>
      </w:pPr>
      <w:r>
        <w:rPr>
          <w:caps/>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89" w:type="dxa"/>
        <w:jc w:val="left"/>
        <w:tblInd w:w="0" w:type="dxa"/>
        <w:tblLayout w:type="fixed"/>
        <w:tblCellMar>
          <w:top w:w="0" w:type="dxa"/>
          <w:left w:w="0" w:type="dxa"/>
          <w:bottom w:w="0" w:type="dxa"/>
          <w:right w:w="0" w:type="dxa"/>
        </w:tblCellMar>
      </w:tblPr>
      <w:tblGrid>
        <w:gridCol w:w="124"/>
        <w:gridCol w:w="831"/>
        <w:gridCol w:w="233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78740" cy="175260"/>
                      <wp:effectExtent l="0" t="0" r="0" b="0"/>
                      <wp:wrapNone/>
                      <wp:docPr id="531" name="Frame53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27685" cy="29210"/>
                      <wp:effectExtent l="0" t="0" r="0" b="0"/>
                      <wp:wrapNone/>
                      <wp:docPr id="532" name="Frame532"/>
                      <a:graphic xmlns:a="http://schemas.openxmlformats.org/drawingml/2006/main">
                        <a:graphicData uri="http://schemas.microsoft.com/office/word/2010/wordprocessingShape">
                          <wps:wsp>
                            <wps:cNvSpPr txBox="1"/>
                            <wps:spPr>
                              <a:xfrm>
                                <a:off x="0" y="0"/>
                                <a:ext cx="527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482090" cy="175260"/>
                      <wp:effectExtent l="0" t="0" r="0" b="0"/>
                      <wp:wrapNone/>
                      <wp:docPr id="533" name="Frame533"/>
                      <a:graphic xmlns:a="http://schemas.openxmlformats.org/drawingml/2006/main">
                        <a:graphicData uri="http://schemas.microsoft.com/office/word/2010/wordprocessingShape">
                          <wps:wsp>
                            <wps:cNvSpPr txBox="1"/>
                            <wps:spPr>
                              <a:xfrm>
                                <a:off x="0" y="0"/>
                                <a:ext cx="148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KeyBank National Association,</w:t>
              <w:br/>
              <w:t>as a Lender</w:t>
            </w:r>
          </w:p>
        </w:tc>
      </w:tr>
      <w:tr>
        <w:trPr/>
        <w:tc>
          <w:tcPr>
            <w:tcW w:w="124" w:type="dxa"/>
            <w:tcBorders/>
            <w:vAlign w:val="center"/>
          </w:tcPr>
          <w:p>
            <w:pPr>
              <w:pStyle w:val="TableContents"/>
              <w:bidi w:val="0"/>
              <w:spacing w:before="0" w:after="0"/>
              <w:ind w:left="0" w:right="0" w:hanging="0"/>
              <w:jc w:val="left"/>
              <w:rPr/>
            </w:pPr>
            <w:r>
              <w:rPr/>
              <w:t>​</w:t>
            </w:r>
          </w:p>
        </w:tc>
        <w:tc>
          <w:tcPr>
            <w:tcW w:w="3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3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Thomas Z. Schmitt</w:t>
            </w:r>
          </w:p>
        </w:tc>
      </w:tr>
      <w:tr>
        <w:trPr/>
        <w:tc>
          <w:tcPr>
            <w:tcW w:w="124"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33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Thomas Z. Schmitt</w:t>
            </w:r>
          </w:p>
        </w:tc>
      </w:tr>
      <w:tr>
        <w:trPr/>
        <w:tc>
          <w:tcPr>
            <w:tcW w:w="124"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33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26" w:type="dxa"/>
        <w:jc w:val="left"/>
        <w:tblInd w:w="0" w:type="dxa"/>
        <w:tblLayout w:type="fixed"/>
        <w:tblCellMar>
          <w:top w:w="0" w:type="dxa"/>
          <w:left w:w="0" w:type="dxa"/>
          <w:bottom w:w="0" w:type="dxa"/>
          <w:right w:w="0" w:type="dxa"/>
        </w:tblCellMar>
      </w:tblPr>
      <w:tblGrid>
        <w:gridCol w:w="124"/>
        <w:gridCol w:w="796"/>
        <w:gridCol w:w="22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78740" cy="175260"/>
                      <wp:effectExtent l="0" t="0" r="0" b="0"/>
                      <wp:wrapNone/>
                      <wp:docPr id="534" name="Frame53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505460" cy="29210"/>
                      <wp:effectExtent l="0" t="0" r="0" b="0"/>
                      <wp:wrapNone/>
                      <wp:docPr id="535" name="Frame535"/>
                      <a:graphic xmlns:a="http://schemas.openxmlformats.org/drawingml/2006/main">
                        <a:graphicData uri="http://schemas.microsoft.com/office/word/2010/wordprocessingShape">
                          <wps:wsp>
                            <wps:cNvSpPr txBox="1"/>
                            <wps:spPr>
                              <a:xfrm>
                                <a:off x="0" y="0"/>
                                <a:ext cx="505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400810" cy="175260"/>
                      <wp:effectExtent l="0" t="0" r="0" b="0"/>
                      <wp:wrapNone/>
                      <wp:docPr id="536" name="Frame536"/>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00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REGIONS BANK,</w:t>
              <w:br/>
              <w:t>as a Lender</w:t>
            </w:r>
          </w:p>
        </w:tc>
      </w:tr>
      <w:tr>
        <w:trPr/>
        <w:tc>
          <w:tcPr>
            <w:tcW w:w="124" w:type="dxa"/>
            <w:tcBorders/>
            <w:vAlign w:val="center"/>
          </w:tcPr>
          <w:p>
            <w:pPr>
              <w:pStyle w:val="TableContents"/>
              <w:bidi w:val="0"/>
              <w:spacing w:before="0" w:after="0"/>
              <w:ind w:left="0" w:right="0" w:hanging="0"/>
              <w:jc w:val="left"/>
              <w:rPr/>
            </w:pPr>
            <w:r>
              <w:rPr/>
              <w:t>​</w:t>
            </w:r>
          </w:p>
        </w:tc>
        <w:tc>
          <w:tcPr>
            <w:tcW w:w="30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Ghi S. Gavin</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2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Ghi S. Gavin</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64" w:type="dxa"/>
        <w:jc w:val="left"/>
        <w:tblInd w:w="0" w:type="dxa"/>
        <w:tblLayout w:type="fixed"/>
        <w:tblCellMar>
          <w:top w:w="0" w:type="dxa"/>
          <w:left w:w="0" w:type="dxa"/>
          <w:bottom w:w="0" w:type="dxa"/>
          <w:right w:w="0" w:type="dxa"/>
        </w:tblCellMar>
      </w:tblPr>
      <w:tblGrid>
        <w:gridCol w:w="124"/>
        <w:gridCol w:w="1095"/>
        <w:gridCol w:w="334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78740" cy="175260"/>
                      <wp:effectExtent l="0" t="0" r="0" b="0"/>
                      <wp:wrapNone/>
                      <wp:docPr id="537" name="Frame53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5325" cy="29210"/>
                      <wp:effectExtent l="0" t="0" r="0" b="0"/>
                      <wp:wrapNone/>
                      <wp:docPr id="538" name="Frame538"/>
                      <a:graphic xmlns:a="http://schemas.openxmlformats.org/drawingml/2006/main">
                        <a:graphicData uri="http://schemas.microsoft.com/office/word/2010/wordprocessingShape">
                          <wps:wsp>
                            <wps:cNvSpPr txBox="1"/>
                            <wps:spPr>
                              <a:xfrm>
                                <a:off x="0" y="0"/>
                                <a:ext cx="695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24075" cy="175260"/>
                      <wp:effectExtent l="0" t="0" r="0" b="0"/>
                      <wp:wrapNone/>
                      <wp:docPr id="539" name="Frame539"/>
                      <a:graphic xmlns:a="http://schemas.openxmlformats.org/drawingml/2006/main">
                        <a:graphicData uri="http://schemas.microsoft.com/office/word/2010/wordprocessingShape">
                          <wps:wsp>
                            <wps:cNvSpPr txBox="1"/>
                            <wps:spPr>
                              <a:xfrm>
                                <a:off x="0" y="0"/>
                                <a:ext cx="2124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w:t>
            </w:r>
            <w:r>
              <w:rPr>
                <w:rFonts w:ascii="Times New Roman;Times;serif" w:hAnsi="Times New Roman;Times;serif"/>
                <w:caps/>
                <w:sz w:val="24"/>
              </w:rPr>
              <w:t>.S. Bank National Association</w:t>
            </w:r>
            <w:r>
              <w:rPr>
                <w:rFonts w:ascii="Times New Roman;Times;serif" w:hAnsi="Times New Roman;Times;serif"/>
                <w:sz w:val="24"/>
              </w:rPr>
              <w:t>,</w:t>
              <w:br/>
              <w:t>as a Lender</w:t>
            </w:r>
          </w:p>
        </w:tc>
      </w:tr>
      <w:tr>
        <w:trPr/>
        <w:tc>
          <w:tcPr>
            <w:tcW w:w="124"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3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Germain R. Korhone</w:t>
            </w:r>
          </w:p>
        </w:tc>
      </w:tr>
      <w:tr>
        <w:trPr/>
        <w:tc>
          <w:tcPr>
            <w:tcW w:w="124"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34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Germain R. Korhone</w:t>
            </w:r>
          </w:p>
        </w:tc>
      </w:tr>
      <w:tr>
        <w:trPr/>
        <w:tc>
          <w:tcPr>
            <w:tcW w:w="124"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34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99" w:type="dxa"/>
        <w:jc w:val="left"/>
        <w:tblInd w:w="0" w:type="dxa"/>
        <w:tblLayout w:type="fixed"/>
        <w:tblCellMar>
          <w:top w:w="0" w:type="dxa"/>
          <w:left w:w="0" w:type="dxa"/>
          <w:bottom w:w="0" w:type="dxa"/>
          <w:right w:w="0" w:type="dxa"/>
        </w:tblCellMar>
      </w:tblPr>
      <w:tblGrid>
        <w:gridCol w:w="124"/>
        <w:gridCol w:w="1378"/>
        <w:gridCol w:w="319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78740" cy="175260"/>
                      <wp:effectExtent l="0" t="0" r="0" b="0"/>
                      <wp:wrapNone/>
                      <wp:docPr id="540" name="Frame54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875030" cy="29210"/>
                      <wp:effectExtent l="0" t="0" r="0" b="0"/>
                      <wp:wrapNone/>
                      <wp:docPr id="541" name="Frame541"/>
                      <a:graphic xmlns:a="http://schemas.openxmlformats.org/drawingml/2006/main">
                        <a:graphicData uri="http://schemas.microsoft.com/office/word/2010/wordprocessingShape">
                          <wps:wsp>
                            <wps:cNvSpPr txBox="1"/>
                            <wps:spPr>
                              <a:xfrm>
                                <a:off x="0" y="0"/>
                                <a:ext cx="8750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30095" cy="175260"/>
                      <wp:effectExtent l="0" t="0" r="0" b="0"/>
                      <wp:wrapNone/>
                      <wp:docPr id="542" name="Frame542"/>
                      <a:graphic xmlns:a="http://schemas.openxmlformats.org/drawingml/2006/main">
                        <a:graphicData uri="http://schemas.microsoft.com/office/word/2010/wordprocessingShape">
                          <wps:wsp>
                            <wps:cNvSpPr txBox="1"/>
                            <wps:spPr>
                              <a:xfrm>
                                <a:off x="0" y="0"/>
                                <a:ext cx="2030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SYNOVUS FINANCIAL CORPORATION,</w:t>
              <w:br/>
              <w:t>as a Lender</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7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1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Zachary Braun</w:t>
            </w:r>
          </w:p>
        </w:tc>
      </w:tr>
      <w:tr>
        <w:trPr/>
        <w:tc>
          <w:tcPr>
            <w:tcW w:w="124" w:type="dxa"/>
            <w:tcBorders/>
            <w:vAlign w:val="center"/>
          </w:tcPr>
          <w:p>
            <w:pPr>
              <w:pStyle w:val="TableContents"/>
              <w:bidi w:val="0"/>
              <w:spacing w:before="0" w:after="0"/>
              <w:ind w:left="0" w:right="0" w:hanging="0"/>
              <w:jc w:val="left"/>
              <w:rPr/>
            </w:pPr>
            <w:r>
              <w:rPr/>
              <w:t>​</w:t>
            </w:r>
          </w:p>
        </w:tc>
        <w:tc>
          <w:tcPr>
            <w:tcW w:w="137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319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Zachary Braun</w:t>
            </w:r>
          </w:p>
        </w:tc>
      </w:tr>
      <w:tr>
        <w:trPr/>
        <w:tc>
          <w:tcPr>
            <w:tcW w:w="124" w:type="dxa"/>
            <w:tcBorders/>
            <w:vAlign w:val="center"/>
          </w:tcPr>
          <w:p>
            <w:pPr>
              <w:pStyle w:val="TableContents"/>
              <w:bidi w:val="0"/>
              <w:spacing w:before="0" w:after="0"/>
              <w:ind w:left="0" w:right="0" w:hanging="0"/>
              <w:jc w:val="left"/>
              <w:rPr/>
            </w:pPr>
            <w:r>
              <w:rPr/>
              <w:t>​</w:t>
            </w:r>
          </w:p>
        </w:tc>
        <w:tc>
          <w:tcPr>
            <w:tcW w:w="137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19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0"/>
        <w:ind w:left="4320" w:right="0" w:hanging="0"/>
        <w:jc w:val="left"/>
        <w:rPr/>
      </w:pPr>
      <w:r>
        <w:rPr/>
        <w:t>​</w:t>
      </w:r>
    </w:p>
    <w:p>
      <w:pPr>
        <w:pStyle w:val="TextBody"/>
        <w:bidi w:val="0"/>
        <w:spacing w:before="280" w:after="0"/>
        <w:ind w:left="0" w:right="0" w:hanging="0"/>
        <w:jc w:val="left"/>
        <w:rPr>
          <w:caps/>
        </w:rPr>
      </w:pPr>
      <w:r>
        <w:rPr>
          <w:caps/>
        </w:rPr>
        <w:t>​</w:t>
      </w:r>
    </w:p>
    <w:p>
      <w:pPr>
        <w:pStyle w:val="TextBody"/>
        <w:bidi w:val="0"/>
        <w:spacing w:before="0" w:after="0"/>
        <w:ind w:left="0" w:right="0" w:hanging="0"/>
        <w:jc w:val="left"/>
        <w:rPr>
          <w:caps/>
        </w:rPr>
      </w:pPr>
      <w:r>
        <w:rPr>
          <w:caps/>
        </w:rPr>
        <w:t>​</w:t>
      </w:r>
    </w:p>
    <w:p>
      <w:pPr>
        <w:pStyle w:val="TextBody"/>
        <w:bidi w:val="0"/>
        <w:spacing w:lineRule="atLeast" w:line="200" w:before="240" w:after="0"/>
        <w:ind w:left="0" w:right="0" w:hanging="0"/>
        <w:jc w:val="center"/>
        <w:rPr>
          <w:rFonts w:ascii="Times New Roman;Times;serif" w:hAnsi="Times New Roman;Times;serif"/>
          <w:sz w:val="20"/>
        </w:rPr>
      </w:pPr>
      <w:r>
        <w:rPr>
          <w:rFonts w:ascii="Times New Roman;Times;serif" w:hAnsi="Times New Roman;Times;serif"/>
          <w:sz w:val="20"/>
        </w:rPr>
        <w:t>[Signature Page to Second Amendment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See attached.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A</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b/>
          <w:i/>
          <w:smallCaps/>
          <w:sz w:val="24"/>
        </w:rPr>
        <w:t xml:space="preserve">CONFORMED THROUGH </w:t>
      </w:r>
      <w:bookmarkStart w:id="1906" w:name="_cp_change_574"/>
      <w:bookmarkEnd w:id="1906"/>
      <w:r>
        <w:rPr>
          <w:rFonts w:ascii="Times New Roman;Times;serif" w:hAnsi="Times New Roman;Times;serif"/>
          <w:b/>
          <w:i/>
          <w:smallCaps/>
          <w:color w:val="FF0000"/>
          <w:sz w:val="24"/>
        </w:rPr>
        <w:t>SECOND</w:t>
      </w:r>
      <w:bookmarkStart w:id="1907" w:name="_cp_change_575"/>
      <w:bookmarkEnd w:id="1907"/>
      <w:r>
        <w:rPr>
          <w:rFonts w:ascii="Times New Roman;Times;serif" w:hAnsi="Times New Roman;Times;serif"/>
          <w:b/>
          <w:i/>
          <w:smallCaps/>
          <w:color w:val="0000FF"/>
          <w:sz w:val="24"/>
          <w:u w:val="single"/>
        </w:rPr>
        <w:t>THIRD</w:t>
      </w:r>
      <w:r>
        <w:rPr>
          <w:rFonts w:ascii="Times New Roman;Times;serif" w:hAnsi="Times New Roman;Times;serif"/>
          <w:smallCaps/>
          <w:sz w:val="24"/>
        </w:rPr>
        <w:t xml:space="preserve"> </w:t>
      </w:r>
      <w:r>
        <w:rPr>
          <w:rFonts w:ascii="Times New Roman;Times;serif" w:hAnsi="Times New Roman;Times;serif"/>
          <w:b/>
          <w:i/>
          <w:smallCaps/>
          <w:sz w:val="24"/>
        </w:rPr>
        <w:t xml:space="preserve">AMENDMENT </w: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b/>
          <w:i/>
          <w:smallCaps/>
          <w:sz w:val="24"/>
        </w:rPr>
        <w:t xml:space="preserve">TO CREDIT AGREEMENT DATED </w:t>
      </w:r>
      <w:bookmarkStart w:id="1908" w:name="_cp_change_576"/>
      <w:bookmarkEnd w:id="1908"/>
      <w:r>
        <w:rPr>
          <w:rFonts w:ascii="Times New Roman;Times;serif" w:hAnsi="Times New Roman;Times;serif"/>
          <w:b/>
          <w:i/>
          <w:smallCaps/>
          <w:color w:val="FF0000"/>
          <w:sz w:val="24"/>
        </w:rPr>
        <w:t>OCTOBER 5</w:t>
      </w:r>
      <w:bookmarkStart w:id="1909" w:name="_cp_change_577"/>
      <w:bookmarkEnd w:id="1909"/>
      <w:r>
        <w:rPr>
          <w:rFonts w:ascii="Times New Roman;Times;serif" w:hAnsi="Times New Roman;Times;serif"/>
          <w:b/>
          <w:i/>
          <w:smallCaps/>
          <w:color w:val="0000FF"/>
          <w:sz w:val="24"/>
          <w:u w:val="single"/>
        </w:rPr>
        <w:t>DECEMBER 20</w:t>
      </w:r>
      <w:r>
        <w:rPr>
          <w:rFonts w:ascii="Times New Roman;Times;serif" w:hAnsi="Times New Roman;Times;serif"/>
          <w:b/>
          <w:i/>
          <w:smallCaps/>
          <w:sz w:val="24"/>
        </w:rPr>
        <w:t xml:space="preserve">, </w:t>
      </w:r>
      <w:bookmarkStart w:id="1910" w:name="_cp_change_578"/>
      <w:bookmarkEnd w:id="1910"/>
      <w:r>
        <w:rPr>
          <w:rFonts w:ascii="Times New Roman;Times;serif" w:hAnsi="Times New Roman;Times;serif"/>
          <w:b/>
          <w:i/>
          <w:smallCaps/>
          <w:color w:val="FF0000"/>
          <w:sz w:val="24"/>
        </w:rPr>
        <w:t>2022</w:t>
      </w:r>
      <w:bookmarkStart w:id="1911" w:name="_cp_change_579"/>
      <w:bookmarkEnd w:id="1911"/>
      <w:r>
        <w:rPr>
          <w:rFonts w:ascii="Times New Roman;Times;serif" w:hAnsi="Times New Roman;Times;serif"/>
          <w:b/>
          <w:i/>
          <w:smallCaps/>
          <w:color w:val="0000FF"/>
          <w:sz w:val="24"/>
          <w:u w:val="single"/>
        </w:rPr>
        <w:t>2024</w:t>
      </w:r>
    </w:p>
    <w:p>
      <w:pPr>
        <w:pStyle w:val="TextBody"/>
        <w:bidi w:val="0"/>
        <w:spacing w:before="0" w:after="0"/>
        <w:ind w:left="0" w:right="0" w:hanging="0"/>
        <w:jc w:val="right"/>
        <w:rPr>
          <w:smallCaps/>
        </w:rPr>
      </w:pPr>
      <w:r>
        <w:rPr>
          <w:smallCaps/>
        </w:rPr>
        <w:t>​</w:t>
      </w:r>
    </w:p>
    <w:p>
      <w:pPr>
        <w:pStyle w:val="TextBody"/>
        <w:bidi w:val="0"/>
        <w:spacing w:before="0" w:after="0"/>
        <w:ind w:left="0" w:right="0" w:hanging="0"/>
        <w:jc w:val="right"/>
        <w:rPr>
          <w:smallCaps/>
        </w:rPr>
      </w:pPr>
      <w:r>
        <w:rPr>
          <w:smallCaps/>
        </w:rPr>
        <w:t>​</w:t>
      </w:r>
    </w:p>
    <w:p>
      <w:pPr>
        <w:pStyle w:val="TextBody"/>
        <w:bidi w:val="0"/>
        <w:spacing w:before="0" w:after="0"/>
        <w:ind w:left="0" w:right="0" w:hanging="0"/>
        <w:jc w:val="right"/>
        <w:rPr>
          <w:rFonts w:ascii="Times New Roman;Times;serif" w:hAnsi="Times New Roman;Times;serif"/>
          <w:b/>
          <w:smallCaps/>
          <w:sz w:val="24"/>
        </w:rPr>
      </w:pPr>
      <w:r>
        <w:rPr>
          <w:rFonts w:ascii="Times New Roman;Times;serif" w:hAnsi="Times New Roman;Times;serif"/>
          <w:b/>
          <w:smallCaps/>
          <w:sz w:val="24"/>
        </w:rPr>
        <w:t>Published CUSIP Number: 02084AAA0</w:t>
      </w:r>
    </w:p>
    <w:p>
      <w:pPr>
        <w:pStyle w:val="TextBody"/>
        <w:bidi w:val="0"/>
        <w:spacing w:before="0" w:after="0"/>
        <w:ind w:left="0" w:right="0" w:hanging="0"/>
        <w:jc w:val="right"/>
        <w:rPr>
          <w:rFonts w:ascii="Times New Roman;Times;serif" w:hAnsi="Times New Roman;Times;serif"/>
          <w:b/>
          <w:smallCaps/>
          <w:sz w:val="24"/>
        </w:rPr>
      </w:pPr>
      <w:r>
        <w:rPr>
          <w:rFonts w:ascii="Times New Roman;Times;serif" w:hAnsi="Times New Roman;Times;serif"/>
          <w:b/>
          <w:smallCaps/>
          <w:sz w:val="24"/>
        </w:rPr>
        <w:t>ISIN Number: US02084AAA07</w:t>
      </w:r>
    </w:p>
    <w:p>
      <w:pPr>
        <w:pStyle w:val="TextBody"/>
        <w:bidi w:val="0"/>
        <w:spacing w:before="0" w:after="0"/>
        <w:ind w:left="720" w:right="0" w:hanging="0"/>
        <w:jc w:val="left"/>
        <w:rPr/>
      </w:pPr>
      <w:r>
        <w:rPr/>
        <w:t>​</w:t>
      </w:r>
    </w:p>
    <w:p>
      <w:pPr>
        <w:pStyle w:val="TextBody"/>
        <w:pBdr>
          <w:bottom w:val="double" w:sz="6" w:space="1" w:color="000000"/>
        </w:pBdr>
        <w:bidi w:val="0"/>
        <w:spacing w:before="0" w:after="0"/>
        <w:ind w:left="0" w:right="0" w:hanging="0"/>
        <w:jc w:val="both"/>
        <w:rPr/>
      </w:pPr>
      <w:r>
        <w:rPr/>
        <w:t>​</w:t>
      </w:r>
    </w:p>
    <w:p>
      <w:pPr>
        <w:pStyle w:val="TextBody"/>
        <w:bidi w:val="0"/>
        <w:spacing w:before="240" w:after="240"/>
        <w:ind w:left="0" w:right="0" w:hanging="0"/>
        <w:jc w:val="center"/>
        <w:rPr>
          <w:rFonts w:ascii="Times New Roman;Times;serif" w:hAnsi="Times New Roman;Times;serif"/>
          <w:smallCaps/>
          <w:sz w:val="24"/>
        </w:rPr>
      </w:pPr>
      <w:r>
        <w:rPr>
          <w:rFonts w:ascii="Times New Roman;Times;serif" w:hAnsi="Times New Roman;Times;serif"/>
          <w:smallCaps/>
          <w:sz w:val="24"/>
        </w:rPr>
        <w:t>Credit Agreement</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Dated as of May 21, 2021</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among</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Alpine Income Property Trust, Inc., as Guarantor</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The Other Guarantors From Time to Time Parties Hereto,</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the Lenders from time to time parties hereto,</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Truist Bank, N.A.</w:t>
      </w:r>
    </w:p>
    <w:p>
      <w:pPr>
        <w:pStyle w:val="TextBody"/>
        <w:bidi w:val="0"/>
        <w:spacing w:before="0" w:after="240"/>
        <w:ind w:left="0" w:right="0" w:hanging="0"/>
        <w:jc w:val="center"/>
        <w:rPr>
          <w:rFonts w:ascii="Times New Roman;Times;serif" w:hAnsi="Times New Roman;Times;serif"/>
          <w:smallCaps/>
          <w:sz w:val="24"/>
        </w:rPr>
      </w:pPr>
      <w:r>
        <w:rPr>
          <w:rFonts w:ascii="Times New Roman;Times;serif" w:hAnsi="Times New Roman;Times;serif"/>
          <w:smallCaps/>
          <w:sz w:val="24"/>
        </w:rPr>
        <w:t>as Administrative Agent,</w:t>
      </w:r>
    </w:p>
    <w:p>
      <w:pPr>
        <w:pStyle w:val="TextBody"/>
        <w:pBdr>
          <w:bottom w:val="double" w:sz="6" w:space="1" w:color="000000"/>
        </w:pBdr>
        <w:bidi w:val="0"/>
        <w:spacing w:before="280" w:after="0"/>
        <w:ind w:left="0" w:right="0" w:hanging="0"/>
        <w:jc w:val="left"/>
        <w:rPr/>
      </w:pPr>
      <w:r>
        <w:rPr/>
        <w:t>​</w:t>
      </w:r>
    </w:p>
    <w:p>
      <w:pPr>
        <w:pStyle w:val="TextBody"/>
        <w:bidi w:val="0"/>
        <w:spacing w:before="240" w:after="240"/>
        <w:ind w:left="0" w:right="0" w:hanging="0"/>
        <w:jc w:val="center"/>
        <w:rPr>
          <w:rFonts w:ascii="Times New Roman;Times;serif" w:hAnsi="Times New Roman;Times;serif"/>
          <w:smallCaps/>
          <w:sz w:val="24"/>
        </w:rPr>
      </w:pPr>
      <w:r>
        <w:rPr>
          <w:rFonts w:ascii="Times New Roman;Times;serif" w:hAnsi="Times New Roman;Times;serif"/>
          <w:smallCaps/>
          <w:sz w:val="24"/>
        </w:rPr>
        <w:t>Truist Securities, Inc.</w:t>
        <w:br/>
        <w:t>as Sole Lead Arranger and Sole Book Runner</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color w:val="FF0000"/>
          <w:sz w:val="16"/>
        </w:rPr>
      </w:pPr>
      <w:bookmarkStart w:id="1912" w:name="_iDocIDField85ee8eb3-32d7-4880-a154-552d"/>
      <w:bookmarkStart w:id="1913" w:name="_cp_change_580"/>
      <w:bookmarkEnd w:id="1912"/>
      <w:bookmarkEnd w:id="1913"/>
      <w:r>
        <w:rPr>
          <w:rFonts w:ascii="Times New Roman;Times;serif" w:hAnsi="Times New Roman;Times;serif"/>
          <w:color w:val="FF0000"/>
          <w:sz w:val="16"/>
        </w:rPr>
        <w:t>3376859.1</w:t>
      </w:r>
      <w:bookmarkStart w:id="1914" w:name="_cp_change_583"/>
      <w:bookmarkStart w:id="1915" w:name="_cp_change_582"/>
      <w:bookmarkStart w:id="1916" w:name="_cp_change_581"/>
      <w:bookmarkEnd w:id="1914"/>
      <w:bookmarkEnd w:id="1915"/>
      <w:bookmarkEnd w:id="1916"/>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Table of Contents</w:t>
      </w:r>
    </w:p>
    <w:p>
      <w:pPr>
        <w:pStyle w:val="TextBody"/>
        <w:bidi w:val="0"/>
        <w:spacing w:before="0" w:after="0"/>
        <w:ind w:left="0" w:right="0" w:hanging="0"/>
        <w:jc w:val="center"/>
        <w:rPr>
          <w:smallCaps/>
        </w:rPr>
      </w:pPr>
      <w:r>
        <w:rPr>
          <w:smallCaps/>
        </w:rPr>
        <w:t>​</w:t>
      </w:r>
    </w:p>
    <w:tbl>
      <w:tblPr>
        <w:tblW w:w="9052" w:type="dxa"/>
        <w:jc w:val="left"/>
        <w:tblInd w:w="0" w:type="dxa"/>
        <w:tblLayout w:type="fixed"/>
        <w:tblCellMar>
          <w:top w:w="0" w:type="dxa"/>
          <w:left w:w="0" w:type="dxa"/>
          <w:bottom w:w="0" w:type="dxa"/>
          <w:right w:w="0" w:type="dxa"/>
        </w:tblCellMar>
      </w:tblPr>
      <w:tblGrid>
        <w:gridCol w:w="1396"/>
        <w:gridCol w:w="109"/>
        <w:gridCol w:w="6871"/>
        <w:gridCol w:w="67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886460" cy="175260"/>
                      <wp:effectExtent l="0" t="0" r="0" b="0"/>
                      <wp:wrapNone/>
                      <wp:docPr id="543" name="Frame543"/>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363085" cy="175260"/>
                      <wp:effectExtent l="0" t="0" r="0" b="0"/>
                      <wp:wrapNone/>
                      <wp:docPr id="544" name="Frame544"/>
                      <a:graphic xmlns:a="http://schemas.openxmlformats.org/drawingml/2006/main">
                        <a:graphicData uri="http://schemas.microsoft.com/office/word/2010/wordprocessingShape">
                          <wps:wsp>
                            <wps:cNvSpPr txBox="1"/>
                            <wps:spPr>
                              <a:xfrm>
                                <a:off x="0" y="0"/>
                                <a:ext cx="436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29260" cy="175260"/>
                      <wp:effectExtent l="0" t="0" r="0" b="0"/>
                      <wp:wrapNone/>
                      <wp:docPr id="545" name="Frame5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both"/>
              <w:rPr>
                <w:rFonts w:ascii="Times New Roman;Times;serif" w:hAnsi="Times New Roman;Times;serif"/>
                <w:smallCaps/>
                <w:sz w:val="24"/>
              </w:rPr>
            </w:pPr>
            <w:r>
              <w:rPr>
                <w:rFonts w:ascii="Times New Roman;Times;serif" w:hAnsi="Times New Roman;Times;serif"/>
                <w:smallCaps/>
                <w:sz w:val="24"/>
              </w:rPr>
              <w:t>Page</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Credit Facility</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Closing Date Borrowing</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1.4.</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Applicable Interest Rates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1.5.</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Minimum Borrowing Amounts; Maximum Term SOFR Loans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1.6.</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Manner of Borrowing Loans and Designating Applicable Interest Rates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1.7.</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Maturity of Loans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1.8.</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Prepayments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1.9.</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Default Rate</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1.10.</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Evidence of Indebtedness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1.11.</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Funding Indemnity</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1.12.</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1.13.</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Substitution of Lenders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1.14.</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Defaulting Lenders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1.15.</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Increase in Commitments.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Section 1.16.</w:t>
            </w:r>
          </w:p>
        </w:tc>
        <w:tc>
          <w:tcPr>
            <w:tcW w:w="109" w:type="dxa"/>
            <w:tcBorders/>
            <w:vAlign w:val="center"/>
          </w:tcPr>
          <w:p>
            <w:pPr>
              <w:pStyle w:val="TableContents"/>
              <w:bidi w:val="0"/>
              <w:spacing w:before="0" w:after="0"/>
              <w:ind w:left="0" w:right="0" w:hanging="0"/>
              <w:jc w:val="left"/>
              <w:rPr>
                <w:color w:val="0000FF"/>
              </w:rPr>
            </w:pPr>
            <w:r>
              <w:rPr>
                <w:color w:val="0000FF"/>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ESG Adjustments.</w:t>
            </w:r>
          </w:p>
        </w:tc>
        <w:tc>
          <w:tcPr>
            <w:tcW w:w="676" w:type="dxa"/>
            <w:tcBorders/>
            <w:vAlign w:val="center"/>
          </w:tcPr>
          <w:p>
            <w:pPr>
              <w:pStyle w:val="TableContents"/>
              <w:bidi w:val="0"/>
              <w:spacing w:before="0" w:after="0"/>
              <w:ind w:left="0" w:right="0" w:hanging="0"/>
              <w:jc w:val="right"/>
              <w:rPr>
                <w:rFonts w:ascii="Times New Roman;Times;serif" w:hAnsi="Times New Roman;Times;serif"/>
                <w:color w:val="0000FF"/>
                <w:sz w:val="24"/>
                <w:u w:val="single"/>
              </w:rPr>
            </w:pPr>
            <w:r>
              <w:rPr>
                <w:rFonts w:ascii="Times New Roman;Times;serif" w:hAnsi="Times New Roman;Times;serif"/>
                <w:color w:val="0000FF"/>
                <w:sz w:val="24"/>
                <w:u w:val="single"/>
              </w:rPr>
              <w:t>10</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10</w:t>
            </w:r>
            <w:r>
              <w:rPr>
                <w:rFonts w:ascii="Times New Roman;Times;serif" w:hAnsi="Times New Roman;Times;serif"/>
                <w:color w:val="0000FF"/>
                <w:sz w:val="24"/>
                <w:u w:val="single"/>
              </w:rPr>
              <w:t>11</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Administrative Agent and Other Fees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10</w:t>
            </w:r>
            <w:r>
              <w:rPr>
                <w:rFonts w:ascii="Times New Roman;Times;serif" w:hAnsi="Times New Roman;Times;serif"/>
                <w:color w:val="0000FF"/>
                <w:sz w:val="24"/>
                <w:u w:val="single"/>
              </w:rPr>
              <w:t>11</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Place and Application of Payments.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10</w:t>
            </w:r>
            <w:r>
              <w:rPr>
                <w:rFonts w:ascii="Times New Roman;Times;serif" w:hAnsi="Times New Roman;Times;serif"/>
                <w:color w:val="0000FF"/>
                <w:sz w:val="24"/>
                <w:u w:val="single"/>
              </w:rPr>
              <w:t>11</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Place and Application of Payments.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10</w:t>
            </w:r>
            <w:r>
              <w:rPr>
                <w:rFonts w:ascii="Times New Roman;Times;serif" w:hAnsi="Times New Roman;Times;serif"/>
                <w:color w:val="0000FF"/>
                <w:sz w:val="24"/>
                <w:u w:val="single"/>
              </w:rPr>
              <w:t>11</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4.</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Guaranties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11</w:t>
            </w:r>
            <w:r>
              <w:rPr>
                <w:rFonts w:ascii="Times New Roman;Times;serif" w:hAnsi="Times New Roman;Times;serif"/>
                <w:color w:val="0000FF"/>
                <w:sz w:val="24"/>
                <w:u w:val="single"/>
              </w:rPr>
              <w:t>12</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4.1.</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Guaranties.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11</w:t>
            </w:r>
            <w:r>
              <w:rPr>
                <w:rFonts w:ascii="Times New Roman;Times;serif" w:hAnsi="Times New Roman;Times;serif"/>
                <w:color w:val="0000FF"/>
                <w:sz w:val="24"/>
                <w:u w:val="single"/>
              </w:rPr>
              <w:t>12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4.2.</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Further Assurances.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Definitions; Interpretation.</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5.1.</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Definitions.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5.2.</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Interpretation.</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43</w:t>
            </w:r>
            <w:r>
              <w:rPr>
                <w:rFonts w:ascii="Times New Roman;Times;serif" w:hAnsi="Times New Roman;Times;serif"/>
                <w:color w:val="0000FF"/>
                <w:sz w:val="24"/>
                <w:u w:val="single"/>
              </w:rPr>
              <w:t>44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5.3.</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Change in Accounting Principles.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43</w:t>
            </w:r>
            <w:r>
              <w:rPr>
                <w:rFonts w:ascii="Times New Roman;Times;serif" w:hAnsi="Times New Roman;Times;serif"/>
                <w:color w:val="0000FF"/>
                <w:sz w:val="24"/>
                <w:u w:val="single"/>
              </w:rPr>
              <w:t>44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5.4.</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Rates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43</w:t>
            </w:r>
            <w:r>
              <w:rPr>
                <w:rFonts w:ascii="Times New Roman;Times;serif" w:hAnsi="Times New Roman;Times;serif"/>
                <w:color w:val="0000FF"/>
                <w:sz w:val="24"/>
                <w:u w:val="single"/>
              </w:rPr>
              <w:t>44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5.5.</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Divisions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44</w:t>
            </w:r>
            <w:r>
              <w:rPr>
                <w:rFonts w:ascii="Times New Roman;Times;serif" w:hAnsi="Times New Roman;Times;serif"/>
                <w:color w:val="0000FF"/>
                <w:sz w:val="24"/>
                <w:u w:val="single"/>
              </w:rPr>
              <w:t>45</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Representations and Warranties.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44</w:t>
            </w:r>
            <w:r>
              <w:rPr>
                <w:rFonts w:ascii="Times New Roman;Times;serif" w:hAnsi="Times New Roman;Times;serif"/>
                <w:color w:val="0000FF"/>
                <w:sz w:val="24"/>
                <w:u w:val="single"/>
              </w:rPr>
              <w:t>45</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Organization and Qualification; Limited Operations.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44</w:t>
            </w:r>
            <w:r>
              <w:rPr>
                <w:rFonts w:ascii="Times New Roman;Times;serif" w:hAnsi="Times New Roman;Times;serif"/>
                <w:color w:val="0000FF"/>
                <w:sz w:val="24"/>
                <w:u w:val="single"/>
              </w:rPr>
              <w:t>45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Subsidiaries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44</w:t>
            </w:r>
            <w:r>
              <w:rPr>
                <w:rFonts w:ascii="Times New Roman;Times;serif" w:hAnsi="Times New Roman;Times;serif"/>
                <w:color w:val="0000FF"/>
                <w:sz w:val="24"/>
                <w:u w:val="single"/>
              </w:rPr>
              <w:t>45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6.3.</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Authority and Validity of Obligations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45</w:t>
            </w:r>
            <w:r>
              <w:rPr>
                <w:rFonts w:ascii="Times New Roman;Times;serif" w:hAnsi="Times New Roman;Times;serif"/>
                <w:color w:val="0000FF"/>
                <w:sz w:val="24"/>
                <w:u w:val="single"/>
              </w:rPr>
              <w:t>46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6.4.</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Use of Proceeds; Margin Stock</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45</w:t>
            </w:r>
            <w:r>
              <w:rPr>
                <w:rFonts w:ascii="Times New Roman;Times;serif" w:hAnsi="Times New Roman;Times;serif"/>
                <w:color w:val="0000FF"/>
                <w:sz w:val="24"/>
                <w:u w:val="single"/>
              </w:rPr>
              <w:t>46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6.5.</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Financial Reports</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46</w:t>
            </w:r>
            <w:r>
              <w:rPr>
                <w:rFonts w:ascii="Times New Roman;Times;serif" w:hAnsi="Times New Roman;Times;serif"/>
                <w:color w:val="0000FF"/>
                <w:sz w:val="24"/>
                <w:u w:val="single"/>
              </w:rPr>
              <w:t>47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6.6.</w:t>
            </w:r>
          </w:p>
        </w:tc>
        <w:tc>
          <w:tcPr>
            <w:tcW w:w="109"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Material Adverse Effect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46</w:t>
            </w:r>
            <w:r>
              <w:rPr>
                <w:rFonts w:ascii="Times New Roman;Times;serif" w:hAnsi="Times New Roman;Times;serif"/>
                <w:color w:val="0000FF"/>
                <w:sz w:val="24"/>
                <w:u w:val="single"/>
              </w:rPr>
              <w:t>47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i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322" w:type="dxa"/>
        <w:jc w:val="left"/>
        <w:tblInd w:w="0" w:type="dxa"/>
        <w:tblLayout w:type="fixed"/>
        <w:tblCellMar>
          <w:top w:w="0" w:type="dxa"/>
          <w:left w:w="0" w:type="dxa"/>
          <w:bottom w:w="0" w:type="dxa"/>
          <w:right w:w="0" w:type="dxa"/>
        </w:tblCellMar>
      </w:tblPr>
      <w:tblGrid>
        <w:gridCol w:w="1396"/>
        <w:gridCol w:w="109"/>
        <w:gridCol w:w="7186"/>
        <w:gridCol w:w="631"/>
      </w:tblGrid>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6.7.</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Full Disclosure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46</w:t>
            </w:r>
            <w:r>
              <w:rPr>
                <w:rFonts w:ascii="Times New Roman;Times;serif" w:hAnsi="Times New Roman;Times;serif"/>
                <w:color w:val="0000FF"/>
                <w:sz w:val="24"/>
                <w:u w:val="single"/>
              </w:rPr>
              <w:t>47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6.8.</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Trademarks, Franchises, and Licenses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46</w:t>
            </w:r>
            <w:r>
              <w:rPr>
                <w:rFonts w:ascii="Times New Roman;Times;serif" w:hAnsi="Times New Roman;Times;serif"/>
                <w:color w:val="0000FF"/>
                <w:sz w:val="24"/>
                <w:u w:val="single"/>
              </w:rPr>
              <w:t>47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6.9.</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Governmental Authority and Licensing</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47</w:t>
            </w:r>
            <w:r>
              <w:rPr>
                <w:rFonts w:ascii="Times New Roman;Times;serif" w:hAnsi="Times New Roman;Times;serif"/>
                <w:color w:val="0000FF"/>
                <w:sz w:val="24"/>
                <w:u w:val="single"/>
              </w:rPr>
              <w:t>48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6.10.</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Good Title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47</w:t>
            </w:r>
            <w:r>
              <w:rPr>
                <w:rFonts w:ascii="Times New Roman;Times;serif" w:hAnsi="Times New Roman;Times;serif"/>
                <w:color w:val="0000FF"/>
                <w:sz w:val="24"/>
                <w:u w:val="single"/>
              </w:rPr>
              <w:t>48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6.11.</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Litigation and Other Controversies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47</w:t>
            </w:r>
            <w:r>
              <w:rPr>
                <w:rFonts w:ascii="Times New Roman;Times;serif" w:hAnsi="Times New Roman;Times;serif"/>
                <w:color w:val="0000FF"/>
                <w:sz w:val="24"/>
                <w:u w:val="single"/>
              </w:rPr>
              <w:t>48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6.12.</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Taxes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47</w:t>
            </w:r>
            <w:r>
              <w:rPr>
                <w:rFonts w:ascii="Times New Roman;Times;serif" w:hAnsi="Times New Roman;Times;serif"/>
                <w:color w:val="0000FF"/>
                <w:sz w:val="24"/>
                <w:u w:val="single"/>
              </w:rPr>
              <w:t>48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6.13.</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Approvals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47</w:t>
            </w:r>
            <w:r>
              <w:rPr>
                <w:rFonts w:ascii="Times New Roman;Times;serif" w:hAnsi="Times New Roman;Times;serif"/>
                <w:color w:val="0000FF"/>
                <w:sz w:val="24"/>
                <w:u w:val="single"/>
              </w:rPr>
              <w:t>48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6.14.</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Affiliate Transactions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47</w:t>
            </w:r>
            <w:r>
              <w:rPr>
                <w:rFonts w:ascii="Times New Roman;Times;serif" w:hAnsi="Times New Roman;Times;serif"/>
                <w:color w:val="0000FF"/>
                <w:sz w:val="24"/>
                <w:u w:val="single"/>
              </w:rPr>
              <w:t>48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6.15.</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Investment Company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48</w:t>
            </w:r>
            <w:r>
              <w:rPr>
                <w:rFonts w:ascii="Times New Roman;Times;serif" w:hAnsi="Times New Roman;Times;serif"/>
                <w:color w:val="0000FF"/>
                <w:sz w:val="24"/>
                <w:u w:val="single"/>
              </w:rPr>
              <w:t>49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6.16.</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ERISA</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48</w:t>
            </w:r>
            <w:r>
              <w:rPr>
                <w:rFonts w:ascii="Times New Roman;Times;serif" w:hAnsi="Times New Roman;Times;serif"/>
                <w:color w:val="0000FF"/>
                <w:sz w:val="24"/>
                <w:u w:val="single"/>
              </w:rPr>
              <w:t>49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6.17.</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Compliance with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48</w:t>
            </w:r>
            <w:r>
              <w:rPr>
                <w:rFonts w:ascii="Times New Roman;Times;serif" w:hAnsi="Times New Roman;Times;serif"/>
                <w:color w:val="0000FF"/>
                <w:sz w:val="24"/>
                <w:u w:val="single"/>
              </w:rPr>
              <w:t>49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6.18.</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OFAC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49</w:t>
            </w:r>
            <w:r>
              <w:rPr>
                <w:rFonts w:ascii="Times New Roman;Times;serif" w:hAnsi="Times New Roman;Times;serif"/>
                <w:color w:val="0000FF"/>
                <w:sz w:val="24"/>
                <w:u w:val="single"/>
              </w:rPr>
              <w:t>50</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6.19.</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Other Agreements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49</w:t>
            </w:r>
            <w:r>
              <w:rPr>
                <w:rFonts w:ascii="Times New Roman;Times;serif" w:hAnsi="Times New Roman;Times;serif"/>
                <w:color w:val="0000FF"/>
                <w:sz w:val="24"/>
                <w:u w:val="single"/>
              </w:rPr>
              <w:t>50</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6.20.</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Solvency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50</w:t>
            </w:r>
            <w:r>
              <w:rPr>
                <w:rFonts w:ascii="Times New Roman;Times;serif" w:hAnsi="Times New Roman;Times;serif"/>
                <w:color w:val="0000FF"/>
                <w:sz w:val="24"/>
                <w:u w:val="single"/>
              </w:rPr>
              <w:t>51</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6.21.</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Default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50</w:t>
            </w:r>
            <w:r>
              <w:rPr>
                <w:rFonts w:ascii="Times New Roman;Times;serif" w:hAnsi="Times New Roman;Times;serif"/>
                <w:color w:val="0000FF"/>
                <w:sz w:val="24"/>
                <w:u w:val="single"/>
              </w:rPr>
              <w:t>51</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6.22.</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Broker Fees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50</w:t>
            </w:r>
            <w:r>
              <w:rPr>
                <w:rFonts w:ascii="Times New Roman;Times;serif" w:hAnsi="Times New Roman;Times;serif"/>
                <w:color w:val="0000FF"/>
                <w:sz w:val="24"/>
                <w:u w:val="single"/>
              </w:rPr>
              <w:t>51</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6.23.</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Condition of Property; Casualties; Condemnation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50</w:t>
            </w:r>
            <w:r>
              <w:rPr>
                <w:rFonts w:ascii="Times New Roman;Times;serif" w:hAnsi="Times New Roman;Times;serif"/>
                <w:color w:val="0000FF"/>
                <w:sz w:val="24"/>
                <w:u w:val="single"/>
              </w:rPr>
              <w:t>51</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6.24.</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Legal Requirements and Zoning</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51</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6.25.</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Defaults; Landlord is in Compliance with Leases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51</w:t>
            </w:r>
            <w:r>
              <w:rPr>
                <w:rFonts w:ascii="Times New Roman;Times;serif" w:hAnsi="Times New Roman;Times;serif"/>
                <w:color w:val="0000FF"/>
                <w:sz w:val="24"/>
                <w:u w:val="single"/>
              </w:rPr>
              <w:t>52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6.26.</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Affected Financial Institution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51</w:t>
            </w:r>
            <w:r>
              <w:rPr>
                <w:rFonts w:ascii="Times New Roman;Times;serif" w:hAnsi="Times New Roman;Times;serif"/>
                <w:color w:val="0000FF"/>
                <w:sz w:val="24"/>
                <w:u w:val="single"/>
              </w:rPr>
              <w:t>52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6.27.</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REIT Status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51</w:t>
            </w:r>
            <w:r>
              <w:rPr>
                <w:rFonts w:ascii="Times New Roman;Times;serif" w:hAnsi="Times New Roman;Times;serif"/>
                <w:color w:val="0000FF"/>
                <w:sz w:val="24"/>
                <w:u w:val="single"/>
              </w:rPr>
              <w:t>52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6.28.</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Covered Entities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51</w:t>
            </w:r>
            <w:r>
              <w:rPr>
                <w:rFonts w:ascii="Times New Roman;Times;serif" w:hAnsi="Times New Roman;Times;serif"/>
                <w:color w:val="0000FF"/>
                <w:sz w:val="24"/>
                <w:u w:val="single"/>
              </w:rPr>
              <w:t>52</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7.</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Conditions Precedent.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51</w:t>
            </w:r>
            <w:r>
              <w:rPr>
                <w:rFonts w:ascii="Times New Roman;Times;serif" w:hAnsi="Times New Roman;Times;serif"/>
                <w:color w:val="0000FF"/>
                <w:sz w:val="24"/>
                <w:u w:val="single"/>
              </w:rPr>
              <w:t>52</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7.1.</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All Borrowings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51</w:t>
            </w:r>
            <w:r>
              <w:rPr>
                <w:rFonts w:ascii="Times New Roman;Times;serif" w:hAnsi="Times New Roman;Times;serif"/>
                <w:color w:val="0000FF"/>
                <w:sz w:val="24"/>
                <w:u w:val="single"/>
              </w:rPr>
              <w:t>52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7.2.</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Closing Date Term Loan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52</w:t>
            </w:r>
            <w:r>
              <w:rPr>
                <w:rFonts w:ascii="Times New Roman;Times;serif" w:hAnsi="Times New Roman;Times;serif"/>
                <w:color w:val="0000FF"/>
                <w:sz w:val="24"/>
                <w:u w:val="single"/>
              </w:rPr>
              <w:t>53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7.3.</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Unencumbered Assets Additions and Deletions to the Unencumbered Pool</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54</w:t>
            </w:r>
            <w:r>
              <w:rPr>
                <w:rFonts w:ascii="Times New Roman;Times;serif" w:hAnsi="Times New Roman;Times;serif"/>
                <w:color w:val="0000FF"/>
                <w:sz w:val="24"/>
                <w:u w:val="single"/>
              </w:rPr>
              <w:t>55</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54</w:t>
            </w:r>
            <w:r>
              <w:rPr>
                <w:rFonts w:ascii="Times New Roman;Times;serif" w:hAnsi="Times New Roman;Times;serif"/>
                <w:color w:val="0000FF"/>
                <w:sz w:val="24"/>
                <w:u w:val="single"/>
              </w:rPr>
              <w:t>55</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Maintenance of Existence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54</w:t>
            </w:r>
            <w:r>
              <w:rPr>
                <w:rFonts w:ascii="Times New Roman;Times;serif" w:hAnsi="Times New Roman;Times;serif"/>
                <w:color w:val="0000FF"/>
                <w:sz w:val="24"/>
                <w:u w:val="single"/>
              </w:rPr>
              <w:t>55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8.2.</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Maintenance of Properties, Agreements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55</w:t>
            </w:r>
            <w:r>
              <w:rPr>
                <w:rFonts w:ascii="Times New Roman;Times;serif" w:hAnsi="Times New Roman;Times;serif"/>
                <w:color w:val="0000FF"/>
                <w:sz w:val="24"/>
                <w:u w:val="single"/>
              </w:rPr>
              <w:t>56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8.3.</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Taxes and Assessments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55</w:t>
            </w:r>
            <w:r>
              <w:rPr>
                <w:rFonts w:ascii="Times New Roman;Times;serif" w:hAnsi="Times New Roman;Times;serif"/>
                <w:color w:val="0000FF"/>
                <w:sz w:val="24"/>
                <w:u w:val="single"/>
              </w:rPr>
              <w:t>56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8.4.</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Insurance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55</w:t>
            </w:r>
            <w:r>
              <w:rPr>
                <w:rFonts w:ascii="Times New Roman;Times;serif" w:hAnsi="Times New Roman;Times;serif"/>
                <w:color w:val="0000FF"/>
                <w:sz w:val="24"/>
                <w:u w:val="single"/>
              </w:rPr>
              <w:t>56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8.5.</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Financial Reports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55</w:t>
            </w:r>
            <w:r>
              <w:rPr>
                <w:rFonts w:ascii="Times New Roman;Times;serif" w:hAnsi="Times New Roman;Times;serif"/>
                <w:color w:val="0000FF"/>
                <w:sz w:val="24"/>
                <w:u w:val="single"/>
              </w:rPr>
              <w:t>56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8.6.</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Inspection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8.7.</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Liens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58</w:t>
            </w:r>
            <w:r>
              <w:rPr>
                <w:rFonts w:ascii="Times New Roman;Times;serif" w:hAnsi="Times New Roman;Times;serif"/>
                <w:color w:val="0000FF"/>
                <w:sz w:val="24"/>
                <w:u w:val="single"/>
              </w:rPr>
              <w:t>59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8.8.</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Investments, Acquisitions, Loans and Advances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58</w:t>
            </w:r>
            <w:r>
              <w:rPr>
                <w:rFonts w:ascii="Times New Roman;Times;serif" w:hAnsi="Times New Roman;Times;serif"/>
                <w:color w:val="0000FF"/>
                <w:sz w:val="24"/>
                <w:u w:val="single"/>
              </w:rPr>
              <w:t>59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8.9.</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Mergers, Consolidations and Sales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59</w:t>
            </w:r>
            <w:r>
              <w:rPr>
                <w:rFonts w:ascii="Times New Roman;Times;serif" w:hAnsi="Times New Roman;Times;serif"/>
                <w:color w:val="0000FF"/>
                <w:sz w:val="24"/>
                <w:u w:val="single"/>
              </w:rPr>
              <w:t>60</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8.10.</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Maintenance of Subsidiaries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60</w:t>
            </w:r>
            <w:r>
              <w:rPr>
                <w:rFonts w:ascii="Times New Roman;Times;serif" w:hAnsi="Times New Roman;Times;serif"/>
                <w:color w:val="0000FF"/>
                <w:sz w:val="24"/>
                <w:u w:val="single"/>
              </w:rPr>
              <w:t>61</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8.11.</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ERISA</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60</w:t>
            </w:r>
            <w:r>
              <w:rPr>
                <w:rFonts w:ascii="Times New Roman;Times;serif" w:hAnsi="Times New Roman;Times;serif"/>
                <w:color w:val="0000FF"/>
                <w:sz w:val="24"/>
                <w:u w:val="single"/>
              </w:rPr>
              <w:t>61</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8.12.</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Compliance with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61</w:t>
            </w:r>
            <w:r>
              <w:rPr>
                <w:rFonts w:ascii="Times New Roman;Times;serif" w:hAnsi="Times New Roman;Times;serif"/>
                <w:color w:val="0000FF"/>
                <w:sz w:val="24"/>
                <w:u w:val="single"/>
              </w:rPr>
              <w:t>62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8.13.</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Compliance with OFAC Sanctions Programs and Anti-Corruption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62</w:t>
            </w:r>
            <w:r>
              <w:rPr>
                <w:rFonts w:ascii="Times New Roman;Times;serif" w:hAnsi="Times New Roman;Times;serif"/>
                <w:color w:val="0000FF"/>
                <w:sz w:val="24"/>
                <w:u w:val="single"/>
              </w:rPr>
              <w:t>63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8.14.</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Burdensome Contracts With Affiliates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62</w:t>
            </w:r>
            <w:r>
              <w:rPr>
                <w:rFonts w:ascii="Times New Roman;Times;serif" w:hAnsi="Times New Roman;Times;serif"/>
                <w:color w:val="0000FF"/>
                <w:sz w:val="24"/>
                <w:u w:val="single"/>
              </w:rPr>
              <w:t>64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8.15.</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Changes in Fiscal Year</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63</w:t>
            </w:r>
            <w:r>
              <w:rPr>
                <w:rFonts w:ascii="Times New Roman;Times;serif" w:hAnsi="Times New Roman;Times;serif"/>
                <w:color w:val="0000FF"/>
                <w:sz w:val="24"/>
                <w:u w:val="single"/>
              </w:rPr>
              <w:t>64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8.16.</w:t>
            </w:r>
          </w:p>
        </w:tc>
        <w:tc>
          <w:tcPr>
            <w:tcW w:w="109"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Formation of Subsidiaries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63</w:t>
            </w:r>
            <w:r>
              <w:rPr>
                <w:rFonts w:ascii="Times New Roman;Times;serif" w:hAnsi="Times New Roman;Times;serif"/>
                <w:color w:val="0000FF"/>
                <w:sz w:val="24"/>
                <w:u w:val="single"/>
              </w:rPr>
              <w:t>64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172" w:type="dxa"/>
        <w:jc w:val="left"/>
        <w:tblInd w:w="0" w:type="dxa"/>
        <w:tblLayout w:type="fixed"/>
        <w:tblCellMar>
          <w:top w:w="0" w:type="dxa"/>
          <w:left w:w="0" w:type="dxa"/>
          <w:bottom w:w="0" w:type="dxa"/>
          <w:right w:w="0" w:type="dxa"/>
        </w:tblCellMar>
      </w:tblPr>
      <w:tblGrid>
        <w:gridCol w:w="1516"/>
        <w:gridCol w:w="109"/>
        <w:gridCol w:w="6916"/>
        <w:gridCol w:w="631"/>
      </w:tblGrid>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8.17.</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Change in the Nature of Business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63</w:t>
            </w:r>
            <w:r>
              <w:rPr>
                <w:rFonts w:ascii="Times New Roman;Times;serif" w:hAnsi="Times New Roman;Times;serif"/>
                <w:color w:val="0000FF"/>
                <w:sz w:val="24"/>
                <w:u w:val="single"/>
              </w:rPr>
              <w:t>64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8.18.</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Use of Proceeds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63</w:t>
            </w:r>
            <w:r>
              <w:rPr>
                <w:rFonts w:ascii="Times New Roman;Times;serif" w:hAnsi="Times New Roman;Times;serif"/>
                <w:color w:val="0000FF"/>
                <w:sz w:val="24"/>
                <w:u w:val="single"/>
              </w:rPr>
              <w:t>64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8.19.</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Restrictions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63</w:t>
            </w:r>
            <w:r>
              <w:rPr>
                <w:rFonts w:ascii="Times New Roman;Times;serif" w:hAnsi="Times New Roman;Times;serif"/>
                <w:color w:val="0000FF"/>
                <w:sz w:val="24"/>
                <w:u w:val="single"/>
              </w:rPr>
              <w:t>64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8.20.</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Financial 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63</w:t>
            </w:r>
            <w:r>
              <w:rPr>
                <w:rFonts w:ascii="Times New Roman;Times;serif" w:hAnsi="Times New Roman;Times;serif"/>
                <w:color w:val="0000FF"/>
                <w:sz w:val="24"/>
                <w:u w:val="single"/>
              </w:rPr>
              <w:t>64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8.21.</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Pool 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64</w:t>
            </w:r>
            <w:r>
              <w:rPr>
                <w:rFonts w:ascii="Times New Roman;Times;serif" w:hAnsi="Times New Roman;Times;serif"/>
                <w:color w:val="0000FF"/>
                <w:sz w:val="24"/>
                <w:u w:val="single"/>
              </w:rPr>
              <w:t>65</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8.22.</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Electronic Delivery of Certain Information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65</w:t>
            </w:r>
            <w:r>
              <w:rPr>
                <w:rFonts w:ascii="Times New Roman;Times;serif" w:hAnsi="Times New Roman;Times;serif"/>
                <w:color w:val="0000FF"/>
                <w:sz w:val="24"/>
                <w:u w:val="single"/>
              </w:rPr>
              <w:t>66</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8.23.</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Evidence of Payment of Florida Intangibles Tax</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66</w:t>
            </w:r>
            <w:r>
              <w:rPr>
                <w:rFonts w:ascii="Times New Roman;Times;serif" w:hAnsi="Times New Roman;Times;serif"/>
                <w:color w:val="0000FF"/>
                <w:sz w:val="24"/>
                <w:u w:val="single"/>
              </w:rPr>
              <w:t>67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8.24.</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REIT Status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66</w:t>
            </w:r>
            <w:r>
              <w:rPr>
                <w:rFonts w:ascii="Times New Roman;Times;serif" w:hAnsi="Times New Roman;Times;serif"/>
                <w:color w:val="0000FF"/>
                <w:sz w:val="24"/>
                <w:u w:val="single"/>
              </w:rPr>
              <w:t>67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8.25.</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Restricted 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66</w:t>
            </w:r>
            <w:r>
              <w:rPr>
                <w:rFonts w:ascii="Times New Roman;Times;serif" w:hAnsi="Times New Roman;Times;serif"/>
                <w:color w:val="0000FF"/>
                <w:sz w:val="24"/>
                <w:u w:val="single"/>
              </w:rPr>
              <w:t>67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8.26.</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Other Unsecured Indebtedness Guarantees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67</w:t>
            </w:r>
            <w:r>
              <w:rPr>
                <w:rFonts w:ascii="Times New Roman;Times;serif" w:hAnsi="Times New Roman;Times;serif"/>
                <w:color w:val="0000FF"/>
                <w:sz w:val="24"/>
                <w:u w:val="single"/>
              </w:rPr>
              <w:t>68</w:t>
            </w:r>
          </w:p>
        </w:tc>
      </w:tr>
      <w:tr>
        <w:trPr/>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Events of Default and Remedies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67</w:t>
            </w:r>
            <w:r>
              <w:rPr>
                <w:rFonts w:ascii="Times New Roman;Times;serif" w:hAnsi="Times New Roman;Times;serif"/>
                <w:color w:val="0000FF"/>
                <w:sz w:val="24"/>
                <w:u w:val="single"/>
              </w:rPr>
              <w:t>68</w:t>
            </w:r>
          </w:p>
        </w:tc>
      </w:tr>
      <w:tr>
        <w:trPr/>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9.1.</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Events of Default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67</w:t>
            </w:r>
            <w:r>
              <w:rPr>
                <w:rFonts w:ascii="Times New Roman;Times;serif" w:hAnsi="Times New Roman;Times;serif"/>
                <w:color w:val="0000FF"/>
                <w:sz w:val="24"/>
                <w:u w:val="single"/>
              </w:rPr>
              <w:t>68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9.2.</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Non-Bankruptcy Defaults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70</w:t>
            </w:r>
            <w:r>
              <w:rPr>
                <w:rFonts w:ascii="Times New Roman;Times;serif" w:hAnsi="Times New Roman;Times;serif"/>
                <w:color w:val="0000FF"/>
                <w:sz w:val="24"/>
                <w:u w:val="single"/>
              </w:rPr>
              <w:t>71</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9.3.</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Bankruptcy Defaults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70</w:t>
            </w:r>
            <w:r>
              <w:rPr>
                <w:rFonts w:ascii="Times New Roman;Times;serif" w:hAnsi="Times New Roman;Times;serif"/>
                <w:color w:val="0000FF"/>
                <w:sz w:val="24"/>
                <w:u w:val="single"/>
              </w:rPr>
              <w:t>71</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9.4.</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Notice of Default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70</w:t>
            </w:r>
            <w:r>
              <w:rPr>
                <w:rFonts w:ascii="Times New Roman;Times;serif" w:hAnsi="Times New Roman;Times;serif"/>
                <w:color w:val="0000FF"/>
                <w:sz w:val="24"/>
                <w:u w:val="single"/>
              </w:rPr>
              <w:t>71</w:t>
            </w:r>
          </w:p>
        </w:tc>
      </w:tr>
      <w:tr>
        <w:trPr/>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Change in Circumstances.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70</w:t>
            </w:r>
            <w:r>
              <w:rPr>
                <w:rFonts w:ascii="Times New Roman;Times;serif" w:hAnsi="Times New Roman;Times;serif"/>
                <w:color w:val="0000FF"/>
                <w:sz w:val="24"/>
                <w:u w:val="single"/>
              </w:rPr>
              <w:t>71</w:t>
            </w:r>
          </w:p>
        </w:tc>
      </w:tr>
      <w:tr>
        <w:trPr/>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Change of Law</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70</w:t>
            </w:r>
            <w:r>
              <w:rPr>
                <w:rFonts w:ascii="Times New Roman;Times;serif" w:hAnsi="Times New Roman;Times;serif"/>
                <w:color w:val="0000FF"/>
                <w:sz w:val="24"/>
                <w:u w:val="single"/>
              </w:rPr>
              <w:t>71</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10.2.</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Temporary Inability to Determine Rates Alternate Rate of Interest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70</w:t>
            </w:r>
            <w:r>
              <w:rPr>
                <w:rFonts w:ascii="Times New Roman;Times;serif" w:hAnsi="Times New Roman;Times;serif"/>
                <w:color w:val="0000FF"/>
                <w:sz w:val="24"/>
                <w:u w:val="single"/>
              </w:rPr>
              <w:t>72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10.3.</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Increased Cost and Reduced Return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71</w:t>
            </w:r>
            <w:r>
              <w:rPr>
                <w:rFonts w:ascii="Times New Roman;Times;serif" w:hAnsi="Times New Roman;Times;serif"/>
                <w:color w:val="0000FF"/>
                <w:sz w:val="24"/>
                <w:u w:val="single"/>
              </w:rPr>
              <w:t>72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10.4.</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Lending Offices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72</w:t>
            </w:r>
            <w:r>
              <w:rPr>
                <w:rFonts w:ascii="Times New Roman;Times;serif" w:hAnsi="Times New Roman;Times;serif"/>
                <w:color w:val="0000FF"/>
                <w:sz w:val="24"/>
                <w:u w:val="single"/>
              </w:rPr>
              <w:t>73</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10.5.</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Discretion of Lender as to Manner of Funding</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72</w:t>
            </w:r>
            <w:r>
              <w:rPr>
                <w:rFonts w:ascii="Times New Roman;Times;serif" w:hAnsi="Times New Roman;Times;serif"/>
                <w:color w:val="0000FF"/>
                <w:sz w:val="24"/>
                <w:u w:val="single"/>
              </w:rPr>
              <w:t>74</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10.6.</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Permanent Inability to Determine Rate; Benchmark Replacement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73</w:t>
            </w:r>
            <w:r>
              <w:rPr>
                <w:rFonts w:ascii="Times New Roman;Times;serif" w:hAnsi="Times New Roman;Times;serif"/>
                <w:color w:val="0000FF"/>
                <w:sz w:val="24"/>
                <w:u w:val="single"/>
              </w:rPr>
              <w:t>74</w:t>
            </w:r>
          </w:p>
        </w:tc>
      </w:tr>
      <w:tr>
        <w:trPr/>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Administrative Agent.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74</w:t>
            </w:r>
            <w:r>
              <w:rPr>
                <w:rFonts w:ascii="Times New Roman;Times;serif" w:hAnsi="Times New Roman;Times;serif"/>
                <w:color w:val="0000FF"/>
                <w:sz w:val="24"/>
                <w:u w:val="single"/>
              </w:rPr>
              <w:t>75</w:t>
            </w:r>
          </w:p>
        </w:tc>
      </w:tr>
      <w:tr>
        <w:trPr/>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11.1.</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Appointment and Authority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74</w:t>
            </w:r>
            <w:r>
              <w:rPr>
                <w:rFonts w:ascii="Times New Roman;Times;serif" w:hAnsi="Times New Roman;Times;serif"/>
                <w:color w:val="0000FF"/>
                <w:sz w:val="24"/>
                <w:u w:val="single"/>
              </w:rPr>
              <w:t>75</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11.2.</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Rights as a Lender</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74</w:t>
            </w:r>
            <w:r>
              <w:rPr>
                <w:rFonts w:ascii="Times New Roman;Times;serif" w:hAnsi="Times New Roman;Times;serif"/>
                <w:color w:val="0000FF"/>
                <w:sz w:val="24"/>
                <w:u w:val="single"/>
              </w:rPr>
              <w:t>75</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11.3.</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Action by Administrative Agent; Exculpatory Provisions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75</w:t>
            </w:r>
            <w:r>
              <w:rPr>
                <w:rFonts w:ascii="Times New Roman;Times;serif" w:hAnsi="Times New Roman;Times;serif"/>
                <w:color w:val="0000FF"/>
                <w:sz w:val="24"/>
                <w:u w:val="single"/>
              </w:rPr>
              <w:t>76</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11.4.</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Reliance by Administrative Agent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76</w:t>
            </w:r>
            <w:r>
              <w:rPr>
                <w:rFonts w:ascii="Times New Roman;Times;serif" w:hAnsi="Times New Roman;Times;serif"/>
                <w:color w:val="0000FF"/>
                <w:sz w:val="24"/>
                <w:u w:val="single"/>
              </w:rPr>
              <w:t>77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11.5.</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Delegation of Duties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76</w:t>
            </w:r>
            <w:r>
              <w:rPr>
                <w:rFonts w:ascii="Times New Roman;Times;serif" w:hAnsi="Times New Roman;Times;serif"/>
                <w:color w:val="0000FF"/>
                <w:sz w:val="24"/>
                <w:u w:val="single"/>
              </w:rPr>
              <w:t>77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11.6.</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Resignation of Administrative Agent; Removal of Administrative Agent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76</w:t>
            </w:r>
            <w:r>
              <w:rPr>
                <w:rFonts w:ascii="Times New Roman;Times;serif" w:hAnsi="Times New Roman;Times;serif"/>
                <w:color w:val="0000FF"/>
                <w:sz w:val="24"/>
                <w:u w:val="single"/>
              </w:rPr>
              <w:t>77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11.7.</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Non-Reliance on Administrative Agent and Other Lenders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77</w:t>
            </w:r>
            <w:r>
              <w:rPr>
                <w:rFonts w:ascii="Times New Roman;Times;serif" w:hAnsi="Times New Roman;Times;serif"/>
                <w:color w:val="0000FF"/>
                <w:sz w:val="24"/>
                <w:u w:val="single"/>
              </w:rPr>
              <w:t>78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11.8.</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78</w:t>
            </w:r>
            <w:r>
              <w:rPr>
                <w:rFonts w:ascii="Times New Roman;Times;serif" w:hAnsi="Times New Roman;Times;serif"/>
                <w:color w:val="0000FF"/>
                <w:sz w:val="24"/>
                <w:u w:val="single"/>
              </w:rPr>
              <w:t>79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11.9.</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Hedging Liability and Funds Transfer and Deposit Account Liability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78</w:t>
            </w:r>
            <w:r>
              <w:rPr>
                <w:rFonts w:ascii="Times New Roman;Times;serif" w:hAnsi="Times New Roman;Times;serif"/>
                <w:color w:val="0000FF"/>
                <w:sz w:val="24"/>
                <w:u w:val="single"/>
              </w:rPr>
              <w:t>79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11.10.</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Designation of Additional Agents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79</w:t>
            </w:r>
            <w:r>
              <w:rPr>
                <w:rFonts w:ascii="Times New Roman;Times;serif" w:hAnsi="Times New Roman;Times;serif"/>
                <w:color w:val="0000FF"/>
                <w:sz w:val="24"/>
                <w:u w:val="single"/>
              </w:rPr>
              <w:t>80</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11.11.</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79</w:t>
            </w:r>
            <w:r>
              <w:rPr>
                <w:rFonts w:ascii="Times New Roman;Times;serif" w:hAnsi="Times New Roman;Times;serif"/>
                <w:color w:val="0000FF"/>
                <w:sz w:val="24"/>
                <w:u w:val="single"/>
              </w:rPr>
              <w:t>80</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11.12.</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Authorization to Release Guaranties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79</w:t>
            </w:r>
            <w:r>
              <w:rPr>
                <w:rFonts w:ascii="Times New Roman;Times;serif" w:hAnsi="Times New Roman;Times;serif"/>
                <w:color w:val="0000FF"/>
                <w:sz w:val="24"/>
                <w:u w:val="single"/>
              </w:rPr>
              <w:t>80</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11.13.</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Authorization of Administrative Agent to File Proofs of Claim</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79</w:t>
            </w:r>
            <w:r>
              <w:rPr>
                <w:rFonts w:ascii="Times New Roman;Times;serif" w:hAnsi="Times New Roman;Times;serif"/>
                <w:color w:val="0000FF"/>
                <w:sz w:val="24"/>
                <w:u w:val="single"/>
              </w:rPr>
              <w:t>80</w:t>
            </w:r>
          </w:p>
        </w:tc>
      </w:tr>
      <w:tr>
        <w:trPr/>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mallCaps/>
              </w:rPr>
            </w:pPr>
            <w:r>
              <w:rPr>
                <w:smallCaps/>
              </w:rPr>
              <w:t>​</w:t>
            </w:r>
          </w:p>
        </w:tc>
        <w:tc>
          <w:tcPr>
            <w:tcW w:w="6916" w:type="dxa"/>
            <w:tcBorders/>
            <w:vAlign w:val="center"/>
          </w:tcPr>
          <w:p>
            <w:pPr>
              <w:pStyle w:val="TableContents"/>
              <w:bidi w:val="0"/>
              <w:spacing w:before="0" w:after="0"/>
              <w:ind w:left="0" w:right="0" w:hanging="0"/>
              <w:jc w:val="left"/>
              <w:rPr>
                <w:smallCaps/>
              </w:rPr>
            </w:pPr>
            <w:r>
              <w:rPr>
                <w:smallCaps/>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w:t>
            </w:r>
          </w:p>
        </w:tc>
        <w:tc>
          <w:tcPr>
            <w:tcW w:w="109" w:type="dxa"/>
            <w:tcBorders/>
            <w:vAlign w:val="center"/>
          </w:tcPr>
          <w:p>
            <w:pPr>
              <w:pStyle w:val="TableContents"/>
              <w:bidi w:val="0"/>
              <w:spacing w:before="0" w:after="0"/>
              <w:ind w:left="0" w:right="0" w:hanging="0"/>
              <w:jc w:val="left"/>
              <w:rPr>
                <w:smallCaps/>
              </w:rPr>
            </w:pPr>
            <w:r>
              <w:rPr>
                <w:smallCaps/>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Miscellaneous</w:t>
            </w:r>
            <w:r>
              <w:rPr>
                <w:rFonts w:ascii="Times New Roman;Times;serif" w:hAnsi="Times New Roman;Times;serif"/>
                <w:sz w:val="24"/>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80</w:t>
            </w:r>
            <w:r>
              <w:rPr>
                <w:rFonts w:ascii="Times New Roman;Times;serif" w:hAnsi="Times New Roman;Times;serif"/>
                <w:color w:val="0000FF"/>
                <w:sz w:val="24"/>
                <w:u w:val="single"/>
              </w:rPr>
              <w:t>81</w:t>
            </w:r>
          </w:p>
        </w:tc>
      </w:tr>
      <w:tr>
        <w:trPr/>
        <w:tc>
          <w:tcPr>
            <w:tcW w:w="15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mallCaps/>
              </w:rPr>
            </w:pPr>
            <w:r>
              <w:rPr>
                <w:smallCaps/>
              </w:rPr>
              <w:t>​</w:t>
            </w:r>
          </w:p>
        </w:tc>
        <w:tc>
          <w:tcPr>
            <w:tcW w:w="6916" w:type="dxa"/>
            <w:tcBorders/>
            <w:vAlign w:val="center"/>
          </w:tcPr>
          <w:p>
            <w:pPr>
              <w:pStyle w:val="TableContents"/>
              <w:bidi w:val="0"/>
              <w:spacing w:before="0" w:after="0"/>
              <w:ind w:left="0" w:right="0" w:hanging="0"/>
              <w:jc w:val="left"/>
              <w:rPr>
                <w:smallCaps/>
              </w:rPr>
            </w:pPr>
            <w:r>
              <w:rPr>
                <w:smallCaps/>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Withholding Taxes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80</w:t>
            </w:r>
            <w:r>
              <w:rPr>
                <w:rFonts w:ascii="Times New Roman;Times;serif" w:hAnsi="Times New Roman;Times;serif"/>
                <w:color w:val="0000FF"/>
                <w:sz w:val="24"/>
                <w:u w:val="single"/>
              </w:rPr>
              <w:t>81</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Waiver, Cumulative Remedies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82</w:t>
            </w:r>
            <w:r>
              <w:rPr>
                <w:rFonts w:ascii="Times New Roman;Times;serif" w:hAnsi="Times New Roman;Times;serif"/>
                <w:color w:val="0000FF"/>
                <w:sz w:val="24"/>
                <w:u w:val="single"/>
              </w:rPr>
              <w:t>83</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12.3.</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Non-Business Days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82</w:t>
            </w:r>
            <w:r>
              <w:rPr>
                <w:rFonts w:ascii="Times New Roman;Times;serif" w:hAnsi="Times New Roman;Times;serif"/>
                <w:color w:val="0000FF"/>
                <w:sz w:val="24"/>
                <w:u w:val="single"/>
              </w:rPr>
              <w:t>83</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12.4.</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Documentary Taxes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82</w:t>
            </w:r>
            <w:r>
              <w:rPr>
                <w:rFonts w:ascii="Times New Roman;Times;serif" w:hAnsi="Times New Roman;Times;serif"/>
                <w:color w:val="0000FF"/>
                <w:sz w:val="24"/>
                <w:u w:val="single"/>
              </w:rPr>
              <w:t>83</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12.5.</w:t>
            </w:r>
          </w:p>
        </w:tc>
        <w:tc>
          <w:tcPr>
            <w:tcW w:w="109"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Survival of Representations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82</w:t>
            </w:r>
            <w:r>
              <w:rPr>
                <w:rFonts w:ascii="Times New Roman;Times;serif" w:hAnsi="Times New Roman;Times;serif"/>
                <w:color w:val="0000FF"/>
                <w:sz w:val="24"/>
                <w:u w:val="single"/>
              </w:rPr>
              <w:t>83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072" w:type="dxa"/>
        <w:jc w:val="left"/>
        <w:tblInd w:w="0" w:type="dxa"/>
        <w:tblLayout w:type="fixed"/>
        <w:tblCellMar>
          <w:top w:w="0" w:type="dxa"/>
          <w:left w:w="0" w:type="dxa"/>
          <w:bottom w:w="0" w:type="dxa"/>
          <w:right w:w="0" w:type="dxa"/>
        </w:tblCellMar>
      </w:tblPr>
      <w:tblGrid>
        <w:gridCol w:w="1621"/>
        <w:gridCol w:w="109"/>
        <w:gridCol w:w="7591"/>
        <w:gridCol w:w="751"/>
      </w:tblGrid>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12.6.</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Survival of Indemnities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83</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12.7.</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Sharing of Set-Off</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83</w:t>
            </w:r>
            <w:r>
              <w:rPr>
                <w:rFonts w:ascii="Times New Roman;Times;serif" w:hAnsi="Times New Roman;Times;serif"/>
                <w:color w:val="0000FF"/>
                <w:sz w:val="24"/>
                <w:u w:val="single"/>
              </w:rPr>
              <w:t>84</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12.8.</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Notices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83</w:t>
            </w:r>
            <w:r>
              <w:rPr>
                <w:rFonts w:ascii="Times New Roman;Times;serif" w:hAnsi="Times New Roman;Times;serif"/>
                <w:color w:val="0000FF"/>
                <w:sz w:val="24"/>
                <w:u w:val="single"/>
              </w:rPr>
              <w:t>84</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12.9.</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Counterparts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84</w:t>
            </w:r>
            <w:r>
              <w:rPr>
                <w:rFonts w:ascii="Times New Roman;Times;serif" w:hAnsi="Times New Roman;Times;serif"/>
                <w:color w:val="0000FF"/>
                <w:sz w:val="24"/>
                <w:u w:val="single"/>
              </w:rPr>
              <w:t>85</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12.10.</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Successors and Assigns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85</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12.11.</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Participants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85</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12.12.</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Assignments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85</w:t>
            </w:r>
            <w:r>
              <w:rPr>
                <w:rFonts w:ascii="Times New Roman;Times;serif" w:hAnsi="Times New Roman;Times;serif"/>
                <w:color w:val="0000FF"/>
                <w:sz w:val="24"/>
                <w:u w:val="single"/>
              </w:rPr>
              <w:t>86</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12.13.</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Amendments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88</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12.14.</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Headings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88</w:t>
            </w:r>
            <w:r>
              <w:rPr>
                <w:rFonts w:ascii="Times New Roman;Times;serif" w:hAnsi="Times New Roman;Times;serif"/>
                <w:color w:val="0000FF"/>
                <w:sz w:val="24"/>
                <w:u w:val="single"/>
              </w:rPr>
              <w:t>89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12.15.</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Costs and Expenses; Indemnification</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88</w:t>
            </w:r>
            <w:r>
              <w:rPr>
                <w:rFonts w:ascii="Times New Roman;Times;serif" w:hAnsi="Times New Roman;Times;serif"/>
                <w:color w:val="0000FF"/>
                <w:sz w:val="24"/>
                <w:u w:val="single"/>
              </w:rPr>
              <w:t>89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12.16.</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Set-off</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89</w:t>
            </w:r>
            <w:r>
              <w:rPr>
                <w:rFonts w:ascii="Times New Roman;Times;serif" w:hAnsi="Times New Roman;Times;serif"/>
                <w:color w:val="0000FF"/>
                <w:sz w:val="24"/>
                <w:u w:val="single"/>
              </w:rPr>
              <w:t>90</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12.17.</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Entire Agreement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90</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12.18.</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Governing Law</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90</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12.19.</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Severability of Provisions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90</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12.20.</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Excess Interest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90</w:t>
            </w:r>
            <w:r>
              <w:rPr>
                <w:rFonts w:ascii="Times New Roman;Times;serif" w:hAnsi="Times New Roman;Times;serif"/>
                <w:color w:val="0000FF"/>
                <w:sz w:val="24"/>
                <w:u w:val="single"/>
              </w:rPr>
              <w:t>91</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12.21.</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Construction</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91</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12.22.</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Lender’s Obligations Several</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91</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Section 12.23.</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Submission to Jurisdiction; Waiver of Jury Trial</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91</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12.24.</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USA Patriot Act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91</w:t>
            </w:r>
            <w:r>
              <w:rPr>
                <w:rFonts w:ascii="Times New Roman;Times;serif" w:hAnsi="Times New Roman;Times;serif"/>
                <w:color w:val="0000FF"/>
                <w:sz w:val="24"/>
                <w:u w:val="single"/>
              </w:rPr>
              <w:t>92</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12.25.</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Confidentiality</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91</w:t>
            </w:r>
            <w:r>
              <w:rPr>
                <w:rFonts w:ascii="Times New Roman;Times;serif" w:hAnsi="Times New Roman;Times;serif"/>
                <w:color w:val="0000FF"/>
                <w:sz w:val="24"/>
                <w:u w:val="single"/>
              </w:rPr>
              <w:t>92</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12.26.</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Limitation of Recourse</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93</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12.27.</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Other Taxes.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93</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12.28.</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Acknowledgement and Consent to Bail-In of Affected Financial Institutions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93</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12.29.</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Acknowledgement Regarding Any Supported QFCs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93</w:t>
            </w:r>
            <w:r>
              <w:rPr>
                <w:rFonts w:ascii="Times New Roman;Times;serif" w:hAnsi="Times New Roman;Times;serif"/>
                <w:color w:val="0000FF"/>
                <w:sz w:val="24"/>
                <w:u w:val="single"/>
              </w:rPr>
              <w:t>94</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12.30.</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Erroneous Payment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95</w: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Guarantees.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97</w:t>
            </w:r>
          </w:p>
        </w:tc>
      </w:tr>
      <w:tr>
        <w:trPr/>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13.1.</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Guarantees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97</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13.2.</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Guarantee Unconditional</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97</w:t>
            </w:r>
            <w:r>
              <w:rPr>
                <w:rFonts w:ascii="Times New Roman;Times;serif" w:hAnsi="Times New Roman;Times;serif"/>
                <w:color w:val="0000FF"/>
                <w:sz w:val="24"/>
                <w:u w:val="single"/>
              </w:rPr>
              <w:t>98</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13.3.</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Discharge Only upon Payment in Full; Reinstatement in Certain Circumstances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98</w:t>
            </w:r>
            <w:r>
              <w:rPr>
                <w:rFonts w:ascii="Times New Roman;Times;serif" w:hAnsi="Times New Roman;Times;serif"/>
                <w:color w:val="0000FF"/>
                <w:sz w:val="24"/>
                <w:u w:val="single"/>
              </w:rPr>
              <w:t>99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13.4.</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Subrogation</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98</w:t>
            </w:r>
            <w:r>
              <w:rPr>
                <w:rFonts w:ascii="Times New Roman;Times;serif" w:hAnsi="Times New Roman;Times;serif"/>
                <w:color w:val="0000FF"/>
                <w:sz w:val="24"/>
                <w:u w:val="single"/>
              </w:rPr>
              <w:t>99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13.5.</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Waivers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13.6.</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Limit on Recovery</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13.7.</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Stay of Acceleration</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13.8.</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Benefit to Guarantors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99</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13.9.</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Guarantor Covenants</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99</w:t>
            </w:r>
            <w:r>
              <w:rPr>
                <w:rFonts w:ascii="Times New Roman;Times;serif" w:hAnsi="Times New Roman;Times;serif"/>
                <w:color w:val="0000FF"/>
                <w:sz w:val="24"/>
                <w:u w:val="single"/>
              </w:rPr>
              <w:t>100</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13.10.</w:t>
            </w:r>
          </w:p>
        </w:tc>
        <w:tc>
          <w:tcPr>
            <w:tcW w:w="109" w:type="dxa"/>
            <w:tcBorders/>
            <w:vAlign w:val="center"/>
          </w:tcPr>
          <w:p>
            <w:pPr>
              <w:pStyle w:val="TableContents"/>
              <w:bidi w:val="0"/>
              <w:spacing w:before="0" w:after="0"/>
              <w:ind w:left="0" w:right="0" w:hanging="0"/>
              <w:jc w:val="left"/>
              <w:rPr/>
            </w:pPr>
            <w:r>
              <w:rPr/>
              <w:t>​</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Keepwell</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color w:val="FF0000"/>
                <w:sz w:val="24"/>
              </w:rPr>
              <w:t>99</w:t>
            </w:r>
            <w:r>
              <w:rPr>
                <w:rFonts w:ascii="Times New Roman;Times;serif" w:hAnsi="Times New Roman;Times;serif"/>
                <w:color w:val="0000FF"/>
                <w:sz w:val="24"/>
                <w:u w:val="single"/>
              </w:rPr>
              <w:t>100</w:t>
            </w:r>
          </w:p>
        </w:tc>
      </w:tr>
    </w:tbl>
    <w:p>
      <w:pPr>
        <w:pStyle w:val="TextBody"/>
        <w:bidi w:val="0"/>
        <w:spacing w:before="0" w:after="0"/>
        <w:ind w:left="0" w:right="0" w:hanging="0"/>
        <w:jc w:val="left"/>
        <w:rPr/>
      </w:pPr>
      <w:r>
        <w:rPr/>
        <w:t>​</w:t>
      </w:r>
    </w:p>
    <w:tbl>
      <w:tblPr>
        <w:tblW w:w="4983" w:type="dxa"/>
        <w:jc w:val="left"/>
        <w:tblInd w:w="0" w:type="dxa"/>
        <w:tblLayout w:type="fixed"/>
        <w:tblCellMar>
          <w:top w:w="0" w:type="dxa"/>
          <w:left w:w="0" w:type="dxa"/>
          <w:bottom w:w="0" w:type="dxa"/>
          <w:right w:w="0" w:type="dxa"/>
        </w:tblCellMar>
      </w:tblPr>
      <w:tblGrid>
        <w:gridCol w:w="1156"/>
        <w:gridCol w:w="346"/>
        <w:gridCol w:w="3481"/>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734060" cy="29210"/>
                      <wp:effectExtent l="0" t="0" r="0" b="0"/>
                      <wp:wrapNone/>
                      <wp:docPr id="546" name="Frame546"/>
                      <a:graphic xmlns:a="http://schemas.openxmlformats.org/drawingml/2006/main">
                        <a:graphicData uri="http://schemas.microsoft.com/office/word/2010/wordprocessingShape">
                          <wps:wsp>
                            <wps:cNvSpPr txBox="1"/>
                            <wps:spPr>
                              <a:xfrm>
                                <a:off x="0" y="0"/>
                                <a:ext cx="734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29210"/>
                      <wp:effectExtent l="0" t="0" r="0" b="0"/>
                      <wp:wrapNone/>
                      <wp:docPr id="547" name="Frame54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210435" cy="29210"/>
                      <wp:effectExtent l="0" t="0" r="0" b="0"/>
                      <wp:wrapNone/>
                      <wp:docPr id="548" name="Frame548"/>
                      <a:graphic xmlns:a="http://schemas.openxmlformats.org/drawingml/2006/main">
                        <a:graphicData uri="http://schemas.microsoft.com/office/word/2010/wordprocessingShape">
                          <wps:wsp>
                            <wps:cNvSpPr txBox="1"/>
                            <wps:spPr>
                              <a:xfrm>
                                <a:off x="0" y="0"/>
                                <a:ext cx="2210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Exhibit</w:t>
            </w:r>
            <w:r>
              <w:rPr>
                <w:rFonts w:ascii="Times New Roman;Times;serif" w:hAnsi="Times New Roman;Times;serif"/>
                <w:sz w:val="24"/>
              </w:rPr>
              <w:t xml:space="preserve"> A</w:t>
            </w:r>
          </w:p>
        </w:tc>
        <w:tc>
          <w:tcPr>
            <w:tcW w:w="346" w:type="dxa"/>
            <w:tcBorders/>
            <w:vAlign w:val="center"/>
          </w:tcPr>
          <w:p>
            <w:pPr>
              <w:pStyle w:val="TableContents"/>
              <w:bidi w:val="0"/>
              <w:spacing w:before="0" w:after="0"/>
              <w:ind w:left="0" w:right="0" w:hanging="0"/>
              <w:jc w:val="center"/>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Exhibit B</w:t>
            </w:r>
          </w:p>
        </w:tc>
        <w:tc>
          <w:tcPr>
            <w:tcW w:w="346" w:type="dxa"/>
            <w:tcBorders/>
            <w:vAlign w:val="center"/>
          </w:tcPr>
          <w:p>
            <w:pPr>
              <w:pStyle w:val="TableContents"/>
              <w:bidi w:val="0"/>
              <w:spacing w:before="0" w:after="0"/>
              <w:ind w:left="0" w:right="0" w:hanging="0"/>
              <w:jc w:val="center"/>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Notice of Borrowing</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Exhibit C</w:t>
            </w:r>
          </w:p>
        </w:tc>
        <w:tc>
          <w:tcPr>
            <w:tcW w:w="346" w:type="dxa"/>
            <w:tcBorders/>
            <w:vAlign w:val="center"/>
          </w:tcPr>
          <w:p>
            <w:pPr>
              <w:pStyle w:val="TableContents"/>
              <w:bidi w:val="0"/>
              <w:spacing w:before="0" w:after="0"/>
              <w:ind w:left="0" w:right="0" w:hanging="0"/>
              <w:jc w:val="center"/>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Notice of Continuation/Conversion</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Exhibit</w:t>
            </w:r>
            <w:r>
              <w:rPr>
                <w:rFonts w:ascii="Times New Roman;Times;serif" w:hAnsi="Times New Roman;Times;serif"/>
                <w:sz w:val="24"/>
              </w:rPr>
              <w:t xml:space="preserve"> D</w:t>
            </w:r>
          </w:p>
        </w:tc>
        <w:tc>
          <w:tcPr>
            <w:tcW w:w="346" w:type="dxa"/>
            <w:tcBorders/>
            <w:vAlign w:val="center"/>
          </w:tcPr>
          <w:p>
            <w:pPr>
              <w:pStyle w:val="TableContents"/>
              <w:bidi w:val="0"/>
              <w:spacing w:before="0" w:after="0"/>
              <w:ind w:left="0" w:right="0" w:hanging="0"/>
              <w:jc w:val="center"/>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Term Note</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Exhibit</w:t>
            </w:r>
            <w:r>
              <w:rPr>
                <w:rFonts w:ascii="Times New Roman;Times;serif" w:hAnsi="Times New Roman;Times;serif"/>
                <w:sz w:val="24"/>
              </w:rPr>
              <w:t xml:space="preserve"> E</w:t>
            </w:r>
          </w:p>
        </w:tc>
        <w:tc>
          <w:tcPr>
            <w:tcW w:w="346" w:type="dxa"/>
            <w:tcBorders/>
            <w:vAlign w:val="center"/>
          </w:tcPr>
          <w:p>
            <w:pPr>
              <w:pStyle w:val="TableContents"/>
              <w:bidi w:val="0"/>
              <w:spacing w:before="0" w:after="0"/>
              <w:ind w:left="0" w:right="0" w:hanging="0"/>
              <w:jc w:val="center"/>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Compliance Certificate</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Exhibit F</w:t>
            </w:r>
          </w:p>
        </w:tc>
        <w:tc>
          <w:tcPr>
            <w:tcW w:w="346" w:type="dxa"/>
            <w:tcBorders/>
            <w:vAlign w:val="center"/>
          </w:tcPr>
          <w:p>
            <w:pPr>
              <w:pStyle w:val="TableContents"/>
              <w:bidi w:val="0"/>
              <w:spacing w:before="0" w:after="0"/>
              <w:ind w:left="0" w:right="0" w:hanging="0"/>
              <w:jc w:val="center"/>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Assignment and Acceptance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868" w:type="dxa"/>
        <w:jc w:val="left"/>
        <w:tblInd w:w="0" w:type="dxa"/>
        <w:tblLayout w:type="fixed"/>
        <w:tblCellMar>
          <w:top w:w="0" w:type="dxa"/>
          <w:left w:w="0" w:type="dxa"/>
          <w:bottom w:w="0" w:type="dxa"/>
          <w:right w:w="0" w:type="dxa"/>
        </w:tblCellMar>
      </w:tblPr>
      <w:tblGrid>
        <w:gridCol w:w="1636"/>
        <w:gridCol w:w="346"/>
        <w:gridCol w:w="3886"/>
      </w:tblGrid>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 xml:space="preserve">Exhibit </w:t>
            </w:r>
            <w:r>
              <w:rPr>
                <w:rFonts w:ascii="Times New Roman;Times;serif" w:hAnsi="Times New Roman;Times;serif"/>
                <w:sz w:val="24"/>
              </w:rPr>
              <w:t>G</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Additional Guarantor Supplement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 xml:space="preserve">Exhibit </w:t>
            </w:r>
            <w:r>
              <w:rPr>
                <w:rFonts w:ascii="Times New Roman;Times;serif" w:hAnsi="Times New Roman;Times;serif"/>
                <w:sz w:val="24"/>
              </w:rPr>
              <w:t>H</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Commitment Amount Increase Request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 xml:space="preserve">Exhibit </w:t>
            </w:r>
            <w:r>
              <w:rPr>
                <w:rFonts w:ascii="Times New Roman;Times;serif" w:hAnsi="Times New Roman;Times;serif"/>
                <w:sz w:val="24"/>
              </w:rPr>
              <w:t>I</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Schedule</w:t>
            </w:r>
            <w:r>
              <w:rPr>
                <w:rFonts w:ascii="Times New Roman;Times;serif" w:hAnsi="Times New Roman;Times;serif"/>
                <w:sz w:val="24"/>
              </w:rPr>
              <w:t xml:space="preserve"> 1</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Term Loan Commitments</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Schedule 1.1</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Initial </w:t>
            </w:r>
            <w:r>
              <w:rPr>
                <w:rFonts w:ascii="Times New Roman;Times;serif" w:hAnsi="Times New Roman;Times;serif"/>
                <w:color w:val="FF0000"/>
                <w:sz w:val="24"/>
              </w:rPr>
              <w:t>Properties</w:t>
            </w:r>
            <w:r>
              <w:rPr>
                <w:rFonts w:ascii="Times New Roman;Times;serif" w:hAnsi="Times New Roman;Times;serif"/>
                <w:color w:val="0000FF"/>
                <w:sz w:val="24"/>
                <w:u w:val="single"/>
              </w:rPr>
              <w:t>Unencumbered Assets</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Schedule</w:t>
            </w:r>
            <w:r>
              <w:rPr>
                <w:rFonts w:ascii="Times New Roman;Times;serif" w:hAnsi="Times New Roman;Times;serif"/>
                <w:sz w:val="24"/>
              </w:rPr>
              <w:t xml:space="preserve"> 6.2</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Subsidiaries</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Schedule</w:t>
            </w:r>
            <w:r>
              <w:rPr>
                <w:rFonts w:ascii="Times New Roman;Times;serif" w:hAnsi="Times New Roman;Times;serif"/>
                <w:sz w:val="24"/>
              </w:rPr>
              <w:t xml:space="preserve"> 6.6</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Material Adverse Effect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Schedule</w:t>
            </w:r>
            <w:r>
              <w:rPr>
                <w:rFonts w:ascii="Times New Roman;Times;serif" w:hAnsi="Times New Roman;Times;serif"/>
                <w:sz w:val="24"/>
              </w:rPr>
              <w:t xml:space="preserve"> 6.11</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Litigation</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Schedule 6.12</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Tax Returns</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Schedule</w:t>
            </w:r>
            <w:r>
              <w:rPr>
                <w:rFonts w:ascii="Times New Roman;Times;serif" w:hAnsi="Times New Roman;Times;serif"/>
                <w:sz w:val="24"/>
              </w:rPr>
              <w:t xml:space="preserve"> 6.17</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Environmental Issues</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Schedule 6.23</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Maintenance and Condition</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Schedule 8.7</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Existing Liens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mallCaps/>
          <w:sz w:val="24"/>
        </w:rPr>
      </w:pPr>
      <w:r>
        <w:rPr>
          <w:rFonts w:ascii="Times New Roman;Times;serif" w:hAnsi="Times New Roman;Times;serif"/>
          <w:b/>
          <w:smallCaps/>
          <w:sz w:val="24"/>
        </w:rPr>
        <w:t>THE LOAN EVIDENCED BY THIS CREDIT AGREEMENT IS NOT SECURED BY AN INTEREST IN FLORIDA REAL PROPERTY AND HAS BEEN EXECUTED AND DELIVERED OUTSIDE OF THE STATE OF FLORIDA.  CONSEQUENTLY, NO FLORIDA DOCUMENTARY STAMP TAX IS DUE AND PAYABLE WITH RESPECT TO THIS CREDIT AGREEMENT.</w:t>
      </w:r>
    </w:p>
    <w:p>
      <w:pPr>
        <w:pStyle w:val="TextBody"/>
        <w:bidi w:val="0"/>
        <w:spacing w:before="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Credit Agreement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This Credit Agreement (this </w:t>
      </w:r>
      <w:r>
        <w:rPr>
          <w:rFonts w:ascii="Times New Roman;Times;serif" w:hAnsi="Times New Roman;Times;serif"/>
          <w:sz w:val="24"/>
        </w:rPr>
        <w:t>“</w:t>
      </w:r>
      <w:r>
        <w:rPr>
          <w:rFonts w:ascii="Times" w:hAnsi="Times"/>
          <w:b/>
          <w:i/>
          <w:sz w:val="24"/>
        </w:rPr>
        <w:t>Agreement</w:t>
      </w:r>
      <w:r>
        <w:rPr>
          <w:rFonts w:ascii="Times New Roman;Times;serif" w:hAnsi="Times New Roman;Times;serif"/>
          <w:sz w:val="24"/>
        </w:rPr>
        <w:t>”</w:t>
      </w:r>
      <w:r>
        <w:rPr>
          <w:rFonts w:ascii="Times" w:hAnsi="Times"/>
          <w:sz w:val="24"/>
        </w:rPr>
        <w:t xml:space="preserve">) is entered into as of May 21, 2021, by and among </w:t>
      </w:r>
      <w:r>
        <w:rPr>
          <w:rFonts w:ascii="Times" w:hAnsi="Times"/>
          <w:b/>
          <w:smallCaps/>
          <w:sz w:val="24"/>
        </w:rPr>
        <w:t>Alpine Income Property OP, LP</w:t>
      </w:r>
      <w:r>
        <w:rPr>
          <w:rFonts w:ascii="Times" w:hAnsi="Times"/>
          <w:sz w:val="24"/>
        </w:rPr>
        <w:t xml:space="preserve">, a Delaware limited partnership (the </w:t>
      </w:r>
      <w:r>
        <w:rPr>
          <w:rFonts w:ascii="Times New Roman;Times;serif" w:hAnsi="Times New Roman;Times;serif"/>
          <w:sz w:val="24"/>
        </w:rPr>
        <w:t>“</w:t>
      </w:r>
      <w:r>
        <w:rPr>
          <w:rFonts w:ascii="Times" w:hAnsi="Times"/>
          <w:b/>
          <w:i/>
          <w:sz w:val="24"/>
        </w:rPr>
        <w:t>Borrower</w:t>
      </w:r>
      <w:r>
        <w:rPr>
          <w:rFonts w:ascii="Times New Roman;Times;serif" w:hAnsi="Times New Roman;Times;serif"/>
          <w:sz w:val="24"/>
        </w:rPr>
        <w:t>”</w:t>
      </w:r>
      <w:r>
        <w:rPr>
          <w:rFonts w:ascii="Times" w:hAnsi="Times"/>
          <w:sz w:val="24"/>
        </w:rPr>
        <w:t xml:space="preserve">), </w:t>
      </w:r>
      <w:r>
        <w:rPr>
          <w:rFonts w:ascii="Times" w:hAnsi="Times"/>
          <w:b/>
          <w:smallCaps/>
          <w:sz w:val="24"/>
        </w:rPr>
        <w:t>Alpine Income Property Trust, Inc.</w:t>
      </w:r>
      <w:r>
        <w:rPr>
          <w:rFonts w:ascii="Times" w:hAnsi="Times"/>
          <w:sz w:val="24"/>
        </w:rPr>
        <w:t>, a Maryland corporation, as a Guarantor (“</w:t>
      </w:r>
      <w:r>
        <w:rPr>
          <w:rFonts w:ascii="Times" w:hAnsi="Times"/>
          <w:b/>
          <w:i/>
          <w:sz w:val="24"/>
        </w:rPr>
        <w:t>Parent</w:t>
      </w:r>
      <w:r>
        <w:rPr>
          <w:rFonts w:ascii="Times New Roman;Times;serif" w:hAnsi="Times New Roman;Times;serif"/>
          <w:sz w:val="24"/>
        </w:rPr>
        <w:t>”</w:t>
      </w:r>
      <w:r>
        <w:rPr>
          <w:rFonts w:ascii="Times" w:hAnsi="Times"/>
          <w:sz w:val="24"/>
        </w:rPr>
        <w:t xml:space="preserve">), and each Material Subsidiary from time to time party to this Agreement, as Guarantors, the several financial institutions from time to time party to this Agreement, as Lenders, and </w:t>
      </w:r>
      <w:r>
        <w:rPr>
          <w:rFonts w:ascii="Times" w:hAnsi="Times"/>
          <w:b/>
          <w:smallCaps/>
          <w:sz w:val="24"/>
        </w:rPr>
        <w:t>Truist Bank, N.A</w:t>
      </w:r>
      <w:r>
        <w:rPr>
          <w:rFonts w:ascii="Times" w:hAnsi="Times"/>
          <w:smallCaps/>
          <w:sz w:val="24"/>
        </w:rPr>
        <w:t xml:space="preserve">., </w:t>
      </w:r>
      <w:r>
        <w:rPr>
          <w:rFonts w:ascii="Times" w:hAnsi="Times"/>
          <w:sz w:val="24"/>
        </w:rPr>
        <w:t>as Administrative Agent as provided herein.  All capitalized terms used herein without definition shall have the same meanings herein as such terms are defined in Section 5.1 hereof.</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Preliminary Statement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The Borrower has requested, and the Lenders have agreed to extend, certain credit facilities on the terms and conditions of this Agreement.</w:t>
      </w:r>
    </w:p>
    <w:p>
      <w:pPr>
        <w:pStyle w:val="TextBody"/>
        <w:bidi w:val="0"/>
        <w:spacing w:before="0" w:after="240"/>
        <w:ind w:left="0" w:right="0" w:firstLine="720"/>
        <w:jc w:val="both"/>
        <w:rPr>
          <w:rFonts w:ascii="Times New Roman;Times;serif" w:hAnsi="Times New Roman;Times;serif"/>
          <w:sz w:val="24"/>
        </w:rPr>
      </w:pPr>
      <w:r>
        <w:rPr>
          <w:rFonts w:ascii="Times" w:hAnsi="Times"/>
          <w:smallCaps/>
          <w:sz w:val="24"/>
        </w:rPr>
        <w:t>Now, Therefore,</w:t>
      </w:r>
      <w:r>
        <w:rPr>
          <w:rFonts w:ascii="Times New Roman;Times;serif" w:hAnsi="Times New Roman;Times;serif"/>
          <w:sz w:val="24"/>
        </w:rPr>
        <w:t xml:space="preserve"> </w:t>
      </w:r>
      <w:r>
        <w:rPr>
          <w:rFonts w:ascii="Times" w:hAnsi="Times"/>
          <w:sz w:val="24"/>
        </w:rPr>
        <w:t>in consideration of the mutual agreements contained herein, and other good and valuable consideration, the receipt and sufficiency of which are hereby acknowledged, the parties hereto hereby agree as follows:</w:t>
      </w:r>
    </w:p>
    <w:p>
      <w:pPr>
        <w:pStyle w:val="TextBody"/>
        <w:bidi w:val="0"/>
        <w:spacing w:before="0" w:after="240"/>
        <w:ind w:left="720" w:right="0" w:hanging="0"/>
        <w:jc w:val="both"/>
        <w:rPr/>
      </w:pPr>
      <w:r>
        <w:rPr>
          <w:caps/>
        </w:rPr>
        <w:t>●</w:t>
      </w:r>
      <w:bookmarkStart w:id="1917" w:name="_Toc184891451"/>
      <w:bookmarkEnd w:id="1917"/>
      <w:r>
        <w:rPr>
          <w:rFonts w:ascii="Times New Roman;Times;serif" w:hAnsi="Times New Roman;Times;serif"/>
          <w:caps/>
          <w:sz w:val="24"/>
        </w:rPr>
        <w:t>The Credit Facility</w:t>
      </w:r>
    </w:p>
    <w:p>
      <w:pPr>
        <w:pStyle w:val="TextBody"/>
        <w:bidi w:val="0"/>
        <w:spacing w:before="0" w:after="240"/>
        <w:ind w:left="0" w:right="0" w:hanging="0"/>
        <w:jc w:val="both"/>
        <w:rPr/>
      </w:pPr>
      <w:r>
        <w:rPr/>
        <w:t>●</w:t>
      </w:r>
      <w:bookmarkStart w:id="1918" w:name="_Toc184891452"/>
      <w:bookmarkEnd w:id="1918"/>
      <w:r>
        <w:rPr>
          <w:rFonts w:ascii="Times New Roman;Times;serif" w:hAnsi="Times New Roman;Times;serif"/>
          <w:sz w:val="24"/>
          <w:u w:val="single"/>
        </w:rPr>
        <w:t>The Closing Date Borrowing</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w:t>
      </w:r>
    </w:p>
    <w:p>
      <w:pPr>
        <w:pStyle w:val="TextBody"/>
        <w:bidi w:val="0"/>
        <w:spacing w:before="0" w:after="240"/>
        <w:ind w:left="0" w:right="0" w:hanging="0"/>
        <w:jc w:val="both"/>
        <w:rPr/>
      </w:pPr>
      <w:r>
        <w:rPr/>
        <w:t>●</w:t>
      </w:r>
      <w:bookmarkStart w:id="1919" w:name="_Ref70340543"/>
      <w:bookmarkEnd w:id="1919"/>
      <w:r>
        <w:rPr>
          <w:rFonts w:ascii="Times New Roman;Times;serif" w:hAnsi="Times New Roman;Times;serif"/>
          <w:sz w:val="24"/>
        </w:rPr>
        <w:t>Certain Term Lenders made a term loan (each such loan, a “</w:t>
      </w:r>
      <w:r>
        <w:rPr>
          <w:rFonts w:ascii="Times New Roman;Times;serif" w:hAnsi="Times New Roman;Times;serif"/>
          <w:b/>
          <w:i/>
          <w:sz w:val="24"/>
        </w:rPr>
        <w:t>Closing Date</w:t>
      </w:r>
      <w:r>
        <w:rPr>
          <w:rFonts w:ascii="Times New Roman;Times;serif" w:hAnsi="Times New Roman;Times;serif"/>
          <w:sz w:val="24"/>
        </w:rPr>
        <w:t xml:space="preserve"> </w:t>
      </w:r>
      <w:r>
        <w:rPr>
          <w:rFonts w:ascii="Times New Roman;Times;serif" w:hAnsi="Times New Roman;Times;serif"/>
          <w:b/>
          <w:i/>
          <w:sz w:val="24"/>
        </w:rPr>
        <w:t>Term Loan</w:t>
      </w:r>
      <w:r>
        <w:rPr>
          <w:rFonts w:ascii="Times New Roman;Times;serif" w:hAnsi="Times New Roman;Times;serif"/>
          <w:sz w:val="24"/>
        </w:rPr>
        <w:t>” and collectively, the “</w:t>
      </w:r>
      <w:r>
        <w:rPr>
          <w:rFonts w:ascii="Times New Roman;Times;serif" w:hAnsi="Times New Roman;Times;serif"/>
          <w:b/>
          <w:i/>
          <w:sz w:val="24"/>
        </w:rPr>
        <w:t>Closing Date</w:t>
      </w:r>
      <w:r>
        <w:rPr>
          <w:rFonts w:ascii="Times New Roman;Times;serif" w:hAnsi="Times New Roman;Times;serif"/>
          <w:sz w:val="24"/>
        </w:rPr>
        <w:t xml:space="preserve"> </w:t>
      </w:r>
      <w:r>
        <w:rPr>
          <w:rFonts w:ascii="Times New Roman;Times;serif" w:hAnsi="Times New Roman;Times;serif"/>
          <w:b/>
          <w:i/>
          <w:sz w:val="24"/>
        </w:rPr>
        <w:t>Term Loans</w:t>
      </w:r>
      <w:r>
        <w:rPr>
          <w:rFonts w:ascii="Times New Roman;Times;serif" w:hAnsi="Times New Roman;Times;serif"/>
          <w:sz w:val="24"/>
        </w:rPr>
        <w:t>”) in U.S. Dollars to Borrower on the Closing Date.  Subject to the terms and conditions set forth herein, certain Term Lenders severally agree to make an additional Closing Date Term Loan in U.S. Dollars to Borrower on the First Amendment Effective Date in an aggregate original principal amount not to exceed its Applicable Percentage of the Term Facility as of such date; provided that, after giving effect to such Closing Date Term Borrowing, (i) the aggregate principal amount of the Closing Date Term Loans shall not exceed the Aggregate Term Facility Amount, and (ii) each Term Lender’s Total Term Outstandings shall not exceed such Term Lender’s Applicable Percentage of the Term Facility and (iii) subject to Section 7.2(i), the aggregate principal amount of the Closing Date Term Loans shall not exceed the adjusted borrowing base as in effect on the Closing Date. The Borrowing shall consist of Closing Date Term Loans made simultaneously by the Term Lenders in accordance with their respective Applicable Percentage of the Term Facility; provided that, if for any reason the full amount of the Term Facility is not fully drawn by Borrower on the First Amendment Effective Date, the undrawn portion thereof shall automatically be cancelled.  For the avoidance of doubt, the Closing Date Term Loans made on the Closing Date and on the First Amendment Effective Date shall be treated the same for all purposes under this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4"/>
        </w:rPr>
        <w:t>Upon a Term Lender’s funding of its Closing Date Term Loan, such Term Lender’s unfunded Term Commitment shall be permanently reduced to zero and terminate.  Amounts borrowed under this Section 1.1(a) and repaid or prepaid may not be reborrowed.  The Term Loans may be Base Rate Loans, Daily Simple SOFR Loans, or Term SOFR Loans, as further provided herein.</w:t>
      </w:r>
    </w:p>
    <w:p>
      <w:pPr>
        <w:pStyle w:val="TextBody"/>
        <w:bidi w:val="0"/>
        <w:spacing w:before="0" w:after="240"/>
        <w:ind w:left="0" w:right="0" w:hanging="0"/>
        <w:jc w:val="both"/>
        <w:rPr/>
      </w:pPr>
      <w:r>
        <w:rPr/>
        <w:t>●</w:t>
      </w:r>
      <w:bookmarkStart w:id="1920" w:name="_Toc184891453"/>
      <w:bookmarkEnd w:id="1920"/>
      <w:r>
        <w:rPr>
          <w:rFonts w:ascii="Times New Roman;Times;serif" w:hAnsi="Times New Roman;Times;serif"/>
          <w:sz w:val="24"/>
          <w:u w:val="single"/>
        </w:rPr>
        <w:t>Reserved</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bookmarkStart w:id="1921" w:name="_Toc184891454"/>
      <w:bookmarkEnd w:id="1921"/>
      <w:r>
        <w:rPr>
          <w:rFonts w:ascii="Times New Roman;Times;serif" w:hAnsi="Times New Roman;Times;serif"/>
          <w:sz w:val="24"/>
          <w:u w:val="single"/>
        </w:rPr>
        <w:t>Reserved</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bookmarkStart w:id="1922" w:name="_Toc184891455"/>
      <w:bookmarkEnd w:id="1922"/>
      <w:r>
        <w:rPr>
          <w:rFonts w:ascii="Times New Roman;Times;serif" w:hAnsi="Times New Roman;Times;serif"/>
          <w:sz w:val="24"/>
          <w:u w:val="single"/>
        </w:rPr>
        <w:t>Applicable Interest Rates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ind w:left="0" w:right="0" w:hanging="0"/>
        <w:jc w:val="both"/>
        <w:rPr/>
      </w:pPr>
      <w:r>
        <w:rPr/>
        <w:t>●</w:t>
      </w:r>
      <w:r>
        <w:rPr>
          <w:rFonts w:ascii="Times New Roman;Times;serif" w:hAnsi="Times New Roman;Times;serif"/>
          <w:sz w:val="24"/>
          <w:u w:val="single"/>
        </w:rPr>
        <w:t>Base Rate Loans</w:t>
      </w:r>
      <w:r>
        <w:rPr>
          <w:rFonts w:ascii="Times New Roman;Times;serif" w:hAnsi="Times New Roman;Times;serif"/>
          <w:i/>
          <w:sz w:val="24"/>
        </w:rPr>
        <w:t>.</w:t>
      </w:r>
      <w:r>
        <w:rPr>
          <w:rFonts w:ascii="Times New Roman;Times;serif" w:hAnsi="Times New Roman;Times;serif"/>
          <w:sz w:val="24"/>
        </w:rPr>
        <w:t xml:space="preserve">  Each Base Rate Loan made or maintained by a Lender shall bear interest (computed on the basis of a year of 365 or 366 days, as the case may be, and the actual days elapsed) on the unpaid principal amount thereof from the date such Loan is advanced, or created by conversion from a Term SOFR Loan or a Daily Simple SOFR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pStyle w:val="TextBody"/>
        <w:bidi w:val="0"/>
        <w:spacing w:before="0" w:after="240"/>
        <w:ind w:left="0" w:right="0" w:firstLine="720"/>
        <w:jc w:val="both"/>
        <w:rPr/>
      </w:pPr>
      <w:r>
        <w:rPr/>
        <w:t>“</w:t>
      </w:r>
      <w:r>
        <w:rPr>
          <w:rFonts w:ascii="Times" w:hAnsi="Times"/>
          <w:i/>
          <w:sz w:val="24"/>
        </w:rPr>
        <w:t>Base Rate”</w:t>
      </w:r>
      <w:r>
        <w:rPr>
          <w:rFonts w:ascii="Times New Roman;Times;serif" w:hAnsi="Times New Roman;Times;serif"/>
          <w:sz w:val="24"/>
        </w:rPr>
        <w:t xml:space="preserve"> </w:t>
      </w:r>
      <w:r>
        <w:rPr>
          <w:rFonts w:ascii="Times" w:hAnsi="Times"/>
          <w:sz w:val="24"/>
        </w:rPr>
        <w:t xml:space="preserve">means, for any day, the rate per annum equal to the greatest of:  (a) the rate of interest 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Times" w:hAnsi="Times"/>
          <w:i/>
          <w:sz w:val="24"/>
        </w:rPr>
        <w:t>plus</w:t>
      </w:r>
      <w:r>
        <w:rPr>
          <w:rFonts w:ascii="Times New Roman;Times;serif" w:hAnsi="Times New Roman;Times;serif"/>
          <w:sz w:val="24"/>
        </w:rPr>
        <w:t xml:space="preserve"> </w:t>
      </w:r>
      <w:r>
        <w:rPr>
          <w:rFonts w:ascii="Times" w:hAnsi="Times"/>
          <w:sz w:val="24"/>
        </w:rPr>
        <w:t xml:space="preserve">(ii) 1/2 of 1%, and (c) Adjusted Term SOFR for an interest Period of one month for such day </w:t>
      </w:r>
      <w:r>
        <w:rPr>
          <w:rFonts w:ascii="Times" w:hAnsi="Times"/>
          <w:i/>
          <w:sz w:val="24"/>
        </w:rPr>
        <w:t>plus</w:t>
      </w:r>
      <w:r>
        <w:rPr>
          <w:rFonts w:ascii="Times New Roman;Times;serif" w:hAnsi="Times New Roman;Times;serif"/>
          <w:sz w:val="24"/>
        </w:rPr>
        <w:t xml:space="preserve"> </w:t>
      </w:r>
      <w:r>
        <w:rPr>
          <w:rFonts w:ascii="Times" w:hAnsi="Times"/>
          <w:sz w:val="24"/>
        </w:rPr>
        <w:t>1.00%.  If the Base Rate is being used as an alternate rate of interest pursuant to Section 10.6 hereof, then the Base Rate shall be the greater of clauses (a) and (b) above and shall be determined without reference to clause (c) above.</w:t>
      </w:r>
    </w:p>
    <w:p>
      <w:pPr>
        <w:pStyle w:val="TextBody"/>
        <w:bidi w:val="0"/>
        <w:spacing w:before="0" w:after="240"/>
        <w:ind w:left="0" w:right="0" w:firstLine="720"/>
        <w:jc w:val="both"/>
        <w:rPr/>
      </w:pPr>
      <w:r>
        <w:rPr/>
        <w:t>“</w:t>
      </w:r>
      <w:r>
        <w:rPr>
          <w:rFonts w:ascii="Times" w:hAnsi="Times"/>
          <w:i/>
          <w:sz w:val="24"/>
        </w:rPr>
        <w:t>Federal Funds Rate”</w:t>
      </w:r>
      <w:r>
        <w:rPr>
          <w:rFonts w:ascii="Times New Roman;Times;serif" w:hAnsi="Times New Roman;Times;serif"/>
          <w:sz w:val="24"/>
        </w:rPr>
        <w:t xml:space="preserve"> </w:t>
      </w:r>
      <w:r>
        <w:rPr>
          <w:rFonts w:ascii="Times" w:hAnsi="Times"/>
          <w:sz w:val="24"/>
        </w:rPr>
        <w:t xml:space="preserve">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w:hAnsi="Times"/>
          <w:i/>
          <w:sz w:val="24"/>
        </w:rPr>
        <w:t>provided</w:t>
      </w:r>
      <w:r>
        <w:rPr>
          <w:rFonts w:ascii="Times New Roman;Times;serif" w:hAnsi="Times New Roman;Times;serif"/>
          <w:sz w:val="24"/>
        </w:rPr>
        <w:t xml:space="preserve"> </w:t>
      </w:r>
      <w:r>
        <w:rPr>
          <w:rFonts w:ascii="Times" w:hAnsi="Times"/>
          <w:sz w:val="24"/>
        </w:rPr>
        <w:t xml:space="preserve">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w:hAnsi="Times"/>
          <w:i/>
          <w:sz w:val="24"/>
        </w:rPr>
        <w:t>provided</w:t>
      </w:r>
      <w:r>
        <w:rPr>
          <w:rFonts w:ascii="Times New Roman;Times;serif" w:hAnsi="Times New Roman;Times;serif"/>
          <w:sz w:val="24"/>
        </w:rPr>
        <w:t xml:space="preserve"> </w:t>
      </w:r>
      <w:r>
        <w:rPr>
          <w:rFonts w:ascii="Times" w:hAnsi="Times"/>
          <w:sz w:val="24"/>
        </w:rPr>
        <w:t>that in no event shall the Federal Funds Rate be less than 0.00%.</w:t>
      </w:r>
    </w:p>
    <w:p>
      <w:pPr>
        <w:pStyle w:val="TextBody"/>
        <w:bidi w:val="0"/>
        <w:spacing w:before="0" w:after="240"/>
        <w:ind w:left="0" w:right="0" w:hanging="0"/>
        <w:jc w:val="both"/>
        <w:rPr/>
      </w:pPr>
      <w:r>
        <w:rPr/>
        <w:t>●</w:t>
      </w:r>
      <w:r>
        <w:rPr>
          <w:rFonts w:ascii="Times New Roman;Times;serif" w:hAnsi="Times New Roman;Times;serif"/>
          <w:i/>
          <w:sz w:val="24"/>
        </w:rPr>
        <w:t>Term SOFR Loans</w:t>
      </w:r>
      <w:r>
        <w:rPr>
          <w:rFonts w:ascii="Times New Roman;Times;serif" w:hAnsi="Times New Roman;Times;serif"/>
          <w:sz w:val="24"/>
        </w:rPr>
        <w:t xml:space="preserve">.  Each Term SOFR Loan made or maintained by a Lender shall bear interest during each Interest Period it is outstanding (computed on the basis of a year of 360 days and actual days elapsed) on the unpaid principal amount thereof from the date such Loan is advanced or continued, or created by conversion from a Base Rate Loan or Daily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Simple SOFR Loan, until maturity (whether by acceleration or otherwise) at a rate per annum equal to the sum of the Applicable Margin plus the Adjusted Term SOFR applicable for such Interest Period, payable by the Borrower on each Interest Payment Date and at maturity (whether by acceleration or otherwise).</w:t>
      </w:r>
    </w:p>
    <w:p>
      <w:pPr>
        <w:pStyle w:val="TextBody"/>
        <w:bidi w:val="0"/>
        <w:spacing w:before="0" w:after="240"/>
        <w:ind w:left="0" w:right="0" w:hanging="0"/>
        <w:jc w:val="both"/>
        <w:rPr/>
      </w:pPr>
      <w:r>
        <w:rPr/>
        <w:t>●</w:t>
      </w:r>
      <w:r>
        <w:rPr>
          <w:rFonts w:ascii="Times New Roman;Times;serif" w:hAnsi="Times New Roman;Times;serif"/>
          <w:i/>
          <w:sz w:val="24"/>
        </w:rPr>
        <w:t>Daily Simple SOFR Loans</w:t>
      </w:r>
      <w:r>
        <w:rPr>
          <w:rFonts w:ascii="Times New Roman;Times;serif" w:hAnsi="Times New Roman;Times;serif"/>
          <w:sz w:val="24"/>
        </w:rPr>
        <w:t>. Each Daily Simple SOFR Loan made or maintained by a Lender shall bear interest (computed on the basis of a year of 365 or 366 days, as the case may be, and the actual days elapsed) on the unpaid principal amount thereof from the date such Loan is advanced, or created by conversion from a Term SOFR Loan or Base Rate Loan, until maturity (whether by acceleration or otherwise) at a rate per annum equal to the sum of the Applicable Margin plus the Adjusted Daily Simple SOFR from time to time in effect, payable by the Borrower on each Interest Payment Date and at maturity (whether by acceleration or otherwise).</w:t>
      </w:r>
    </w:p>
    <w:p>
      <w:pPr>
        <w:pStyle w:val="TextBody"/>
        <w:bidi w:val="0"/>
        <w:spacing w:before="0" w:after="0"/>
        <w:ind w:left="0" w:right="0" w:hanging="0"/>
        <w:jc w:val="both"/>
        <w:rPr/>
      </w:pPr>
      <w:r>
        <w:rPr/>
        <w:t>●</w:t>
      </w:r>
      <w:r>
        <w:rPr>
          <w:rFonts w:ascii="Times New Roman;Times;serif" w:hAnsi="Times New Roman;Times;serif"/>
          <w:sz w:val="24"/>
          <w:u w:val="single"/>
        </w:rPr>
        <w:t>Rate Determinations</w:t>
      </w:r>
      <w:r>
        <w:rPr>
          <w:rFonts w:ascii="Times New Roman;Times;serif" w:hAnsi="Times New Roman;Times;serif"/>
          <w:i/>
          <w:sz w:val="24"/>
        </w:rPr>
        <w:t xml:space="preserve">. </w:t>
      </w:r>
      <w:r>
        <w:rPr>
          <w:rFonts w:ascii="Times New Roman;Times;serif" w:hAnsi="Times New Roman;Times;serif"/>
          <w:sz w:val="24"/>
        </w:rPr>
        <w:t>The Administrative Agent shall determine each interest rate applicable to the Loans and its determination thereof shall be conclusive and binding except in the case of manifest error.  </w:t>
      </w:r>
    </w:p>
    <w:p>
      <w:pPr>
        <w:pStyle w:val="TextBody"/>
        <w:bidi w:val="0"/>
        <w:spacing w:before="0" w:after="240"/>
        <w:ind w:left="0" w:right="0" w:hanging="0"/>
        <w:jc w:val="both"/>
        <w:rPr/>
      </w:pPr>
      <w:r>
        <w:rPr/>
        <w:t>●</w:t>
      </w:r>
      <w:bookmarkStart w:id="1923" w:name="_Toc184891456"/>
      <w:bookmarkStart w:id="1924" w:name="_Ref703407601"/>
      <w:bookmarkStart w:id="1925" w:name="_Ref703406011"/>
      <w:bookmarkEnd w:id="1923"/>
      <w:bookmarkEnd w:id="1924"/>
      <w:bookmarkEnd w:id="1925"/>
      <w:r>
        <w:rPr>
          <w:rFonts w:ascii="Times New Roman;Times;serif" w:hAnsi="Times New Roman;Times;serif"/>
          <w:sz w:val="24"/>
          <w:u w:val="single"/>
        </w:rPr>
        <w:t>Minimum Borrowing Amounts; Maximum Term SOFR Loans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 xml:space="preserve"> Each Borrowing of Base Rate Loans shall be in an amount not less than $100,000.  Each Borrowing of Term SOFR Loans advanced, continued or converted to a Term SOFR Loan shall be in an amount equal to $100,000 or such greater amount which is an integral multiple of $100,000.  Without the Administrative Agent’s consent, there shall not be more than three (3)  Borrowings of Term SOFR Loans outstanding hereunder.   </w:t>
      </w:r>
    </w:p>
    <w:p>
      <w:pPr>
        <w:pStyle w:val="TextBody"/>
        <w:bidi w:val="0"/>
        <w:spacing w:before="0" w:after="240"/>
        <w:ind w:left="0" w:right="0" w:hanging="0"/>
        <w:jc w:val="both"/>
        <w:rPr/>
      </w:pPr>
      <w:r>
        <w:rPr/>
        <w:t>●</w:t>
      </w:r>
      <w:bookmarkStart w:id="1926" w:name="_Toc184891457"/>
      <w:bookmarkEnd w:id="1926"/>
      <w:r>
        <w:rPr>
          <w:rFonts w:ascii="Times New Roman;Times;serif" w:hAnsi="Times New Roman;Times;serif"/>
          <w:sz w:val="24"/>
          <w:u w:val="single"/>
        </w:rPr>
        <w:t>Manner of Borrowing Loans and Designating Applicable Interest Rates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bookmarkStart w:id="1927" w:name="_Ref703406201"/>
      <w:bookmarkEnd w:id="1927"/>
      <w:r>
        <w:rPr>
          <w:rFonts w:ascii="Times New Roman;Times;serif" w:hAnsi="Times New Roman;Times;serif"/>
          <w:sz w:val="24"/>
          <w:u w:val="single"/>
        </w:rPr>
        <w:t>Notice to the Administrative Agent</w:t>
      </w:r>
      <w:r>
        <w:rPr>
          <w:rFonts w:ascii="Times New Roman;Times;serif" w:hAnsi="Times New Roman;Times;serif"/>
          <w:i/>
          <w:sz w:val="24"/>
        </w:rPr>
        <w:t>.</w:t>
      </w:r>
      <w:r>
        <w:rPr>
          <w:rFonts w:ascii="Times New Roman;Times;serif" w:hAnsi="Times New Roman;Times;serif"/>
          <w:sz w:val="24"/>
        </w:rPr>
        <w:t xml:space="preserve">  The Borrower shall give notice to the Administrative Agent by no later than 10:00 a.m. (New York time):  (i) at least three (3) Business Days before the Closing Date if Borrower requests the Lenders to advance a Borrowing of Term SOFR Loans and (ii) on the date the Borrower requests the Lenders to advance a Borrowing of Base Rate Loans or Daily Simple SOFR Loans.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Loans, on the last day of the Interest Period applicable thereto, the Borrower may continue part or all of such Borrowing as Term SOFR Loans or convert part or all of such Borrowing into Base Rate Loans or Daily Simple SOFR Loans or (ii) if such Borrowing is of Base Rate Loans or Daily Simple SOFR Loans, on any Business Day, the Borrower may convert all or part of such Borrowing into Term SOFR Loans for an Interest Period or Interest Periods specified by the Borrower.  The Borrower shall give all such notices requesting the Borrowing on the Closing Date, continuation or conversion of a Borrowing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to the Administrative Agent.  Notice of the continuation of a Borrowing of Term SOFR Loans for an additional Interest Period or of the conversion of part or all of a Borrowing of Base Rate Loans or Daily Simple SOFR Loans into Term SOFR Loans must be given by no later than 10:00 a.m. (New York time) at least three (3) Business Days before the date of the requested continuation or conversion.  All such notices concerning the Borrowing on the Closing Date, continuation or conversion of a Borrowing shall specify, as applicable, the date of the continuation or conversion of a Borrowing (which shall be a Business Day), the amount of requested Borrowing to be continued or converted, the type of Loans to comprise such continued or converted Borrowing and, if such Borrowing is to be comprised of Term SOFR Loans, the Interest Period applicable thereto.  No Borrowing of Term SOFR Loans or Daily Simple SOFR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pStyle w:val="TextBody"/>
        <w:bidi w:val="0"/>
        <w:spacing w:before="0" w:after="240"/>
        <w:ind w:left="0" w:right="0" w:hanging="0"/>
        <w:jc w:val="both"/>
        <w:rPr/>
      </w:pPr>
      <w:r>
        <w:rPr/>
        <w:t>●</w:t>
      </w:r>
      <w:r>
        <w:rPr>
          <w:rFonts w:ascii="Times New Roman;Times;serif" w:hAnsi="Times New Roman;Times;serif"/>
          <w:sz w:val="24"/>
          <w:u w:val="single"/>
        </w:rPr>
        <w:t>Notice to the Lenders</w:t>
      </w:r>
      <w:r>
        <w:rPr>
          <w:rFonts w:ascii="Times New Roman;Times;serif" w:hAnsi="Times New Roman;Times;serif"/>
          <w:sz w:val="24"/>
        </w:rPr>
        <w:t>.  The Administrative Agent shall give prompt telephonic, telecopy or other telecommunication notice to each Lender of any notice from the Borrower received pursuant to Section 1.6 (a) above and, if such notice requests the Lenders to make Term SOFR Loans, the Administrative Agent shall give notice to the Borrower and each Lender by like means of the interest rate applicable thereto promptly after the Administrative Agent has made such determination.</w:t>
      </w:r>
    </w:p>
    <w:p>
      <w:pPr>
        <w:pStyle w:val="TextBody"/>
        <w:bidi w:val="0"/>
        <w:spacing w:before="0" w:after="240"/>
        <w:ind w:left="0" w:right="0" w:hanging="0"/>
        <w:jc w:val="both"/>
        <w:rPr/>
      </w:pPr>
      <w:r>
        <w:rPr/>
        <w:t>●</w:t>
      </w:r>
      <w:r>
        <w:rPr>
          <w:rFonts w:ascii="Times New Roman;Times;serif" w:hAnsi="Times New Roman;Times;serif"/>
          <w:sz w:val="24"/>
          <w:u w:val="single"/>
        </w:rPr>
        <w:t>Borrower’s Failure to Notify</w:t>
      </w:r>
      <w:r>
        <w:rPr>
          <w:rFonts w:ascii="Times New Roman;Times;serif" w:hAnsi="Times New Roman;Times;serif"/>
          <w:sz w:val="24"/>
        </w:rPr>
        <w:t xml:space="preserve">.  If the Borrower fails to give notice pursuant to Section 1.6 (a) above of the continuation or conversion of any outstanding principal amount of a Borrowing of Term SOFR Loans before the last day of its then current Interest Period within the period required by Section 1.6 (a) and such Borrowing is not prepaid in accordance with Section 1.8, the Borrower shall be deemed to have given the notice three (3) Business Days prior to the end of the then current Interest Period and such Borrowing shall automatically be continued as a Borrowing of a Term SOFR Loan with a one (1) month Interest Period; </w:t>
      </w:r>
      <w:r>
        <w:rPr>
          <w:rFonts w:ascii="Times New Roman;Times;serif" w:hAnsi="Times New Roman;Times;serif"/>
          <w:i/>
          <w:sz w:val="24"/>
        </w:rPr>
        <w:t xml:space="preserve">provided </w:t>
      </w:r>
      <w:r>
        <w:rPr>
          <w:rFonts w:ascii="Times New Roman;Times;serif" w:hAnsi="Times New Roman;Times;serif"/>
          <w:sz w:val="24"/>
        </w:rPr>
        <w:t>that all Lenders are able to accommodate such one (1) month Interest Period and such Term SOFR Loan shall be subject to the funding indemnity set forth in Section 1.11 hereof in the event it is prepaid prior to the end of the Interest Period.</w:t>
      </w:r>
    </w:p>
    <w:p>
      <w:pPr>
        <w:pStyle w:val="TextBody"/>
        <w:bidi w:val="0"/>
        <w:spacing w:before="0" w:after="240"/>
        <w:ind w:left="0" w:right="0" w:hanging="0"/>
        <w:jc w:val="both"/>
        <w:rPr/>
      </w:pPr>
      <w:r>
        <w:rPr/>
        <w:t>●</w:t>
      </w:r>
      <w:r>
        <w:rPr>
          <w:rFonts w:ascii="Times New Roman;Times;serif" w:hAnsi="Times New Roman;Times;serif"/>
          <w:sz w:val="24"/>
          <w:u w:val="single"/>
        </w:rPr>
        <w:t>Disbursement of Loans</w:t>
      </w:r>
      <w:r>
        <w:rPr>
          <w:rFonts w:ascii="Times New Roman;Times;serif" w:hAnsi="Times New Roman;Times;serif"/>
          <w:sz w:val="24"/>
        </w:rPr>
        <w:t>.  Each Lender shall make available its Loan comprising part of such Borrowing in funds immediately available at the principal office of the Administrative Agent in New York New York (or at such other location as the Administrative Agent shall designate) on the Closing Date.  </w:t>
      </w:r>
    </w:p>
    <w:p>
      <w:pPr>
        <w:pStyle w:val="TextBody"/>
        <w:bidi w:val="0"/>
        <w:ind w:left="0" w:right="0" w:hanging="0"/>
        <w:jc w:val="both"/>
        <w:rPr/>
      </w:pPr>
      <w:r>
        <w:rPr/>
        <w:t>●</w:t>
      </w:r>
      <w:r>
        <w:rPr>
          <w:rFonts w:ascii="Times New Roman;Times;serif" w:hAnsi="Times New Roman;Times;serif"/>
          <w:sz w:val="24"/>
          <w:u w:val="single"/>
        </w:rPr>
        <w:t>Administrative Agent Reliance on Lender Funding</w:t>
      </w:r>
      <w:r>
        <w:rPr>
          <w:rFonts w:ascii="Times New Roman;Times;serif" w:hAnsi="Times New Roman;Times;serif"/>
          <w:i/>
          <w:sz w:val="24"/>
        </w:rPr>
        <w:t>.</w:t>
      </w:r>
      <w:r>
        <w:rPr>
          <w:rFonts w:ascii="Times New Roman;Times;serif" w:hAnsi="Times New Roman;Times;serif"/>
          <w:sz w:val="24"/>
        </w:rPr>
        <w:t xml:space="preserve">  Unless the Administrative Agent shall have been notified by a Lender prior to (or, in the case of a Borrowing of Base Rate Loans or Daily Simple SOFR Loans, by 1:00 p.m. (New York time) on) the Closing Date (which notice shall be effective upon receipt) that such Lender does not intend to make payment to the Administrative Agent of the proceeds of a Loan, the Administrative Agent may assume that such Lender has made such payment when due and the Administrative Agent may in reliance upon such assumption (but shall not be required to) make available to the Borrower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(New York time) on the date that is two (2) Business Days following such demand, repay to the Administrative Agent the proceeds of the Loan attributable to such Lender with interest thereon at a rate per annum equal to the interest rate applicable to the Loan, which payment may be in the form of a Base Rate Loan under this Agreement, but without such payment being considered a payment or prepayment of a Loan under Section 1.11 hereof so that the Borrower will have no liability under such Section with respect to such payment.</w:t>
      </w:r>
    </w:p>
    <w:p>
      <w:pPr>
        <w:pStyle w:val="TextBody"/>
        <w:bidi w:val="0"/>
        <w:spacing w:before="0" w:after="240"/>
        <w:ind w:left="0" w:right="0" w:hanging="0"/>
        <w:jc w:val="both"/>
        <w:rPr/>
      </w:pPr>
      <w:r>
        <w:rPr/>
        <w:t>●</w:t>
      </w:r>
      <w:bookmarkStart w:id="1928" w:name="_Toc184891458"/>
      <w:bookmarkEnd w:id="1928"/>
      <w:r>
        <w:rPr>
          <w:rFonts w:ascii="Times New Roman;Times;serif" w:hAnsi="Times New Roman;Times;serif"/>
          <w:sz w:val="24"/>
          <w:u w:val="single"/>
        </w:rPr>
        <w:t>Maturity of Loans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u w:val="single"/>
        </w:rPr>
        <w:t>Term Loans</w:t>
      </w:r>
      <w:r>
        <w:rPr>
          <w:rFonts w:ascii="Times New Roman;Times;serif" w:hAnsi="Times New Roman;Times;serif"/>
          <w:sz w:val="24"/>
        </w:rPr>
        <w:t>. Borrower shall repay to the Term Lenders on the Maturity Date for the Term Facility the aggregate principal amount of all Term Loans outstanding on such date.</w:t>
      </w:r>
    </w:p>
    <w:p>
      <w:pPr>
        <w:pStyle w:val="TextBody"/>
        <w:bidi w:val="0"/>
        <w:spacing w:before="0" w:after="0"/>
        <w:ind w:left="0" w:right="0" w:hanging="0"/>
        <w:jc w:val="both"/>
        <w:rPr/>
      </w:pPr>
      <w:r>
        <w:rPr/>
        <w:t>●</w:t>
      </w:r>
      <w:r>
        <w:rPr>
          <w:rFonts w:ascii="Times New Roman;Times;serif" w:hAnsi="Times New Roman;Times;serif"/>
          <w:sz w:val="24"/>
          <w:u w:val="single"/>
        </w:rPr>
        <w:t>Incremental Loans</w:t>
      </w:r>
      <w:r>
        <w:rPr>
          <w:rFonts w:ascii="Times New Roman;Times;serif" w:hAnsi="Times New Roman;Times;serif"/>
          <w:sz w:val="24"/>
        </w:rPr>
        <w:t>.  Borrower shall repay to the applicable Incremental Term Lenders on the applicable Maturity Date for the Incremental Term Loan Facility, the aggregate principal amount of all Incremental Term Loans of the applicable tranche outstanding under such Incremental Term Loan Facility on such date.</w:t>
      </w:r>
    </w:p>
    <w:p>
      <w:pPr>
        <w:pStyle w:val="TextBody"/>
        <w:bidi w:val="0"/>
        <w:spacing w:before="0" w:after="240"/>
        <w:ind w:left="0" w:right="0" w:hanging="0"/>
        <w:jc w:val="both"/>
        <w:rPr/>
      </w:pPr>
      <w:r>
        <w:rPr/>
        <w:t>●</w:t>
      </w:r>
      <w:bookmarkStart w:id="1929" w:name="_Toc184891459"/>
      <w:bookmarkStart w:id="1930" w:name="_Ref703406711"/>
      <w:bookmarkEnd w:id="1929"/>
      <w:bookmarkEnd w:id="1930"/>
      <w:r>
        <w:rPr>
          <w:rFonts w:ascii="Times New Roman;Times;serif" w:hAnsi="Times New Roman;Times;serif"/>
          <w:sz w:val="24"/>
          <w:u w:val="single"/>
        </w:rPr>
        <w:t>Prepayments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u w:val="single"/>
        </w:rPr>
        <w:t>Optional</w:t>
      </w:r>
      <w:r>
        <w:rPr>
          <w:rFonts w:ascii="Times New Roman;Times;serif" w:hAnsi="Times New Roman;Times;serif"/>
          <w:sz w:val="24"/>
        </w:rPr>
        <w:t>.  The Borrower may prepay in whole or in part (but, if in part, then:  (i) if such Borrowing is of Base Rate Loans, in an amount not less than $100,000, (ii) if such Borrowing is of Term SOFR Loans or Daily Simple SOFR Loans, in an amount not less than $100,000, and (iii) in each case, in an amount such that the minimum amount required for a Borrowing pursuant to Section 1.5 hereof remains outstanding) any Borrowing of Term SOFR Loans at any time upon three (3) Business Days prior notice by the Borrower to the Administrative Agent or, in the case of a Borrowing of Base Rate Loans or Daily Simple SOFR Loans, notice delivered by the Borrower to the Administrative Agent no later than 10:00 a.m. (New York time) on the date of prepayment (or, in any case, such shorter period of time then agreed to by the Administrative Agent), such prepayment to be made by the payment of the principal amount to be prepaid and, in the case of any Term SOFR Loans, accrued interest thereon to the date fixed for prepayment plus any amounts due the Lenders under Section 1.11 hereof.</w:t>
      </w:r>
    </w:p>
    <w:p>
      <w:pPr>
        <w:pStyle w:val="TextBody"/>
        <w:bidi w:val="0"/>
        <w:spacing w:before="0" w:after="240"/>
        <w:ind w:left="0" w:right="0" w:hanging="0"/>
        <w:jc w:val="both"/>
        <w:rPr/>
      </w:pPr>
      <w:r>
        <w:rPr/>
        <w:t>●</w:t>
      </w:r>
      <w:bookmarkStart w:id="1931" w:name="_Ref703408991"/>
      <w:bookmarkEnd w:id="1931"/>
      <w:r>
        <w:rPr>
          <w:rFonts w:ascii="Times New Roman;Times;serif" w:hAnsi="Times New Roman;Times;serif"/>
          <w:sz w:val="24"/>
          <w:u w:val="single"/>
        </w:rPr>
        <w:t>Mandatory</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r>
        <w:rPr>
          <w:rFonts w:ascii="Times New Roman;Times;serif" w:hAnsi="Times New Roman;Times;serif"/>
          <w:sz w:val="24"/>
        </w:rPr>
        <w:t xml:space="preserve">If at any time the sum of the unpaid principal balance of the Loans then outstanding shall be in excess of the lesser of the aggregate Commitments and the Adjusted Availability as then determined and computed, as contained in the most recent Compliance Certificate delivered in accordance with Section 8.5(e) hereof, the Borrower shall promptly, and in no event later than 11:00 a.m. (New York time) on the date that is two (2) Business Days following such delivery, and without notice or demand pay the amount of the excess to the Administrative Agent for the account of the Lenders as a mandatory prepayment on such Obligations. </w:t>
      </w:r>
    </w:p>
    <w:p>
      <w:pPr>
        <w:pStyle w:val="TextBody"/>
        <w:bidi w:val="0"/>
        <w:spacing w:before="0" w:after="0"/>
        <w:ind w:left="720" w:right="0" w:hanging="0"/>
        <w:jc w:val="both"/>
        <w:rPr/>
      </w:pPr>
      <w:r>
        <w:rPr/>
        <w:t>●</w:t>
      </w:r>
      <w:r>
        <w:rPr>
          <w:rFonts w:ascii="Times New Roman;Times;serif" w:hAnsi="Times New Roman;Times;serif"/>
          <w:sz w:val="24"/>
        </w:rPr>
        <w:t xml:space="preserve">Unless the Borrower otherwise directs, prepayments of Loans under this Section 1.8(b) shall be applied first to Borrowings of Base Rate Loans until payment in full thereof, second to Daily Simple SOFR Loans until payment in full thereof, with any balance applied to Borrowings of Term SOFR Loans in the order in which their Interest Periods expire.  Each prepayment of Loans under this Section 1.8(b) shall be made by the payment of the principal amount to be prepaid and, in the case of any Term SOFR Loans, accrued interest thereon to the date of prepayment together with any amounts due the Lenders under Section 1.11 hereof.   </w:t>
      </w:r>
    </w:p>
    <w:p>
      <w:pPr>
        <w:pStyle w:val="TextBody"/>
        <w:bidi w:val="0"/>
        <w:spacing w:before="0" w:after="0"/>
        <w:ind w:left="0" w:right="0" w:hanging="0"/>
        <w:jc w:val="both"/>
        <w:rPr/>
      </w:pPr>
      <w:r>
        <w:rPr/>
        <w:t>●</w:t>
      </w:r>
      <w:r>
        <w:rPr>
          <w:rFonts w:ascii="Times New Roman;Times;serif" w:hAnsi="Times New Roman;Times;serif"/>
          <w:sz w:val="24"/>
          <w:u w:val="single"/>
        </w:rPr>
        <w:t>No Reborrowing</w:t>
      </w:r>
      <w:r>
        <w:rPr>
          <w:rFonts w:ascii="Times New Roman;Times;serif" w:hAnsi="Times New Roman;Times;serif"/>
          <w:i/>
          <w:sz w:val="24"/>
        </w:rPr>
        <w:t>.</w:t>
      </w:r>
      <w:r>
        <w:rPr>
          <w:rFonts w:ascii="Times New Roman;Times;serif" w:hAnsi="Times New Roman;Times;serif"/>
          <w:sz w:val="24"/>
        </w:rPr>
        <w:t xml:space="preserve"> Any Loans repaid or prepaid may not be reborrowed.</w:t>
      </w:r>
    </w:p>
    <w:p>
      <w:pPr>
        <w:pStyle w:val="TextBody"/>
        <w:bidi w:val="0"/>
        <w:spacing w:before="0" w:after="240"/>
        <w:ind w:left="0" w:right="0" w:hanging="0"/>
        <w:jc w:val="both"/>
        <w:rPr/>
      </w:pPr>
      <w:r>
        <w:rPr/>
        <w:t>●</w:t>
      </w:r>
      <w:bookmarkStart w:id="1932" w:name="_Toc184891460"/>
      <w:bookmarkStart w:id="1933" w:name="_Ref703409641"/>
      <w:bookmarkStart w:id="1934" w:name="_Ref703409631"/>
      <w:bookmarkEnd w:id="1932"/>
      <w:bookmarkEnd w:id="1933"/>
      <w:bookmarkEnd w:id="1934"/>
      <w:r>
        <w:rPr>
          <w:rFonts w:ascii="Times New Roman;Times;serif" w:hAnsi="Times New Roman;Times;serif"/>
          <w:sz w:val="24"/>
          <w:u w:val="single"/>
        </w:rPr>
        <w:t>Default Rate</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Notwithstanding anything to the contrary contained herein, while any Event of Default exists or after acceleration, if so directed by the Required Lenders, the Borrower shall pay interest (after as well as before entry of judgment thereon to the extent permitted by law) on the principal amount of all Loans at a rate per annum equal to:</w:t>
      </w:r>
    </w:p>
    <w:p>
      <w:pPr>
        <w:pStyle w:val="TextBody"/>
        <w:bidi w:val="0"/>
        <w:spacing w:before="0" w:after="240"/>
        <w:ind w:left="0" w:right="0" w:hanging="0"/>
        <w:jc w:val="both"/>
        <w:rPr/>
      </w:pPr>
      <w:r>
        <w:rPr/>
        <w:t>●</w:t>
      </w:r>
      <w:r>
        <w:rPr>
          <w:rFonts w:ascii="Times New Roman;Times;serif" w:hAnsi="Times New Roman;Times;serif"/>
          <w:sz w:val="24"/>
        </w:rPr>
        <w:t xml:space="preserve">for any Base Rate Loan, the sum of 2.0% </w:t>
      </w:r>
      <w:r>
        <w:rPr>
          <w:rFonts w:ascii="Times New Roman;Times;serif" w:hAnsi="Times New Roman;Times;serif"/>
          <w:i/>
          <w:sz w:val="24"/>
        </w:rPr>
        <w:t>plus</w:t>
      </w:r>
      <w:r>
        <w:rPr>
          <w:rFonts w:ascii="Times New Roman;Times;serif" w:hAnsi="Times New Roman;Times;serif"/>
          <w:sz w:val="24"/>
        </w:rPr>
        <w:t xml:space="preserve"> the Applicable Margin </w:t>
      </w:r>
      <w:r>
        <w:rPr>
          <w:rFonts w:ascii="Times New Roman;Times;serif" w:hAnsi="Times New Roman;Times;serif"/>
          <w:i/>
          <w:sz w:val="24"/>
        </w:rPr>
        <w:t>plus</w:t>
      </w:r>
      <w:r>
        <w:rPr>
          <w:rFonts w:ascii="Times New Roman;Times;serif" w:hAnsi="Times New Roman;Times;serif"/>
          <w:sz w:val="24"/>
        </w:rPr>
        <w:t xml:space="preserve"> the Base Rate from time to time in effect;</w:t>
      </w:r>
    </w:p>
    <w:p>
      <w:pPr>
        <w:pStyle w:val="TextBody"/>
        <w:bidi w:val="0"/>
        <w:spacing w:before="0" w:after="240"/>
        <w:ind w:left="0" w:right="0" w:hanging="0"/>
        <w:jc w:val="both"/>
        <w:rPr/>
      </w:pPr>
      <w:r>
        <w:rPr/>
        <w:t>●</w:t>
      </w:r>
      <w:r>
        <w:rPr>
          <w:rFonts w:ascii="Times New Roman;Times;serif" w:hAnsi="Times New Roman;Times;serif"/>
          <w:sz w:val="24"/>
        </w:rPr>
        <w:t>for any Daily Simple SOFR Loan, the sum of 2.0% plus the Applicable Margin plus the Adjusted Daily Simple SOFR from time to time in effect; and</w:t>
      </w:r>
    </w:p>
    <w:p>
      <w:pPr>
        <w:pStyle w:val="TextBody"/>
        <w:bidi w:val="0"/>
        <w:ind w:left="0" w:right="0" w:hanging="0"/>
        <w:jc w:val="both"/>
        <w:rPr/>
      </w:pPr>
      <w:r>
        <w:rPr/>
        <w:t>●</w:t>
      </w:r>
      <w:r>
        <w:rPr>
          <w:rFonts w:ascii="Times New Roman;Times;serif" w:hAnsi="Times New Roman;Times;serif"/>
          <w:sz w:val="24"/>
        </w:rPr>
        <w:t xml:space="preserve">for any Term SOFR Loan, the sum of 2.0% </w:t>
      </w:r>
      <w:r>
        <w:rPr>
          <w:rFonts w:ascii="Times New Roman;Times;serif" w:hAnsi="Times New Roman;Times;serif"/>
          <w:i/>
          <w:sz w:val="24"/>
        </w:rPr>
        <w:t>plus</w:t>
      </w:r>
      <w:r>
        <w:rPr>
          <w:rFonts w:ascii="Times New Roman;Times;serif" w:hAnsi="Times New Roman;Times;serif"/>
          <w:sz w:val="24"/>
        </w:rPr>
        <w:t xml:space="preserve"> the rate of interest in effect thereon at the time of such default until the end of the Interest Period applicable thereto </w:t>
      </w:r>
      <w:r>
        <w:rPr>
          <w:rFonts w:ascii="Times New Roman;Times;serif" w:hAnsi="Times New Roman;Times;serif"/>
          <w:i/>
          <w:sz w:val="24"/>
        </w:rPr>
        <w:t>plus</w:t>
      </w:r>
      <w:r>
        <w:rPr>
          <w:rFonts w:ascii="Times New Roman;Times;serif" w:hAnsi="Times New Roman;Times;serif"/>
          <w:sz w:val="24"/>
        </w:rPr>
        <w:t xml:space="preserve"> the Applicable Margin and, thereafter, at a rate per annum equal to the sum of 2.0% </w:t>
      </w:r>
      <w:r>
        <w:rPr>
          <w:rFonts w:ascii="Times New Roman;Times;serif" w:hAnsi="Times New Roman;Times;serif"/>
          <w:i/>
          <w:sz w:val="24"/>
        </w:rPr>
        <w:t>plus</w:t>
      </w:r>
      <w:r>
        <w:rPr>
          <w:rFonts w:ascii="Times New Roman;Times;serif" w:hAnsi="Times New Roman;Times;serif"/>
          <w:sz w:val="24"/>
        </w:rPr>
        <w:t xml:space="preserve"> the Applicable Margin for Base Rate Loans </w:t>
      </w:r>
      <w:r>
        <w:rPr>
          <w:rFonts w:ascii="Times New Roman;Times;serif" w:hAnsi="Times New Roman;Times;serif"/>
          <w:i/>
          <w:sz w:val="24"/>
        </w:rPr>
        <w:t>plus</w:t>
      </w:r>
      <w:r>
        <w:rPr>
          <w:rFonts w:ascii="Times New Roman;Times;serif" w:hAnsi="Times New Roman;Times;serif"/>
          <w:sz w:val="24"/>
        </w:rPr>
        <w:t xml:space="preserve"> the Base Rate from time to time in effect;</w:t>
      </w:r>
    </w:p>
    <w:p>
      <w:pPr>
        <w:pStyle w:val="TextBody"/>
        <w:bidi w:val="0"/>
        <w:spacing w:before="0" w:after="240"/>
        <w:ind w:left="0" w:right="0" w:hanging="0"/>
        <w:jc w:val="both"/>
        <w:rPr>
          <w:rFonts w:ascii="Times New Roman;Times;serif" w:hAnsi="Times New Roman;Times;serif"/>
          <w:sz w:val="24"/>
        </w:rPr>
      </w:pPr>
      <w:r>
        <w:rPr>
          <w:rFonts w:ascii="Times" w:hAnsi="Times"/>
          <w:i/>
          <w:sz w:val="24"/>
        </w:rPr>
        <w:t xml:space="preserve">provided, however, </w:t>
      </w:r>
      <w:r>
        <w:rPr>
          <w:rFonts w:ascii="Times" w:hAnsi="Times"/>
          <w:sz w:val="24"/>
        </w:rPr>
        <w:t xml:space="preserve">that in the absence of acceleration, any adjustments pursuant to this Section 1.9 shall be 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 </w:t>
      </w:r>
    </w:p>
    <w:p>
      <w:pPr>
        <w:pStyle w:val="TextBody"/>
        <w:bidi w:val="0"/>
        <w:spacing w:before="0" w:after="240"/>
        <w:ind w:left="0" w:right="0" w:hanging="0"/>
        <w:jc w:val="both"/>
        <w:rPr/>
      </w:pPr>
      <w:r>
        <w:rPr/>
        <w:t>●</w:t>
      </w:r>
      <w:bookmarkStart w:id="1935" w:name="_Toc184891461"/>
      <w:bookmarkEnd w:id="1935"/>
      <w:r>
        <w:rPr>
          <w:rFonts w:ascii="Times New Roman;Times;serif" w:hAnsi="Times New Roman;Times;serif"/>
          <w:sz w:val="24"/>
          <w:u w:val="single"/>
        </w:rPr>
        <w:t>Evidence of Indebtedness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 xml:space="preserve">Each Lender shall maintain in accordance with its usual practice an account or accounts evidencing the indebtedness of the Borrower to such Lender resulting from each Loan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made by such Lender from time to time, including the amounts of principal and interest payable and paid to such Lender from time to time hereunder.</w:t>
      </w:r>
    </w:p>
    <w:p>
      <w:pPr>
        <w:pStyle w:val="TextBody"/>
        <w:bidi w:val="0"/>
        <w:spacing w:before="0" w:after="240"/>
        <w:ind w:left="0" w:right="0" w:hanging="0"/>
        <w:jc w:val="both"/>
        <w:rPr/>
      </w:pPr>
      <w:r>
        <w:rPr/>
        <w:t>●</w:t>
      </w:r>
      <w:r>
        <w:rPr>
          <w:rFonts w:ascii="Times New Roman;Times;serif" w:hAnsi="Times New Roman;Times;serif"/>
          <w:sz w:val="24"/>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before="0" w:after="240"/>
        <w:ind w:left="0" w:right="0" w:hanging="0"/>
        <w:jc w:val="both"/>
        <w:rPr/>
      </w:pPr>
      <w:r>
        <w:rPr/>
        <w:t>●</w:t>
      </w:r>
      <w:r>
        <w:rPr>
          <w:rFonts w:ascii="Times New Roman;Times;serif" w:hAnsi="Times New Roman;Times;serif"/>
          <w:sz w:val="24"/>
        </w:rPr>
        <w:t xml:space="preserve">The entries maintained in the accounts maintained pursuant to paragraphs (a) and (b) above shall be </w:t>
      </w:r>
      <w:r>
        <w:rPr>
          <w:rFonts w:ascii="Times New Roman;Times;serif" w:hAnsi="Times New Roman;Times;serif"/>
          <w:i/>
          <w:sz w:val="24"/>
        </w:rPr>
        <w:t>prima facie</w:t>
      </w:r>
      <w:r>
        <w:rPr>
          <w:rFonts w:ascii="Times New Roman;Times;serif" w:hAnsi="Times New Roman;Times;serif"/>
          <w:sz w:val="24"/>
        </w:rPr>
        <w:t xml:space="preserve"> evidence of the existence and amounts of the Obligations therein recorded absent manifest error; </w:t>
      </w:r>
      <w:r>
        <w:rPr>
          <w:rFonts w:ascii="Times New Roman;Times;serif" w:hAnsi="Times New Roman;Times;serif"/>
          <w:i/>
          <w:sz w:val="24"/>
        </w:rPr>
        <w:t xml:space="preserve">provided, however, </w:t>
      </w:r>
      <w:r>
        <w:rPr>
          <w:rFonts w:ascii="Times New Roman;Times;serif" w:hAnsi="Times New Roman;Times;serif"/>
          <w:sz w:val="24"/>
        </w:rPr>
        <w:t>that the failure of the Administrative Agent or any Lender to maintain such accounts or any error therein shall not in any manner affect the obligation of the Borrower to repay the Obligations in accordance with their terms.</w:t>
      </w:r>
    </w:p>
    <w:p>
      <w:pPr>
        <w:pStyle w:val="TextBody"/>
        <w:bidi w:val="0"/>
        <w:spacing w:before="0" w:after="0"/>
        <w:ind w:left="0" w:right="0" w:hanging="0"/>
        <w:jc w:val="both"/>
        <w:rPr/>
      </w:pPr>
      <w:r>
        <w:rPr/>
        <w:t>●</w:t>
      </w:r>
      <w:r>
        <w:rPr>
          <w:rFonts w:ascii="Times New Roman;Times;serif" w:hAnsi="Times New Roman;Times;serif"/>
          <w:sz w:val="24"/>
        </w:rPr>
        <w:t>Any Term Lender or Incremental Term Lender may request that its Loans be evidenced by a promissory note or notes in the forms of Exhibit D being herein referred to collectively as the “</w:t>
      </w:r>
      <w:r>
        <w:rPr>
          <w:rFonts w:ascii="Times New Roman;Times;serif" w:hAnsi="Times New Roman;Times;serif"/>
          <w:b/>
          <w:i/>
          <w:sz w:val="24"/>
        </w:rPr>
        <w:t>Notes</w:t>
      </w:r>
      <w:r>
        <w:rPr>
          <w:rFonts w:ascii="Times New Roman;Times;serif" w:hAnsi="Times New Roman;Times;serif"/>
          <w:sz w:val="24"/>
        </w:rPr>
        <w:t>” and individually as a “</w:t>
      </w:r>
      <w:r>
        <w:rPr>
          <w:rFonts w:ascii="Times New Roman;Times;serif" w:hAnsi="Times New Roman;Times;serif"/>
          <w:b/>
          <w:i/>
          <w:sz w:val="24"/>
        </w:rPr>
        <w:t>Note</w:t>
      </w:r>
      <w:r>
        <w:rPr>
          <w:rFonts w:ascii="Times New Roman;Times;serif" w:hAnsi="Times New Roman;Times;serif"/>
          <w:sz w:val="24"/>
        </w:rPr>
        <w:t>”).  In such event, the Borrower shall prepare, execute and deliver to such Term Lender or Incremental Term Lender a Note payable to such Lender or its registered assigns in the amount of the Term Loan Commitment or Incremental Term Loan Commitment, as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pStyle w:val="TextBody"/>
        <w:bidi w:val="0"/>
        <w:spacing w:before="0" w:after="240"/>
        <w:ind w:left="0" w:right="0" w:hanging="0"/>
        <w:jc w:val="both"/>
        <w:rPr/>
      </w:pPr>
      <w:r>
        <w:rPr/>
        <w:t>●</w:t>
      </w:r>
      <w:bookmarkStart w:id="1936" w:name="_Toc184891462"/>
      <w:bookmarkStart w:id="1937" w:name="_Ref703409431"/>
      <w:bookmarkStart w:id="1938" w:name="_Ref703407851"/>
      <w:bookmarkStart w:id="1939" w:name="_Ref703407251"/>
      <w:bookmarkStart w:id="1940" w:name="_Ref703406951"/>
      <w:bookmarkEnd w:id="1936"/>
      <w:bookmarkEnd w:id="1937"/>
      <w:bookmarkEnd w:id="1938"/>
      <w:bookmarkEnd w:id="1939"/>
      <w:bookmarkEnd w:id="1940"/>
      <w:r>
        <w:rPr>
          <w:rFonts w:ascii="Times New Roman;Times;serif" w:hAnsi="Times New Roman;Times;serif"/>
          <w:sz w:val="24"/>
          <w:u w:val="single"/>
        </w:rPr>
        <w:t>Funding Indemnity</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If any Lender shall incur any loss, cost or reasonable expense (including, without limitation, any loss, cost or reasonable expense incurred by reason of the liquidation or re-employment of deposits or other funds acquired by such Lender to fund or maintain any Term SOFR Loan or the relending or reinvesting of such deposits or amounts paid or prepaid to such Lender) as a result of:</w:t>
      </w:r>
    </w:p>
    <w:p>
      <w:pPr>
        <w:pStyle w:val="TextBody"/>
        <w:bidi w:val="0"/>
        <w:spacing w:before="0" w:after="240"/>
        <w:ind w:left="0" w:right="0" w:hanging="0"/>
        <w:jc w:val="both"/>
        <w:rPr/>
      </w:pPr>
      <w:r>
        <w:rPr/>
        <w:t>●</w:t>
      </w:r>
      <w:r>
        <w:rPr>
          <w:rFonts w:ascii="Times New Roman;Times;serif" w:hAnsi="Times New Roman;Times;serif"/>
          <w:sz w:val="24"/>
        </w:rPr>
        <w:t xml:space="preserve">any payment, prepayment or conversion of a Term SOFR Loan on a date other than the last day of its Interest Period, </w:t>
      </w:r>
    </w:p>
    <w:p>
      <w:pPr>
        <w:pStyle w:val="TextBody"/>
        <w:bidi w:val="0"/>
        <w:spacing w:before="0" w:after="240"/>
        <w:ind w:left="0" w:right="0" w:hanging="0"/>
        <w:jc w:val="both"/>
        <w:rPr/>
      </w:pPr>
      <w:r>
        <w:rPr/>
        <w:t>●</w:t>
      </w:r>
      <w:r>
        <w:rPr>
          <w:rFonts w:ascii="Times New Roman;Times;serif" w:hAnsi="Times New Roman;Times;serif"/>
          <w:sz w:val="24"/>
        </w:rPr>
        <w:t>any failure (because of a failure to meet the conditions of Section 7 or otherwise) by the Borrower to borrow or continue a Term SOFR Loan, or to convert a Base Rate Loan into a Term SOFR Loan, on the date specified in a notice given pursuant to Section 1.6 (a) hereof,</w:t>
      </w:r>
    </w:p>
    <w:p>
      <w:pPr>
        <w:pStyle w:val="TextBody"/>
        <w:bidi w:val="0"/>
        <w:spacing w:before="0" w:after="240"/>
        <w:ind w:left="0" w:right="0" w:hanging="0"/>
        <w:jc w:val="both"/>
        <w:rPr/>
      </w:pPr>
      <w:r>
        <w:rPr/>
        <w:t>●</w:t>
      </w:r>
      <w:r>
        <w:rPr>
          <w:rFonts w:ascii="Times New Roman;Times;serif" w:hAnsi="Times New Roman;Times;serif"/>
          <w:sz w:val="24"/>
        </w:rPr>
        <w:t>any failure by the Borrower to make any payment of principal on any Term SOFR Loan when due (whether by acceleration or otherwise),</w:t>
      </w:r>
    </w:p>
    <w:p>
      <w:pPr>
        <w:pStyle w:val="TextBody"/>
        <w:bidi w:val="0"/>
        <w:spacing w:before="0" w:after="240"/>
        <w:ind w:left="0" w:right="0" w:hanging="0"/>
        <w:jc w:val="both"/>
        <w:rPr/>
      </w:pPr>
      <w:r>
        <w:rPr/>
        <w:t>●</w:t>
      </w:r>
      <w:r>
        <w:rPr>
          <w:rFonts w:ascii="Times New Roman;Times;serif" w:hAnsi="Times New Roman;Times;serif"/>
          <w:sz w:val="24"/>
        </w:rPr>
        <w:t>any acceleration of the maturity of a Term SOFR Loan as a result of the occurrence of any Event of Default hereunder, 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pPr>
      <w:r>
        <w:rPr/>
        <w:t>●</w:t>
      </w:r>
      <w:r>
        <w:rPr>
          <w:rFonts w:ascii="Times New Roman;Times;serif" w:hAnsi="Times New Roman;Times;serif"/>
          <w:sz w:val="24"/>
        </w:rPr>
        <w:t xml:space="preserve">the assignment of any Term SOFR Loan on a date other than the last day of the Interest Period applicable thereto as a result of a request by the Borrower pursuant to </w:t>
      </w:r>
      <w:r>
        <w:rPr>
          <w:rFonts w:ascii="Times New Roman;Times;serif" w:hAnsi="Times New Roman;Times;serif"/>
          <w:sz w:val="24"/>
          <w:u w:val="single"/>
        </w:rPr>
        <w:t>Section 1.13</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w:hAnsi="Times"/>
          <w:sz w:val="24"/>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w:t>
      </w:r>
      <w:r>
        <w:rPr>
          <w:rFonts w:ascii="Times New Roman;Times;serif" w:hAnsi="Times New Roman;Times;serif"/>
          <w:sz w:val="24"/>
        </w:rPr>
        <w:t xml:space="preserve"> </w:t>
      </w:r>
      <w:r>
        <w:rPr>
          <w:rFonts w:ascii="Times" w:hAnsi="Times"/>
          <w:sz w:val="24"/>
        </w:rPr>
        <w:t>and the amounts shown on such certificate shall be conclusive if reasonably determined absent manifest error.</w:t>
      </w:r>
    </w:p>
    <w:p>
      <w:pPr>
        <w:pStyle w:val="TextBody"/>
        <w:bidi w:val="0"/>
        <w:spacing w:before="0" w:after="240"/>
        <w:ind w:left="0" w:right="0" w:hanging="0"/>
        <w:jc w:val="both"/>
        <w:rPr/>
      </w:pPr>
      <w:r>
        <w:rPr/>
        <w:t>●</w:t>
      </w:r>
      <w:bookmarkStart w:id="1941" w:name="_Toc184891463"/>
      <w:bookmarkEnd w:id="1941"/>
      <w:r>
        <w:rPr>
          <w:rFonts w:ascii="Times New Roman;Times;serif" w:hAnsi="Times New Roman;Times;serif"/>
          <w:sz w:val="24"/>
          <w:u w:val="single"/>
        </w:rPr>
        <w:t>Reserved.</w:t>
      </w:r>
    </w:p>
    <w:p>
      <w:pPr>
        <w:pStyle w:val="TextBody"/>
        <w:bidi w:val="0"/>
        <w:spacing w:before="0" w:after="240"/>
        <w:ind w:left="0" w:right="0" w:hanging="0"/>
        <w:jc w:val="both"/>
        <w:rPr/>
      </w:pPr>
      <w:r>
        <w:rPr/>
        <w:t>●</w:t>
      </w:r>
      <w:bookmarkStart w:id="1942" w:name="_Toc184891464"/>
      <w:bookmarkEnd w:id="1942"/>
      <w:r>
        <w:rPr>
          <w:rFonts w:ascii="Times New Roman;Times;serif" w:hAnsi="Times New Roman;Times;serif"/>
          <w:sz w:val="24"/>
          <w:u w:val="single"/>
        </w:rPr>
        <w:t>Substitution of Lenders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In the event (a) the Borrower receives a claim from any Lender for compensation under Section 10.3 or 12.1 hereof, (b) the Borrower receives notice 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 (d) above being hereinafter referred to as an “</w:t>
      </w:r>
      <w:r>
        <w:rPr>
          <w:rFonts w:ascii="Times New Roman;Times;serif" w:hAnsi="Times New Roman;Times;serif"/>
          <w:i/>
          <w:sz w:val="24"/>
        </w:rPr>
        <w:t>Affected Lender”</w:t>
      </w:r>
      <w:r>
        <w:rPr>
          <w:rFonts w:ascii="Times New Roman;Times;serif" w:hAnsi="Times New Roman;Times;serif"/>
          <w:sz w:val="24"/>
        </w:rPr>
        <w:t xml:space="preserve">), the Borrower may, in addition to any other rights the Borrower may have hereunder or under applicable law, require, at its expense, any such Affected Lender to assign, at par, without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recourse (other than with respect to claims or Liens arising by, through or under such Affected Lender), all of its interest, rights, and obligations hereunder (including all of its Commitments, Loans and other amounts at any time owing to it hereunder and the other Loan Documents) to an Eligible Assignee specified by the Borrower, </w:t>
      </w:r>
      <w:r>
        <w:rPr>
          <w:rFonts w:ascii="Times New Roman;Times;serif" w:hAnsi="Times New Roman;Times;serif"/>
          <w:i/>
          <w:sz w:val="24"/>
        </w:rPr>
        <w:t>provided</w:t>
      </w:r>
      <w:r>
        <w:rPr>
          <w:rFonts w:ascii="Times New Roman;Times;serif" w:hAnsi="Times New Roman;Times;serif"/>
          <w:sz w:val="24"/>
        </w:rPr>
        <w:t xml:space="preserve"> 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pStyle w:val="TextBody"/>
        <w:bidi w:val="0"/>
        <w:spacing w:before="0" w:after="240"/>
        <w:ind w:left="0" w:right="0" w:hanging="0"/>
        <w:jc w:val="both"/>
        <w:rPr/>
      </w:pPr>
      <w:r>
        <w:rPr/>
        <w:t>●</w:t>
      </w:r>
      <w:bookmarkStart w:id="1943" w:name="_Toc184891465"/>
      <w:bookmarkEnd w:id="1943"/>
      <w:r>
        <w:rPr>
          <w:rFonts w:ascii="Times New Roman;Times;serif" w:hAnsi="Times New Roman;Times;serif"/>
          <w:sz w:val="24"/>
          <w:u w:val="single"/>
        </w:rPr>
        <w:t>Defaulting Lenders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Anything contained herein to the contrary notwithstanding, in the event that any Lender at any time is a Defaulting Lender, then (a) during any Defaulting Lender Period with respect to such Defaulting Lender, such Defaulting Lender shall be deemed not to be a “</w:t>
      </w:r>
      <w:r>
        <w:rPr>
          <w:rFonts w:ascii="Times New Roman;Times;serif" w:hAnsi="Times New Roman;Times;serif"/>
          <w:i/>
          <w:sz w:val="24"/>
        </w:rPr>
        <w:t>Lender”</w:t>
      </w:r>
      <w:r>
        <w:rPr>
          <w:rFonts w:ascii="Times New Roman;Times;serif" w:hAnsi="Times New Roman;Times;serif"/>
          <w:sz w:val="24"/>
        </w:rPr>
        <w:t xml:space="preserve"> for purposes of voting on any matters (including the granting of any consents or waivers) with respect to any of the Loan Documents and such Defaulting Lender’s Commitments shall be excluded for purposes of determining “</w:t>
      </w:r>
      <w:r>
        <w:rPr>
          <w:rFonts w:ascii="Times New Roman;Times;serif" w:hAnsi="Times New Roman;Times;serif"/>
          <w:i/>
          <w:sz w:val="24"/>
        </w:rPr>
        <w:t>Required Lenders”</w:t>
      </w:r>
      <w:r>
        <w:rPr>
          <w:rFonts w:ascii="Times New Roman;Times;serif" w:hAnsi="Times New Roman;Times;serif"/>
          <w:sz w:val="24"/>
        </w:rPr>
        <w:t xml:space="preserve"> (provided that the foregoing shall not permit an increase in such Lender’s Commitments or an extension of the maturity date of such Lender’s Loans or other Obligations without such Lender’s consent); (b) to the extent permitted by applicable law, until such time as the Defaulting Lender Excess with respect to such Defaulting Lender shall have been reduced to zero, any voluntary prepayment of the Loans shall,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Administrative Agent so directs at the time of making such voluntary prepayment, be applied to the Loans of other Lenders as if such Defaulting Lender had no Loans outstanding; and (c) the utilization of Commitments as at any date of determination shall be calculated as if such Defaulting Lender had funded all Loans of such Defaulting Lender.  No Commitment of any Lender shall be increased or otherwise affected, and, except as otherwise expressly provided in this Section 1.14, performance by the Borrower of its obligations hereunder and the other Loan Documents shall not be excused or otherwise modified as a result of the operation of this Section 1.14.  The rights and remedies against a Defaulting Lender under this Section 1.14 are in addition to other rights and remedies which the Borrower may have against such Defaulting Lender and which the Administrative Agent or any Lender may have against such Defaulting Lender.</w:t>
      </w:r>
    </w:p>
    <w:p>
      <w:pPr>
        <w:pStyle w:val="TextBody"/>
        <w:bidi w:val="0"/>
        <w:spacing w:before="0" w:after="240"/>
        <w:ind w:left="0" w:right="0" w:hanging="0"/>
        <w:jc w:val="both"/>
        <w:rPr/>
      </w:pPr>
      <w:r>
        <w:rPr/>
        <w:t>●</w:t>
      </w:r>
      <w:bookmarkStart w:id="1944" w:name="_Toc184891466"/>
      <w:bookmarkEnd w:id="1944"/>
      <w:r>
        <w:rPr>
          <w:rFonts w:ascii="Times New Roman;Times;serif" w:hAnsi="Times New Roman;Times;serif"/>
          <w:sz w:val="24"/>
          <w:u w:val="single"/>
        </w:rPr>
        <w:t>Increase in Commitments.</w:t>
      </w:r>
    </w:p>
    <w:p>
      <w:pPr>
        <w:pStyle w:val="TextBody"/>
        <w:bidi w:val="0"/>
        <w:spacing w:before="0" w:after="240"/>
        <w:ind w:left="0" w:right="0" w:firstLine="720"/>
        <w:jc w:val="both"/>
        <w:rPr/>
      </w:pPr>
      <w:r>
        <w:rPr/>
        <w:t> ​</w:t>
      </w:r>
    </w:p>
    <w:p>
      <w:pPr>
        <w:pStyle w:val="TextBody"/>
        <w:bidi w:val="0"/>
        <w:spacing w:before="0" w:after="240"/>
        <w:ind w:left="0" w:right="0" w:hanging="0"/>
        <w:jc w:val="both"/>
        <w:rPr/>
      </w:pPr>
      <w:r>
        <w:rPr/>
        <w:t>●</w:t>
      </w:r>
      <w:r>
        <w:rPr>
          <w:rFonts w:ascii="Times New Roman;Times;serif" w:hAnsi="Times New Roman;Times;serif"/>
          <w:sz w:val="24"/>
          <w:u w:val="single"/>
        </w:rPr>
        <w:t>Conditions to Effective of Increase</w:t>
      </w:r>
      <w:r>
        <w:rPr>
          <w:rFonts w:ascii="Times New Roman;Times;serif" w:hAnsi="Times New Roman;Times;serif"/>
          <w:sz w:val="24"/>
        </w:rPr>
        <w:t>. Upon notice to Administrative Agent (which shall promptly notify the Lenders), Borrower may from time to time, request to incur additional indebtedness under this Agreement pursuant to one or more tranches of term loans (each an “</w:t>
      </w:r>
      <w:r>
        <w:rPr>
          <w:rFonts w:ascii="Times New Roman;Times;serif" w:hAnsi="Times New Roman;Times;serif"/>
          <w:i/>
          <w:sz w:val="24"/>
        </w:rPr>
        <w:t>Incremental Term Loan Facility</w:t>
      </w:r>
      <w:r>
        <w:rPr>
          <w:rFonts w:ascii="Times New Roman;Times;serif" w:hAnsi="Times New Roman;Times;serif"/>
          <w:sz w:val="24"/>
        </w:rPr>
        <w:t>”; and the term loans made pursuant thereto, each an “</w:t>
      </w:r>
      <w:r>
        <w:rPr>
          <w:rFonts w:ascii="Times New Roman;Times;serif" w:hAnsi="Times New Roman;Times;serif"/>
          <w:i/>
          <w:sz w:val="24"/>
        </w:rPr>
        <w:t>Incremental Term Loan</w:t>
      </w:r>
      <w:r>
        <w:rPr>
          <w:rFonts w:ascii="Times New Roman;Times;serif" w:hAnsi="Times New Roman;Times;serif"/>
          <w:sz w:val="24"/>
        </w:rPr>
        <w:t>” and the commitment made pursuant thereto, an “</w:t>
      </w:r>
      <w:r>
        <w:rPr>
          <w:rFonts w:ascii="Times New Roman;Times;serif" w:hAnsi="Times New Roman;Times;serif"/>
          <w:i/>
          <w:sz w:val="24"/>
        </w:rPr>
        <w:t>Incremental Term Loan Commitment</w:t>
      </w:r>
      <w:r>
        <w:rPr>
          <w:rFonts w:ascii="Times New Roman;Times;serif" w:hAnsi="Times New Roman;Times;serif"/>
          <w:sz w:val="24"/>
        </w:rPr>
        <w:t>”) in an aggregate amount not exceeding $100,000,000 (each such increase or additional tranche, a “</w:t>
      </w:r>
      <w:r>
        <w:rPr>
          <w:rFonts w:ascii="Times New Roman;Times;serif" w:hAnsi="Times New Roman;Times;serif"/>
          <w:i/>
          <w:sz w:val="24"/>
        </w:rPr>
        <w:t>Commitment Increase</w:t>
      </w:r>
      <w:r>
        <w:rPr>
          <w:rFonts w:ascii="Times New Roman;Times;serif" w:hAnsi="Times New Roman;Times;serif"/>
          <w:sz w:val="24"/>
        </w:rPr>
        <w:t xml:space="preserve">”); </w:t>
      </w:r>
      <w:r>
        <w:rPr>
          <w:rFonts w:ascii="Times New Roman;Times;serif" w:hAnsi="Times New Roman;Times;serif"/>
          <w:i/>
          <w:sz w:val="24"/>
        </w:rPr>
        <w:t>provided, however</w:t>
      </w:r>
      <w:r>
        <w:rPr>
          <w:rFonts w:ascii="Times New Roman;Times;serif" w:hAnsi="Times New Roman;Times;serif"/>
          <w:sz w:val="24"/>
        </w:rPr>
        <w:t xml:space="preserve">, that (i) the aggregate amount of the Commitments shall not be increased to an amount in excess of $160,000,000, (ii) Borrower may request a maximum of three (3) such Commitment Increases during the term of the Loan, each in a minimum amount of $25,000,000 or such lesser amount as approved by the Administrative Agent, (iii) no Default or Event of Default shall have occurred and be continuing at the time of the request or the effective date of the Commitment Increase, (iv)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Commitment Increase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(v) upon the reasonable request of any additional Lender made at least seven (7) days prior to the effective date of such Commitment Increase, Borrower shall have provided to such additional Lender, and such additional Lender shall be reasonably satisfied with, the documentation and other information so requested in connection with   applicable “know your customer” and anti-money-laundering rules and regulations, including the Act, in each case at least three (3) days prior to the effective date of such Commitment Increase and, at least three (3) days prior to the effective date of such Commitment Increase, if Borrower qualifies as a “legal entity customer” under the Beneficial Ownership Regulation shall have delivered, to each Lender that so requests, a Beneficial Ownership Certification.  The effective date of the Commitment Increase shall be agreed upon by the Borrower and the Administrative Agent.  Upon the effectiveness thereof, the new Lender(s) (or, if applicable, existing Lender(s)) shall advance Loans in an amount sufficient such that after giving effect to its advance each Lender shall have outstanding its Applicable Percentage of Loans.  The Borrower agrees to pay any reasonable expenses of the Administrative Agent relating to any Commitment Increase and arrangement fees related thereto as agreed upon in writing between Administrative Agent and the Borrower, if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Notwithstanding anything herein to the contrary, no Lender shall have any obligation to increase its Commitment and no Lender’s Commitment shall be increased without its consent thereto. </w:t>
      </w:r>
    </w:p>
    <w:p>
      <w:pPr>
        <w:pStyle w:val="TextBody"/>
        <w:bidi w:val="0"/>
        <w:spacing w:before="0" w:after="0"/>
        <w:ind w:left="0" w:right="0" w:hanging="0"/>
        <w:jc w:val="both"/>
        <w:rPr/>
      </w:pPr>
      <w:r>
        <w:rPr/>
        <w:t>●</w:t>
      </w:r>
      <w:r>
        <w:rPr>
          <w:rFonts w:ascii="Times New Roman;Times;serif" w:hAnsi="Times New Roman;Times;serif"/>
          <w:sz w:val="24"/>
          <w:u w:val="single"/>
        </w:rPr>
        <w:t>Incremental Term Loan Amendment</w:t>
      </w:r>
      <w:r>
        <w:rPr>
          <w:rFonts w:ascii="Times New Roman;Times;serif" w:hAnsi="Times New Roman;Times;serif"/>
          <w:sz w:val="24"/>
        </w:rPr>
        <w:t>.  Each Commitment Increase may be made hereunder pursuant to an amendment or restatement (each, an “</w:t>
      </w:r>
      <w:r>
        <w:rPr>
          <w:rFonts w:ascii="Times New Roman;Times;serif" w:hAnsi="Times New Roman;Times;serif"/>
          <w:i/>
          <w:sz w:val="24"/>
        </w:rPr>
        <w:t>Incremental Term Loan Amendment</w:t>
      </w:r>
      <w:r>
        <w:rPr>
          <w:rFonts w:ascii="Times New Roman;Times;serif" w:hAnsi="Times New Roman;Times;serif"/>
          <w:sz w:val="24"/>
        </w:rPr>
        <w:t>”) of this Agreement and, as appropriate, the other Loan Documents, executed by Borrower, each Incremental Term Lender participating in such tranche and the Administrative Agent.  Each Incremental Term Loan Amendment may, without the consent of any other Lenders, effect such amendments to this Agreement and the other Loan Documents as may be necessary or appropriate, in the reasonable opinion of the Administrative Agent, to effect the provisions of this Section 1.15.  All Incremental Term Loans (i) shall rank pari passu in right of payment with the Term Loans, (ii) shall not mature earlier than the latest Maturity Date for any then-existing Facility (but may have amortization prior to such date), and (iii) shall be treated substantially the same as (and in any event no more favorably than) the Term Loans and each other tranche of Incremental Term Loans; provided that (I) the terms and conditions applicable to any tranche of Incremental Term Loans maturing after the Maturity Date for the Term Facility may provide for material additional or different financial or other covenants or prepayment requirements applicable only during periods after the Maturity Date for the Term Facility and (II) each tranche of Incremental Term Loans may be priced differently than the Term Loans and any other tranche of Incremental Term Loans.  Each applicable Incremental Term Lender shall fund the applicable Incremental Term Loans in accordance with the requirements of the applicable Incremental Term Loan Amendment.</w:t>
      </w:r>
    </w:p>
    <w:p>
      <w:pPr>
        <w:pStyle w:val="TextBody"/>
        <w:bidi w:val="0"/>
        <w:spacing w:before="0" w:after="0"/>
        <w:ind w:left="0" w:right="0" w:hanging="0"/>
        <w:jc w:val="both"/>
        <w:rPr/>
      </w:pPr>
      <w:r>
        <w:rPr/>
        <w:t>●</w:t>
      </w:r>
      <w:bookmarkStart w:id="1945" w:name="_Toc184891467"/>
      <w:bookmarkEnd w:id="1945"/>
      <w:r>
        <w:rPr>
          <w:rFonts w:ascii="Times New Roman;Times;serif" w:hAnsi="Times New Roman;Times;serif"/>
          <w:sz w:val="24"/>
          <w:u w:val="single"/>
        </w:rPr>
        <w:t>ESG Adjustments.</w:t>
      </w:r>
    </w:p>
    <w:p>
      <w:pPr>
        <w:pStyle w:val="TextBody"/>
        <w:bidi w:val="0"/>
        <w:spacing w:before="0" w:after="240"/>
        <w:ind w:left="180" w:right="0" w:hanging="0"/>
        <w:jc w:val="both"/>
        <w:rPr>
          <w:rFonts w:ascii="Times New Roman;Times;serif" w:hAnsi="Times New Roman;Times;serif"/>
          <w:sz w:val="24"/>
        </w:rPr>
      </w:pPr>
      <w:r>
        <w:rPr>
          <w:rFonts w:ascii="Times New Roman;Times;serif" w:hAnsi="Times New Roman;Times;serif"/>
          <w:sz w:val="24"/>
        </w:rPr>
        <w:t>(i)The Borrower, in consultation with the Sustainability Structuring Agent, shall be entitled to establish specified Key Performance Indicators (“</w:t>
      </w:r>
      <w:r>
        <w:rPr>
          <w:rFonts w:ascii="Times New Roman;Times;serif" w:hAnsi="Times New Roman;Times;serif"/>
          <w:i/>
          <w:sz w:val="24"/>
        </w:rPr>
        <w:t>KPIs</w:t>
      </w:r>
      <w:r>
        <w:rPr>
          <w:rFonts w:ascii="Times New Roman;Times;serif" w:hAnsi="Times New Roman;Times;serif"/>
          <w:sz w:val="24"/>
        </w:rPr>
        <w:t>”) with respect to certain Environmental, Social and Governance (“</w:t>
      </w:r>
      <w:r>
        <w:rPr>
          <w:rFonts w:ascii="Times New Roman;Times;serif" w:hAnsi="Times New Roman;Times;serif"/>
          <w:i/>
          <w:sz w:val="24"/>
        </w:rPr>
        <w:t>ESG</w:t>
      </w:r>
      <w:r>
        <w:rPr>
          <w:rFonts w:ascii="Times New Roman;Times;serif" w:hAnsi="Times New Roman;Times;serif"/>
          <w:sz w:val="24"/>
        </w:rPr>
        <w:t>”) targets of the Borrower and its Subsidiaries. The Sustainability Structuring Agent and the Borrower may amend this Agreement (such amendment, the “</w:t>
      </w:r>
      <w:r>
        <w:rPr>
          <w:rFonts w:ascii="Times New Roman;Times;serif" w:hAnsi="Times New Roman;Times;serif"/>
          <w:i/>
          <w:sz w:val="24"/>
        </w:rPr>
        <w:t>ESG Amendment</w:t>
      </w:r>
      <w:r>
        <w:rPr>
          <w:rFonts w:ascii="Times New Roman;Times;serif" w:hAnsi="Times New Roman;Times;serif"/>
          <w:sz w:val="24"/>
        </w:rPr>
        <w:t>”) solely for the purpose of incorporating the KPIs and other related provisions (the “</w:t>
      </w:r>
      <w:r>
        <w:rPr>
          <w:rFonts w:ascii="Times New Roman;Times;serif" w:hAnsi="Times New Roman;Times;serif"/>
          <w:i/>
          <w:sz w:val="24"/>
        </w:rPr>
        <w:t>ESG Pricing Provisions</w:t>
      </w:r>
      <w:r>
        <w:rPr>
          <w:rFonts w:ascii="Times New Roman;Times;serif" w:hAnsi="Times New Roman;Times;serif"/>
          <w:sz w:val="24"/>
        </w:rPr>
        <w:t xml:space="preserve">”) into this Agreement,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(who shall promptly notify the Borrower) written notice that such Required Lenders object to such ESG Amendment.  In the event that Required Lenders deliver a written notice objecting to any such ESG Amendment, an alternative ESG Amendment may be effectuated with the consent of the Required Lenders, the Borrower and the Sustainability Structuring Agent. Upon effectiveness of any such ESG Amendment, based on the Borrower’s performance against the KPIs, certain adjustments (increase, decrease, or no adjustment) to the Applicable Margin may be made; </w:t>
      </w:r>
      <w:r>
        <w:rPr>
          <w:rFonts w:ascii="Times New Roman;Times;serif" w:hAnsi="Times New Roman;Times;serif"/>
          <w:sz w:val="24"/>
          <w:u w:val="single"/>
        </w:rPr>
        <w:t>provided</w:t>
      </w:r>
      <w:r>
        <w:rPr>
          <w:rFonts w:ascii="Times New Roman;Times;serif" w:hAnsi="Times New Roman;Times;serif"/>
          <w:sz w:val="24"/>
        </w:rPr>
        <w:t xml:space="preserve"> that the amount of any such adjustments made pursuant to an ESG Amendment shall not result in an increase or decrease of more than 2.5 basis points in the Applicable Margin;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xml:space="preserve">, that in no event shall such adjustments increase the Applicable Margin above that in effect on the Closing Date or decrease the Applicable Margin below zero. The pricing adjustments pursuant to the KPIs will require, among other things, reporting and validation of the measurement of the KPIs in a manner that is aligned with the Sustainability Linked Loan Principles at the time of the ESG Amendment and is to be mutually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80" w:right="0" w:hanging="0"/>
        <w:jc w:val="both"/>
        <w:rPr>
          <w:rFonts w:ascii="Times New Roman;Times;serif" w:hAnsi="Times New Roman;Times;serif"/>
          <w:sz w:val="24"/>
        </w:rPr>
      </w:pPr>
      <w:r>
        <w:rPr>
          <w:rFonts w:ascii="Times New Roman;Times;serif" w:hAnsi="Times New Roman;Times;serif"/>
          <w:sz w:val="24"/>
        </w:rPr>
        <w:t>agreed between the Borrower and the Sustainability Structuring Agent (each acting reasonably).  Following the effectiveness of the ESG Amendment, any modification to the ESG Pricing Provisions which does not have the effect of reducing the Applicable Margin to a level not otherwise permitted by this Section shall be subject only to the consent of the Required Lenders.</w:t>
      </w:r>
    </w:p>
    <w:p>
      <w:pPr>
        <w:pStyle w:val="TextBody"/>
        <w:bidi w:val="0"/>
        <w:spacing w:before="0" w:after="0"/>
        <w:ind w:left="180" w:right="0" w:hanging="0"/>
        <w:jc w:val="both"/>
        <w:rPr>
          <w:rFonts w:ascii="Times New Roman;Times;serif" w:hAnsi="Times New Roman;Times;serif"/>
          <w:sz w:val="24"/>
        </w:rPr>
      </w:pPr>
      <w:r>
        <w:rPr>
          <w:rFonts w:ascii="Times New Roman;Times;serif" w:hAnsi="Times New Roman;Times;serif"/>
          <w:sz w:val="24"/>
        </w:rPr>
        <w:t>(ii)The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pStyle w:val="TextBody"/>
        <w:bidi w:val="0"/>
        <w:spacing w:before="0" w:after="240"/>
        <w:ind w:left="720" w:right="0" w:hanging="0"/>
        <w:jc w:val="both"/>
        <w:rPr/>
      </w:pPr>
      <w:r>
        <w:rPr>
          <w:caps/>
        </w:rPr>
        <w:t>●</w:t>
      </w:r>
      <w:bookmarkStart w:id="1946" w:name="_Toc184891468"/>
      <w:bookmarkEnd w:id="1946"/>
      <w:r>
        <w:rPr>
          <w:rFonts w:ascii="Times New Roman;Times;serif" w:hAnsi="Times New Roman;Times;serif"/>
          <w:caps/>
          <w:sz w:val="24"/>
        </w:rPr>
        <w:t>Fees.</w:t>
      </w:r>
    </w:p>
    <w:p>
      <w:pPr>
        <w:pStyle w:val="TextBody"/>
        <w:bidi w:val="0"/>
        <w:spacing w:before="0" w:after="240"/>
        <w:ind w:left="0" w:right="0" w:hanging="0"/>
        <w:jc w:val="both"/>
        <w:rPr/>
      </w:pPr>
      <w:r>
        <w:rPr/>
        <w:t>●</w:t>
      </w:r>
      <w:bookmarkStart w:id="1947" w:name="_Toc184891469"/>
      <w:bookmarkEnd w:id="1947"/>
      <w:r>
        <w:rPr>
          <w:rFonts w:ascii="Times New Roman;Times;serif" w:hAnsi="Times New Roman;Times;serif"/>
          <w:sz w:val="24"/>
          <w:u w:val="single"/>
        </w:rPr>
        <w:t>Administrative Agent and Other Fees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Borrower shall pay to the Administrative Agent, for its own use and benefit and for the benefit of the Lenders, as applicable, the fees agreed to between the Administrative Agent and the Borrower in the Fee Letter, or as otherwise agreed to in writing between them.</w:t>
      </w:r>
    </w:p>
    <w:p>
      <w:pPr>
        <w:pStyle w:val="TextBody"/>
        <w:bidi w:val="0"/>
        <w:spacing w:before="0" w:after="240"/>
        <w:ind w:left="720" w:right="0" w:hanging="0"/>
        <w:jc w:val="both"/>
        <w:rPr/>
      </w:pPr>
      <w:r>
        <w:rPr>
          <w:caps/>
        </w:rPr>
        <w:t>●</w:t>
      </w:r>
      <w:bookmarkStart w:id="1948" w:name="_Toc184891470"/>
      <w:bookmarkEnd w:id="1948"/>
      <w:r>
        <w:rPr>
          <w:rFonts w:ascii="Times New Roman;Times;serif" w:hAnsi="Times New Roman;Times;serif"/>
          <w:caps/>
          <w:sz w:val="24"/>
        </w:rPr>
        <w:t>Place and Application of Payments.</w:t>
      </w:r>
    </w:p>
    <w:p>
      <w:pPr>
        <w:pStyle w:val="TextBody"/>
        <w:bidi w:val="0"/>
        <w:spacing w:before="0" w:after="240"/>
        <w:ind w:left="0" w:right="0" w:hanging="0"/>
        <w:jc w:val="both"/>
        <w:rPr/>
      </w:pPr>
      <w:r>
        <w:rPr/>
        <w:t>●</w:t>
      </w:r>
      <w:bookmarkStart w:id="1949" w:name="_Toc184891471"/>
      <w:bookmarkEnd w:id="1949"/>
      <w:r>
        <w:rPr>
          <w:rFonts w:ascii="Times New Roman;Times;serif" w:hAnsi="Times New Roman;Times;serif"/>
          <w:sz w:val="24"/>
          <w:u w:val="single"/>
        </w:rPr>
        <w:t>Place and Application of Payments.</w:t>
      </w:r>
    </w:p>
    <w:p>
      <w:pPr>
        <w:pStyle w:val="TextBody"/>
        <w:bidi w:val="0"/>
        <w:spacing w:before="0" w:after="240"/>
        <w:jc w:val="both"/>
        <w:rPr/>
      </w:pPr>
      <w:r>
        <w:rPr/>
        <w:t> </w:t>
      </w:r>
      <w:r>
        <w:rPr>
          <w:rFonts w:ascii="Times New Roman;Times;serif" w:hAnsi="Times New Roman;Times;serif"/>
          <w:sz w:val="24"/>
        </w:rPr>
        <w:t>All payments of principal of and interest on the Loans, and of all other Obligations payable by the Borrower under this Agreement and the other Loan Documents, shall be made by the Borrower to the Administrative Agent by no later than 12:00 Noon (New York time) on the due date thereof at the office of the Administrative Agent in New York, New York (or such other location as the Administrative Agent may designate to the Borrower) for the benefit of the Lender(s)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the Loans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pStyle w:val="TextBody"/>
        <w:bidi w:val="0"/>
        <w:spacing w:before="0" w:after="0"/>
        <w:ind w:left="0" w:right="0" w:firstLine="720"/>
        <w:jc w:val="both"/>
        <w:rPr>
          <w:rFonts w:ascii="Times" w:hAnsi="Times"/>
          <w:sz w:val="24"/>
        </w:rPr>
      </w:pPr>
      <w:r>
        <w:rPr>
          <w:rFonts w:ascii="Times" w:hAnsi="Times"/>
          <w:sz w:val="24"/>
        </w:rPr>
        <w:t xml:space="preserve">Anything contained herein to the contrary notwithstanding (including, without limitation, Section 1.8(b) hereof), all payments and collections received in respect of the Obligations by the Administrative Agent or any of the Lenders after acceleration or the final maturity 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Obligations or termination of the Commitments as a result of an Event of Default shall be remitted to the Administrative Agent and distributed as follows:</w:t>
      </w:r>
    </w:p>
    <w:p>
      <w:pPr>
        <w:pStyle w:val="TextBody"/>
        <w:bidi w:val="0"/>
        <w:spacing w:before="0" w:after="240"/>
        <w:ind w:left="0" w:right="0" w:hanging="0"/>
        <w:jc w:val="both"/>
        <w:rPr/>
      </w:pPr>
      <w:r>
        <w:rPr/>
        <w:t>●</w:t>
      </w:r>
      <w:r>
        <w:rPr>
          <w:rFonts w:ascii="Times New Roman;Times;serif" w:hAnsi="Times New Roman;Times;serif"/>
          <w:sz w:val="24"/>
        </w:rPr>
        <w:t>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pStyle w:val="TextBody"/>
        <w:bidi w:val="0"/>
        <w:spacing w:before="0" w:after="240"/>
        <w:ind w:left="0" w:right="0" w:hanging="0"/>
        <w:jc w:val="both"/>
        <w:rPr/>
      </w:pPr>
      <w:r>
        <w:rPr/>
        <w:t>●</w:t>
      </w:r>
      <w:r>
        <w:rPr>
          <w:rFonts w:ascii="Times New Roman;Times;serif" w:hAnsi="Times New Roman;Times;serif"/>
          <w:sz w:val="24"/>
        </w:rPr>
        <w:t>second, to the payment of any outstanding interest and fees due under the Loan Documents to be allocated pro rata in accordance with the aggregate unpaid amounts owing to each holder thereof;</w:t>
      </w:r>
    </w:p>
    <w:p>
      <w:pPr>
        <w:pStyle w:val="TextBody"/>
        <w:bidi w:val="0"/>
        <w:spacing w:before="0" w:after="240"/>
        <w:ind w:left="0" w:right="0" w:hanging="0"/>
        <w:jc w:val="both"/>
        <w:rPr/>
      </w:pPr>
      <w:r>
        <w:rPr/>
        <w:t>●</w:t>
      </w:r>
      <w:r>
        <w:rPr>
          <w:rFonts w:ascii="Times New Roman;Times;serif" w:hAnsi="Times New Roman;Times;serif"/>
          <w:sz w:val="24"/>
        </w:rPr>
        <w:t xml:space="preserve">third, to the payment of principal on the Loans, any Hedging Liability, the aggregate amount paid to, or held as collateral security for, the Lenders and, in the case of Hedging Liability, their Affiliates to be allocated pro rata in accordance with the aggregate unpaid amounts owing to each holder thereof; </w:t>
      </w:r>
    </w:p>
    <w:p>
      <w:pPr>
        <w:pStyle w:val="TextBody"/>
        <w:bidi w:val="0"/>
        <w:spacing w:before="0" w:after="240"/>
        <w:ind w:left="0" w:right="0" w:hanging="0"/>
        <w:jc w:val="both"/>
        <w:rPr/>
      </w:pPr>
      <w:r>
        <w:rPr/>
        <w:t>●</w:t>
      </w:r>
      <w:r>
        <w:rPr>
          <w:rFonts w:ascii="Times New Roman;Times;serif" w:hAnsi="Times New Roman;Times;serif"/>
          <w:sz w:val="24"/>
        </w:rPr>
        <w:t>fourth,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pStyle w:val="TextBody"/>
        <w:bidi w:val="0"/>
        <w:spacing w:before="0" w:after="0"/>
        <w:ind w:left="0" w:right="0" w:hanging="0"/>
        <w:jc w:val="both"/>
        <w:rPr/>
      </w:pPr>
      <w:r>
        <w:rPr/>
        <w:t>●</w:t>
      </w:r>
      <w:r>
        <w:rPr>
          <w:rFonts w:ascii="Times New Roman;Times;serif" w:hAnsi="Times New Roman;Times;serif"/>
          <w:sz w:val="24"/>
        </w:rPr>
        <w:t>finally, to the Borrower or whoever else may be lawfully entitled thereto.</w:t>
      </w:r>
    </w:p>
    <w:p>
      <w:pPr>
        <w:pStyle w:val="TextBody"/>
        <w:bidi w:val="0"/>
        <w:spacing w:before="0" w:after="240"/>
        <w:ind w:left="720" w:right="0" w:hanging="0"/>
        <w:jc w:val="both"/>
        <w:rPr/>
      </w:pPr>
      <w:r>
        <w:rPr>
          <w:caps/>
        </w:rPr>
        <w:t>●</w:t>
      </w:r>
      <w:bookmarkStart w:id="1950" w:name="_Toc184891472"/>
      <w:bookmarkEnd w:id="1950"/>
      <w:r>
        <w:rPr>
          <w:rFonts w:ascii="Times New Roman;Times;serif" w:hAnsi="Times New Roman;Times;serif"/>
          <w:caps/>
          <w:sz w:val="24"/>
        </w:rPr>
        <w:t>Guaranties</w:t>
      </w:r>
    </w:p>
    <w:p>
      <w:pPr>
        <w:pStyle w:val="TextBody"/>
        <w:bidi w:val="0"/>
        <w:spacing w:before="0" w:after="240"/>
        <w:ind w:left="0" w:right="0" w:hanging="0"/>
        <w:jc w:val="both"/>
        <w:rPr/>
      </w:pPr>
      <w:r>
        <w:rPr/>
        <w:t>●</w:t>
      </w:r>
      <w:bookmarkStart w:id="1951" w:name="_Toc184891473"/>
      <w:bookmarkEnd w:id="1951"/>
      <w:r>
        <w:rPr>
          <w:rFonts w:ascii="Times New Roman;Times;serif" w:hAnsi="Times New Roman;Times;serif"/>
          <w:sz w:val="24"/>
          <w:u w:val="single"/>
        </w:rPr>
        <w:t>Guaranties</w:t>
      </w:r>
      <w:r>
        <w:rPr>
          <w:rFonts w:ascii="Times New Roman;Times;serif" w:hAnsi="Times New Roman;Times;serif"/>
          <w:i/>
          <w:sz w:val="24"/>
        </w:rPr>
        <w: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The payment and performance of the Obligations, Hedging Liability, and Funds Transfer and Deposit Account Liability shall at all times be guaranteed by (i) Parent and (ii)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Times;serif" w:hAnsi="Times New Roman;Times;serif"/>
          <w:i/>
          <w:sz w:val="24"/>
        </w:rPr>
        <w:t>Guaranty”</w:t>
      </w:r>
      <w:r>
        <w:rPr>
          <w:rFonts w:ascii="Times New Roman;Times;serif" w:hAnsi="Times New Roman;Times;serif"/>
          <w:sz w:val="24"/>
        </w:rPr>
        <w:t xml:space="preserve"> and collectively the “</w:t>
      </w:r>
      <w:r>
        <w:rPr>
          <w:rFonts w:ascii="Times New Roman;Times;serif" w:hAnsi="Times New Roman;Times;serif"/>
          <w:i/>
          <w:sz w:val="24"/>
        </w:rPr>
        <w:t>Guaranties”</w:t>
      </w:r>
      <w:r>
        <w:rPr>
          <w:rFonts w:ascii="Times New Roman;Times;serif" w:hAnsi="Times New Roman;Times;serif"/>
          <w:sz w:val="24"/>
        </w:rPr>
        <w:t xml:space="preserve"> and each such Material Subsidiary executing and delivering a Guaranty being referred to herein as a “</w:t>
      </w:r>
      <w:r>
        <w:rPr>
          <w:rFonts w:ascii="Times New Roman;Times;serif" w:hAnsi="Times New Roman;Times;serif"/>
          <w:i/>
          <w:sz w:val="24"/>
        </w:rPr>
        <w:t>Guarantor”</w:t>
      </w:r>
      <w:r>
        <w:rPr>
          <w:rFonts w:ascii="Times New Roman;Times;serif" w:hAnsi="Times New Roman;Times;serif"/>
          <w:sz w:val="24"/>
        </w:rPr>
        <w:t xml:space="preserve"> and collectively the “</w:t>
      </w:r>
      <w:r>
        <w:rPr>
          <w:rFonts w:ascii="Times New Roman;Times;serif" w:hAnsi="Times New Roman;Times;serif"/>
          <w:i/>
          <w:sz w:val="24"/>
        </w:rPr>
        <w:t>Guarantors”</w:t>
      </w:r>
      <w:r>
        <w:rPr>
          <w:rFonts w:ascii="Times New Roman;Times;serif" w:hAnsi="Times New Roman;Times;serif"/>
          <w:sz w:val="24"/>
        </w:rPr>
        <w:t xml:space="preserve">); </w:t>
      </w:r>
      <w:r>
        <w:rPr>
          <w:rFonts w:ascii="Times New Roman;Times;serif" w:hAnsi="Times New Roman;Times;serif"/>
          <w:i/>
          <w:sz w:val="24"/>
        </w:rPr>
        <w:t>provided, however,</w:t>
      </w:r>
      <w:r>
        <w:rPr>
          <w:rFonts w:ascii="Times New Roman;Times;serif" w:hAnsi="Times New Roman;Times;serif"/>
          <w:sz w:val="24"/>
        </w:rPr>
        <w:t xml:space="preserve"> that, with respect to any Guarantor, Hedging Liability guaranteed by such Guarantor shall exclude all Excluded Swap Obligations. </w:t>
      </w:r>
    </w:p>
    <w:p>
      <w:pPr>
        <w:pStyle w:val="TextBody"/>
        <w:bidi w:val="0"/>
        <w:spacing w:before="0" w:after="240"/>
        <w:ind w:left="0" w:right="0" w:hanging="0"/>
        <w:jc w:val="both"/>
        <w:rPr/>
      </w:pPr>
      <w:r>
        <w:rPr/>
        <w:t>●</w:t>
      </w:r>
      <w:bookmarkStart w:id="1952" w:name="_Toc184891474"/>
      <w:bookmarkEnd w:id="1952"/>
      <w:r>
        <w:rPr>
          <w:rFonts w:ascii="Times New Roman;Times;serif" w:hAnsi="Times New Roman;Times;serif"/>
          <w:sz w:val="24"/>
          <w:u w:val="single"/>
        </w:rPr>
        <w:t>Further Assurances.</w:t>
      </w:r>
    </w:p>
    <w:p>
      <w:pPr>
        <w:pStyle w:val="TextBody"/>
        <w:bidi w:val="0"/>
        <w:spacing w:before="0" w:after="240"/>
        <w:jc w:val="both"/>
        <w:rPr/>
      </w:pPr>
      <w:r>
        <w:rPr/>
        <w:t> </w:t>
      </w:r>
      <w:r>
        <w:rPr>
          <w:rFonts w:ascii="Times New Roman;Times;serif" w:hAnsi="Times New Roman;Times;serif"/>
          <w:sz w:val="24"/>
        </w:rPr>
        <w:t>In the event the Borrower or any Guarantor forms or acquires any 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Times New Roman;Times;serif" w:hAnsi="Times New Roman;Times;serif"/>
          <w:b/>
          <w:i/>
          <w:sz w:val="24"/>
        </w:rPr>
        <w:t>Additional Guarantor Supplement</w:t>
      </w:r>
      <w:r>
        <w:rPr>
          <w:rFonts w:ascii="Times New Roman;Times;serif" w:hAnsi="Times New Roman;Times;serif"/>
          <w:sz w:val="24"/>
        </w:rPr>
        <w:t xml:space="preserve">”) as the Administrative Agent may then require, and the Borrower shall also deliver to the Administrative Agent, or cause such Material Subsidiary to deliver to the Administrative Agent, at the Borrower’s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cost and expense, such other instruments, documents, certificates, and opinions reasonably required by the Administrative Agent in connection therewith.</w:t>
      </w:r>
    </w:p>
    <w:p>
      <w:pPr>
        <w:pStyle w:val="TextBody"/>
        <w:bidi w:val="0"/>
        <w:spacing w:before="0" w:after="240"/>
        <w:ind w:left="720" w:right="0" w:hanging="0"/>
        <w:jc w:val="both"/>
        <w:rPr/>
      </w:pPr>
      <w:r>
        <w:rPr>
          <w:caps/>
        </w:rPr>
        <w:t>●</w:t>
      </w:r>
      <w:bookmarkStart w:id="1953" w:name="_Toc184891475"/>
      <w:bookmarkEnd w:id="1953"/>
      <w:r>
        <w:rPr>
          <w:rFonts w:ascii="Times New Roman;Times;serif" w:hAnsi="Times New Roman;Times;serif"/>
          <w:caps/>
          <w:sz w:val="24"/>
        </w:rPr>
        <w:t>Definitions; Interpretation.</w:t>
      </w:r>
    </w:p>
    <w:p>
      <w:pPr>
        <w:pStyle w:val="TextBody"/>
        <w:bidi w:val="0"/>
        <w:spacing w:before="0" w:after="240"/>
        <w:ind w:left="0" w:right="0" w:hanging="0"/>
        <w:jc w:val="both"/>
        <w:rPr/>
      </w:pPr>
      <w:r>
        <w:rPr/>
        <w:t>●</w:t>
      </w:r>
      <w:bookmarkStart w:id="1954" w:name="_Toc184891476"/>
      <w:bookmarkStart w:id="1955" w:name="_Ref703404981"/>
      <w:bookmarkEnd w:id="1954"/>
      <w:bookmarkEnd w:id="1955"/>
      <w:r>
        <w:rPr>
          <w:rFonts w:ascii="Times New Roman;Times;serif" w:hAnsi="Times New Roman;Times;serif"/>
          <w:sz w:val="24"/>
          <w:u w:val="single"/>
        </w:rPr>
        <w:t>Definitions</w:t>
      </w:r>
      <w:r>
        <w:rPr>
          <w:rFonts w:ascii="Times New Roman;Times;serif" w:hAnsi="Times New Roman;Times;serif"/>
          <w:i/>
          <w:sz w:val="24"/>
        </w:rPr>
        <w: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The following terms when used herein shall have the following meanings:</w:t>
      </w:r>
    </w:p>
    <w:p>
      <w:pPr>
        <w:pStyle w:val="TextBody"/>
        <w:bidi w:val="0"/>
        <w:spacing w:before="0" w:after="240"/>
        <w:ind w:left="0" w:right="0" w:firstLine="720"/>
        <w:jc w:val="both"/>
        <w:rPr/>
      </w:pPr>
      <w:r>
        <w:rPr/>
        <w:t>“</w:t>
      </w:r>
      <w:r>
        <w:rPr>
          <w:rFonts w:ascii="Times" w:hAnsi="Times"/>
          <w:i/>
          <w:sz w:val="24"/>
        </w:rPr>
        <w:t xml:space="preserve">1031 Cash Proceeds” </w:t>
      </w:r>
      <w:r>
        <w:rPr>
          <w:rFonts w:ascii="Times" w:hAnsi="Times"/>
          <w:sz w:val="24"/>
        </w:rPr>
        <w:t xml:space="preserve">means cash proceeds from the sale of Property in a transaction under Section 1031 of the Code held by a qualifying intermediary; </w:t>
      </w:r>
      <w:r>
        <w:rPr>
          <w:rFonts w:ascii="Times" w:hAnsi="Times"/>
          <w:i/>
          <w:sz w:val="24"/>
        </w:rPr>
        <w:t>provided</w:t>
      </w:r>
      <w:r>
        <w:rPr>
          <w:rFonts w:ascii="Times" w:hAnsi="Times"/>
          <w:sz w:val="24"/>
        </w:rPr>
        <w:t>, that, such proceeds shall cease to be 1031 Cash Proceeds as of the last day on which Borrower or the applicable Subsidiary can consummate a tax-deferred transaction under Section 1031 of the Code.</w:t>
      </w:r>
    </w:p>
    <w:p>
      <w:pPr>
        <w:pStyle w:val="TextBody"/>
        <w:bidi w:val="0"/>
        <w:spacing w:before="0" w:after="240"/>
        <w:ind w:left="0" w:right="0" w:firstLine="720"/>
        <w:jc w:val="both"/>
        <w:rPr/>
      </w:pPr>
      <w:r>
        <w:rPr/>
        <w:t>“</w:t>
      </w:r>
      <w:r>
        <w:rPr>
          <w:rFonts w:ascii="Times" w:hAnsi="Times"/>
          <w:i/>
          <w:sz w:val="24"/>
        </w:rPr>
        <w:t>1031 Property”</w:t>
      </w:r>
      <w:r>
        <w:rPr>
          <w:rFonts w:ascii="Times New Roman;Times;serif" w:hAnsi="Times New Roman;Times;serif"/>
          <w:sz w:val="24"/>
        </w:rPr>
        <w:t xml:space="preserve"> </w:t>
      </w:r>
      <w:r>
        <w:rPr>
          <w:rFonts w:ascii="Times" w:hAnsi="Times"/>
          <w:sz w:val="24"/>
        </w:rPr>
        <w:t>means, as of any Unencumbered Pool Determination Date, any Property owned by a 1031 Property Holder which is intended to qualify for tax treatment under, Section 1031 of the Code and which satisfies the following conditions:</w:t>
      </w:r>
    </w:p>
    <w:p>
      <w:pPr>
        <w:pStyle w:val="TextBody"/>
        <w:bidi w:val="0"/>
        <w:spacing w:before="0" w:after="240"/>
        <w:ind w:left="720" w:right="0" w:hanging="0"/>
        <w:jc w:val="both"/>
        <w:rPr>
          <w:rFonts w:ascii="Times" w:hAnsi="Times"/>
          <w:sz w:val="24"/>
        </w:rPr>
      </w:pPr>
      <w:r>
        <w:rPr>
          <w:rFonts w:ascii="Times" w:hAnsi="Times"/>
          <w:sz w:val="24"/>
        </w:rPr>
        <w:t>(i)the Property meets all of the requirements of the definition of Eligible Property; and</w:t>
      </w:r>
    </w:p>
    <w:p>
      <w:pPr>
        <w:pStyle w:val="TextBody"/>
        <w:bidi w:val="0"/>
        <w:spacing w:before="0" w:after="240"/>
        <w:ind w:left="720" w:right="0" w:hanging="0"/>
        <w:jc w:val="both"/>
        <w:rPr>
          <w:rFonts w:ascii="Times" w:hAnsi="Times"/>
          <w:sz w:val="24"/>
        </w:rPr>
      </w:pPr>
      <w:r>
        <w:rPr>
          <w:rFonts w:ascii="Times" w:hAnsi="Times"/>
          <w:sz w:val="24"/>
        </w:rPr>
        <w:t>(ii)the Borrower or a Guarantor has the unconditional contractual right to require and cause fee simple title to such Property to be transferred at any time to any Person as directed by the Borrower or a Guarantor.</w:t>
      </w:r>
    </w:p>
    <w:p>
      <w:pPr>
        <w:pStyle w:val="TextBody"/>
        <w:bidi w:val="0"/>
        <w:spacing w:before="0" w:after="240"/>
        <w:ind w:left="0" w:right="0" w:firstLine="720"/>
        <w:jc w:val="both"/>
        <w:rPr>
          <w:rFonts w:ascii="Times" w:hAnsi="Times"/>
          <w:sz w:val="24"/>
        </w:rPr>
      </w:pPr>
      <w:r>
        <w:rPr>
          <w:rFonts w:ascii="Times" w:hAnsi="Times"/>
          <w:sz w:val="24"/>
        </w:rPr>
        <w:t>For purposes of determining Total Asset Value, such 1031 Property shall be deemed to have been owned or leased by the Borrower or a Guarantor from the date acquired by the 1031 Property Holder that owns such 1031 Property.</w:t>
      </w:r>
    </w:p>
    <w:p>
      <w:pPr>
        <w:pStyle w:val="TextBody"/>
        <w:bidi w:val="0"/>
        <w:spacing w:before="0" w:after="240"/>
        <w:ind w:left="0" w:right="0" w:firstLine="720"/>
        <w:jc w:val="both"/>
        <w:rPr/>
      </w:pPr>
      <w:r>
        <w:rPr/>
        <w:t>“</w:t>
      </w:r>
      <w:r>
        <w:rPr>
          <w:rFonts w:ascii="Times" w:hAnsi="Times"/>
          <w:i/>
          <w:sz w:val="24"/>
        </w:rPr>
        <w:t>1031 Property Holder”</w:t>
      </w:r>
      <w:r>
        <w:rPr>
          <w:rFonts w:ascii="Times New Roman;Times;serif" w:hAnsi="Times New Roman;Times;serif"/>
          <w:sz w:val="24"/>
        </w:rPr>
        <w:t xml:space="preserve"> </w:t>
      </w:r>
      <w:r>
        <w:rPr>
          <w:rFonts w:ascii="Times" w:hAnsi="Times"/>
          <w:sz w:val="24"/>
        </w:rPr>
        <w:t>means the “qualified intermediary” or “exchange accommodation titleholder” with respect to a 1031 Property as contemplated under Section 1031 of the Code, the regulations of the U.S. Department of Treasury adopted thereunder and related revenue procedures related thereto.</w:t>
      </w:r>
    </w:p>
    <w:p>
      <w:pPr>
        <w:pStyle w:val="TextBody"/>
        <w:bidi w:val="0"/>
        <w:spacing w:before="0" w:after="0"/>
        <w:ind w:left="0" w:right="0" w:firstLine="720"/>
        <w:jc w:val="both"/>
        <w:rPr/>
      </w:pPr>
      <w:r>
        <w:rPr/>
        <w:t>“</w:t>
      </w:r>
      <w:r>
        <w:rPr>
          <w:rFonts w:ascii="Times" w:hAnsi="Times"/>
          <w:i/>
          <w:sz w:val="24"/>
        </w:rPr>
        <w:t>Acceptable Leasehold Interest</w:t>
      </w:r>
      <w:r>
        <w:rPr>
          <w:rFonts w:ascii="Times New Roman;Times;serif" w:hAnsi="Times New Roman;Times;serif"/>
          <w:sz w:val="24"/>
        </w:rPr>
        <w:t xml:space="preserve">” </w:t>
      </w:r>
      <w:r>
        <w:rPr>
          <w:rFonts w:ascii="Times" w:hAnsi="Times"/>
          <w:sz w:val="24"/>
        </w:rPr>
        <w:t xml:space="preserve">means a ground leasehold interest where the Borrower or its Subsidiary is the lessee thereunder, as to which no default (other than a default which remains subject to grace or cure periods) or event of default has occurred or with the passage of time or the giving of notice would occur, and containing (a) the following terms and conditions: (i) a remaining term (including any unexercised extension options that the lessee can unilaterally exercise without the need to obtain the consent of the lessor or to pay the lessor any amount as a condition to the effectiveness of such extension) of 30 years or more from the Second Amendment Effective Date; (ii) the right of the lessee to mortgage and encumber its interest in the leased property without the consent of 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(iv) reasonable transferability of the lessee’s interest under such lease, including ability to sublease; and (v) such other rights customarily required by mortgagees making a loan secured by the interest of the holder of the leasehold estate demised pursuant to a ground lease as reasonably approved by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Administrative Agent; or (b) terms and conditions otherwise reasonably acceptable to the Administrative Agent.</w:t>
      </w:r>
    </w:p>
    <w:p>
      <w:pPr>
        <w:pStyle w:val="TextBody"/>
        <w:bidi w:val="0"/>
        <w:spacing w:before="0" w:after="240"/>
        <w:ind w:left="0" w:right="0" w:firstLine="720"/>
        <w:jc w:val="both"/>
        <w:rPr/>
      </w:pPr>
      <w:r>
        <w:rPr/>
        <w:t>“</w:t>
      </w:r>
      <w:r>
        <w:rPr>
          <w:rFonts w:ascii="Times" w:hAnsi="Times"/>
          <w:i/>
          <w:sz w:val="24"/>
        </w:rPr>
        <w:t>Additional Guarantor Supplement”</w:t>
      </w:r>
      <w:r>
        <w:rPr>
          <w:rFonts w:ascii="Times New Roman;Times;serif" w:hAnsi="Times New Roman;Times;serif"/>
          <w:sz w:val="24"/>
        </w:rPr>
        <w:t xml:space="preserve"> </w:t>
      </w:r>
      <w:r>
        <w:rPr>
          <w:rFonts w:ascii="Times" w:hAnsi="Times"/>
          <w:sz w:val="24"/>
        </w:rPr>
        <w:t>is defined in Section 4.2 hereof.</w:t>
      </w:r>
    </w:p>
    <w:p>
      <w:pPr>
        <w:pStyle w:val="TextBody"/>
        <w:bidi w:val="0"/>
        <w:spacing w:before="0" w:after="240"/>
        <w:ind w:left="0" w:right="0" w:firstLine="720"/>
        <w:jc w:val="both"/>
        <w:rPr/>
      </w:pPr>
      <w:r>
        <w:rPr/>
        <w:t>“</w:t>
      </w:r>
      <w:r>
        <w:rPr>
          <w:rFonts w:ascii="Times" w:hAnsi="Times"/>
          <w:i/>
          <w:sz w:val="24"/>
        </w:rPr>
        <w:t>Adjusted Availability</w:t>
      </w:r>
      <w:r>
        <w:rPr>
          <w:rFonts w:ascii="Times New Roman;Times;serif" w:hAnsi="Times New Roman;Times;serif"/>
          <w:sz w:val="24"/>
        </w:rPr>
        <w:t xml:space="preserve">” </w:t>
      </w:r>
      <w:r>
        <w:rPr>
          <w:rFonts w:ascii="Times" w:hAnsi="Times"/>
          <w:sz w:val="24"/>
        </w:rPr>
        <w:t xml:space="preserve">means, at any time of determination, an amount equal to (x) the Gross Availability </w:t>
      </w:r>
      <w:r>
        <w:rPr>
          <w:rFonts w:ascii="Times" w:hAnsi="Times"/>
          <w:i/>
          <w:sz w:val="24"/>
        </w:rPr>
        <w:t>minus</w:t>
      </w:r>
      <w:r>
        <w:rPr>
          <w:rFonts w:ascii="Times New Roman;Times;serif" w:hAnsi="Times New Roman;Times;serif"/>
          <w:sz w:val="24"/>
        </w:rPr>
        <w:t xml:space="preserve"> </w:t>
      </w:r>
      <w:r>
        <w:rPr>
          <w:rFonts w:ascii="Times" w:hAnsi="Times"/>
          <w:sz w:val="24"/>
        </w:rPr>
        <w:t xml:space="preserve">(y) the aggregate Other Unsecured Indebtedness outstanding on such date. </w:t>
      </w:r>
    </w:p>
    <w:p>
      <w:pPr>
        <w:pStyle w:val="TextBody"/>
        <w:bidi w:val="0"/>
        <w:spacing w:before="0" w:after="240"/>
        <w:ind w:left="0" w:right="0" w:firstLine="720"/>
        <w:jc w:val="both"/>
        <w:rPr/>
      </w:pPr>
      <w:r>
        <w:rPr/>
        <w:t>“</w:t>
      </w:r>
      <w:r>
        <w:rPr>
          <w:rFonts w:ascii="Times" w:hAnsi="Times"/>
          <w:i/>
          <w:sz w:val="24"/>
        </w:rPr>
        <w:t>Adjusted Daily Simple SOFR</w:t>
      </w:r>
      <w:r>
        <w:rPr>
          <w:rFonts w:ascii="Times New Roman;Times;serif" w:hAnsi="Times New Roman;Times;serif"/>
          <w:sz w:val="24"/>
        </w:rPr>
        <w:t xml:space="preserve">” </w:t>
      </w:r>
      <w:r>
        <w:rPr>
          <w:rFonts w:ascii="Times" w:hAnsi="Times"/>
          <w:sz w:val="24"/>
        </w:rPr>
        <w:t>means with respect to a Daily Simple SOFR Loan, the sum of (a) Daily Simple SOFR and (b) the applicable SOFR Index Adjustment; provided that if Adjusted Daily Simple SOFR as so determined would be less than the Floor, then Adjusted Daily Simple SOFR shall be deemed to be the Floor.</w:t>
      </w:r>
    </w:p>
    <w:p>
      <w:pPr>
        <w:pStyle w:val="TextBody"/>
        <w:bidi w:val="0"/>
        <w:spacing w:before="0" w:after="240"/>
        <w:ind w:left="0" w:right="0" w:firstLine="720"/>
        <w:jc w:val="both"/>
        <w:rPr/>
      </w:pPr>
      <w:r>
        <w:rPr/>
        <w:t>“</w:t>
      </w:r>
      <w:r>
        <w:rPr>
          <w:rFonts w:ascii="Times" w:hAnsi="Times"/>
          <w:i/>
          <w:sz w:val="24"/>
        </w:rPr>
        <w:t>Adjusted FFO”</w:t>
      </w:r>
      <w:r>
        <w:rPr>
          <w:rFonts w:ascii="Times New Roman;Times;serif" w:hAnsi="Times New Roman;Times;serif"/>
          <w:sz w:val="24"/>
        </w:rPr>
        <w:t xml:space="preserve"> </w:t>
      </w:r>
      <w:r>
        <w:rPr>
          <w:rFonts w:ascii="Times" w:hAnsi="Times"/>
          <w:sz w:val="24"/>
        </w:rPr>
        <w:t xml:space="preserve">means for any period, “funds from operations” as defined in accordance with resolutions adopted by the Board of Governors of the National Association of Real Estate Investment Trusts as in effect from time to time; </w:t>
      </w:r>
      <w:r>
        <w:rPr>
          <w:rFonts w:ascii="Times" w:hAnsi="Times"/>
          <w:i/>
          <w:sz w:val="24"/>
        </w:rPr>
        <w:t>provided</w:t>
      </w:r>
      <w:r>
        <w:rPr>
          <w:rFonts w:ascii="Times New Roman;Times;serif" w:hAnsi="Times New Roman;Times;serif"/>
          <w:sz w:val="24"/>
        </w:rPr>
        <w:t xml:space="preserve"> </w:t>
      </w:r>
      <w:r>
        <w:rPr>
          <w:rFonts w:ascii="Times" w:hAnsi="Times"/>
          <w:sz w:val="24"/>
        </w:rPr>
        <w:t xml:space="preserve">that Adjusted FFO shall (i) be based on net income after payment of distributions to holders of preferred partnership units in </w:t>
      </w:r>
      <w:bookmarkStart w:id="1956" w:name="_cp_change_2361"/>
      <w:bookmarkEnd w:id="1956"/>
      <w:r>
        <w:rPr>
          <w:rFonts w:ascii="Times" w:hAnsi="Times"/>
          <w:color w:val="FF0000"/>
          <w:sz w:val="24"/>
        </w:rPr>
        <w:t>Parent</w:t>
      </w:r>
      <w:bookmarkStart w:id="1957" w:name="_cp_change_2371"/>
      <w:bookmarkEnd w:id="1957"/>
      <w:r>
        <w:rPr>
          <w:rFonts w:ascii="Times" w:hAnsi="Times"/>
          <w:color w:val="0000FF"/>
          <w:sz w:val="24"/>
          <w:u w:val="single"/>
        </w:rPr>
        <w:t>Borrower</w:t>
      </w:r>
      <w:r>
        <w:rPr>
          <w:rFonts w:ascii="Times New Roman;Times;serif" w:hAnsi="Times New Roman;Times;serif"/>
          <w:sz w:val="24"/>
        </w:rPr>
        <w:t xml:space="preserve"> </w:t>
      </w:r>
      <w:r>
        <w:rPr>
          <w:rFonts w:ascii="Times" w:hAnsi="Times"/>
          <w:sz w:val="24"/>
        </w:rPr>
        <w:t>and distributions necessary to pay holders of preferred stock of Parent, and (ii) at all times exclude (a) charges for impairment losses from property sales, (b) stock-based compensation, (c) write-offs or reserves of straight-line rent related to sold assets, (d) amortization of debt costs, (e) non-recurring charges, including, without limitation, acquisition expenses, non-cash charges related to the write-off of deferred equity and financing costs and one-time charges related to the transition to self-management; and (f) other non-cash items as mutually agreed upon by Borrower and Administrative Agent.</w:t>
      </w:r>
    </w:p>
    <w:p>
      <w:pPr>
        <w:pStyle w:val="TextBody"/>
        <w:bidi w:val="0"/>
        <w:spacing w:before="0" w:after="240"/>
        <w:ind w:left="0" w:right="0" w:firstLine="720"/>
        <w:jc w:val="both"/>
        <w:rPr/>
      </w:pPr>
      <w:r>
        <w:rPr/>
        <w:t>“</w:t>
      </w:r>
      <w:r>
        <w:rPr>
          <w:rFonts w:ascii="Times" w:hAnsi="Times"/>
          <w:i/>
          <w:sz w:val="24"/>
        </w:rPr>
        <w:t>Adjusted Term SOFR</w:t>
      </w:r>
      <w:r>
        <w:rPr>
          <w:rFonts w:ascii="Times New Roman;Times;serif" w:hAnsi="Times New Roman;Times;serif"/>
          <w:sz w:val="24"/>
        </w:rPr>
        <w:t xml:space="preserve">” </w:t>
      </w:r>
      <w:r>
        <w:rPr>
          <w:rFonts w:ascii="Times" w:hAnsi="Times"/>
          <w:sz w:val="24"/>
        </w:rPr>
        <w:t>means for any Available Tenor and Interest Period with respect to a Term SOFR Loan, the sum of (a) Term SOFR for such Interest Period and (b) the SOFR Index Adjustment; provided that if Adjusted Term SOFR as so determined would be less than the Floor, then Adjusted Term SOFR shall be deemed to be the Floor.</w:t>
      </w:r>
    </w:p>
    <w:p>
      <w:pPr>
        <w:pStyle w:val="TextBody"/>
        <w:bidi w:val="0"/>
        <w:spacing w:before="0" w:after="240"/>
        <w:ind w:left="0" w:right="0" w:firstLine="720"/>
        <w:jc w:val="both"/>
        <w:rPr/>
      </w:pPr>
      <w:r>
        <w:rPr/>
        <w:t>“</w:t>
      </w:r>
      <w:r>
        <w:rPr>
          <w:rFonts w:ascii="Times" w:hAnsi="Times"/>
          <w:i/>
          <w:sz w:val="24"/>
        </w:rPr>
        <w:t xml:space="preserve">Administrative Agent” </w:t>
      </w:r>
      <w:r>
        <w:rPr>
          <w:rFonts w:ascii="Times" w:hAnsi="Times"/>
          <w:sz w:val="24"/>
        </w:rPr>
        <w:t>means Truist Bank, N.A., in its capacity as Administrative Agent hereunder, and any successor in such capacity pursuant to Section 11.6 hereof.</w:t>
      </w:r>
    </w:p>
    <w:p>
      <w:pPr>
        <w:pStyle w:val="TextBody"/>
        <w:bidi w:val="0"/>
        <w:spacing w:before="0" w:after="240"/>
        <w:ind w:left="0" w:right="0" w:firstLine="720"/>
        <w:jc w:val="both"/>
        <w:rPr/>
      </w:pPr>
      <w:r>
        <w:rPr/>
        <w:t>“</w:t>
      </w:r>
      <w:r>
        <w:rPr>
          <w:rFonts w:ascii="Times" w:hAnsi="Times"/>
          <w:i/>
          <w:sz w:val="24"/>
        </w:rPr>
        <w:t xml:space="preserve">Administrative Questionnaire” </w:t>
      </w:r>
      <w:r>
        <w:rPr>
          <w:rFonts w:ascii="Times" w:hAnsi="Times"/>
          <w:sz w:val="24"/>
        </w:rPr>
        <w:t>means an Administrative Questionnaire in a form supplied by the Administrative Agent.</w:t>
      </w:r>
    </w:p>
    <w:p>
      <w:pPr>
        <w:pStyle w:val="TextBody"/>
        <w:bidi w:val="0"/>
        <w:spacing w:before="0" w:after="240"/>
        <w:ind w:left="0" w:right="0" w:firstLine="720"/>
        <w:jc w:val="both"/>
        <w:rPr/>
      </w:pPr>
      <w:r>
        <w:rPr/>
        <w:t>“</w:t>
      </w:r>
      <w:r>
        <w:rPr>
          <w:rFonts w:ascii="Times" w:hAnsi="Times"/>
          <w:i/>
          <w:sz w:val="24"/>
        </w:rPr>
        <w:t xml:space="preserve">Affected Financial Institution” </w:t>
      </w:r>
      <w:r>
        <w:rPr>
          <w:rFonts w:ascii="Times" w:hAnsi="Times"/>
          <w:sz w:val="24"/>
        </w:rPr>
        <w:t>means (a) any EEA Financial Institution or (b) any UK Financial Institution.</w:t>
      </w:r>
    </w:p>
    <w:p>
      <w:pPr>
        <w:pStyle w:val="TextBody"/>
        <w:bidi w:val="0"/>
        <w:spacing w:before="0" w:after="240"/>
        <w:ind w:left="0" w:right="0" w:firstLine="720"/>
        <w:jc w:val="both"/>
        <w:rPr/>
      </w:pPr>
      <w:r>
        <w:rPr/>
        <w:t>“</w:t>
      </w:r>
      <w:r>
        <w:rPr>
          <w:rFonts w:ascii="Times" w:hAnsi="Times"/>
          <w:i/>
          <w:sz w:val="24"/>
        </w:rPr>
        <w:t>Affected Lender”</w:t>
      </w:r>
      <w:r>
        <w:rPr>
          <w:rFonts w:ascii="Times New Roman;Times;serif" w:hAnsi="Times New Roman;Times;serif"/>
          <w:sz w:val="24"/>
        </w:rPr>
        <w:t xml:space="preserve"> </w:t>
      </w:r>
      <w:r>
        <w:rPr>
          <w:rFonts w:ascii="Times" w:hAnsi="Times"/>
          <w:sz w:val="24"/>
        </w:rPr>
        <w:t>is defined in Section 1.13 hereof.</w:t>
      </w:r>
    </w:p>
    <w:p>
      <w:pPr>
        <w:pStyle w:val="TextBody"/>
        <w:bidi w:val="0"/>
        <w:spacing w:before="0" w:after="0"/>
        <w:ind w:left="0" w:right="0" w:firstLine="720"/>
        <w:jc w:val="both"/>
        <w:rPr/>
      </w:pPr>
      <w:r>
        <w:rPr/>
        <w:t>“</w:t>
      </w:r>
      <w:r>
        <w:rPr>
          <w:rFonts w:ascii="Times" w:hAnsi="Times"/>
          <w:i/>
          <w:sz w:val="24"/>
        </w:rPr>
        <w:t>Affiliate”</w:t>
      </w:r>
      <w:r>
        <w:rPr>
          <w:rFonts w:ascii="Times New Roman;Times;serif" w:hAnsi="Times New Roman;Times;serif"/>
          <w:sz w:val="24"/>
        </w:rPr>
        <w:t xml:space="preserve"> </w:t>
      </w:r>
      <w:r>
        <w:rPr>
          <w:rFonts w:ascii="Times" w:hAnsi="Times"/>
          <w:sz w:val="24"/>
        </w:rPr>
        <w:t xml:space="preserve">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w:hAnsi="Times"/>
          <w:i/>
          <w:sz w:val="24"/>
        </w:rPr>
        <w:t>provided that</w:t>
      </w:r>
      <w:r>
        <w:rPr>
          <w:rFonts w:ascii="Times" w:hAnsi="Times"/>
          <w:sz w:val="24"/>
        </w:rPr>
        <w:t xml:space="preserve">, in any event for purposes of this definition, any Person that owns, directly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or indirectly, 20% or more of the securities having the ordinary voting power for the election of directors or governing body of a corporation or 20% or more of the partnership or other ownership interest of any other Person (other than as a limited partner of such other Person) will be deemed to control such corporation or other Person.</w:t>
      </w:r>
    </w:p>
    <w:p>
      <w:pPr>
        <w:pStyle w:val="TextBody"/>
        <w:bidi w:val="0"/>
        <w:spacing w:before="0" w:after="240"/>
        <w:ind w:left="0" w:right="0" w:firstLine="720"/>
        <w:jc w:val="both"/>
        <w:rPr/>
      </w:pPr>
      <w:r>
        <w:rPr/>
        <w:t>“</w:t>
      </w:r>
      <w:r>
        <w:rPr>
          <w:rFonts w:ascii="Times" w:hAnsi="Times"/>
          <w:i/>
          <w:sz w:val="24"/>
        </w:rPr>
        <w:t>Aggregate Term Facility Amount”</w:t>
      </w:r>
      <w:r>
        <w:rPr>
          <w:rFonts w:ascii="Times New Roman;Times;serif" w:hAnsi="Times New Roman;Times;serif"/>
          <w:sz w:val="24"/>
        </w:rPr>
        <w:t xml:space="preserve"> </w:t>
      </w:r>
      <w:r>
        <w:rPr>
          <w:rFonts w:ascii="Times" w:hAnsi="Times"/>
          <w:sz w:val="24"/>
        </w:rPr>
        <w:t>means $100,000,000.00.</w:t>
      </w:r>
    </w:p>
    <w:p>
      <w:pPr>
        <w:pStyle w:val="TextBody"/>
        <w:bidi w:val="0"/>
        <w:spacing w:before="0" w:after="240"/>
        <w:ind w:left="0" w:right="0" w:firstLine="720"/>
        <w:jc w:val="both"/>
        <w:rPr/>
      </w:pPr>
      <w:r>
        <w:rPr/>
        <w:t>“</w:t>
      </w:r>
      <w:r>
        <w:rPr>
          <w:rFonts w:ascii="Times" w:hAnsi="Times"/>
          <w:i/>
          <w:sz w:val="24"/>
        </w:rPr>
        <w:t>Agreement”</w:t>
      </w:r>
      <w:r>
        <w:rPr>
          <w:rFonts w:ascii="Times New Roman;Times;serif" w:hAnsi="Times New Roman;Times;serif"/>
          <w:sz w:val="24"/>
        </w:rPr>
        <w:t xml:space="preserve"> </w:t>
      </w:r>
      <w:r>
        <w:rPr>
          <w:rFonts w:ascii="Times" w:hAnsi="Times"/>
          <w:sz w:val="24"/>
        </w:rPr>
        <w:t>means this Credit Agreement, as the same may be amended, modified, restated or supplemented from time to time pursuant to the terms hereof.</w:t>
      </w:r>
    </w:p>
    <w:p>
      <w:pPr>
        <w:pStyle w:val="TextBody"/>
        <w:bidi w:val="0"/>
        <w:spacing w:before="0" w:after="240"/>
        <w:ind w:left="0" w:right="0" w:firstLine="720"/>
        <w:jc w:val="both"/>
        <w:rPr/>
      </w:pPr>
      <w:r>
        <w:rPr/>
        <w:t>“</w:t>
      </w:r>
      <w:r>
        <w:rPr>
          <w:rFonts w:ascii="Times" w:hAnsi="Times"/>
          <w:i/>
          <w:sz w:val="24"/>
        </w:rPr>
        <w:t>Alpine Valley</w:t>
      </w:r>
      <w:r>
        <w:rPr>
          <w:rFonts w:ascii="Times New Roman;Times;serif" w:hAnsi="Times New Roman;Times;serif"/>
          <w:sz w:val="24"/>
        </w:rPr>
        <w:t xml:space="preserve">” </w:t>
      </w:r>
      <w:r>
        <w:rPr>
          <w:rFonts w:ascii="Times" w:hAnsi="Times"/>
          <w:sz w:val="24"/>
        </w:rPr>
        <w:t xml:space="preserve">means that certain property located in </w:t>
      </w:r>
      <w:r>
        <w:rPr>
          <w:rFonts w:ascii="TimesNewRoman" w:hAnsi="TimesNewRoman"/>
          <w:sz w:val="24"/>
        </w:rPr>
        <w:t>East Troy, Wisconsin comprising approximately 93,322 square feet known as of the Second Amendment Effective Date as “Alpine Valley Music Theatre”.</w:t>
      </w:r>
    </w:p>
    <w:p>
      <w:pPr>
        <w:pStyle w:val="TextBody"/>
        <w:bidi w:val="0"/>
        <w:spacing w:before="0" w:after="240"/>
        <w:ind w:left="0" w:right="0" w:firstLine="720"/>
        <w:jc w:val="both"/>
        <w:rPr/>
      </w:pPr>
      <w:r>
        <w:rPr/>
        <w:t>“</w:t>
      </w:r>
      <w:r>
        <w:rPr>
          <w:rFonts w:ascii="Times" w:hAnsi="Times"/>
          <w:i/>
          <w:sz w:val="24"/>
        </w:rPr>
        <w:t>Annual Capital Expenditure Reserve”</w:t>
      </w:r>
      <w:r>
        <w:rPr>
          <w:rFonts w:ascii="Times New Roman;Times;serif" w:hAnsi="Times New Roman;Times;serif"/>
          <w:sz w:val="24"/>
        </w:rPr>
        <w:t xml:space="preserve"> </w:t>
      </w:r>
      <w:r>
        <w:rPr>
          <w:rFonts w:ascii="Times" w:hAnsi="Times"/>
          <w:sz w:val="24"/>
        </w:rPr>
        <w:t xml:space="preserve">means the sum of (a) an amount equal to the product of (i) $0.10 </w:t>
      </w:r>
      <w:r>
        <w:rPr>
          <w:rFonts w:ascii="Times" w:hAnsi="Times"/>
          <w:i/>
          <w:sz w:val="24"/>
        </w:rPr>
        <w:t>multiplied by</w:t>
      </w:r>
      <w:r>
        <w:rPr>
          <w:rFonts w:ascii="Times New Roman;Times;serif" w:hAnsi="Times New Roman;Times;serif"/>
          <w:sz w:val="24"/>
        </w:rPr>
        <w:t xml:space="preserve"> </w:t>
      </w:r>
      <w:r>
        <w:rPr>
          <w:rFonts w:ascii="Times" w:hAnsi="Times"/>
          <w:sz w:val="24"/>
        </w:rPr>
        <w:t xml:space="preserve">(ii) the aggregate net rentable area, determined on a square footage basis, for retail net lease properties, </w:t>
      </w:r>
      <w:r>
        <w:rPr>
          <w:rFonts w:ascii="Times" w:hAnsi="Times"/>
          <w:i/>
          <w:sz w:val="24"/>
        </w:rPr>
        <w:t>plus</w:t>
      </w:r>
      <w:r>
        <w:rPr>
          <w:rFonts w:ascii="Times New Roman;Times;serif" w:hAnsi="Times New Roman;Times;serif"/>
          <w:sz w:val="24"/>
        </w:rPr>
        <w:t xml:space="preserve"> </w:t>
      </w:r>
      <w:r>
        <w:rPr>
          <w:rFonts w:ascii="Times" w:hAnsi="Times"/>
          <w:sz w:val="24"/>
        </w:rPr>
        <w:t xml:space="preserve">(b) an amount equal to the product of (i) $0.25 </w:t>
      </w:r>
      <w:r>
        <w:rPr>
          <w:rFonts w:ascii="Times" w:hAnsi="Times"/>
          <w:i/>
          <w:sz w:val="24"/>
        </w:rPr>
        <w:t>multiplied by</w:t>
      </w:r>
      <w:r>
        <w:rPr>
          <w:rFonts w:ascii="Times New Roman;Times;serif" w:hAnsi="Times New Roman;Times;serif"/>
          <w:sz w:val="24"/>
        </w:rPr>
        <w:t xml:space="preserve"> </w:t>
      </w:r>
      <w:r>
        <w:rPr>
          <w:rFonts w:ascii="Times" w:hAnsi="Times"/>
          <w:sz w:val="24"/>
        </w:rPr>
        <w:t xml:space="preserve">(ii) the aggregate net rentable area, determined on a square footage basis, for non-retail net lease properties; </w:t>
      </w:r>
      <w:r>
        <w:rPr>
          <w:rFonts w:ascii="Times" w:hAnsi="Times"/>
          <w:i/>
          <w:sz w:val="24"/>
        </w:rPr>
        <w:t>provided, however</w:t>
      </w:r>
      <w:r>
        <w:rPr>
          <w:rFonts w:ascii="Times" w:hAnsi="Times"/>
          <w:sz w:val="24"/>
        </w:rPr>
        <w:t xml:space="preserve">, this definition of Annual Capital Expenditure Reserve shall not apply to any Land Assets or any Ground Leases with Borrower or a Subsidiary as lessor; </w:t>
      </w:r>
      <w:r>
        <w:rPr>
          <w:rFonts w:ascii="Times" w:hAnsi="Times"/>
          <w:i/>
          <w:sz w:val="24"/>
        </w:rPr>
        <w:t>provided</w:t>
      </w:r>
      <w:r>
        <w:rPr>
          <w:rFonts w:ascii="Times New Roman;Times;serif" w:hAnsi="Times New Roman;Times;serif"/>
          <w:sz w:val="24"/>
        </w:rPr>
        <w:t xml:space="preserve"> </w:t>
      </w:r>
      <w:r>
        <w:rPr>
          <w:rFonts w:ascii="Times" w:hAnsi="Times"/>
          <w:sz w:val="24"/>
        </w:rPr>
        <w:t>that the Borrower is not obligated for such Capital Expenditures.</w:t>
      </w:r>
    </w:p>
    <w:p>
      <w:pPr>
        <w:pStyle w:val="TextBody"/>
        <w:bidi w:val="0"/>
        <w:spacing w:before="0" w:after="240"/>
        <w:ind w:left="0" w:right="0" w:firstLine="720"/>
        <w:jc w:val="both"/>
        <w:rPr/>
      </w:pPr>
      <w:r>
        <w:rPr/>
        <w:t>“</w:t>
      </w:r>
      <w:r>
        <w:rPr>
          <w:rFonts w:ascii="Times" w:hAnsi="Times"/>
          <w:i/>
          <w:sz w:val="24"/>
        </w:rPr>
        <w:t>Anti-Corruption Law”</w:t>
      </w:r>
      <w:r>
        <w:rPr>
          <w:rFonts w:ascii="Times New Roman;Times;serif" w:hAnsi="Times New Roman;Times;serif"/>
          <w:sz w:val="24"/>
        </w:rPr>
        <w:t xml:space="preserve"> </w:t>
      </w:r>
      <w:r>
        <w:rPr>
          <w:rFonts w:ascii="Times" w:hAnsi="Times"/>
          <w:sz w:val="24"/>
        </w:rPr>
        <w:t>means the FCPA and any law, rule or regulation of any jurisdiction concerning or relating to bribery or corruption that are applicable to Borrower or any Subsidiary or Affiliate.</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Applicable Margin”</w:t>
      </w:r>
      <w:r>
        <w:rPr>
          <w:rFonts w:ascii="Times New Roman;Times;serif" w:hAnsi="Times New Roman;Times;serif"/>
          <w:sz w:val="24"/>
        </w:rPr>
        <w:t xml:space="preserve"> </w:t>
      </w:r>
      <w:r>
        <w:rPr>
          <w:rFonts w:ascii="Times" w:hAnsi="Times"/>
          <w:sz w:val="24"/>
        </w:rPr>
        <w:t>means, with respect to the Closing Date Term Loan, until the first Pricing Date, the rates shown opposite Level</w:t>
      </w:r>
      <w:r>
        <w:rPr>
          <w:rFonts w:ascii="Times New Roman;Times;serif" w:hAnsi="Times New Roman;Times;serif"/>
          <w:sz w:val="24"/>
        </w:rPr>
        <w:t xml:space="preserve"> </w:t>
      </w:r>
      <w:r>
        <w:rPr>
          <w:rFonts w:ascii="Times" w:hAnsi="Times"/>
          <w:sz w:val="24"/>
        </w:rPr>
        <w:t>I below, and thereafter, from one Pricing Date to the next the rates per annum determined in accordance with the following schedule:</w:t>
      </w:r>
    </w:p>
    <w:tbl>
      <w:tblPr>
        <w:tblW w:w="10205" w:type="dxa"/>
        <w:jc w:val="center"/>
        <w:tblInd w:w="0" w:type="dxa"/>
        <w:tblLayout w:type="fixed"/>
        <w:tblCellMar>
          <w:top w:w="0" w:type="dxa"/>
          <w:left w:w="0" w:type="dxa"/>
          <w:bottom w:w="0" w:type="dxa"/>
          <w:right w:w="0" w:type="dxa"/>
        </w:tblCellMar>
      </w:tblPr>
      <w:tblGrid>
        <w:gridCol w:w="766"/>
        <w:gridCol w:w="4244"/>
        <w:gridCol w:w="3124"/>
        <w:gridCol w:w="2071"/>
      </w:tblGrid>
      <w:tr>
        <w:trPr/>
        <w:tc>
          <w:tcPr>
            <w:tcW w:w="7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43205" cy="175260"/>
                      <wp:effectExtent l="0" t="0" r="0" b="0"/>
                      <wp:wrapNone/>
                      <wp:docPr id="549" name="Frame549"/>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24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47470" cy="175260"/>
                      <wp:effectExtent l="0" t="0" r="0" b="0"/>
                      <wp:wrapNone/>
                      <wp:docPr id="550" name="Frame550"/>
                      <a:graphic xmlns:a="http://schemas.openxmlformats.org/drawingml/2006/main">
                        <a:graphicData uri="http://schemas.microsoft.com/office/word/2010/wordprocessingShape">
                          <wps:wsp>
                            <wps:cNvSpPr txBox="1"/>
                            <wps:spPr>
                              <a:xfrm>
                                <a:off x="0" y="0"/>
                                <a:ext cx="13474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12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991870" cy="175260"/>
                      <wp:effectExtent l="0" t="0" r="0" b="0"/>
                      <wp:wrapNone/>
                      <wp:docPr id="551" name="Frame551"/>
                      <a:graphic xmlns:a="http://schemas.openxmlformats.org/drawingml/2006/main">
                        <a:graphicData uri="http://schemas.microsoft.com/office/word/2010/wordprocessingShape">
                          <wps:wsp>
                            <wps:cNvSpPr txBox="1"/>
                            <wps:spPr>
                              <a:xfrm>
                                <a:off x="0" y="0"/>
                                <a:ext cx="9918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0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57225" cy="525780"/>
                      <wp:effectExtent l="0" t="0" r="0" b="0"/>
                      <wp:wrapNone/>
                      <wp:docPr id="552" name="Frame552"/>
                      <a:graphic xmlns:a="http://schemas.openxmlformats.org/drawingml/2006/main">
                        <a:graphicData uri="http://schemas.microsoft.com/office/word/2010/wordprocessingShape">
                          <wps:wsp>
                            <wps:cNvSpPr txBox="1"/>
                            <wps:spPr>
                              <a:xfrm>
                                <a:off x="0" y="0"/>
                                <a:ext cx="657225" cy="525780"/>
                              </a:xfrm>
                              <a:prstGeom prst="rect"/>
                              <a:solidFill>
                                <a:srgbClr val="FFFFFF"/>
                              </a:solidFill>
                            </wps:spPr>
                            <wps:txbx>
                              <w:txbxContent>
                                <w:p>
                                  <w:pPr>
                                    <w:pStyle w:val="TableHeading"/>
                                    <w:bidi w:val="0"/>
                                    <w:spacing w:before="0" w:after="0"/>
                                    <w:ind w:left="0" w:right="0" w:hanging="0"/>
                                    <w:jc w:val="center"/>
                                    <w:rPr>
                                      <w:smallCaps/>
                                    </w:rPr>
                                  </w:pPr>
                                  <w:r>
                                    <w:rPr>
                                      <w:smallCaps/>
                                    </w:rPr>
                                    <w:t>​</w:t>
                                  </w:r>
                                </w:p>
                                <w:p>
                                  <w:pPr>
                                    <w:pStyle w:val="TableHeading"/>
                                    <w:bidi w:val="0"/>
                                    <w:spacing w:before="0" w:after="0"/>
                                    <w:ind w:left="0" w:right="0" w:hanging="0"/>
                                    <w:jc w:val="center"/>
                                    <w:rPr>
                                      <w:smallCaps/>
                                    </w:rPr>
                                  </w:pPr>
                                  <w:r>
                                    <w:rPr>
                                      <w:smallCaps/>
                                    </w:rPr>
                                    <w:t>​</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center"/>
                              <w:rPr>
                                <w:smallCaps/>
                              </w:rPr>
                            </w:pPr>
                            <w:r>
                              <w:rPr>
                                <w:smallCaps/>
                              </w:rPr>
                              <w:t>​</w:t>
                            </w:r>
                          </w:p>
                          <w:p>
                            <w:pPr>
                              <w:pStyle w:val="TableHeading"/>
                              <w:bidi w:val="0"/>
                              <w:spacing w:before="0" w:after="0"/>
                              <w:ind w:left="0" w:right="0" w:hanging="0"/>
                              <w:jc w:val="center"/>
                              <w:rPr>
                                <w:smallCaps/>
                              </w:rPr>
                            </w:pPr>
                            <w:r>
                              <w:rPr>
                                <w:smallCaps/>
                              </w:rPr>
                              <w:t>​</w:t>
                            </w:r>
                          </w:p>
                          <w:p>
                            <w:pPr>
                              <w:pStyle w:val="TableHeading"/>
                              <w:bidi w:val="0"/>
                              <w:spacing w:before="0" w:after="0"/>
                              <w:ind w:left="0" w:right="0" w:hanging="0"/>
                              <w:rPr/>
                            </w:pPr>
                            <w:r>
                              <w:rPr/>
                              <w:t>​</w:t>
                            </w:r>
                          </w:p>
                        </w:txbxContent>
                      </v:textbox>
                      <w10:wrap type="none"/>
                    </v:rect>
                  </w:pict>
                </mc:Fallback>
              </mc:AlternateContent>
            </w:r>
          </w:p>
        </w:tc>
      </w:tr>
      <w:tr>
        <w:trPr/>
        <w:tc>
          <w:tcPr>
            <w:tcW w:w="766"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Level</w:t>
            </w:r>
          </w:p>
        </w:tc>
        <w:tc>
          <w:tcPr>
            <w:tcW w:w="4244"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Total Indebtedness to Total Asset Value Ratio for Such Pricing Date</w:t>
            </w:r>
          </w:p>
        </w:tc>
        <w:tc>
          <w:tcPr>
            <w:tcW w:w="3124"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Base Rate Loans shall be:</w:t>
            </w:r>
          </w:p>
        </w:tc>
        <w:tc>
          <w:tcPr>
            <w:tcW w:w="2071" w:type="dxa"/>
            <w:tcBorders/>
            <w:vAlign w:val="center"/>
          </w:tcPr>
          <w:p>
            <w:pPr>
              <w:pStyle w:val="TableHeading"/>
              <w:bidi w:val="0"/>
              <w:spacing w:before="0" w:after="0"/>
              <w:ind w:left="0" w:right="0" w:hanging="0"/>
              <w:jc w:val="center"/>
              <w:rPr>
                <w:rFonts w:ascii="Times" w:hAnsi="Times"/>
                <w:b w:val="false"/>
                <w:smallCaps/>
                <w:sz w:val="24"/>
              </w:rPr>
            </w:pPr>
            <w:r>
              <w:rPr>
                <w:rFonts w:ascii="Times" w:hAnsi="Times"/>
                <w:b w:val="false"/>
                <w:smallCaps/>
                <w:sz w:val="24"/>
              </w:rPr>
              <w:t xml:space="preserve">Applicable Margin </w:t>
            </w:r>
          </w:p>
          <w:p>
            <w:pPr>
              <w:pStyle w:val="TableHeading"/>
              <w:bidi w:val="0"/>
              <w:spacing w:before="0" w:after="0"/>
              <w:ind w:left="0" w:right="0" w:hanging="0"/>
              <w:jc w:val="center"/>
              <w:rPr>
                <w:rFonts w:ascii="Times" w:hAnsi="Times"/>
                <w:b w:val="false"/>
                <w:smallCaps/>
                <w:sz w:val="24"/>
              </w:rPr>
            </w:pPr>
            <w:r>
              <w:rPr>
                <w:rFonts w:ascii="Times" w:hAnsi="Times"/>
                <w:b w:val="false"/>
                <w:smallCaps/>
                <w:sz w:val="24"/>
              </w:rPr>
              <w:t>for SOFR Loans Shall Be:</w:t>
            </w:r>
          </w:p>
          <w:p>
            <w:pPr>
              <w:pStyle w:val="TableHeading"/>
              <w:bidi w:val="0"/>
              <w:spacing w:before="0" w:after="0"/>
              <w:ind w:left="0" w:right="0" w:hanging="0"/>
              <w:jc w:val="center"/>
              <w:rPr>
                <w:smallCaps/>
              </w:rPr>
            </w:pPr>
            <w:r>
              <w:rPr>
                <w:smallCaps/>
              </w:rPr>
              <w:t>​</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w:t>
            </w:r>
          </w:p>
        </w:tc>
        <w:tc>
          <w:tcPr>
            <w:tcW w:w="4244"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0.45 to 1.00</w:t>
            </w:r>
          </w:p>
        </w:tc>
        <w:tc>
          <w:tcPr>
            <w:tcW w:w="3124"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0.35%</w:t>
            </w:r>
          </w:p>
        </w:tc>
        <w:tc>
          <w:tcPr>
            <w:tcW w:w="2071"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1.35%</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II</w:t>
            </w:r>
          </w:p>
        </w:tc>
        <w:tc>
          <w:tcPr>
            <w:tcW w:w="4244"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0.50 to 1.00, but greater than 0.45 to 1.00</w:t>
            </w:r>
          </w:p>
        </w:tc>
        <w:tc>
          <w:tcPr>
            <w:tcW w:w="3124"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0.50%</w:t>
            </w:r>
          </w:p>
        </w:tc>
        <w:tc>
          <w:tcPr>
            <w:tcW w:w="2071"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1.50%</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III</w:t>
            </w:r>
          </w:p>
        </w:tc>
        <w:tc>
          <w:tcPr>
            <w:tcW w:w="4244"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 xml:space="preserve">Less than or equal to 0.55 to 1.00, but greater </w:t>
            </w:r>
          </w:p>
        </w:tc>
        <w:tc>
          <w:tcPr>
            <w:tcW w:w="3124"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0.65%</w:t>
            </w:r>
          </w:p>
        </w:tc>
        <w:tc>
          <w:tcPr>
            <w:tcW w:w="2071"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1.65%</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66"/>
        <w:gridCol w:w="4244"/>
        <w:gridCol w:w="3124"/>
        <w:gridCol w:w="2071"/>
      </w:tblGrid>
      <w:tr>
        <w:trPr/>
        <w:tc>
          <w:tcPr>
            <w:tcW w:w="7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43205" cy="175260"/>
                      <wp:effectExtent l="0" t="0" r="0" b="0"/>
                      <wp:wrapNone/>
                      <wp:docPr id="553" name="Frame55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24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47470" cy="175260"/>
                      <wp:effectExtent l="0" t="0" r="0" b="0"/>
                      <wp:wrapNone/>
                      <wp:docPr id="554" name="Frame554"/>
                      <a:graphic xmlns:a="http://schemas.openxmlformats.org/drawingml/2006/main">
                        <a:graphicData uri="http://schemas.microsoft.com/office/word/2010/wordprocessingShape">
                          <wps:wsp>
                            <wps:cNvSpPr txBox="1"/>
                            <wps:spPr>
                              <a:xfrm>
                                <a:off x="0" y="0"/>
                                <a:ext cx="13474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12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991870" cy="175260"/>
                      <wp:effectExtent l="0" t="0" r="0" b="0"/>
                      <wp:wrapNone/>
                      <wp:docPr id="555" name="Frame555"/>
                      <a:graphic xmlns:a="http://schemas.openxmlformats.org/drawingml/2006/main">
                        <a:graphicData uri="http://schemas.microsoft.com/office/word/2010/wordprocessingShape">
                          <wps:wsp>
                            <wps:cNvSpPr txBox="1"/>
                            <wps:spPr>
                              <a:xfrm>
                                <a:off x="0" y="0"/>
                                <a:ext cx="9918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0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57225" cy="525780"/>
                      <wp:effectExtent l="0" t="0" r="0" b="0"/>
                      <wp:wrapNone/>
                      <wp:docPr id="556" name="Frame556"/>
                      <a:graphic xmlns:a="http://schemas.openxmlformats.org/drawingml/2006/main">
                        <a:graphicData uri="http://schemas.microsoft.com/office/word/2010/wordprocessingShape">
                          <wps:wsp>
                            <wps:cNvSpPr txBox="1"/>
                            <wps:spPr>
                              <a:xfrm>
                                <a:off x="0" y="0"/>
                                <a:ext cx="657225" cy="525780"/>
                              </a:xfrm>
                              <a:prstGeom prst="rect"/>
                              <a:solidFill>
                                <a:srgbClr val="FFFFFF"/>
                              </a:solidFill>
                            </wps:spPr>
                            <wps:txbx>
                              <w:txbxContent>
                                <w:p>
                                  <w:pPr>
                                    <w:pStyle w:val="TableHeading"/>
                                    <w:bidi w:val="0"/>
                                    <w:spacing w:before="0" w:after="0"/>
                                    <w:ind w:left="0" w:right="0" w:hanging="0"/>
                                    <w:jc w:val="center"/>
                                    <w:rPr>
                                      <w:smallCaps/>
                                    </w:rPr>
                                  </w:pPr>
                                  <w:r>
                                    <w:rPr>
                                      <w:smallCaps/>
                                    </w:rPr>
                                    <w:t>​</w:t>
                                  </w:r>
                                </w:p>
                                <w:p>
                                  <w:pPr>
                                    <w:pStyle w:val="TableHeading"/>
                                    <w:bidi w:val="0"/>
                                    <w:spacing w:before="0" w:after="0"/>
                                    <w:ind w:left="0" w:right="0" w:hanging="0"/>
                                    <w:jc w:val="center"/>
                                    <w:rPr>
                                      <w:smallCaps/>
                                    </w:rPr>
                                  </w:pPr>
                                  <w:r>
                                    <w:rPr>
                                      <w:smallCaps/>
                                    </w:rPr>
                                    <w:t>​</w:t>
                                  </w:r>
                                </w:p>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jc w:val="center"/>
                              <w:rPr>
                                <w:smallCaps/>
                              </w:rPr>
                            </w:pPr>
                            <w:r>
                              <w:rPr>
                                <w:smallCaps/>
                              </w:rPr>
                              <w:t>​</w:t>
                            </w:r>
                          </w:p>
                          <w:p>
                            <w:pPr>
                              <w:pStyle w:val="TableHeading"/>
                              <w:bidi w:val="0"/>
                              <w:spacing w:before="0" w:after="0"/>
                              <w:ind w:left="0" w:right="0" w:hanging="0"/>
                              <w:jc w:val="center"/>
                              <w:rPr>
                                <w:smallCaps/>
                              </w:rPr>
                            </w:pPr>
                            <w:r>
                              <w:rPr>
                                <w:smallCaps/>
                              </w:rPr>
                              <w:t>​</w:t>
                            </w:r>
                          </w:p>
                          <w:p>
                            <w:pPr>
                              <w:pStyle w:val="TableHeading"/>
                              <w:bidi w:val="0"/>
                              <w:spacing w:before="0" w:after="0"/>
                              <w:ind w:left="0" w:right="0" w:hanging="0"/>
                              <w:rPr/>
                            </w:pPr>
                            <w:r>
                              <w:rPr/>
                              <w:t>​</w:t>
                            </w:r>
                          </w:p>
                        </w:txbxContent>
                      </v:textbox>
                      <w10:wrap type="none"/>
                    </v:rect>
                  </w:pict>
                </mc:Fallback>
              </mc:AlternateContent>
            </w:r>
          </w:p>
        </w:tc>
      </w:tr>
      <w:tr>
        <w:trPr/>
        <w:tc>
          <w:tcPr>
            <w:tcW w:w="766"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Level</w:t>
            </w:r>
          </w:p>
        </w:tc>
        <w:tc>
          <w:tcPr>
            <w:tcW w:w="4244"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Total Indebtedness to Total Asset Value Ratio for Such Pricing Date</w:t>
            </w:r>
          </w:p>
        </w:tc>
        <w:tc>
          <w:tcPr>
            <w:tcW w:w="3124"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Base Rate Loans shall be:</w:t>
            </w:r>
          </w:p>
        </w:tc>
        <w:tc>
          <w:tcPr>
            <w:tcW w:w="2071" w:type="dxa"/>
            <w:tcBorders/>
            <w:vAlign w:val="center"/>
          </w:tcPr>
          <w:p>
            <w:pPr>
              <w:pStyle w:val="TableHeading"/>
              <w:bidi w:val="0"/>
              <w:spacing w:before="0" w:after="0"/>
              <w:ind w:left="0" w:right="0" w:hanging="0"/>
              <w:jc w:val="center"/>
              <w:rPr>
                <w:rFonts w:ascii="Times" w:hAnsi="Times"/>
                <w:b w:val="false"/>
                <w:smallCaps/>
                <w:sz w:val="24"/>
              </w:rPr>
            </w:pPr>
            <w:r>
              <w:rPr>
                <w:rFonts w:ascii="Times" w:hAnsi="Times"/>
                <w:b w:val="false"/>
                <w:smallCaps/>
                <w:sz w:val="24"/>
              </w:rPr>
              <w:t xml:space="preserve">Applicable Margin </w:t>
            </w:r>
          </w:p>
          <w:p>
            <w:pPr>
              <w:pStyle w:val="TableHeading"/>
              <w:bidi w:val="0"/>
              <w:spacing w:before="0" w:after="0"/>
              <w:ind w:left="0" w:right="0" w:hanging="0"/>
              <w:jc w:val="center"/>
              <w:rPr>
                <w:rFonts w:ascii="Times" w:hAnsi="Times"/>
                <w:b w:val="false"/>
                <w:smallCaps/>
                <w:sz w:val="24"/>
              </w:rPr>
            </w:pPr>
            <w:r>
              <w:rPr>
                <w:rFonts w:ascii="Times" w:hAnsi="Times"/>
                <w:b w:val="false"/>
                <w:smallCaps/>
                <w:sz w:val="24"/>
              </w:rPr>
              <w:t>for SOFR Loans Shall Be:</w:t>
            </w:r>
          </w:p>
          <w:p>
            <w:pPr>
              <w:pStyle w:val="TableHeading"/>
              <w:bidi w:val="0"/>
              <w:spacing w:before="0" w:after="0"/>
              <w:ind w:left="0" w:right="0" w:hanging="0"/>
              <w:jc w:val="center"/>
              <w:rPr>
                <w:smallCaps/>
              </w:rPr>
            </w:pPr>
            <w:r>
              <w:rPr>
                <w:smallCaps/>
              </w:rPr>
              <w:t>​</w:t>
            </w:r>
          </w:p>
        </w:tc>
      </w:tr>
      <w:tr>
        <w:trPr/>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4244" w:type="dxa"/>
            <w:tcBorders/>
            <w:vAlign w:val="center"/>
          </w:tcPr>
          <w:p>
            <w:pPr>
              <w:pStyle w:val="TableContents"/>
              <w:bidi w:val="0"/>
              <w:spacing w:before="0" w:after="240"/>
              <w:ind w:left="0" w:right="0" w:hanging="0"/>
              <w:jc w:val="both"/>
              <w:rPr>
                <w:rFonts w:ascii="Times" w:hAnsi="Times"/>
                <w:sz w:val="24"/>
              </w:rPr>
            </w:pPr>
            <w:r>
              <w:rPr>
                <w:rFonts w:ascii="Times" w:hAnsi="Times"/>
                <w:sz w:val="24"/>
              </w:rPr>
              <w:t>than 0.50 to 1.00</w:t>
            </w:r>
          </w:p>
        </w:tc>
        <w:tc>
          <w:tcPr>
            <w:tcW w:w="3124"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766"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IV</w:t>
            </w:r>
          </w:p>
        </w:tc>
        <w:tc>
          <w:tcPr>
            <w:tcW w:w="4244" w:type="dxa"/>
            <w:tcBorders/>
            <w:vAlign w:val="center"/>
          </w:tcPr>
          <w:p>
            <w:pPr>
              <w:pStyle w:val="TableContents"/>
              <w:bidi w:val="0"/>
              <w:spacing w:before="0" w:after="240"/>
              <w:ind w:left="0" w:right="0" w:hanging="0"/>
              <w:jc w:val="both"/>
              <w:rPr>
                <w:rFonts w:ascii="Times" w:hAnsi="Times"/>
                <w:sz w:val="24"/>
              </w:rPr>
            </w:pPr>
            <w:r>
              <w:rPr>
                <w:rFonts w:ascii="Times" w:hAnsi="Times"/>
                <w:sz w:val="24"/>
              </w:rPr>
              <w:t>Greater than 0.55 to 1.00</w:t>
            </w:r>
          </w:p>
        </w:tc>
        <w:tc>
          <w:tcPr>
            <w:tcW w:w="3124"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0.95%</w:t>
            </w:r>
          </w:p>
        </w:tc>
        <w:tc>
          <w:tcPr>
            <w:tcW w:w="2071"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1.95 %</w:t>
            </w:r>
          </w:p>
        </w:tc>
      </w:tr>
    </w:tbl>
    <w:p>
      <w:pPr>
        <w:pStyle w:val="TextBody"/>
        <w:bidi w:val="0"/>
        <w:spacing w:before="0" w:after="0"/>
        <w:ind w:left="0" w:right="0" w:hanging="0"/>
        <w:jc w:val="both"/>
        <w:rPr>
          <w:rFonts w:ascii="Times New Roman;Times;serif" w:hAnsi="Times New Roman;Times;serif"/>
          <w:sz w:val="24"/>
        </w:rPr>
      </w:pPr>
      <w:r>
        <w:rPr>
          <w:rFonts w:ascii="Times" w:hAnsi="Times"/>
          <w:sz w:val="24"/>
        </w:rPr>
        <w:t xml:space="preserve">For purposes hereof, the term </w:t>
      </w:r>
      <w:r>
        <w:rPr>
          <w:rFonts w:ascii="Times New Roman;Times;serif" w:hAnsi="Times New Roman;Times;serif"/>
          <w:sz w:val="24"/>
        </w:rPr>
        <w:t>“</w:t>
      </w:r>
      <w:r>
        <w:rPr>
          <w:rFonts w:ascii="Times" w:hAnsi="Times"/>
          <w:i/>
          <w:sz w:val="24"/>
        </w:rPr>
        <w:t>Pricing Date”</w:t>
      </w:r>
      <w:r>
        <w:rPr>
          <w:rFonts w:ascii="Times New Roman;Times;serif" w:hAnsi="Times New Roman;Times;serif"/>
          <w:sz w:val="24"/>
        </w:rPr>
        <w:t xml:space="preserve"> </w:t>
      </w:r>
      <w:r>
        <w:rPr>
          <w:rFonts w:ascii="Times" w:hAnsi="Times"/>
          <w:sz w:val="24"/>
        </w:rPr>
        <w:t>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Times" w:hAnsi="Times"/>
          <w:i/>
          <w:sz w:val="24"/>
        </w:rPr>
        <w:t>i.e.,</w:t>
      </w:r>
      <w:r>
        <w:rPr>
          <w:rFonts w:ascii="Times New Roman;Times;serif" w:hAnsi="Times New Roman;Times;serif"/>
          <w:sz w:val="24"/>
        </w:rPr>
        <w:t xml:space="preserve"> </w:t>
      </w:r>
      <w:r>
        <w:rPr>
          <w:rFonts w:ascii="Times" w:hAnsi="Times"/>
          <w:sz w:val="24"/>
        </w:rPr>
        <w:t xml:space="preserve">Level IV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Borrower, Administrative Agent, and Lenders understand that the applicable interest rate for the Obligations and certain fees set forth herein may be determined and/or adjusted from time to time based upon certain financial ratios and/or other information to be provided or certified to the Administrative Agent and Lenders by Borrower (the </w:t>
      </w:r>
      <w:r>
        <w:rPr>
          <w:rFonts w:ascii="Times" w:hAnsi="Times"/>
          <w:i/>
          <w:sz w:val="24"/>
        </w:rPr>
        <w:t>"Borrower Information"</w:t>
      </w:r>
      <w:r>
        <w:rPr>
          <w:rFonts w:ascii="Times" w:hAnsi="Times"/>
          <w:sz w:val="24"/>
        </w:rPr>
        <w:t xml:space="preserve">).  If it is subsequently determined that any such Borrower Information was incorrect (for whatever reason, including, without limitation, because of a subsequent restatement of earnings by the Borrower or Parent)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Times" w:hAnsi="Times"/>
          <w:i/>
          <w:sz w:val="24"/>
        </w:rPr>
        <w:t>provided</w:t>
      </w:r>
      <w:r>
        <w:rPr>
          <w:rFonts w:ascii="Times New Roman;Times;serif" w:hAnsi="Times New Roman;Times;serif"/>
          <w:sz w:val="24"/>
        </w:rPr>
        <w:t xml:space="preserve"> </w:t>
      </w:r>
      <w:r>
        <w:rPr>
          <w:rFonts w:ascii="Times" w:hAnsi="Times"/>
          <w:sz w:val="24"/>
        </w:rPr>
        <w:t xml:space="preserve">that no recalculation shall be done for any period that is more than 2 years earlier than the date of recalculation.  The Administrative Agent shall promptly notify Borrower in writing of any additional interest and fees due because of such recalculation, and the Borrower shall pay such additional interest or fees due to the Administrative Agent, for the account of each Lender, within five (5) Business Days of receipt of such written notice.  Any recalculation of interest or fees required by this provision shall survive the termination of this Agreement, and this provision shall not in any way limit any of the Administrative Agent's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Term Loan shall bear interest at an “applicable margin” based upon the then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determined Applicable Rate set forth in each Incremental Term Loan Amendment for each Incremental Term Loan Facility.</w:t>
      </w:r>
    </w:p>
    <w:p>
      <w:pPr>
        <w:pStyle w:val="TextBody"/>
        <w:bidi w:val="0"/>
        <w:spacing w:before="0" w:after="240"/>
        <w:ind w:left="0" w:right="0" w:hanging="0"/>
        <w:jc w:val="both"/>
        <w:rPr/>
      </w:pPr>
      <w:r>
        <w:rPr/>
        <w:t>“</w:t>
      </w:r>
      <w:r>
        <w:rPr>
          <w:rFonts w:ascii="Times" w:hAnsi="Times"/>
          <w:i/>
          <w:sz w:val="24"/>
        </w:rPr>
        <w:t>Applicable Percentage</w:t>
      </w:r>
      <w:r>
        <w:rPr>
          <w:rFonts w:ascii="Times New Roman;Times;serif" w:hAnsi="Times New Roman;Times;serif"/>
          <w:sz w:val="24"/>
        </w:rPr>
        <w:t xml:space="preserve">” </w:t>
      </w:r>
      <w:r>
        <w:rPr>
          <w:rFonts w:ascii="Times" w:hAnsi="Times"/>
          <w:sz w:val="24"/>
        </w:rPr>
        <w:t>means, (a) with respect to any Term Lender at any time, the percentage of the Term Facility represented by such Term Lender’s Term Commitment at such time, and (b) with respect to any Incremental Term Lender at any time, the percentage of the applicable Incremental Term Loan Facility represented by the sum of such Incremental Term Lender’s unfunded Incremental Term Loan Commitments (if any) for the applicable Incremental Term Facility and the principal amount of such Incremental Term Lender’s Incremental Term Loans for the applicable Incremental Term Loan Facility at such time. The initial Applicable Percentage of each Lender in respect of the Term Facility is set forth opposite the name of such Lender on Schedule 1 or in the Assignment and Assumption pursuant to which such Lender becomes a party hereto, as applicable.</w:t>
      </w:r>
    </w:p>
    <w:p>
      <w:pPr>
        <w:pStyle w:val="TextBody"/>
        <w:bidi w:val="0"/>
        <w:spacing w:before="0" w:after="240"/>
        <w:ind w:left="0" w:right="0" w:firstLine="720"/>
        <w:jc w:val="both"/>
        <w:rPr/>
      </w:pPr>
      <w:r>
        <w:rPr/>
        <w:t>“</w:t>
      </w:r>
      <w:r>
        <w:rPr>
          <w:rFonts w:ascii="Times" w:hAnsi="Times"/>
          <w:i/>
          <w:sz w:val="24"/>
        </w:rPr>
        <w:t>Applicable Rate</w:t>
      </w:r>
      <w:r>
        <w:rPr>
          <w:rFonts w:ascii="Times New Roman;Times;serif" w:hAnsi="Times New Roman;Times;serif"/>
          <w:sz w:val="24"/>
        </w:rPr>
        <w:t xml:space="preserve">” </w:t>
      </w:r>
      <w:r>
        <w:rPr>
          <w:rFonts w:ascii="Times" w:hAnsi="Times"/>
          <w:sz w:val="24"/>
        </w:rPr>
        <w:t>means, a rate per annum equal to (a) in respect of the Term Facility, (i) the Applicable Margin with respect to SOFR Loans and (ii) and the Applicable Margin with respect to Base Rate Loans, and (ii) in respect of any Incremental Term Loan Facility, the interest rate set forth in the applicable Incremental Term Loan Amendment.</w:t>
      </w:r>
    </w:p>
    <w:p>
      <w:pPr>
        <w:pStyle w:val="TextBody"/>
        <w:bidi w:val="0"/>
        <w:spacing w:before="0" w:after="240"/>
        <w:ind w:left="0" w:right="0" w:firstLine="720"/>
        <w:jc w:val="both"/>
        <w:rPr/>
      </w:pPr>
      <w:r>
        <w:rPr/>
        <w:t>“</w:t>
      </w:r>
      <w:r>
        <w:rPr>
          <w:rFonts w:ascii="Times" w:hAnsi="Times"/>
          <w:i/>
          <w:sz w:val="24"/>
        </w:rPr>
        <w:t xml:space="preserve">Approved Fund” </w:t>
      </w:r>
      <w:r>
        <w:rPr>
          <w:rFonts w:ascii="Times" w:hAnsi="Times"/>
          <w:sz w:val="24"/>
        </w:rPr>
        <w:t>means any Fund that is administered or managed by (a) a Lender, (b) an Affiliate of a Lender or (c) an entity or an Affiliate of an entity that administers or manages a Lender.</w:t>
      </w:r>
    </w:p>
    <w:p>
      <w:pPr>
        <w:pStyle w:val="TextBody"/>
        <w:bidi w:val="0"/>
        <w:spacing w:before="0" w:after="240"/>
        <w:ind w:left="0" w:right="0" w:firstLine="720"/>
        <w:jc w:val="both"/>
        <w:rPr/>
      </w:pPr>
      <w:r>
        <w:rPr/>
        <w:t>“</w:t>
      </w:r>
      <w:r>
        <w:rPr>
          <w:rFonts w:ascii="Times" w:hAnsi="Times"/>
          <w:i/>
          <w:sz w:val="24"/>
        </w:rPr>
        <w:t>Assets Under Development”</w:t>
      </w:r>
      <w:r>
        <w:rPr>
          <w:rFonts w:ascii="Times New Roman;Times;serif" w:hAnsi="Times New Roman;Times;serif"/>
          <w:sz w:val="24"/>
        </w:rPr>
        <w:t xml:space="preserve"> </w:t>
      </w:r>
      <w:r>
        <w:rPr>
          <w:rFonts w:ascii="Times" w:hAnsi="Times"/>
          <w:sz w:val="24"/>
        </w:rPr>
        <w:t>means any real property under construction (excluding any completed Property under renovation for which the relevant Tenant has not ceased paying rent) until such property has received a certificate of occupancy.</w:t>
      </w:r>
    </w:p>
    <w:p>
      <w:pPr>
        <w:pStyle w:val="TextBody"/>
        <w:bidi w:val="0"/>
        <w:spacing w:before="0" w:after="240"/>
        <w:ind w:left="0" w:right="0" w:firstLine="720"/>
        <w:jc w:val="both"/>
        <w:rPr/>
      </w:pPr>
      <w:r>
        <w:rPr/>
        <w:t>“</w:t>
      </w:r>
      <w:r>
        <w:rPr>
          <w:rFonts w:ascii="Times" w:hAnsi="Times"/>
          <w:i/>
          <w:sz w:val="24"/>
        </w:rPr>
        <w:t>Assignment and Acceptance”</w:t>
      </w:r>
      <w:r>
        <w:rPr>
          <w:rFonts w:ascii="Times New Roman;Times;serif" w:hAnsi="Times New Roman;Times;serif"/>
          <w:sz w:val="24"/>
        </w:rPr>
        <w:t xml:space="preserve"> </w:t>
      </w:r>
      <w:r>
        <w:rPr>
          <w:rFonts w:ascii="Times" w:hAnsi="Times"/>
          <w:sz w:val="24"/>
        </w:rPr>
        <w:t>means an assignment and acceptance entered into by a Lender and an Eligible Assignee (with the consent of any party whose consent is required by Section 12.12 hereof), and accepted by the Administrative Agent, in substantially the form of Exhibit F or any other form approved by the Administrative Agent.</w:t>
      </w:r>
    </w:p>
    <w:p>
      <w:pPr>
        <w:pStyle w:val="TextBody"/>
        <w:bidi w:val="0"/>
        <w:spacing w:before="0" w:after="240"/>
        <w:ind w:left="0" w:right="0" w:firstLine="720"/>
        <w:jc w:val="both"/>
        <w:rPr/>
      </w:pPr>
      <w:r>
        <w:rPr/>
        <w:t>“</w:t>
      </w:r>
      <w:r>
        <w:rPr>
          <w:rFonts w:ascii="Times" w:hAnsi="Times"/>
          <w:i/>
          <w:sz w:val="24"/>
        </w:rPr>
        <w:t>Authorized Representative”</w:t>
      </w:r>
      <w:r>
        <w:rPr>
          <w:rFonts w:ascii="Times New Roman;Times;serif" w:hAnsi="Times New Roman;Times;serif"/>
          <w:sz w:val="24"/>
        </w:rPr>
        <w:t xml:space="preserve"> </w:t>
      </w:r>
      <w:r>
        <w:rPr>
          <w:rFonts w:ascii="Times" w:hAnsi="Times"/>
          <w:sz w:val="24"/>
        </w:rPr>
        <w:t>means those persons shown on the list of officers provided by the 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pStyle w:val="TextBody"/>
        <w:bidi w:val="0"/>
        <w:spacing w:before="0" w:after="240"/>
        <w:ind w:left="0" w:right="0" w:firstLine="720"/>
        <w:jc w:val="both"/>
        <w:rPr/>
      </w:pPr>
      <w:r>
        <w:rPr/>
        <w:t>“</w:t>
      </w:r>
      <w:r>
        <w:rPr>
          <w:rFonts w:ascii="Times" w:hAnsi="Times"/>
          <w:i/>
          <w:sz w:val="24"/>
        </w:rPr>
        <w:t>Available Tenor”</w:t>
      </w:r>
      <w:r>
        <w:rPr>
          <w:rFonts w:ascii="Times New Roman;Times;serif" w:hAnsi="Times New Roman;Times;serif"/>
          <w:sz w:val="24"/>
        </w:rPr>
        <w:t xml:space="preserve"> </w:t>
      </w:r>
      <w:r>
        <w:rPr>
          <w:rFonts w:ascii="Times" w:hAnsi="Times"/>
          <w:sz w:val="24"/>
        </w:rPr>
        <w:t>means, as of any date of determination and with respect to the then-current Benchmark,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10.6(d).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Bail-In Action”</w:t>
      </w:r>
      <w:r>
        <w:rPr>
          <w:rFonts w:ascii="Times New Roman;Times;serif" w:hAnsi="Times New Roman;Times;serif"/>
          <w:sz w:val="24"/>
        </w:rPr>
        <w:t xml:space="preserve"> </w:t>
      </w:r>
      <w:r>
        <w:rPr>
          <w:rFonts w:ascii="Times" w:hAnsi="Times"/>
          <w:sz w:val="24"/>
        </w:rPr>
        <w:t>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t>“</w:t>
      </w:r>
      <w:r>
        <w:rPr>
          <w:rFonts w:ascii="Times" w:hAnsi="Times"/>
          <w:i/>
          <w:sz w:val="24"/>
        </w:rPr>
        <w:t xml:space="preserve">Bail-In Legislation” </w:t>
      </w:r>
      <w:r>
        <w:rPr>
          <w:rFonts w:ascii="Times" w:hAnsi="Times"/>
          <w:sz w:val="24"/>
        </w:rPr>
        <w:t xml:space="preserve">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240"/>
        <w:ind w:left="0" w:right="0" w:firstLine="720"/>
        <w:jc w:val="both"/>
        <w:rPr/>
      </w:pPr>
      <w:r>
        <w:rPr/>
        <w:t>“</w:t>
      </w:r>
      <w:r>
        <w:rPr>
          <w:rFonts w:ascii="Times" w:hAnsi="Times"/>
          <w:i/>
          <w:sz w:val="24"/>
        </w:rPr>
        <w:t>Bankruptcy Event”</w:t>
      </w:r>
      <w:r>
        <w:rPr>
          <w:rFonts w:ascii="Times New Roman;Times;serif" w:hAnsi="Times New Roman;Times;serif"/>
          <w:sz w:val="24"/>
        </w:rPr>
        <w:t xml:space="preserve"> </w:t>
      </w:r>
      <w:r>
        <w:rPr>
          <w:rFonts w:ascii="Times" w:hAnsi="Times"/>
          <w:sz w:val="24"/>
        </w:rPr>
        <w:t>means,</w:t>
      </w:r>
      <w:r>
        <w:rPr>
          <w:rFonts w:ascii="Times New Roman;Times;serif" w:hAnsi="Times New Roman;Times;serif"/>
          <w:sz w:val="24"/>
        </w:rPr>
        <w:t xml:space="preserve"> </w:t>
      </w:r>
      <w:r>
        <w:rPr>
          <w:rFonts w:ascii="Times" w:hAnsi="Times"/>
          <w:sz w:val="24"/>
        </w:rPr>
        <w:t>with respect to any Person, any event of the type described in clause (j) or (k) of Section 9.1 hereof with respect to such Person.</w:t>
      </w:r>
    </w:p>
    <w:p>
      <w:pPr>
        <w:pStyle w:val="TextBody"/>
        <w:bidi w:val="0"/>
        <w:spacing w:before="0" w:after="240"/>
        <w:ind w:left="0" w:right="0" w:firstLine="720"/>
        <w:jc w:val="both"/>
        <w:rPr/>
      </w:pPr>
      <w:r>
        <w:rPr/>
        <w:t>“</w:t>
      </w:r>
      <w:r>
        <w:rPr>
          <w:rFonts w:ascii="Times" w:hAnsi="Times"/>
          <w:i/>
          <w:sz w:val="24"/>
        </w:rPr>
        <w:t>Base Rate”</w:t>
      </w:r>
      <w:r>
        <w:rPr>
          <w:rFonts w:ascii="Times New Roman;Times;serif" w:hAnsi="Times New Roman;Times;serif"/>
          <w:sz w:val="24"/>
        </w:rPr>
        <w:t xml:space="preserve"> </w:t>
      </w:r>
      <w:r>
        <w:rPr>
          <w:rFonts w:ascii="Times" w:hAnsi="Times"/>
          <w:sz w:val="24"/>
        </w:rPr>
        <w:t>is defined in Section 1.4(a) hereof.</w:t>
      </w:r>
    </w:p>
    <w:p>
      <w:pPr>
        <w:pStyle w:val="TextBody"/>
        <w:bidi w:val="0"/>
        <w:spacing w:before="0" w:after="240"/>
        <w:ind w:left="0" w:right="0" w:firstLine="720"/>
        <w:jc w:val="both"/>
        <w:rPr/>
      </w:pPr>
      <w:r>
        <w:rPr/>
        <w:t>“</w:t>
      </w:r>
      <w:r>
        <w:rPr>
          <w:rFonts w:ascii="Times" w:hAnsi="Times"/>
          <w:i/>
          <w:sz w:val="24"/>
        </w:rPr>
        <w:t>Base Rate Loan”</w:t>
      </w:r>
      <w:r>
        <w:rPr>
          <w:rFonts w:ascii="Times New Roman;Times;serif" w:hAnsi="Times New Roman;Times;serif"/>
          <w:sz w:val="24"/>
        </w:rPr>
        <w:t xml:space="preserve"> </w:t>
      </w:r>
      <w:r>
        <w:rPr>
          <w:rFonts w:ascii="Times" w:hAnsi="Times"/>
          <w:sz w:val="24"/>
        </w:rPr>
        <w:t>means a Loan bearing interest at a rate specified in Section 1.4(a) hereof.</w:t>
      </w:r>
    </w:p>
    <w:p>
      <w:pPr>
        <w:pStyle w:val="TextBody"/>
        <w:bidi w:val="0"/>
        <w:spacing w:before="0" w:after="240"/>
        <w:ind w:left="0" w:right="0" w:firstLine="720"/>
        <w:jc w:val="both"/>
        <w:rPr/>
      </w:pPr>
      <w:r>
        <w:rPr/>
        <w:t>“</w:t>
      </w:r>
      <w:r>
        <w:rPr>
          <w:rFonts w:ascii="Times" w:hAnsi="Times"/>
          <w:i/>
          <w:sz w:val="24"/>
        </w:rPr>
        <w:t>Benchmark</w:t>
      </w:r>
      <w:r>
        <w:rPr>
          <w:rFonts w:ascii="Times New Roman;Times;serif" w:hAnsi="Times New Roman;Times;serif"/>
          <w:sz w:val="24"/>
        </w:rPr>
        <w:t xml:space="preserve">” </w:t>
      </w:r>
      <w:r>
        <w:rPr>
          <w:rFonts w:ascii="Times" w:hAnsi="Times"/>
          <w:sz w:val="24"/>
        </w:rPr>
        <w:t>means, initially, (a) with respect to Daily Simple SOFR Loans, Daily Simple SOFR and (b), with respect to Term SOFR Loans, the Term SOFR Reference Rate; provided that if a Benchmark Transition Event has occurred with respect to the then-current Benchmark, then “Benchmark” means the applicable Benchmark Replacement to the extent that such Benchmark Replacement has replaced such prior benchmark rate pursuant to Section 10.6.</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Benchmark Replacement</w:t>
      </w:r>
      <w:r>
        <w:rPr>
          <w:rFonts w:ascii="Times New Roman;Times;serif" w:hAnsi="Times New Roman;Times;serif"/>
          <w:sz w:val="24"/>
        </w:rPr>
        <w:t xml:space="preserve">” </w:t>
      </w:r>
      <w:r>
        <w:rPr>
          <w:rFonts w:ascii="Times" w:hAnsi="Times"/>
          <w:sz w:val="24"/>
        </w:rPr>
        <w:t>means, with respect to any Benchmark Transition Event for the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firstLine="720"/>
        <w:jc w:val="both"/>
        <w:rPr/>
      </w:pPr>
      <w:r>
        <w:rPr/>
        <w:t>“</w:t>
      </w:r>
      <w:r>
        <w:rPr>
          <w:rFonts w:ascii="Times" w:hAnsi="Times"/>
          <w:i/>
          <w:sz w:val="24"/>
        </w:rPr>
        <w:t>Benchmark Replacement Adjustment</w:t>
      </w:r>
      <w:r>
        <w:rPr>
          <w:rFonts w:ascii="Times New Roman;Times;serif" w:hAnsi="Times New Roman;Times;serif"/>
          <w:sz w:val="24"/>
        </w:rPr>
        <w:t xml:space="preserve">” </w:t>
      </w:r>
      <w:r>
        <w:rPr>
          <w:rFonts w:ascii="Times" w:hAnsi="Times"/>
          <w:sz w:val="24"/>
        </w:rPr>
        <w:t xml:space="preserve">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spread adjustment, for the replacement of such Benchmark with the applicable Unadjusted Benchmark Replacement for U.S. Dollar denominated syndicated credit facilities.</w:t>
      </w:r>
    </w:p>
    <w:p>
      <w:pPr>
        <w:pStyle w:val="TextBody"/>
        <w:bidi w:val="0"/>
        <w:spacing w:before="0" w:after="240"/>
        <w:ind w:left="0" w:right="0" w:firstLine="720"/>
        <w:jc w:val="both"/>
        <w:rPr/>
      </w:pPr>
      <w:r>
        <w:rPr/>
        <w:t>“</w:t>
      </w:r>
      <w:r>
        <w:rPr>
          <w:rFonts w:ascii="Times" w:hAnsi="Times"/>
          <w:i/>
          <w:sz w:val="24"/>
        </w:rPr>
        <w:t>Benchmark Replacement Date</w:t>
      </w:r>
      <w:r>
        <w:rPr>
          <w:rFonts w:ascii="Times New Roman;Times;serif" w:hAnsi="Times New Roman;Times;serif"/>
          <w:sz w:val="24"/>
        </w:rPr>
        <w:t xml:space="preserve">” </w:t>
      </w:r>
      <w:r>
        <w:rPr>
          <w:rFonts w:ascii="Times" w:hAnsi="Times"/>
          <w:sz w:val="24"/>
        </w:rPr>
        <w:t>means the earlier to occur of the following events with respect to the then-current Benchmark:</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(a)</w:t>
      </w:r>
      <w:r>
        <w:rPr>
          <w:rFonts w:ascii="Times" w:hAnsi="Times"/>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(b)</w:t>
      </w:r>
      <w:r>
        <w:rPr>
          <w:rFonts w:ascii="Times" w:hAnsi="Times"/>
          <w:sz w:val="24"/>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ind w:left="0" w:right="0" w:firstLine="720"/>
        <w:jc w:val="both"/>
        <w:rPr>
          <w:rFonts w:ascii="Times" w:hAnsi="Times"/>
          <w:sz w:val="24"/>
        </w:rPr>
      </w:pPr>
      <w:r>
        <w:rPr>
          <w:rFonts w:ascii="Times" w:hAnsi="Times"/>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t>“</w:t>
      </w:r>
      <w:r>
        <w:rPr>
          <w:rFonts w:ascii="Times" w:hAnsi="Times"/>
          <w:i/>
          <w:sz w:val="24"/>
        </w:rPr>
        <w:t>Benchmark Transition Event</w:t>
      </w:r>
      <w:r>
        <w:rPr>
          <w:rFonts w:ascii="Times New Roman;Times;serif" w:hAnsi="Times New Roman;Times;serif"/>
          <w:sz w:val="24"/>
        </w:rPr>
        <w:t xml:space="preserve">” </w:t>
      </w:r>
      <w:r>
        <w:rPr>
          <w:rFonts w:ascii="Times" w:hAnsi="Times"/>
          <w:sz w:val="24"/>
        </w:rPr>
        <w:t>means, with respect to the then-current Benchmark, the occurrence of one or more of the following events with respect to such Benchmark:</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(a)</w:t>
      </w:r>
      <w:r>
        <w:rPr>
          <w:rFonts w:ascii="Times" w:hAnsi="Times"/>
          <w:sz w:val="24"/>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rFonts w:ascii="Times New Roman;Times;serif" w:hAnsi="Times New Roman;Times;serif"/>
          <w:sz w:val="24"/>
        </w:rPr>
      </w:pPr>
      <w:r>
        <w:rPr>
          <w:rFonts w:ascii="Times" w:hAnsi="Times"/>
          <w:b w:val="false"/>
          <w:i w:val="false"/>
          <w:caps w:val="false"/>
          <w:smallCaps w:val="false"/>
          <w:sz w:val="24"/>
        </w:rPr>
        <w:t>(b)</w:t>
      </w:r>
      <w:r>
        <w:rPr>
          <w:rFonts w:ascii="Times" w:hAnsi="Times"/>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there is no successor administrator that will continue to provide any Available Tenor of such Benchmark (or such component thereof); or</w:t>
      </w:r>
    </w:p>
    <w:p>
      <w:pPr>
        <w:pStyle w:val="TextBody"/>
        <w:bidi w:val="0"/>
        <w:spacing w:before="0" w:after="240"/>
        <w:ind w:left="0" w:right="0" w:hanging="0"/>
        <w:jc w:val="left"/>
        <w:rPr>
          <w:rFonts w:ascii="Times New Roman;Times;serif" w:hAnsi="Times New Roman;Times;serif"/>
          <w:sz w:val="24"/>
        </w:rPr>
      </w:pPr>
      <w:r>
        <w:rPr>
          <w:rFonts w:ascii="Times" w:hAnsi="Times"/>
          <w:b w:val="false"/>
          <w:i w:val="false"/>
          <w:caps w:val="false"/>
          <w:smallCaps w:val="false"/>
          <w:sz w:val="24"/>
        </w:rPr>
        <w:t>(c)</w:t>
      </w:r>
      <w:r>
        <w:rPr>
          <w:rFonts w:ascii="Times" w:hAnsi="Times"/>
          <w:sz w:val="24"/>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pStyle w:val="TextBody"/>
        <w:bidi w:val="0"/>
        <w:spacing w:before="0" w:after="240"/>
        <w:ind w:left="0" w:right="0" w:firstLine="720"/>
        <w:jc w:val="both"/>
        <w:rPr>
          <w:rFonts w:ascii="Times" w:hAnsi="Times"/>
          <w:sz w:val="24"/>
        </w:rPr>
      </w:pPr>
      <w:r>
        <w:rPr>
          <w:rFonts w:ascii="Times" w:hAnsi="Times"/>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ind w:left="0" w:right="0" w:firstLine="720"/>
        <w:jc w:val="both"/>
        <w:rPr/>
      </w:pPr>
      <w:r>
        <w:rPr/>
        <w:t>“</w:t>
      </w:r>
      <w:r>
        <w:rPr>
          <w:rFonts w:ascii="Times" w:hAnsi="Times"/>
          <w:i/>
          <w:sz w:val="24"/>
        </w:rPr>
        <w:t>Benchmark Transition Start Date</w:t>
      </w:r>
      <w:r>
        <w:rPr>
          <w:rFonts w:ascii="Times New Roman;Times;serif" w:hAnsi="Times New Roman;Times;serif"/>
          <w:sz w:val="24"/>
        </w:rPr>
        <w:t xml:space="preserve">” </w:t>
      </w:r>
      <w:r>
        <w:rPr>
          <w:rFonts w:ascii="Times" w:hAnsi="Times"/>
          <w:sz w:val="24"/>
        </w:rPr>
        <w:t>means, with respect to any Benchmark,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ind w:left="0" w:right="0" w:firstLine="720"/>
        <w:jc w:val="both"/>
        <w:rPr/>
      </w:pPr>
      <w:r>
        <w:rPr/>
        <w:t>“</w:t>
      </w:r>
      <w:r>
        <w:rPr>
          <w:rFonts w:ascii="Times" w:hAnsi="Times"/>
          <w:i/>
          <w:sz w:val="24"/>
        </w:rPr>
        <w:t>Benchmark Unavailability Period</w:t>
      </w:r>
      <w:r>
        <w:rPr>
          <w:rFonts w:ascii="Times New Roman;Times;serif" w:hAnsi="Times New Roman;Times;serif"/>
          <w:sz w:val="24"/>
        </w:rPr>
        <w:t xml:space="preserve">” </w:t>
      </w:r>
      <w:r>
        <w:rPr>
          <w:rFonts w:ascii="Times" w:hAnsi="Times"/>
          <w:sz w:val="24"/>
        </w:rPr>
        <w:t>means, with respect to any then-current Benchmark,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10.2 and (ii) ending at the time that a Benchmark Replacement has replaced such Benchmark for all purposes hereunder and under any Loan Document in accordance with Section 10.6. “Beneficial Ownership Certification” means a certification regarding beneficial ownership as required by the Beneficial Ownership Regulation.</w:t>
      </w:r>
    </w:p>
    <w:p>
      <w:pPr>
        <w:pStyle w:val="TextBody"/>
        <w:bidi w:val="0"/>
        <w:spacing w:before="0" w:after="240"/>
        <w:ind w:left="0" w:right="0" w:firstLine="720"/>
        <w:jc w:val="both"/>
        <w:rPr/>
      </w:pPr>
      <w:r>
        <w:rPr/>
        <w:t>“</w:t>
      </w:r>
      <w:r>
        <w:rPr>
          <w:rFonts w:ascii="Times" w:hAnsi="Times"/>
          <w:i/>
          <w:sz w:val="24"/>
        </w:rPr>
        <w:t xml:space="preserve">Beneficial Ownership Regulation” </w:t>
      </w:r>
      <w:r>
        <w:rPr>
          <w:rFonts w:ascii="Times" w:hAnsi="Times"/>
          <w:sz w:val="24"/>
        </w:rPr>
        <w:t>means 31 C.F.R. § 1010.230.</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Borrower”</w:t>
      </w:r>
      <w:r>
        <w:rPr>
          <w:rFonts w:ascii="Times New Roman;Times;serif" w:hAnsi="Times New Roman;Times;serif"/>
          <w:sz w:val="24"/>
        </w:rPr>
        <w:t xml:space="preserve"> </w:t>
      </w:r>
      <w:r>
        <w:rPr>
          <w:rFonts w:ascii="Times" w:hAnsi="Times"/>
          <w:sz w:val="24"/>
        </w:rPr>
        <w:t>is defined in the introductory paragraph of this Agreement.</w:t>
      </w:r>
    </w:p>
    <w:p>
      <w:pPr>
        <w:pStyle w:val="TextBody"/>
        <w:bidi w:val="0"/>
        <w:spacing w:before="0" w:after="240"/>
        <w:ind w:left="0" w:right="0" w:firstLine="720"/>
        <w:jc w:val="both"/>
        <w:rPr/>
      </w:pPr>
      <w:r>
        <w:rPr/>
        <w:t>“</w:t>
      </w:r>
      <w:r>
        <w:rPr>
          <w:rFonts w:ascii="Times" w:hAnsi="Times"/>
          <w:i/>
          <w:sz w:val="24"/>
        </w:rPr>
        <w:t>Borrowing”</w:t>
      </w:r>
      <w:r>
        <w:rPr>
          <w:rFonts w:ascii="Times New Roman;Times;serif" w:hAnsi="Times New Roman;Times;serif"/>
          <w:sz w:val="24"/>
        </w:rPr>
        <w:t xml:space="preserve"> </w:t>
      </w:r>
      <w:r>
        <w:rPr>
          <w:rFonts w:ascii="Times" w:hAnsi="Times"/>
          <w:sz w:val="24"/>
        </w:rPr>
        <w:t xml:space="preserve">means the total of Loans of a single type advanced, continued for an additional Interest Period, or converted from a different type into such type by the Lenders on a single date and, in the case of Term SOFR Loans, for a single Interest Period.  Borrowings of Loans are made and maintained ratably from each of the Lenders according to their Applicable Percentages and at the Applicable Rate.  A Borrowing is </w:t>
      </w:r>
      <w:r>
        <w:rPr>
          <w:rFonts w:ascii="Times New Roman;Times;serif" w:hAnsi="Times New Roman;Times;serif"/>
          <w:sz w:val="24"/>
        </w:rPr>
        <w:t>“</w:t>
      </w:r>
      <w:r>
        <w:rPr>
          <w:rFonts w:ascii="Times" w:hAnsi="Times"/>
          <w:i/>
          <w:sz w:val="24"/>
        </w:rPr>
        <w:t>advanced”</w:t>
      </w:r>
      <w:r>
        <w:rPr>
          <w:rFonts w:ascii="Times New Roman;Times;serif" w:hAnsi="Times New Roman;Times;serif"/>
          <w:sz w:val="24"/>
        </w:rPr>
        <w:t xml:space="preserve"> </w:t>
      </w:r>
      <w:r>
        <w:rPr>
          <w:rFonts w:ascii="Times" w:hAnsi="Times"/>
          <w:sz w:val="24"/>
        </w:rPr>
        <w:t xml:space="preserve">on the day Lenders advance funds comprising such Borrowing to the Borrower, is </w:t>
      </w:r>
      <w:r>
        <w:rPr>
          <w:rFonts w:ascii="Times New Roman;Times;serif" w:hAnsi="Times New Roman;Times;serif"/>
          <w:sz w:val="24"/>
        </w:rPr>
        <w:t>“</w:t>
      </w:r>
      <w:r>
        <w:rPr>
          <w:rFonts w:ascii="Times" w:hAnsi="Times"/>
          <w:i/>
          <w:sz w:val="24"/>
        </w:rPr>
        <w:t>continued”</w:t>
      </w:r>
      <w:r>
        <w:rPr>
          <w:rFonts w:ascii="Times New Roman;Times;serif" w:hAnsi="Times New Roman;Times;serif"/>
          <w:sz w:val="24"/>
        </w:rPr>
        <w:t xml:space="preserve"> </w:t>
      </w:r>
      <w:r>
        <w:rPr>
          <w:rFonts w:ascii="Times" w:hAnsi="Times"/>
          <w:sz w:val="24"/>
        </w:rPr>
        <w:t xml:space="preserve">on the date a new Interest Period for the same type of Loans commences for such Borrowing, and is </w:t>
      </w:r>
      <w:r>
        <w:rPr>
          <w:rFonts w:ascii="Times New Roman;Times;serif" w:hAnsi="Times New Roman;Times;serif"/>
          <w:sz w:val="24"/>
        </w:rPr>
        <w:t>“</w:t>
      </w:r>
      <w:r>
        <w:rPr>
          <w:rFonts w:ascii="Times" w:hAnsi="Times"/>
          <w:i/>
          <w:sz w:val="24"/>
        </w:rPr>
        <w:t>converted”</w:t>
      </w:r>
      <w:r>
        <w:rPr>
          <w:rFonts w:ascii="Times New Roman;Times;serif" w:hAnsi="Times New Roman;Times;serif"/>
          <w:sz w:val="24"/>
        </w:rPr>
        <w:t xml:space="preserve"> </w:t>
      </w:r>
      <w:r>
        <w:rPr>
          <w:rFonts w:ascii="Times" w:hAnsi="Times"/>
          <w:sz w:val="24"/>
        </w:rPr>
        <w:t>when such Borrowing is changed from one type of Loans to the other, all as determined pursuant to Section 1.6 hereof.  </w:t>
      </w:r>
    </w:p>
    <w:p>
      <w:pPr>
        <w:pStyle w:val="TextBody"/>
        <w:bidi w:val="0"/>
        <w:spacing w:before="0" w:after="240"/>
        <w:ind w:left="0" w:right="0" w:firstLine="720"/>
        <w:jc w:val="both"/>
        <w:rPr/>
      </w:pPr>
      <w:r>
        <w:rPr/>
        <w:t>“</w:t>
      </w:r>
      <w:r>
        <w:rPr>
          <w:rFonts w:ascii="Times" w:hAnsi="Times"/>
          <w:i/>
          <w:sz w:val="24"/>
        </w:rPr>
        <w:t>Business Day”</w:t>
      </w:r>
      <w:r>
        <w:rPr>
          <w:rFonts w:ascii="Times New Roman;Times;serif" w:hAnsi="Times New Roman;Times;serif"/>
          <w:sz w:val="24"/>
        </w:rPr>
        <w:t xml:space="preserve"> </w:t>
      </w:r>
      <w:r>
        <w:rPr>
          <w:rFonts w:ascii="Times" w:hAnsi="Times"/>
          <w:sz w:val="24"/>
        </w:rPr>
        <w:t>means (i) any day other than Saturday, Sunday or any other day on which commercial banks in Cleveland, Ohio or New York, New York are authorized or required by law to close and (ii) with respect to any matters relating to SOFR Loans, a SOFR Business Day.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Capital Expenditures”</w:t>
      </w:r>
      <w:r>
        <w:rPr>
          <w:rFonts w:ascii="Times New Roman;Times;serif" w:hAnsi="Times New Roman;Times;serif"/>
          <w:sz w:val="24"/>
        </w:rPr>
        <w:t xml:space="preserve"> </w:t>
      </w:r>
      <w:r>
        <w:rPr>
          <w:rFonts w:ascii="Times" w:hAnsi="Times"/>
          <w:sz w:val="24"/>
        </w:rPr>
        <w:t>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pStyle w:val="TextBody"/>
        <w:bidi w:val="0"/>
        <w:spacing w:before="0" w:after="240"/>
        <w:ind w:left="0" w:right="0" w:firstLine="720"/>
        <w:jc w:val="both"/>
        <w:rPr/>
      </w:pPr>
      <w:r>
        <w:rPr/>
        <w:t>“</w:t>
      </w:r>
      <w:r>
        <w:rPr>
          <w:rFonts w:ascii="Times" w:hAnsi="Times"/>
          <w:i/>
          <w:sz w:val="24"/>
        </w:rPr>
        <w:t>Capital Lease</w:t>
      </w:r>
      <w:r>
        <w:rPr>
          <w:rFonts w:ascii="Times New Roman;Times;serif" w:hAnsi="Times New Roman;Times;serif"/>
          <w:sz w:val="24"/>
        </w:rPr>
        <w:t xml:space="preserve">” </w:t>
      </w:r>
      <w:r>
        <w:rPr>
          <w:rFonts w:ascii="Times" w:hAnsi="Times"/>
          <w:sz w:val="24"/>
        </w:rPr>
        <w:t xml:space="preserve">means any lease of Property </w:t>
      </w:r>
      <w:bookmarkStart w:id="1958" w:name="_cp_change_238"/>
      <w:bookmarkEnd w:id="1958"/>
      <w:r>
        <w:rPr>
          <w:rFonts w:ascii="Times" w:hAnsi="Times"/>
          <w:color w:val="0000FF"/>
          <w:sz w:val="24"/>
          <w:u w:val="single"/>
        </w:rPr>
        <w:t xml:space="preserve">or other assets </w:t>
      </w:r>
      <w:r>
        <w:rPr>
          <w:rFonts w:ascii="Times" w:hAnsi="Times"/>
          <w:sz w:val="24"/>
        </w:rPr>
        <w:t>which in accordance with GAAP is required to be capitalized on the balance sheet of the lessee.</w:t>
      </w:r>
    </w:p>
    <w:p>
      <w:pPr>
        <w:pStyle w:val="TextBody"/>
        <w:bidi w:val="0"/>
        <w:spacing w:before="0" w:after="240"/>
        <w:ind w:left="0" w:right="0" w:firstLine="720"/>
        <w:jc w:val="both"/>
        <w:rPr/>
      </w:pPr>
      <w:r>
        <w:rPr/>
        <w:t>“</w:t>
      </w:r>
      <w:r>
        <w:rPr>
          <w:rFonts w:ascii="Times" w:hAnsi="Times"/>
          <w:i/>
          <w:sz w:val="24"/>
        </w:rPr>
        <w:t>Capitalization Rate”</w:t>
      </w:r>
      <w:r>
        <w:rPr>
          <w:rFonts w:ascii="Times New Roman;Times;serif" w:hAnsi="Times New Roman;Times;serif"/>
          <w:sz w:val="24"/>
        </w:rPr>
        <w:t xml:space="preserve"> </w:t>
      </w:r>
      <w:r>
        <w:rPr>
          <w:rFonts w:ascii="Times" w:hAnsi="Times"/>
          <w:sz w:val="24"/>
        </w:rPr>
        <w:t>means (i) 6.25% for single-tenant Properties occupied by tenants maintaining a (A) BBB- Rating or better from S&amp;P’s or Fitch, or (B) Baa3 Rating or better from Moody’s,  (ii) 7.50% for Alpine Valley, and (iii) 7.00% for all other Properties not covered under the foregoing clauses (i) or (ii).</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Capitalized Lease Obligation”</w:t>
      </w:r>
      <w:r>
        <w:rPr>
          <w:rFonts w:ascii="Times New Roman;Times;serif" w:hAnsi="Times New Roman;Times;serif"/>
          <w:sz w:val="24"/>
        </w:rPr>
        <w:t xml:space="preserve"> </w:t>
      </w:r>
      <w:r>
        <w:rPr>
          <w:rFonts w:ascii="Times" w:hAnsi="Times"/>
          <w:sz w:val="24"/>
        </w:rPr>
        <w:t>means, for any Person, the amount of the liability shown on the balance sheet of such Person in respect of a Capital Lease determined in accordance with GAAP.</w:t>
      </w:r>
    </w:p>
    <w:p>
      <w:pPr>
        <w:pStyle w:val="TextBody"/>
        <w:bidi w:val="0"/>
        <w:spacing w:before="0" w:after="240"/>
        <w:ind w:left="0" w:right="0" w:firstLine="720"/>
        <w:jc w:val="both"/>
        <w:rPr/>
      </w:pPr>
      <w:r>
        <w:rPr/>
        <w:t>“</w:t>
      </w:r>
      <w:r>
        <w:rPr>
          <w:rFonts w:ascii="Times" w:hAnsi="Times"/>
          <w:i/>
          <w:sz w:val="24"/>
        </w:rPr>
        <w:t>CBA</w:t>
      </w:r>
      <w:r>
        <w:rPr>
          <w:rFonts w:ascii="Times New Roman;Times;serif" w:hAnsi="Times New Roman;Times;serif"/>
          <w:sz w:val="24"/>
        </w:rPr>
        <w:t xml:space="preserve">” </w:t>
      </w:r>
      <w:r>
        <w:rPr>
          <w:rFonts w:ascii="Times" w:hAnsi="Times"/>
          <w:sz w:val="24"/>
        </w:rPr>
        <w:t>means CME Group Benchmark Administration Ltd.</w:t>
      </w:r>
    </w:p>
    <w:p>
      <w:pPr>
        <w:pStyle w:val="TextBody"/>
        <w:bidi w:val="0"/>
        <w:spacing w:before="0" w:after="240"/>
        <w:ind w:left="0" w:right="0" w:firstLine="720"/>
        <w:jc w:val="both"/>
        <w:rPr/>
      </w:pPr>
      <w:r>
        <w:rPr/>
        <w:t>“</w:t>
      </w:r>
      <w:r>
        <w:rPr>
          <w:rFonts w:ascii="Times" w:hAnsi="Times"/>
          <w:i/>
          <w:sz w:val="24"/>
        </w:rPr>
        <w:t xml:space="preserve">CERCLA” </w:t>
      </w:r>
      <w:r>
        <w:rPr>
          <w:rFonts w:ascii="Times" w:hAnsi="Times"/>
          <w:sz w:val="24"/>
        </w:rPr>
        <w:t xml:space="preserve">means the Comprehensive Environmental Response, Compensation and Liability Act of 1980, as amended by the Superfund Amendments and Reauthorization Act of 1986, 42 U.S.C. </w:t>
      </w:r>
      <w:r>
        <w:rPr>
          <w:rFonts w:ascii="Times" w:hAnsi="Times"/>
          <w:b/>
          <w:sz w:val="24"/>
        </w:rPr>
        <w:t>§§</w:t>
      </w:r>
      <w:r>
        <w:rPr>
          <w:rFonts w:ascii="Times" w:hAnsi="Times"/>
          <w:sz w:val="24"/>
        </w:rPr>
        <w:t xml:space="preserve">9601 </w:t>
      </w:r>
      <w:r>
        <w:rPr>
          <w:rFonts w:ascii="Times" w:hAnsi="Times"/>
          <w:i/>
          <w:sz w:val="24"/>
        </w:rPr>
        <w:t>et seq.,</w:t>
      </w:r>
      <w:r>
        <w:rPr>
          <w:rFonts w:ascii="Times New Roman;Times;serif" w:hAnsi="Times New Roman;Times;serif"/>
          <w:sz w:val="24"/>
        </w:rPr>
        <w:t xml:space="preserve"> </w:t>
      </w:r>
      <w:r>
        <w:rPr>
          <w:rFonts w:ascii="Times" w:hAnsi="Times"/>
          <w:sz w:val="24"/>
        </w:rPr>
        <w:t>and any future amendments.</w:t>
      </w:r>
    </w:p>
    <w:p>
      <w:pPr>
        <w:pStyle w:val="TextBody"/>
        <w:bidi w:val="0"/>
        <w:spacing w:before="0" w:after="240"/>
        <w:ind w:left="0" w:right="0" w:firstLine="720"/>
        <w:jc w:val="both"/>
        <w:rPr/>
      </w:pPr>
      <w:bookmarkStart w:id="1959" w:name="_DV_C355"/>
      <w:bookmarkEnd w:id="1959"/>
      <w:r>
        <w:rPr/>
        <w:t>“</w:t>
      </w:r>
      <w:r>
        <w:rPr>
          <w:rFonts w:ascii="Times" w:hAnsi="Times"/>
          <w:i/>
          <w:sz w:val="24"/>
        </w:rPr>
        <w:t>Change in Law”</w:t>
      </w:r>
      <w:r>
        <w:rPr>
          <w:rFonts w:ascii="Times New Roman;Times;serif" w:hAnsi="Times New Roman;Times;serif"/>
          <w:sz w:val="24"/>
        </w:rPr>
        <w:t xml:space="preserve"> </w:t>
      </w:r>
      <w:r>
        <w:rPr>
          <w:rFonts w:ascii="Times" w:hAnsi="Times"/>
          <w:sz w:val="24"/>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w:hAnsi="Times"/>
          <w:i/>
          <w:sz w:val="24"/>
        </w:rPr>
        <w:t>provided</w:t>
      </w:r>
      <w:r>
        <w:rPr>
          <w:rFonts w:ascii="Times New Roman;Times;serif" w:hAnsi="Times New Roman;Times;serif"/>
          <w:sz w:val="24"/>
        </w:rPr>
        <w:t xml:space="preserve"> </w:t>
      </w:r>
      <w:r>
        <w:rPr>
          <w:rFonts w:ascii="Times" w:hAnsi="Times"/>
          <w:sz w:val="24"/>
        </w:rPr>
        <w:t>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firstLine="720"/>
        <w:jc w:val="both"/>
        <w:rPr/>
      </w:pPr>
      <w:r>
        <w:rPr/>
        <w:t>“</w:t>
      </w:r>
      <w:r>
        <w:rPr>
          <w:rFonts w:ascii="Times" w:hAnsi="Times"/>
          <w:i/>
          <w:sz w:val="24"/>
        </w:rPr>
        <w:t>Change of Control”</w:t>
      </w:r>
      <w:r>
        <w:rPr>
          <w:rFonts w:ascii="Times New Roman;Times;serif" w:hAnsi="Times New Roman;Times;serif"/>
          <w:sz w:val="24"/>
        </w:rPr>
        <w:t xml:space="preserve"> </w:t>
      </w:r>
      <w:r>
        <w:rPr>
          <w:rFonts w:ascii="Times" w:hAnsi="Times"/>
          <w:sz w:val="24"/>
        </w:rPr>
        <w:t xml:space="preserve">means any of (a) the acquisition by any </w:t>
      </w:r>
      <w:r>
        <w:rPr>
          <w:rFonts w:ascii="Times New Roman;Times;serif" w:hAnsi="Times New Roman;Times;serif"/>
          <w:sz w:val="24"/>
        </w:rPr>
        <w:t>“</w:t>
      </w:r>
      <w:r>
        <w:rPr>
          <w:rFonts w:ascii="Times" w:hAnsi="Times"/>
          <w:i/>
          <w:sz w:val="24"/>
        </w:rPr>
        <w:t>person”</w:t>
      </w:r>
      <w:r>
        <w:rPr>
          <w:rFonts w:ascii="Times New Roman;Times;serif" w:hAnsi="Times New Roman;Times;serif"/>
          <w:sz w:val="24"/>
        </w:rPr>
        <w:t xml:space="preserve"> </w:t>
      </w:r>
      <w:r>
        <w:rPr>
          <w:rFonts w:ascii="Times" w:hAnsi="Times"/>
          <w:sz w:val="24"/>
        </w:rPr>
        <w:t xml:space="preserve">or </w:t>
      </w:r>
      <w:r>
        <w:rPr>
          <w:rFonts w:ascii="Times New Roman;Times;serif" w:hAnsi="Times New Roman;Times;serif"/>
          <w:sz w:val="24"/>
        </w:rPr>
        <w:t>“</w:t>
      </w:r>
      <w:r>
        <w:rPr>
          <w:rFonts w:ascii="Times" w:hAnsi="Times"/>
          <w:i/>
          <w:sz w:val="24"/>
        </w:rPr>
        <w:t>group”</w:t>
      </w:r>
      <w:r>
        <w:rPr>
          <w:rFonts w:ascii="Times New Roman;Times;serif" w:hAnsi="Times New Roman;Times;serif"/>
          <w:sz w:val="24"/>
        </w:rPr>
        <w:t xml:space="preserve"> </w:t>
      </w:r>
      <w:r>
        <w:rPr>
          <w:rFonts w:ascii="Times" w:hAnsi="Times"/>
          <w:sz w:val="24"/>
        </w:rPr>
        <w:t xml:space="preserve">(as such terms are used in sections 13(d) and 14(d) of the Securities Exchange Act of 1934, as amended) at any time that causes such person or group to become the </w:t>
      </w:r>
      <w:r>
        <w:rPr>
          <w:rFonts w:ascii="Times New Roman;Times;serif" w:hAnsi="Times New Roman;Times;serif"/>
          <w:sz w:val="24"/>
        </w:rPr>
        <w:t>“</w:t>
      </w:r>
      <w:r>
        <w:rPr>
          <w:rFonts w:ascii="Times" w:hAnsi="Times"/>
          <w:i/>
          <w:sz w:val="24"/>
        </w:rPr>
        <w:t>beneficial owner”</w:t>
      </w:r>
      <w:r>
        <w:rPr>
          <w:rFonts w:ascii="Times New Roman;Times;serif" w:hAnsi="Times New Roman;Times;serif"/>
          <w:sz w:val="24"/>
        </w:rPr>
        <w:t xml:space="preserve"> </w:t>
      </w:r>
      <w:r>
        <w:rPr>
          <w:rFonts w:ascii="Times" w:hAnsi="Times"/>
          <w:sz w:val="24"/>
        </w:rPr>
        <w:t xml:space="preserve">(as defined in Rules 13d-3 and 13d-5 under the Securities Exchange Act of 1934, as amended) of 51% or more of the outstanding capital stock or other equity interests of Parent on a fully-diluted basis, other than acquisitions of such interests by any party who is an officer or director of Parent as of the Closing Date, (b) the failure of individuals who are members of the board of directors (or similar governing body) of Parent on the Closing Date (together with any new or replacement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directors whose initial nomination for election was approved by a majority of the directors who were either directors on the Closing Date or previously so approved) to constitute a majority of the board of directors (or similar governing body) of Parent, or (c) the failure of Parent or a Wholly-owned Subsidiary of Parent to (i) serve as the sole general partner of Borrower and (ii) to directly own 51% of the Equity Interests of Borrower.</w:t>
      </w:r>
    </w:p>
    <w:p>
      <w:pPr>
        <w:pStyle w:val="TextBody"/>
        <w:bidi w:val="0"/>
        <w:spacing w:before="0" w:after="240"/>
        <w:ind w:left="0" w:right="0" w:firstLine="720"/>
        <w:jc w:val="both"/>
        <w:rPr/>
      </w:pPr>
      <w:r>
        <w:rPr/>
        <w:t>“</w:t>
      </w:r>
      <w:r>
        <w:rPr>
          <w:rFonts w:ascii="Times" w:hAnsi="Times"/>
          <w:i/>
          <w:sz w:val="24"/>
        </w:rPr>
        <w:t>Closing Date”</w:t>
      </w:r>
      <w:r>
        <w:rPr>
          <w:rFonts w:ascii="Times New Roman;Times;serif" w:hAnsi="Times New Roman;Times;serif"/>
          <w:sz w:val="24"/>
        </w:rPr>
        <w:t xml:space="preserve"> </w:t>
      </w:r>
      <w:r>
        <w:rPr>
          <w:rFonts w:ascii="Times" w:hAnsi="Times"/>
          <w:sz w:val="24"/>
        </w:rPr>
        <w:t>means the date of this Agreement or such later Business Day upon which each condition described in Section 7.2 shall be satisfied or waived in a manner acceptable to the Administrative Agent in its discretion.</w:t>
      </w:r>
    </w:p>
    <w:p>
      <w:pPr>
        <w:pStyle w:val="TextBody"/>
        <w:bidi w:val="0"/>
        <w:spacing w:before="0" w:after="240"/>
        <w:ind w:left="0" w:right="0" w:firstLine="720"/>
        <w:jc w:val="both"/>
        <w:rPr/>
      </w:pPr>
      <w:r>
        <w:rPr/>
        <w:t>“</w:t>
      </w:r>
      <w:r>
        <w:rPr>
          <w:rFonts w:ascii="Times" w:hAnsi="Times"/>
          <w:i/>
          <w:sz w:val="24"/>
        </w:rPr>
        <w:t>Closing Date Term Borrowing</w:t>
      </w:r>
      <w:r>
        <w:rPr>
          <w:rFonts w:ascii="Times New Roman;Times;serif" w:hAnsi="Times New Roman;Times;serif"/>
          <w:sz w:val="24"/>
        </w:rPr>
        <w:t xml:space="preserve">” </w:t>
      </w:r>
      <w:r>
        <w:rPr>
          <w:rFonts w:ascii="Times" w:hAnsi="Times"/>
          <w:sz w:val="24"/>
        </w:rPr>
        <w:t>means a Borrowing of Closing Date Term Loans.</w:t>
      </w:r>
    </w:p>
    <w:p>
      <w:pPr>
        <w:pStyle w:val="TextBody"/>
        <w:bidi w:val="0"/>
        <w:spacing w:before="0" w:after="240"/>
        <w:ind w:left="0" w:right="0" w:firstLine="720"/>
        <w:jc w:val="both"/>
        <w:rPr/>
      </w:pPr>
      <w:r>
        <w:rPr/>
        <w:t>“</w:t>
      </w:r>
      <w:r>
        <w:rPr>
          <w:rFonts w:ascii="Times" w:hAnsi="Times"/>
          <w:i/>
          <w:sz w:val="24"/>
        </w:rPr>
        <w:t>Closing Date Term Loan</w:t>
      </w:r>
      <w:r>
        <w:rPr>
          <w:rFonts w:ascii="Times New Roman;Times;serif" w:hAnsi="Times New Roman;Times;serif"/>
          <w:sz w:val="24"/>
        </w:rPr>
        <w:t xml:space="preserve">” </w:t>
      </w:r>
      <w:r>
        <w:rPr>
          <w:rFonts w:ascii="Times" w:hAnsi="Times"/>
          <w:sz w:val="24"/>
        </w:rPr>
        <w:t>means an advance made by a Term Lender pursuant to Section 1.1(a).</w:t>
      </w:r>
    </w:p>
    <w:p>
      <w:pPr>
        <w:pStyle w:val="TextBody"/>
        <w:bidi w:val="0"/>
        <w:spacing w:before="0" w:after="240"/>
        <w:ind w:left="0" w:right="0" w:firstLine="720"/>
        <w:jc w:val="both"/>
        <w:rPr/>
      </w:pPr>
      <w:r>
        <w:rPr/>
        <w:t>“</w:t>
      </w:r>
      <w:r>
        <w:rPr>
          <w:rFonts w:ascii="Times" w:hAnsi="Times"/>
          <w:i/>
          <w:sz w:val="24"/>
        </w:rPr>
        <w:t>Code”</w:t>
      </w:r>
      <w:r>
        <w:rPr>
          <w:rFonts w:ascii="Times New Roman;Times;serif" w:hAnsi="Times New Roman;Times;serif"/>
          <w:sz w:val="24"/>
        </w:rPr>
        <w:t xml:space="preserve"> </w:t>
      </w:r>
      <w:r>
        <w:rPr>
          <w:rFonts w:ascii="Times" w:hAnsi="Times"/>
          <w:sz w:val="24"/>
        </w:rPr>
        <w:t>means the Internal Revenue Code of 1986, as amended, and any successor statute thereto.</w:t>
      </w:r>
    </w:p>
    <w:p>
      <w:pPr>
        <w:pStyle w:val="TextBody"/>
        <w:bidi w:val="0"/>
        <w:spacing w:before="0" w:after="240"/>
        <w:ind w:left="0" w:right="0" w:firstLine="720"/>
        <w:jc w:val="both"/>
        <w:rPr/>
      </w:pPr>
      <w:r>
        <w:rPr/>
        <w:t>“</w:t>
      </w:r>
      <w:r>
        <w:rPr>
          <w:rFonts w:ascii="Times" w:hAnsi="Times"/>
          <w:i/>
          <w:sz w:val="24"/>
        </w:rPr>
        <w:t>Collateral Account”</w:t>
      </w:r>
      <w:r>
        <w:rPr>
          <w:rFonts w:ascii="Times New Roman;Times;serif" w:hAnsi="Times New Roman;Times;serif"/>
          <w:sz w:val="24"/>
        </w:rPr>
        <w:t xml:space="preserve"> </w:t>
      </w:r>
      <w:r>
        <w:rPr>
          <w:rFonts w:ascii="Times" w:hAnsi="Times"/>
          <w:sz w:val="24"/>
        </w:rPr>
        <w:t>is defined in Section 9.4(b) hereof.</w:t>
      </w:r>
    </w:p>
    <w:p>
      <w:pPr>
        <w:pStyle w:val="TextBody"/>
        <w:bidi w:val="0"/>
        <w:spacing w:before="0" w:after="240"/>
        <w:ind w:left="0" w:right="0" w:firstLine="720"/>
        <w:jc w:val="both"/>
        <w:rPr/>
      </w:pPr>
      <w:r>
        <w:rPr/>
        <w:t>“</w:t>
      </w:r>
      <w:r>
        <w:rPr>
          <w:rFonts w:ascii="Times" w:hAnsi="Times"/>
          <w:i/>
          <w:sz w:val="24"/>
        </w:rPr>
        <w:t>Commitment</w:t>
      </w:r>
      <w:r>
        <w:rPr>
          <w:rFonts w:ascii="Times New Roman;Times;serif" w:hAnsi="Times New Roman;Times;serif"/>
          <w:sz w:val="24"/>
        </w:rPr>
        <w:t xml:space="preserve">” </w:t>
      </w:r>
      <w:r>
        <w:rPr>
          <w:rFonts w:ascii="Times" w:hAnsi="Times"/>
          <w:sz w:val="24"/>
        </w:rPr>
        <w:t>means a Term Commitment or an Incremental Term Loan Commitment, as the context may require.</w:t>
      </w:r>
    </w:p>
    <w:p>
      <w:pPr>
        <w:pStyle w:val="TextBody"/>
        <w:bidi w:val="0"/>
        <w:spacing w:before="0" w:after="240"/>
        <w:ind w:left="0" w:right="0" w:firstLine="720"/>
        <w:jc w:val="both"/>
        <w:rPr/>
      </w:pPr>
      <w:r>
        <w:rPr/>
        <w:t>“</w:t>
      </w:r>
      <w:r>
        <w:rPr>
          <w:rFonts w:ascii="Times" w:hAnsi="Times"/>
          <w:i/>
          <w:sz w:val="24"/>
        </w:rPr>
        <w:t>Commodity Exchange Act</w:t>
      </w:r>
      <w:r>
        <w:rPr>
          <w:rFonts w:ascii="Times New Roman;Times;serif" w:hAnsi="Times New Roman;Times;serif"/>
          <w:sz w:val="24"/>
        </w:rPr>
        <w:t xml:space="preserve">” </w:t>
      </w:r>
      <w:r>
        <w:rPr>
          <w:rFonts w:ascii="Times" w:hAnsi="Times"/>
          <w:sz w:val="24"/>
        </w:rPr>
        <w:t>means the Commodity Exchange Act (7 U.S.C. § 1 et seq.), as amended from time to time, and any successor statute.</w:t>
      </w:r>
    </w:p>
    <w:p>
      <w:pPr>
        <w:pStyle w:val="TextBody"/>
        <w:bidi w:val="0"/>
        <w:spacing w:before="0" w:after="240"/>
        <w:ind w:left="0" w:right="0" w:firstLine="720"/>
        <w:jc w:val="both"/>
        <w:rPr/>
      </w:pPr>
      <w:r>
        <w:rPr/>
        <w:t>“</w:t>
      </w:r>
      <w:r>
        <w:rPr>
          <w:rFonts w:ascii="Times" w:hAnsi="Times"/>
          <w:i/>
          <w:sz w:val="24"/>
        </w:rPr>
        <w:t>Compliance Certificate”</w:t>
      </w:r>
      <w:r>
        <w:rPr>
          <w:rFonts w:ascii="Times New Roman;Times;serif" w:hAnsi="Times New Roman;Times;serif"/>
          <w:sz w:val="24"/>
        </w:rPr>
        <w:t xml:space="preserve"> </w:t>
      </w:r>
      <w:r>
        <w:rPr>
          <w:rFonts w:ascii="Times" w:hAnsi="Times"/>
          <w:sz w:val="24"/>
        </w:rPr>
        <w:t>is defined in Section 8.5(e) hereof.</w:t>
      </w:r>
    </w:p>
    <w:p>
      <w:pPr>
        <w:pStyle w:val="TextBody"/>
        <w:bidi w:val="0"/>
        <w:spacing w:before="0" w:after="240"/>
        <w:ind w:left="0" w:right="0" w:firstLine="720"/>
        <w:jc w:val="both"/>
        <w:rPr/>
      </w:pPr>
      <w:r>
        <w:rPr/>
        <w:t>“</w:t>
      </w:r>
      <w:r>
        <w:rPr>
          <w:rFonts w:ascii="Times" w:hAnsi="Times"/>
          <w:i/>
          <w:sz w:val="24"/>
        </w:rPr>
        <w:t>Conforming Changes</w:t>
      </w:r>
      <w:r>
        <w:rPr>
          <w:rFonts w:ascii="Times New Roman;Times;serif" w:hAnsi="Times New Roman;Times;serif"/>
          <w:sz w:val="24"/>
        </w:rPr>
        <w:t xml:space="preserve">” </w:t>
      </w:r>
      <w:r>
        <w:rPr>
          <w:rFonts w:ascii="Times" w:hAnsi="Times"/>
          <w:sz w:val="24"/>
        </w:rPr>
        <w:t>means, with respect to either the use or administration of Daily Simple SOFR or Term SOFR, or the use, 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1.11 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240"/>
        <w:ind w:left="0" w:right="0" w:firstLine="720"/>
        <w:jc w:val="both"/>
        <w:rPr/>
      </w:pPr>
      <w:r>
        <w:rPr/>
        <w:t>“</w:t>
      </w:r>
      <w:r>
        <w:rPr>
          <w:rFonts w:ascii="Times" w:hAnsi="Times"/>
          <w:i/>
          <w:sz w:val="24"/>
        </w:rPr>
        <w:t>Connection Income Taxes”</w:t>
      </w:r>
      <w:r>
        <w:rPr>
          <w:rFonts w:ascii="Times New Roman;Times;serif" w:hAnsi="Times New Roman;Times;serif"/>
          <w:sz w:val="24"/>
        </w:rPr>
        <w:t xml:space="preserve"> </w:t>
      </w:r>
      <w:r>
        <w:rPr>
          <w:rFonts w:ascii="Times" w:hAnsi="Times"/>
          <w:sz w:val="24"/>
        </w:rPr>
        <w:t>means Other Connection Taxes that are imposed on or measured by net income (however denominated) or that are franchise Taxes or branch profit Taxes.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i/>
          <w:sz w:val="24"/>
        </w:rPr>
        <w:t>Controlled Group”</w:t>
      </w:r>
      <w:r>
        <w:rPr>
          <w:rFonts w:ascii="Times New Roman;Times;serif" w:hAnsi="Times New Roman;Times;serif"/>
          <w:sz w:val="24"/>
        </w:rPr>
        <w:t xml:space="preserve"> </w:t>
      </w:r>
      <w:r>
        <w:rPr>
          <w:rFonts w:ascii="Times" w:hAnsi="Times"/>
          <w:sz w:val="24"/>
        </w:rPr>
        <w:t>means all members of a controlled group of corporations and all trades or businesses (whether or not incorporated) under common control which, together with the Borrower, are treated as a single employer under Section 414 of the Code.</w:t>
      </w:r>
    </w:p>
    <w:p>
      <w:pPr>
        <w:pStyle w:val="TextBody"/>
        <w:bidi w:val="0"/>
        <w:spacing w:lineRule="atLeast" w:line="280" w:before="280" w:after="240"/>
        <w:ind w:left="0" w:right="0" w:firstLine="720"/>
        <w:jc w:val="both"/>
        <w:rPr/>
      </w:pPr>
      <w:r>
        <w:rPr/>
        <w:t>“</w:t>
      </w:r>
      <w:r>
        <w:rPr>
          <w:rFonts w:ascii="Times New Roman;Times;serif" w:hAnsi="Times New Roman;Times;serif"/>
          <w:i/>
          <w:sz w:val="24"/>
        </w:rPr>
        <w:t>Covered Entity</w:t>
      </w:r>
      <w:r>
        <w:rPr>
          <w:rFonts w:ascii="Times New Roman;Times;serif" w:hAnsi="Times New Roman;Times;serif"/>
          <w:sz w:val="24"/>
        </w:rPr>
        <w:t>” has the meaning specified in Section 12.29.</w:t>
      </w:r>
    </w:p>
    <w:p>
      <w:pPr>
        <w:pStyle w:val="TextBody"/>
        <w:bidi w:val="0"/>
        <w:spacing w:before="0" w:after="240"/>
        <w:ind w:left="0" w:right="0" w:firstLine="720"/>
        <w:jc w:val="both"/>
        <w:rPr/>
      </w:pPr>
      <w:r>
        <w:rPr/>
        <w:t>“</w:t>
      </w:r>
      <w:r>
        <w:rPr>
          <w:rFonts w:ascii="Times" w:hAnsi="Times"/>
          <w:i/>
          <w:sz w:val="24"/>
        </w:rPr>
        <w:t>Daily Simple SOFR</w:t>
      </w:r>
      <w:r>
        <w:rPr>
          <w:rFonts w:ascii="Times New Roman;Times;serif" w:hAnsi="Times New Roman;Times;serif"/>
          <w:sz w:val="24"/>
        </w:rPr>
        <w:t xml:space="preserve">” </w:t>
      </w:r>
      <w:r>
        <w:rPr>
          <w:rFonts w:ascii="Times" w:hAnsi="Times"/>
          <w:sz w:val="24"/>
        </w:rPr>
        <w:t>means, for any day (a “</w:t>
      </w:r>
      <w:r>
        <w:rPr>
          <w:rFonts w:ascii="Times" w:hAnsi="Times"/>
          <w:sz w:val="24"/>
          <w:u w:val="single"/>
        </w:rPr>
        <w:t>SOFR Rate Day</w:t>
      </w:r>
      <w:r>
        <w:rPr>
          <w:rFonts w:ascii="Times New Roman;Times;serif" w:hAnsi="Times New Roman;Times;serif"/>
          <w:sz w:val="24"/>
        </w:rPr>
        <w:t>”</w:t>
      </w:r>
      <w:r>
        <w:rPr>
          <w:rFonts w:ascii="Times" w:hAnsi="Times"/>
          <w:sz w:val="24"/>
        </w:rPr>
        <w:t>), a rate per annum equal to SOFR for the day (such day, the “</w:t>
      </w:r>
      <w:r>
        <w:rPr>
          <w:rFonts w:ascii="Times" w:hAnsi="Times"/>
          <w:sz w:val="24"/>
          <w:u w:val="single"/>
        </w:rPr>
        <w:t>SOFR Determination Day</w:t>
      </w:r>
      <w:r>
        <w:rPr>
          <w:rFonts w:ascii="Times New Roman;Times;serif" w:hAnsi="Times New Roman;Times;serif"/>
          <w:sz w:val="24"/>
        </w:rPr>
        <w:t>”</w:t>
      </w:r>
      <w:r>
        <w:rPr>
          <w:rFonts w:ascii="Times" w:hAnsi="Times"/>
          <w:sz w:val="24"/>
        </w:rPr>
        <w:t>) that is five (5) SOFR Business Days prior to (i) if such SOFR Rate Day is a SOFR Business Day, such SOFR Rate Day or (ii) if such SOFR Rate Day is not a SOFR Business Day, the SOFR Business Day immediately preceding such SOFR Rate Day, in each case, as and when SOFR for such SOFR Rate Day is published by the SOFR Administrator on the SOFR Administrator’s Website.  If by 5:00 pm (New York City time) on the second (2nd) SOFR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SOFR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0" w:after="240"/>
        <w:ind w:left="0" w:right="0" w:firstLine="720"/>
        <w:jc w:val="both"/>
        <w:rPr/>
      </w:pPr>
      <w:r>
        <w:rPr/>
        <w:t>“</w:t>
      </w:r>
      <w:r>
        <w:rPr>
          <w:rFonts w:ascii="Times" w:hAnsi="Times"/>
          <w:i/>
          <w:sz w:val="24"/>
        </w:rPr>
        <w:t>Daily Simple SOFR Loan</w:t>
      </w:r>
      <w:r>
        <w:rPr>
          <w:rFonts w:ascii="Times New Roman;Times;serif" w:hAnsi="Times New Roman;Times;serif"/>
          <w:sz w:val="24"/>
        </w:rPr>
        <w:t xml:space="preserve">” </w:t>
      </w:r>
      <w:r>
        <w:rPr>
          <w:rFonts w:ascii="Times" w:hAnsi="Times"/>
          <w:sz w:val="24"/>
        </w:rPr>
        <w:t>means each Loan bearing interest at a rate based upon Daily Simple SOFR.</w:t>
      </w:r>
    </w:p>
    <w:p>
      <w:pPr>
        <w:pStyle w:val="TextBody"/>
        <w:bidi w:val="0"/>
        <w:spacing w:before="0" w:after="240"/>
        <w:ind w:left="0" w:right="0" w:firstLine="720"/>
        <w:jc w:val="both"/>
        <w:rPr/>
      </w:pPr>
      <w:bookmarkStart w:id="1960" w:name="_DV_C1204"/>
      <w:bookmarkEnd w:id="1960"/>
      <w:r>
        <w:rPr/>
        <w:t>“</w:t>
      </w:r>
      <w:r>
        <w:rPr>
          <w:rFonts w:ascii="Times" w:hAnsi="Times"/>
          <w:i/>
          <w:sz w:val="24"/>
        </w:rPr>
        <w:t>Debtor Relief Laws”</w:t>
      </w:r>
      <w:r>
        <w:rPr>
          <w:rFonts w:ascii="Times New Roman;Times;serif" w:hAnsi="Times New Roman;Times;serif"/>
          <w:sz w:val="24"/>
        </w:rPr>
        <w:t xml:space="preserve"> </w:t>
      </w:r>
      <w:r>
        <w:rPr>
          <w:rFonts w:ascii="Times" w:hAnsi="Times"/>
          <w:sz w:val="24"/>
        </w:rPr>
        <w:t>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ind w:left="0" w:right="0" w:firstLine="720"/>
        <w:jc w:val="both"/>
        <w:rPr/>
      </w:pPr>
      <w:r>
        <w:rPr/>
        <w:t>“</w:t>
      </w:r>
      <w:r>
        <w:rPr>
          <w:rFonts w:ascii="Times" w:hAnsi="Times"/>
          <w:i/>
          <w:sz w:val="24"/>
        </w:rPr>
        <w:t>Default”</w:t>
      </w:r>
      <w:r>
        <w:rPr>
          <w:rFonts w:ascii="Times New Roman;Times;serif" w:hAnsi="Times New Roman;Times;serif"/>
          <w:sz w:val="24"/>
        </w:rPr>
        <w:t xml:space="preserve"> </w:t>
      </w:r>
      <w:r>
        <w:rPr>
          <w:rFonts w:ascii="Times" w:hAnsi="Times"/>
          <w:sz w:val="24"/>
        </w:rPr>
        <w:t>means any event or condition the occurrence of which would, with the passage of time or the giving of notice, or both, constitute an Event of Default.</w:t>
      </w:r>
    </w:p>
    <w:p>
      <w:pPr>
        <w:pStyle w:val="TextBody"/>
        <w:bidi w:val="0"/>
        <w:spacing w:before="0" w:after="240"/>
        <w:ind w:left="0" w:right="0" w:firstLine="720"/>
        <w:jc w:val="both"/>
        <w:rPr/>
      </w:pPr>
      <w:r>
        <w:rPr/>
        <w:t>“</w:t>
      </w:r>
      <w:r>
        <w:rPr>
          <w:rFonts w:ascii="Times" w:hAnsi="Times"/>
          <w:i/>
          <w:sz w:val="24"/>
        </w:rPr>
        <w:t>Defaulted Loan”</w:t>
      </w:r>
      <w:r>
        <w:rPr>
          <w:rFonts w:ascii="Times New Roman;Times;serif" w:hAnsi="Times New Roman;Times;serif"/>
          <w:sz w:val="24"/>
        </w:rPr>
        <w:t xml:space="preserve"> </w:t>
      </w:r>
      <w:r>
        <w:rPr>
          <w:rFonts w:ascii="Times" w:hAnsi="Times"/>
          <w:sz w:val="24"/>
        </w:rPr>
        <w:t xml:space="preserve">is defined in the definition of </w:t>
      </w:r>
      <w:r>
        <w:rPr>
          <w:rFonts w:ascii="Times New Roman;Times;serif" w:hAnsi="Times New Roman;Times;serif"/>
          <w:sz w:val="24"/>
        </w:rPr>
        <w:t>“</w:t>
      </w:r>
      <w:r>
        <w:rPr>
          <w:rFonts w:ascii="Times" w:hAnsi="Times"/>
          <w:i/>
          <w:sz w:val="24"/>
        </w:rPr>
        <w:t>Defaulting Lender”</w:t>
      </w:r>
      <w:r>
        <w:rPr>
          <w:rFonts w:ascii="Times New Roman;Times;serif" w:hAnsi="Times New Roman;Times;serif"/>
          <w:sz w:val="24"/>
        </w:rPr>
        <w:t xml:space="preserve"> </w:t>
      </w:r>
      <w:r>
        <w:rPr>
          <w:rFonts w:ascii="Times" w:hAnsi="Times"/>
          <w:sz w:val="24"/>
        </w:rPr>
        <w:t>in this Section 5.1.</w:t>
      </w:r>
    </w:p>
    <w:p>
      <w:pPr>
        <w:pStyle w:val="TextBody"/>
        <w:bidi w:val="0"/>
        <w:spacing w:before="0" w:after="240"/>
        <w:ind w:left="0" w:right="0" w:firstLine="720"/>
        <w:jc w:val="both"/>
        <w:rPr/>
      </w:pPr>
      <w:r>
        <w:rPr/>
        <w:t>“</w:t>
      </w:r>
      <w:r>
        <w:rPr>
          <w:rFonts w:ascii="Times" w:hAnsi="Times"/>
          <w:i/>
          <w:sz w:val="24"/>
        </w:rPr>
        <w:t>Defaulting Lender”</w:t>
      </w:r>
      <w:r>
        <w:rPr>
          <w:rFonts w:ascii="Times New Roman;Times;serif" w:hAnsi="Times New Roman;Times;serif"/>
          <w:sz w:val="24"/>
        </w:rPr>
        <w:t xml:space="preserve"> </w:t>
      </w:r>
      <w:r>
        <w:rPr>
          <w:rFonts w:ascii="Times" w:hAnsi="Times"/>
          <w:sz w:val="24"/>
        </w:rPr>
        <w:t xml:space="preserve">means any Lender that (a) has failed to fund any portion of the Loans required to be funded by it hereunder (herein, a </w:t>
      </w:r>
      <w:r>
        <w:rPr>
          <w:rFonts w:ascii="Times New Roman;Times;serif" w:hAnsi="Times New Roman;Times;serif"/>
          <w:sz w:val="24"/>
        </w:rPr>
        <w:t>“</w:t>
      </w:r>
      <w:r>
        <w:rPr>
          <w:rFonts w:ascii="Times" w:hAnsi="Times"/>
          <w:i/>
          <w:sz w:val="24"/>
        </w:rPr>
        <w:t>Defaulted Loan”</w:t>
      </w:r>
      <w:r>
        <w:rPr>
          <w:rFonts w:ascii="Times" w:hAnsi="Times"/>
          <w:sz w:val="24"/>
        </w:rPr>
        <w:t>) within two (2) Business Days of the date required to be funded by it hereunder unless such failure has been cured, (b) has otherwise failed to pay over to the Administrative Agent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experienced a Bankruptcy Event or (d) a receiver or conservator has been appointed for such Lender or (e) has become the subject of a Bail-In Action.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Defaulting Lender Excess”</w:t>
      </w:r>
      <w:r>
        <w:rPr>
          <w:rFonts w:ascii="Times New Roman;Times;serif" w:hAnsi="Times New Roman;Times;serif"/>
          <w:sz w:val="24"/>
        </w:rPr>
        <w:t xml:space="preserve"> </w:t>
      </w:r>
      <w:r>
        <w:rPr>
          <w:rFonts w:ascii="Times" w:hAnsi="Times"/>
          <w:sz w:val="24"/>
        </w:rPr>
        <w:t>means, with respect to any Defaulting Lender, the excess, if any, of such Defaulting Lender’s Applicable Percentage of the aggregate outstanding principal amount of Loans of all Lenders (calculated as if all Defaulting Lenders other than such Defaulting Lender had funded all of their respective Defaulted Loans) over the aggregate outstanding principal amount of all Loans of such Defaulting Lender.</w:t>
      </w:r>
    </w:p>
    <w:p>
      <w:pPr>
        <w:pStyle w:val="TextBody"/>
        <w:bidi w:val="0"/>
        <w:spacing w:before="0" w:after="240"/>
        <w:ind w:left="0" w:right="0" w:firstLine="720"/>
        <w:jc w:val="both"/>
        <w:rPr/>
      </w:pPr>
      <w:r>
        <w:rPr/>
        <w:t>“</w:t>
      </w:r>
      <w:r>
        <w:rPr>
          <w:rFonts w:ascii="Times" w:hAnsi="Times"/>
          <w:i/>
          <w:sz w:val="24"/>
        </w:rPr>
        <w:t>Defaulting Lender Period”</w:t>
      </w:r>
      <w:r>
        <w:rPr>
          <w:rFonts w:ascii="Times New Roman;Times;serif" w:hAnsi="Times New Roman;Times;serif"/>
          <w:sz w:val="24"/>
        </w:rPr>
        <w:t xml:space="preserve"> </w:t>
      </w:r>
      <w:r>
        <w:rPr>
          <w:rFonts w:ascii="Times" w:hAnsi="Times"/>
          <w:sz w:val="24"/>
        </w:rPr>
        <w:t>means, with respect to any Defaulting Lender, the period commencing on the date upon which such Lender first became a Defaulting Lender and ending on the earliest of the following dates: the date on which (a) such Defaulting Lender is no longer the subject of a Bankruptcy Event or, if applicable, under the direction of a receiver or conservator, (b) the Defaulting Lender Excess with respect to such Defaulting Lender shall have been reduced to zero (whether by the funding by such Defaulting Lender of any Defaulted Loans of such Defaulting Lender or otherwise), and (c) such Defaulting Lender shall have delivered to Borrower and the Administrative Agent a written reaffirmation of its intention to honor its obligations hereunder, including with respect to its Commitments.</w:t>
      </w:r>
    </w:p>
    <w:p>
      <w:pPr>
        <w:pStyle w:val="TextBody"/>
        <w:bidi w:val="0"/>
        <w:spacing w:before="0" w:after="240"/>
        <w:ind w:left="0" w:right="0" w:firstLine="720"/>
        <w:jc w:val="both"/>
        <w:rPr/>
      </w:pPr>
      <w:r>
        <w:rPr/>
        <w:t>“</w:t>
      </w:r>
      <w:r>
        <w:rPr>
          <w:rFonts w:ascii="Times" w:hAnsi="Times"/>
          <w:i/>
          <w:sz w:val="24"/>
        </w:rPr>
        <w:t>Dividends</w:t>
      </w:r>
      <w:r>
        <w:rPr>
          <w:rFonts w:ascii="Times New Roman;Times;serif" w:hAnsi="Times New Roman;Times;serif"/>
          <w:sz w:val="24"/>
        </w:rPr>
        <w:t xml:space="preserve">” </w:t>
      </w:r>
      <w:r>
        <w:rPr>
          <w:rFonts w:ascii="Times" w:hAnsi="Times"/>
          <w:sz w:val="24"/>
        </w:rPr>
        <w:t>means any dividend paid (or declared and then payable), as the case may be, in cash on any equity security issued by the Borrower.</w:t>
      </w:r>
    </w:p>
    <w:p>
      <w:pPr>
        <w:pStyle w:val="TextBody"/>
        <w:bidi w:val="0"/>
        <w:spacing w:before="0" w:after="240"/>
        <w:ind w:left="0" w:right="0" w:firstLine="720"/>
        <w:jc w:val="both"/>
        <w:rPr/>
      </w:pPr>
      <w:r>
        <w:rPr/>
        <w:t>“</w:t>
      </w:r>
      <w:r>
        <w:rPr>
          <w:rFonts w:ascii="Times" w:hAnsi="Times"/>
          <w:i/>
          <w:sz w:val="24"/>
        </w:rPr>
        <w:t>Division</w:t>
      </w:r>
      <w:r>
        <w:rPr>
          <w:rFonts w:ascii="Times New Roman;Times;serif" w:hAnsi="Times New Roman;Times;serif"/>
          <w:sz w:val="24"/>
        </w:rPr>
        <w:t xml:space="preserve">” </w:t>
      </w:r>
      <w:r>
        <w:rPr>
          <w:rFonts w:ascii="Times" w:hAnsi="Times"/>
          <w:sz w:val="24"/>
        </w:rPr>
        <w:t>means the division of the assets, liabilities and/or obligations of a Person (the “</w:t>
      </w:r>
      <w:r>
        <w:rPr>
          <w:rFonts w:ascii="Times" w:hAnsi="Times"/>
          <w:i/>
          <w:sz w:val="24"/>
        </w:rPr>
        <w:t>Dividing Person</w:t>
      </w:r>
      <w:r>
        <w:rPr>
          <w:rFonts w:ascii="Times New Roman;Times;serif" w:hAnsi="Times New Roman;Times;serif"/>
          <w:sz w:val="24"/>
        </w:rPr>
        <w:t>”</w:t>
      </w:r>
      <w:r>
        <w:rPr>
          <w:rFonts w:ascii="Times" w:hAnsi="Times"/>
          <w:sz w:val="24"/>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pStyle w:val="TextBody"/>
        <w:bidi w:val="0"/>
        <w:spacing w:before="0" w:after="240"/>
        <w:ind w:left="0" w:right="0" w:firstLine="720"/>
        <w:jc w:val="both"/>
        <w:rPr/>
      </w:pPr>
      <w:r>
        <w:rPr/>
        <w:t>“</w:t>
      </w:r>
      <w:r>
        <w:rPr>
          <w:rFonts w:ascii="Times" w:hAnsi="Times"/>
          <w:i/>
          <w:sz w:val="24"/>
        </w:rPr>
        <w:t>EBITDA”</w:t>
      </w:r>
      <w:r>
        <w:rPr>
          <w:rFonts w:ascii="Times New Roman;Times;serif" w:hAnsi="Times New Roman;Times;serif"/>
          <w:sz w:val="24"/>
        </w:rPr>
        <w:t xml:space="preserve"> </w:t>
      </w:r>
      <w:r>
        <w:rPr>
          <w:rFonts w:ascii="Times" w:hAnsi="Times"/>
          <w:sz w:val="24"/>
        </w:rPr>
        <w:t xml:space="preserve">means, for any period, determined on a consolidated basis of the Parent and its Subsidiaries, in accordance with GAAP, the sum of net income (or loss) </w:t>
      </w:r>
      <w:r>
        <w:rPr>
          <w:rFonts w:ascii="Times" w:hAnsi="Times"/>
          <w:i/>
          <w:sz w:val="24"/>
        </w:rPr>
        <w:t>plus</w:t>
      </w:r>
      <w:r>
        <w:rPr>
          <w:rFonts w:ascii="Times" w:hAnsi="Times"/>
          <w:sz w:val="24"/>
        </w:rPr>
        <w:t xml:space="preserve">: (i) depreciation and amortization expense, to the extent included as an expense in the calculation of net income (or loss); (ii) Interest Expense; (iii) income tax expense, to the extent included as an expense in the calculation of net income (or loss); (iv) extraordinary, unrealized or non-recurring losses, including (A) impairment charges, (B) losses from the sale of real property, and (v) non-cash compensation paid to employees of Parent in the form of Parent’s equity securities, </w:t>
      </w:r>
      <w:r>
        <w:rPr>
          <w:rFonts w:ascii="Times" w:hAnsi="Times"/>
          <w:i/>
          <w:sz w:val="24"/>
        </w:rPr>
        <w:t>minus</w:t>
      </w:r>
      <w:r>
        <w:rPr>
          <w:rFonts w:ascii="Times" w:hAnsi="Times"/>
          <w:sz w:val="24"/>
        </w:rPr>
        <w:t>: (a) extraordinary, unrealized or non-recurring gains, including (x) the write-up of assets and (y) gains from the sale of real property and (b) income tax benefits.  </w:t>
      </w:r>
    </w:p>
    <w:p>
      <w:pPr>
        <w:pStyle w:val="TextBody"/>
        <w:bidi w:val="0"/>
        <w:spacing w:before="0" w:after="240"/>
        <w:ind w:left="0" w:right="0" w:firstLine="720"/>
        <w:jc w:val="both"/>
        <w:rPr/>
      </w:pPr>
      <w:r>
        <w:rPr/>
        <w:t>“</w:t>
      </w:r>
      <w:r>
        <w:rPr>
          <w:rFonts w:ascii="Times" w:hAnsi="Times"/>
          <w:i/>
          <w:sz w:val="24"/>
        </w:rPr>
        <w:t>EEA Financial Institution”</w:t>
      </w:r>
      <w:r>
        <w:rPr>
          <w:rFonts w:ascii="Times New Roman;Times;serif" w:hAnsi="Times New Roman;Times;serif"/>
          <w:sz w:val="24"/>
        </w:rPr>
        <w:t xml:space="preserve"> </w:t>
      </w:r>
      <w:r>
        <w:rPr>
          <w:rFonts w:ascii="Times" w:hAnsi="Times"/>
          <w:sz w:val="24"/>
        </w:rPr>
        <w:t>means (a) any institution established in any EEA Member Country which is subject to the supervision of an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w:hAnsi="Times"/>
          <w:i/>
          <w:sz w:val="24"/>
        </w:rPr>
        <w:t>EEA Member Country”</w:t>
      </w:r>
      <w:r>
        <w:rPr>
          <w:rFonts w:ascii="Times New Roman;Times;serif" w:hAnsi="Times New Roman;Times;serif"/>
          <w:sz w:val="24"/>
        </w:rPr>
        <w:t xml:space="preserve"> </w:t>
      </w:r>
      <w:r>
        <w:rPr>
          <w:rFonts w:ascii="Times" w:hAnsi="Times"/>
          <w:sz w:val="24"/>
        </w:rPr>
        <w:t>means any of the member states of the European Union, Iceland, Liechtenstein, and Norway.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EEA Resolution Authority</w:t>
      </w:r>
      <w:r>
        <w:rPr>
          <w:rFonts w:ascii="Times New Roman;Times;serif" w:hAnsi="Times New Roman;Times;serif"/>
          <w:sz w:val="24"/>
        </w:rPr>
        <w:t xml:space="preserve">” </w:t>
      </w:r>
      <w:r>
        <w:rPr>
          <w:rFonts w:ascii="Times" w:hAnsi="Times"/>
          <w:sz w:val="24"/>
        </w:rPr>
        <w:t>means any public administrative authority or any person entrusted with public administrative authority of any EEA Member Country (including any delegee) have responsibility for the resolution of any EEA Financial Institution.</w:t>
      </w:r>
    </w:p>
    <w:p>
      <w:pPr>
        <w:pStyle w:val="TextBody"/>
        <w:bidi w:val="0"/>
        <w:spacing w:before="0" w:after="240"/>
        <w:ind w:left="0" w:right="0" w:firstLine="720"/>
        <w:jc w:val="both"/>
        <w:rPr/>
      </w:pPr>
      <w:r>
        <w:rPr/>
        <w:t>“</w:t>
      </w:r>
      <w:r>
        <w:rPr>
          <w:rFonts w:ascii="Times" w:hAnsi="Times"/>
          <w:i/>
          <w:sz w:val="24"/>
        </w:rPr>
        <w:t>Electronic Copy</w:t>
      </w:r>
      <w:r>
        <w:rPr>
          <w:rFonts w:ascii="Times New Roman;Times;serif" w:hAnsi="Times New Roman;Times;serif"/>
          <w:sz w:val="24"/>
        </w:rPr>
        <w:t xml:space="preserve">” </w:t>
      </w:r>
      <w:r>
        <w:rPr>
          <w:rFonts w:ascii="Times" w:hAnsi="Times"/>
          <w:sz w:val="24"/>
        </w:rPr>
        <w:t>has the meaning specified in Section 8.22.</w:t>
      </w:r>
    </w:p>
    <w:p>
      <w:pPr>
        <w:pStyle w:val="TextBody"/>
        <w:bidi w:val="0"/>
        <w:spacing w:before="0" w:after="240"/>
        <w:ind w:left="0" w:right="0" w:firstLine="720"/>
        <w:jc w:val="both"/>
        <w:rPr/>
      </w:pPr>
      <w:r>
        <w:rPr/>
        <w:t>“</w:t>
      </w:r>
      <w:r>
        <w:rPr>
          <w:rFonts w:ascii="Times" w:hAnsi="Times"/>
          <w:i/>
          <w:sz w:val="24"/>
        </w:rPr>
        <w:t>Electronic Record</w:t>
      </w:r>
      <w:r>
        <w:rPr>
          <w:rFonts w:ascii="Times New Roman;Times;serif" w:hAnsi="Times New Roman;Times;serif"/>
          <w:sz w:val="24"/>
        </w:rPr>
        <w:t xml:space="preserve">” </w:t>
      </w:r>
      <w:r>
        <w:rPr>
          <w:rFonts w:ascii="Times" w:hAnsi="Times"/>
          <w:sz w:val="24"/>
        </w:rPr>
        <w:t>has the meaning specified in Section 8.22</w:t>
      </w:r>
    </w:p>
    <w:p>
      <w:pPr>
        <w:pStyle w:val="TextBody"/>
        <w:bidi w:val="0"/>
        <w:spacing w:before="0" w:after="240"/>
        <w:ind w:left="0" w:right="0" w:firstLine="720"/>
        <w:jc w:val="both"/>
        <w:rPr/>
      </w:pPr>
      <w:r>
        <w:rPr/>
        <w:t>“</w:t>
      </w:r>
      <w:r>
        <w:rPr>
          <w:rFonts w:ascii="Times" w:hAnsi="Times"/>
          <w:i/>
          <w:sz w:val="24"/>
        </w:rPr>
        <w:t>Electronic Signature</w:t>
      </w:r>
      <w:r>
        <w:rPr>
          <w:rFonts w:ascii="Times New Roman;Times;serif" w:hAnsi="Times New Roman;Times;serif"/>
          <w:sz w:val="24"/>
        </w:rPr>
        <w:t xml:space="preserve">” </w:t>
      </w:r>
      <w:r>
        <w:rPr>
          <w:rFonts w:ascii="Times" w:hAnsi="Times"/>
          <w:sz w:val="24"/>
        </w:rPr>
        <w:t>has the meaning specified in Section 8.22.</w:t>
      </w:r>
    </w:p>
    <w:p>
      <w:pPr>
        <w:pStyle w:val="TextBody"/>
        <w:bidi w:val="0"/>
        <w:spacing w:before="0" w:after="240"/>
        <w:ind w:left="0" w:right="0" w:firstLine="720"/>
        <w:jc w:val="both"/>
        <w:rPr/>
      </w:pPr>
      <w:bookmarkStart w:id="1961" w:name="_cp_change_2401"/>
      <w:bookmarkEnd w:id="1961"/>
      <w:r>
        <w:rPr>
          <w:color w:val="0000FF"/>
          <w:u w:val="single"/>
        </w:rPr>
        <w:t>“</w:t>
      </w:r>
      <w:r>
        <w:rPr>
          <w:rFonts w:ascii="Times" w:hAnsi="Times"/>
          <w:i/>
          <w:color w:val="0000FF"/>
          <w:sz w:val="24"/>
        </w:rPr>
        <w:t>Eligible Asset</w:t>
      </w:r>
      <w:r>
        <w:rPr>
          <w:rFonts w:ascii="Times New Roman;Times;serif" w:hAnsi="Times New Roman;Times;serif"/>
          <w:color w:val="0000FF"/>
          <w:sz w:val="24"/>
          <w:u w:val="single"/>
        </w:rPr>
        <w:t xml:space="preserve">” </w:t>
      </w:r>
      <w:r>
        <w:rPr>
          <w:rFonts w:ascii="Times" w:hAnsi="Times"/>
          <w:color w:val="0000FF"/>
          <w:sz w:val="24"/>
          <w:u w:val="single"/>
        </w:rPr>
        <w:t>means, as of any Unencumbered Pool Determination Date, any Eligible Property or Eligible Mortgage Receivable.</w:t>
      </w:r>
      <w:bookmarkStart w:id="1962" w:name="_cp_change_239"/>
      <w:bookmarkEnd w:id="1962"/>
    </w:p>
    <w:p>
      <w:pPr>
        <w:pStyle w:val="TextBody"/>
        <w:bidi w:val="0"/>
        <w:spacing w:before="0" w:after="240"/>
        <w:ind w:left="0" w:right="0" w:firstLine="720"/>
        <w:jc w:val="both"/>
        <w:rPr/>
      </w:pPr>
      <w:r>
        <w:rPr/>
        <w:t>“</w:t>
      </w:r>
      <w:r>
        <w:rPr>
          <w:rFonts w:ascii="Times" w:hAnsi="Times"/>
          <w:i/>
          <w:sz w:val="24"/>
        </w:rPr>
        <w:t xml:space="preserve">Eligible Assignee” </w:t>
      </w:r>
      <w:r>
        <w:rPr>
          <w:rFonts w:ascii="Times" w:hAnsi="Times"/>
          <w:sz w:val="24"/>
        </w:rPr>
        <w:t xml:space="preserve">means (a) a Lender, (b) an Affiliate of a Lender, (c) an Approved Fund, and (d) any other Person (other than a natural person) approved by (i) the Administrative Agent, and (ii) unless an Event of Default has occurred and is continuing, the Borrower (each such approval not to be unreasonably withheld or delayed); </w:t>
      </w:r>
      <w:r>
        <w:rPr>
          <w:rFonts w:ascii="Times" w:hAnsi="Times"/>
          <w:i/>
          <w:sz w:val="24"/>
        </w:rPr>
        <w:t>provided</w:t>
      </w:r>
      <w:r>
        <w:rPr>
          <w:rFonts w:ascii="Times New Roman;Times;serif" w:hAnsi="Times New Roman;Times;serif"/>
          <w:sz w:val="24"/>
        </w:rPr>
        <w:t xml:space="preserve"> </w:t>
      </w:r>
      <w:r>
        <w:rPr>
          <w:rFonts w:ascii="Times" w:hAnsi="Times"/>
          <w:sz w:val="24"/>
        </w:rPr>
        <w:t>that notwithstanding the foregoing, “Eligible Assignee” shall not include the Borrower or any Guarantor or any of the Borrower’s or such Guarantor’s Affiliates or Subsidiaries.</w:t>
      </w:r>
    </w:p>
    <w:p>
      <w:pPr>
        <w:pStyle w:val="TextBody"/>
        <w:bidi w:val="0"/>
        <w:spacing w:before="0" w:after="240"/>
        <w:ind w:left="0" w:right="0" w:firstLine="720"/>
        <w:jc w:val="both"/>
        <w:rPr/>
      </w:pPr>
      <w:bookmarkStart w:id="1963" w:name="_cp_change_2421"/>
      <w:bookmarkEnd w:id="1963"/>
      <w:r>
        <w:rPr>
          <w:color w:val="0000FF"/>
          <w:u w:val="single"/>
        </w:rPr>
        <w:t>“</w:t>
      </w:r>
      <w:r>
        <w:rPr>
          <w:rFonts w:ascii="Times" w:hAnsi="Times"/>
          <w:i/>
          <w:color w:val="0000FF"/>
          <w:sz w:val="24"/>
        </w:rPr>
        <w:t>Eligible Mortgage Receivable</w:t>
      </w:r>
      <w:r>
        <w:rPr>
          <w:rFonts w:ascii="Times New Roman;Times;serif" w:hAnsi="Times New Roman;Times;serif"/>
          <w:color w:val="0000FF"/>
          <w:sz w:val="24"/>
          <w:u w:val="single"/>
        </w:rPr>
        <w:t xml:space="preserve">” </w:t>
      </w:r>
      <w:r>
        <w:rPr>
          <w:rFonts w:ascii="Times" w:hAnsi="Times"/>
          <w:color w:val="0000FF"/>
          <w:sz w:val="24"/>
          <w:u w:val="single"/>
        </w:rPr>
        <w:t>means, as of any Unencumbered Pool Determination Date, any</w:t>
      </w:r>
      <w:r>
        <w:rPr>
          <w:rFonts w:ascii="Times New Roman;Times;serif" w:hAnsi="Times New Roman;Times;serif"/>
          <w:color w:val="0000FF"/>
          <w:sz w:val="24"/>
          <w:u w:val="single"/>
        </w:rPr>
        <w:t xml:space="preserve"> </w:t>
      </w:r>
      <w:r>
        <w:rPr>
          <w:rFonts w:ascii="Times" w:hAnsi="Times"/>
          <w:color w:val="0000FF"/>
          <w:sz w:val="24"/>
          <w:u w:val="single"/>
        </w:rPr>
        <w:t xml:space="preserve">Mortgage Receivable that satisfies the following conditions (a) such Mortgage Receivable is owed solely to the Borrower or a Material Subsidiary, and in the case of a Material Subsidiary, such Material Subsidiary has provided an Additional Guarantor Supplement or other Guaranty to the Administrative Agent pursuant to Section 4.2 hereof, (b) neither such Mortgage Receivable nor, if such Mortgage Receivable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(c) such Mortgage Receivable is not more than 60 days past due or otherwise in default, </w:t>
      </w:r>
      <w:bookmarkStart w:id="1964" w:name="_Hlk1843236511"/>
      <w:bookmarkEnd w:id="1964"/>
      <w:r>
        <w:rPr>
          <w:rFonts w:ascii="Times" w:hAnsi="Times"/>
          <w:color w:val="0000FF"/>
          <w:sz w:val="24"/>
          <w:u w:val="single"/>
        </w:rPr>
        <w:t>(d) the Borrower, or if such Mortgage Receivable is owned by a Material Subsidiary, such Material Subsidiary, has the unilateral right to sell, transfer or otherwise dispose of such Mortgage Receivable and to create a Lien on such Mortgage Receivable as security for Indebtedness for Borrowed Money,</w:t>
      </w:r>
      <w:r>
        <w:rPr>
          <w:rFonts w:ascii="Times New Roman;Times;serif" w:hAnsi="Times New Roman;Times;serif"/>
          <w:color w:val="0000FF"/>
          <w:sz w:val="24"/>
          <w:u w:val="single"/>
        </w:rPr>
        <w:t xml:space="preserve"> </w:t>
      </w:r>
      <w:r>
        <w:rPr>
          <w:rFonts w:ascii="Times" w:hAnsi="Times"/>
          <w:color w:val="0000FF"/>
          <w:sz w:val="24"/>
          <w:u w:val="single"/>
        </w:rPr>
        <w:t xml:space="preserve">and (e) such Mortgage Receivable is secured by a first priority lien on real property located on a Property that (x) meets the criteria for Eligible Property (excluding clauses (c), (d), (g) and (h) of the definition thereof and except that with respect to the conditions set forth in clause (a) of the definition thereof, the references to any Borrower, Guarantor, or any 1031 Property Holder shall be deemed to refer to the borrower under such Mortgage Receivable) and (y) is not a Land Asset (it being understood that the Property securing such Mortgage Receivable may be an Asset Under Development). </w:t>
      </w:r>
      <w:bookmarkStart w:id="1965" w:name="_cp_change_2411"/>
      <w:bookmarkEnd w:id="1965"/>
    </w:p>
    <w:p>
      <w:pPr>
        <w:pStyle w:val="TextBody"/>
        <w:bidi w:val="0"/>
        <w:spacing w:before="0" w:after="240"/>
        <w:ind w:left="0" w:right="0" w:firstLine="720"/>
        <w:jc w:val="both"/>
        <w:rPr/>
      </w:pPr>
      <w:r>
        <w:rPr/>
        <w:t>“</w:t>
      </w:r>
      <w:r>
        <w:rPr>
          <w:rFonts w:ascii="Times" w:hAnsi="Times"/>
          <w:i/>
          <w:sz w:val="24"/>
        </w:rPr>
        <w:t>Eligible Property”</w:t>
      </w:r>
      <w:r>
        <w:rPr>
          <w:rFonts w:ascii="Times New Roman;Times;serif" w:hAnsi="Times New Roman;Times;serif"/>
          <w:sz w:val="24"/>
        </w:rPr>
        <w:t xml:space="preserve"> </w:t>
      </w:r>
      <w:r>
        <w:rPr>
          <w:rFonts w:ascii="Times" w:hAnsi="Times"/>
          <w:sz w:val="24"/>
        </w:rPr>
        <w:t>means, as of any Unencumbered Pool Determination Date, any Property owned by the Borrower, a Guarantor or a 1031 Property Holder which satisfies the following conditions:</w:t>
      </w:r>
    </w:p>
    <w:p>
      <w:pPr>
        <w:pStyle w:val="TextBody"/>
        <w:bidi w:val="0"/>
        <w:spacing w:before="0" w:after="240"/>
        <w:ind w:left="0" w:right="0" w:hanging="0"/>
        <w:jc w:val="both"/>
        <w:rPr/>
      </w:pPr>
      <w:r>
        <w:rPr/>
        <w:t>●</w:t>
      </w:r>
      <w:r>
        <w:rPr>
          <w:rFonts w:ascii="Times New Roman;Times;serif" w:hAnsi="Times New Roman;Times;serif"/>
          <w:sz w:val="24"/>
        </w:rPr>
        <w:t xml:space="preserve">Is Alpine Valley or other real property constituting a retail net lease asset, in each case, that is one hundred percent (100%) owned in fee simple or leased pursuant to an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Acceptable Leasehold Interest, individually or collectively, by the Borrower, any Guarantor or any 1031 Property Holder; </w:t>
      </w:r>
    </w:p>
    <w:p>
      <w:pPr>
        <w:pStyle w:val="TextBody"/>
        <w:bidi w:val="0"/>
        <w:spacing w:before="0" w:after="240"/>
        <w:ind w:left="0" w:right="0" w:hanging="0"/>
        <w:jc w:val="both"/>
        <w:rPr/>
      </w:pPr>
      <w:r>
        <w:rPr/>
        <w:t>●</w:t>
      </w:r>
      <w:r>
        <w:rPr>
          <w:rFonts w:ascii="Times New Roman;Times;serif" w:hAnsi="Times New Roman;Times;serif"/>
          <w:sz w:val="24"/>
        </w:rPr>
        <w:t>Is a Property located in the contiguous United States;</w:t>
      </w:r>
    </w:p>
    <w:p>
      <w:pPr>
        <w:pStyle w:val="TextBody"/>
        <w:bidi w:val="0"/>
        <w:spacing w:before="0" w:after="240"/>
        <w:ind w:left="0" w:right="0" w:hanging="0"/>
        <w:jc w:val="both"/>
        <w:rPr/>
      </w:pPr>
      <w:r>
        <w:rPr/>
        <w:t>●</w:t>
      </w:r>
      <w:r>
        <w:rPr>
          <w:rFonts w:ascii="Times New Roman;Times;serif" w:hAnsi="Times New Roman;Times;serif"/>
          <w:sz w:val="24"/>
        </w:rPr>
        <w:t>If such Property is owned or subject to an Acceptable Leasehold Interest by the Borrower, (i) neither the Borrower’s beneficial ownership interest or leasehold interest, as applicable, in such Property nor the Property is subject to any Lien (other than Permitted Liens or Liens in favor of the Administrative Agent) or to any negative pledge (other than a negative pledge under the terms of the documentation evidencing Other Unsecured Indebtedness) and (ii) the Borrower has the unilateral right (including the absence of any restrictions in an Acceptable Leasehold Interest) to sell, transfer or otherwise dispose of such Property and to create a Lien on such Property as security for Indebtedness for Borrowed Money;</w:t>
      </w:r>
    </w:p>
    <w:p>
      <w:pPr>
        <w:pStyle w:val="TextBody"/>
        <w:bidi w:val="0"/>
        <w:spacing w:before="0" w:after="240"/>
        <w:ind w:left="0" w:right="0" w:hanging="0"/>
        <w:jc w:val="both"/>
        <w:rPr/>
      </w:pPr>
      <w:r>
        <w:rPr/>
        <w:t>●</w:t>
      </w:r>
      <w:r>
        <w:rPr>
          <w:rFonts w:ascii="Times New Roman;Times;serif" w:hAnsi="Times New Roman;Times;serif"/>
          <w:sz w:val="24"/>
        </w:rPr>
        <w:t>If such Property is owned or subject to an Acceptable Leasehold Interest by a Material Subsidiary or 1031 Property Holder, (i) neither the Borrower’s beneficial ownership interest or leasehold interest, as applicable, in such Material Subsidiary nor the Property is subject to any Lien (other than Permitted Liens or Liens in favor of the Administrative Agent) or to any negative pledge, (ii) the Material Subsidiary has the unilateral right (including the absence of any restrictions in an Acceptable Leasehold Interest)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pStyle w:val="TextBody"/>
        <w:bidi w:val="0"/>
        <w:spacing w:before="0" w:after="240"/>
        <w:ind w:left="0" w:right="0" w:hanging="0"/>
        <w:jc w:val="both"/>
        <w:rPr/>
      </w:pPr>
      <w:r>
        <w:rPr/>
        <w:t>●</w:t>
      </w:r>
      <w:r>
        <w:rPr>
          <w:rFonts w:ascii="Times New Roman;Times;serif" w:hAnsi="Times New Roman;Times;serif"/>
          <w:sz w:val="24"/>
        </w:rPr>
        <w:t xml:space="preserve">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 </w:t>
      </w:r>
    </w:p>
    <w:p>
      <w:pPr>
        <w:pStyle w:val="TextBody"/>
        <w:bidi w:val="0"/>
        <w:spacing w:before="0" w:after="240"/>
        <w:ind w:left="0" w:right="0" w:hanging="0"/>
        <w:jc w:val="both"/>
        <w:rPr/>
      </w:pPr>
      <w:r>
        <w:rPr/>
        <w:t>●</w:t>
      </w:r>
      <w:r>
        <w:rPr>
          <w:rFonts w:ascii="Times New Roman;Times;serif" w:hAnsi="Times New Roman;Times;serif"/>
          <w:sz w:val="24"/>
        </w:rPr>
        <w:t>With respect to such Property, any Tenant is not more than 60 days past due  or “materially past due” (in accordance with customary commercial practice) with respect to any monthly rent payment obligations under such Lease;</w:t>
      </w:r>
    </w:p>
    <w:p>
      <w:pPr>
        <w:pStyle w:val="TextBody"/>
        <w:bidi w:val="0"/>
        <w:spacing w:before="0" w:after="240"/>
        <w:ind w:left="0" w:right="0" w:hanging="0"/>
        <w:jc w:val="both"/>
        <w:rPr/>
      </w:pPr>
      <w:r>
        <w:rPr/>
        <w:t>●</w:t>
      </w:r>
      <w:r>
        <w:rPr>
          <w:rFonts w:ascii="Times New Roman;Times;serif" w:hAnsi="Times New Roman;Times;serif"/>
          <w:sz w:val="24"/>
        </w:rPr>
        <w:t>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pPr>
      <w:r>
        <w:rPr/>
        <w:t>●</w:t>
      </w:r>
      <w:r>
        <w:rPr>
          <w:rFonts w:ascii="Times New Roman;Times;serif" w:hAnsi="Times New Roman;Times;serif"/>
          <w:sz w:val="24"/>
        </w:rPr>
        <w:t>The Property is not an Asset Under Development or a Land Asset.</w:t>
      </w:r>
    </w:p>
    <w:p>
      <w:pPr>
        <w:pStyle w:val="TextBody"/>
        <w:bidi w:val="0"/>
        <w:spacing w:before="0" w:after="240"/>
        <w:ind w:left="0" w:right="0" w:firstLine="720"/>
        <w:jc w:val="both"/>
        <w:rPr/>
      </w:pPr>
      <w:r>
        <w:rPr/>
        <w:t>“</w:t>
      </w:r>
      <w:r>
        <w:rPr>
          <w:rFonts w:ascii="Times" w:hAnsi="Times"/>
          <w:i/>
          <w:sz w:val="24"/>
        </w:rPr>
        <w:t xml:space="preserve">Environmental Claim” </w:t>
      </w:r>
      <w:r>
        <w:rPr>
          <w:rFonts w:ascii="Times" w:hAnsi="Times"/>
          <w:sz w:val="24"/>
        </w:rPr>
        <w:t>means any investigation, notice, violation, demand, allegation, action, suit, injunction, judgment, order, consent decree, penalty, fine, lien, pro</w:t>
        <w:softHyphen/>
        <w:t>ceeding or claim (whether administrative, judicial or private in nature) arising (a) pursuant to, or in connection with an actual or alleged violation of, any Environmental Law, (b) in connection with any Hazardous Material, (c) from any abatement, removal, remedial, cor</w:t>
        <w:softHyphen/>
        <w:t>rective or response action in connection with a Hazardous Material, Environmental Law or order of a governmental authority or (d) from any actual or alleged damage, injury, threat or harm to health, safety, natural resources or the environment.</w:t>
      </w:r>
    </w:p>
    <w:p>
      <w:pPr>
        <w:pStyle w:val="TextBody"/>
        <w:bidi w:val="0"/>
        <w:spacing w:before="0" w:after="240"/>
        <w:ind w:left="0" w:right="0" w:firstLine="720"/>
        <w:jc w:val="both"/>
        <w:rPr/>
      </w:pPr>
      <w:r>
        <w:rPr/>
        <w:t>“</w:t>
      </w:r>
      <w:r>
        <w:rPr>
          <w:rFonts w:ascii="Times" w:hAnsi="Times"/>
          <w:i/>
          <w:sz w:val="24"/>
        </w:rPr>
        <w:t>Environmental Law”</w:t>
      </w:r>
      <w:r>
        <w:rPr>
          <w:rFonts w:ascii="Times New Roman;Times;serif" w:hAnsi="Times New Roman;Times;serif"/>
          <w:sz w:val="24"/>
        </w:rPr>
        <w:t xml:space="preserve"> </w:t>
      </w:r>
      <w:r>
        <w:rPr>
          <w:rFonts w:ascii="Times" w:hAnsi="Times"/>
          <w:sz w:val="24"/>
        </w:rPr>
        <w:t>means any current or future Legal Requirement pertaining to (a) the 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pStyle w:val="TextBody"/>
        <w:bidi w:val="0"/>
        <w:spacing w:before="0" w:after="240"/>
        <w:ind w:left="0" w:right="0" w:firstLine="720"/>
        <w:jc w:val="both"/>
        <w:rPr/>
      </w:pPr>
      <w:r>
        <w:rPr/>
        <w:t>“</w:t>
      </w:r>
      <w:r>
        <w:rPr>
          <w:rFonts w:ascii="Times" w:hAnsi="Times"/>
          <w:i/>
          <w:sz w:val="24"/>
        </w:rPr>
        <w:t>Equity Interests”</w:t>
      </w:r>
      <w:r>
        <w:rPr>
          <w:rFonts w:ascii="Times New Roman;Times;serif" w:hAnsi="Times New Roman;Times;serif"/>
          <w:sz w:val="24"/>
        </w:rPr>
        <w:t xml:space="preserve"> </w:t>
      </w:r>
      <w:r>
        <w:rPr>
          <w:rFonts w:ascii="Times" w:hAnsi="Times"/>
          <w:sz w:val="24"/>
        </w:rPr>
        <w:t>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pStyle w:val="TextBody"/>
        <w:bidi w:val="0"/>
        <w:spacing w:before="0" w:after="240"/>
        <w:ind w:left="0" w:right="0" w:firstLine="720"/>
        <w:jc w:val="both"/>
        <w:rPr/>
      </w:pPr>
      <w:r>
        <w:rPr/>
        <w:t>“</w:t>
      </w:r>
      <w:r>
        <w:rPr>
          <w:rFonts w:ascii="Times" w:hAnsi="Times"/>
          <w:i/>
          <w:sz w:val="24"/>
        </w:rPr>
        <w:t>ERISA”</w:t>
      </w:r>
      <w:r>
        <w:rPr>
          <w:rFonts w:ascii="Times New Roman;Times;serif" w:hAnsi="Times New Roman;Times;serif"/>
          <w:sz w:val="24"/>
        </w:rPr>
        <w:t xml:space="preserve"> </w:t>
      </w:r>
      <w:r>
        <w:rPr>
          <w:rFonts w:ascii="Times" w:hAnsi="Times"/>
          <w:sz w:val="24"/>
        </w:rPr>
        <w:t>means the Employee Retirement Income Security Act of 1974, as amended, or any successor statute thereto.</w:t>
      </w:r>
    </w:p>
    <w:p>
      <w:pPr>
        <w:pStyle w:val="TextBody"/>
        <w:bidi w:val="0"/>
        <w:spacing w:before="0" w:after="240"/>
        <w:ind w:left="0" w:right="0" w:firstLine="720"/>
        <w:jc w:val="left"/>
        <w:rPr/>
      </w:pPr>
      <w:r>
        <w:rPr/>
        <w:t>“</w:t>
      </w:r>
      <w:r>
        <w:rPr>
          <w:rFonts w:ascii="Times New Roman;Times;serif" w:hAnsi="Times New Roman;Times;serif"/>
          <w:i/>
          <w:sz w:val="24"/>
        </w:rPr>
        <w:t>Erroneous Payment</w:t>
      </w:r>
      <w:r>
        <w:rPr>
          <w:rFonts w:ascii="Times New Roman;Times;serif" w:hAnsi="Times New Roman;Times;serif"/>
          <w:sz w:val="24"/>
        </w:rPr>
        <w:t>” has the meaning assigned to such term in Section 12.30.</w:t>
      </w:r>
    </w:p>
    <w:p>
      <w:pPr>
        <w:pStyle w:val="TextBody"/>
        <w:bidi w:val="0"/>
        <w:spacing w:before="0" w:after="240"/>
        <w:ind w:left="0" w:right="0" w:firstLine="720"/>
        <w:jc w:val="left"/>
        <w:rPr/>
      </w:pPr>
      <w:r>
        <w:rPr/>
        <w:t>“</w:t>
      </w:r>
      <w:r>
        <w:rPr>
          <w:rFonts w:ascii="Times New Roman;Times;serif" w:hAnsi="Times New Roman;Times;serif"/>
          <w:i/>
          <w:sz w:val="24"/>
        </w:rPr>
        <w:t>Erroneous Payment Deficiency Assignment</w:t>
      </w:r>
      <w:r>
        <w:rPr>
          <w:rFonts w:ascii="Times New Roman;Times;serif" w:hAnsi="Times New Roman;Times;serif"/>
          <w:sz w:val="24"/>
        </w:rPr>
        <w:t>” has the meaning assigned to such term in Section 12.30.</w:t>
      </w:r>
    </w:p>
    <w:p>
      <w:pPr>
        <w:pStyle w:val="TextBody"/>
        <w:bidi w:val="0"/>
        <w:spacing w:before="0" w:after="240"/>
        <w:ind w:left="0" w:right="0" w:firstLine="720"/>
        <w:jc w:val="left"/>
        <w:rPr/>
      </w:pPr>
      <w:r>
        <w:rPr/>
        <w:t>“</w:t>
      </w:r>
      <w:r>
        <w:rPr>
          <w:rFonts w:ascii="Times New Roman;Times;serif" w:hAnsi="Times New Roman;Times;serif"/>
          <w:i/>
          <w:sz w:val="24"/>
        </w:rPr>
        <w:t>Erroneous Payment Impacted Class</w:t>
      </w:r>
      <w:r>
        <w:rPr>
          <w:rFonts w:ascii="Times New Roman;Times;serif" w:hAnsi="Times New Roman;Times;serif"/>
          <w:sz w:val="24"/>
        </w:rPr>
        <w:t>” has the meaning assigned to such term in Section 12.30(d).</w:t>
      </w:r>
    </w:p>
    <w:p>
      <w:pPr>
        <w:pStyle w:val="TextBody"/>
        <w:bidi w:val="0"/>
        <w:spacing w:before="0" w:after="240"/>
        <w:ind w:left="0" w:right="0" w:firstLine="720"/>
        <w:jc w:val="left"/>
        <w:rPr/>
      </w:pPr>
      <w:r>
        <w:rPr/>
        <w:t>“</w:t>
      </w:r>
      <w:r>
        <w:rPr>
          <w:rFonts w:ascii="Times New Roman;Times;serif" w:hAnsi="Times New Roman;Times;serif"/>
          <w:i/>
          <w:sz w:val="24"/>
        </w:rPr>
        <w:t>Erroneous Payment Return Deficiency</w:t>
      </w:r>
      <w:r>
        <w:rPr>
          <w:rFonts w:ascii="Times New Roman;Times;serif" w:hAnsi="Times New Roman;Times;serif"/>
          <w:sz w:val="24"/>
        </w:rPr>
        <w:t>” has the meaning assigned to such term in Section 12.30(d).</w:t>
      </w:r>
    </w:p>
    <w:p>
      <w:pPr>
        <w:pStyle w:val="TextBody"/>
        <w:bidi w:val="0"/>
        <w:spacing w:before="0" w:after="240"/>
        <w:ind w:left="0" w:right="0" w:firstLine="720"/>
        <w:jc w:val="left"/>
        <w:rPr/>
      </w:pPr>
      <w:r>
        <w:rPr/>
        <w:t>“</w:t>
      </w:r>
      <w:r>
        <w:rPr>
          <w:rFonts w:ascii="Times New Roman;Times;serif" w:hAnsi="Times New Roman;Times;serif"/>
          <w:i/>
          <w:sz w:val="24"/>
        </w:rPr>
        <w:t>Erroneous Payment Subrogation Rights</w:t>
      </w:r>
      <w:r>
        <w:rPr>
          <w:rFonts w:ascii="Times New Roman;Times;serif" w:hAnsi="Times New Roman;Times;serif"/>
          <w:sz w:val="24"/>
        </w:rPr>
        <w:t>” has the meaning assigned to such term in Section 12.30(d).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EU Bail-In Legislation Schedule”</w:t>
      </w:r>
      <w:r>
        <w:rPr>
          <w:rFonts w:ascii="Times New Roman;Times;serif" w:hAnsi="Times New Roman;Times;serif"/>
          <w:sz w:val="24"/>
        </w:rPr>
        <w:t xml:space="preserve"> </w:t>
      </w:r>
      <w:r>
        <w:rPr>
          <w:rFonts w:ascii="Times" w:hAnsi="Times"/>
          <w:sz w:val="24"/>
        </w:rPr>
        <w:t>means the EU Bail-In Legislation Schedule published by the Loan Market Association (or any successor Person), as in effect from time to time.</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Event of Default”</w:t>
      </w:r>
      <w:r>
        <w:rPr>
          <w:rFonts w:ascii="Times New Roman;Times;serif" w:hAnsi="Times New Roman;Times;serif"/>
          <w:sz w:val="24"/>
        </w:rPr>
        <w:t xml:space="preserve"> </w:t>
      </w:r>
      <w:r>
        <w:rPr>
          <w:rFonts w:ascii="Times" w:hAnsi="Times"/>
          <w:sz w:val="24"/>
        </w:rPr>
        <w:t>means any event or condition identified as such in Section 9.1 hereof.</w:t>
      </w:r>
    </w:p>
    <w:p>
      <w:pPr>
        <w:pStyle w:val="TextBody"/>
        <w:bidi w:val="0"/>
        <w:spacing w:before="0" w:after="240"/>
        <w:ind w:left="0" w:right="0" w:firstLine="720"/>
        <w:jc w:val="both"/>
        <w:rPr/>
      </w:pPr>
      <w:r>
        <w:rPr/>
        <w:t>“</w:t>
      </w:r>
      <w:r>
        <w:rPr>
          <w:rFonts w:ascii="Times" w:hAnsi="Times"/>
          <w:i/>
          <w:sz w:val="24"/>
        </w:rPr>
        <w:t>Excluded Swap Obligation</w:t>
      </w:r>
      <w:r>
        <w:rPr>
          <w:rFonts w:ascii="Times New Roman;Times;serif" w:hAnsi="Times New Roman;Times;serif"/>
          <w:sz w:val="24"/>
        </w:rPr>
        <w:t xml:space="preserve">” </w:t>
      </w:r>
      <w:r>
        <w:rPr>
          <w:rFonts w:ascii="Times" w:hAnsi="Times"/>
          <w:sz w:val="24"/>
        </w:rPr>
        <w:t>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240"/>
        <w:ind w:left="0" w:right="0" w:firstLine="720"/>
        <w:jc w:val="both"/>
        <w:rPr/>
      </w:pPr>
      <w:r>
        <w:rPr/>
        <w:t>“</w:t>
      </w:r>
      <w:r>
        <w:rPr>
          <w:rFonts w:ascii="Times" w:hAnsi="Times"/>
          <w:i/>
          <w:sz w:val="24"/>
        </w:rPr>
        <w:t>Excluded Taxes”</w:t>
      </w:r>
      <w:r>
        <w:rPr>
          <w:rFonts w:ascii="Times New Roman;Times;serif" w:hAnsi="Times New Roman;Times;serif"/>
          <w:sz w:val="24"/>
        </w:rPr>
        <w:t xml:space="preserve"> </w:t>
      </w:r>
      <w:r>
        <w:rPr>
          <w:rFonts w:ascii="Times" w:hAnsi="Times"/>
          <w:sz w:val="24"/>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w:t>
      </w:r>
      <w:r>
        <w:rPr>
          <w:rFonts w:ascii="Times New Roman;Times;serif" w:hAnsi="Times New Roman;Times;serif"/>
          <w:sz w:val="24"/>
        </w:rPr>
        <w:t xml:space="preserve"> </w:t>
      </w:r>
      <w:r>
        <w:rPr>
          <w:rFonts w:ascii="Times" w:hAnsi="Times"/>
          <w:sz w:val="24"/>
        </w:rPr>
        <w:t>interest in the Loan or Commitment (other than pursuant to an assignment request by the Borrower under Section 1.13 hereof)</w:t>
      </w:r>
      <w:r>
        <w:rPr>
          <w:rFonts w:ascii="Times New Roman;Times;serif" w:hAnsi="Times New Roman;Times;serif"/>
          <w:sz w:val="24"/>
        </w:rPr>
        <w:t xml:space="preserve"> </w:t>
      </w:r>
      <w:r>
        <w:rPr>
          <w:rFonts w:ascii="Times" w:hAnsi="Times"/>
          <w:sz w:val="24"/>
        </w:rPr>
        <w:t>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pStyle w:val="TextBody"/>
        <w:bidi w:val="0"/>
        <w:spacing w:before="0" w:after="240"/>
        <w:ind w:left="0" w:right="0" w:firstLine="720"/>
        <w:jc w:val="both"/>
        <w:rPr/>
      </w:pPr>
      <w:r>
        <w:rPr/>
        <w:t>“</w:t>
      </w:r>
      <w:r>
        <w:rPr>
          <w:rFonts w:ascii="Times" w:hAnsi="Times"/>
          <w:i/>
          <w:sz w:val="24"/>
        </w:rPr>
        <w:t>Existing Credit Agreement</w:t>
      </w:r>
      <w:r>
        <w:rPr>
          <w:rFonts w:ascii="Times New Roman;Times;serif" w:hAnsi="Times New Roman;Times;serif"/>
          <w:sz w:val="24"/>
        </w:rPr>
        <w:t xml:space="preserve">” </w:t>
      </w:r>
      <w:r>
        <w:rPr>
          <w:rFonts w:ascii="Times" w:hAnsi="Times"/>
          <w:sz w:val="24"/>
        </w:rPr>
        <w:t>means that certain Credit Agreement dated as of November 26, 2019, among Borrower, the Bank of Montreal, a syndicate of lenders and the other parties party thereto, as amended by that certain First Amendment to Credit Agreement dated June 30, 2020, and that Second Amendment Credit Agreement dated October 16, 2020, and as may be further amended, restated, supplemented or otherwise modified.</w:t>
      </w:r>
    </w:p>
    <w:p>
      <w:pPr>
        <w:pStyle w:val="TextBody"/>
        <w:bidi w:val="0"/>
        <w:spacing w:before="0" w:after="240"/>
        <w:ind w:left="0" w:right="0" w:firstLine="720"/>
        <w:jc w:val="both"/>
        <w:rPr/>
      </w:pPr>
      <w:r>
        <w:rPr/>
        <w:t>“</w:t>
      </w:r>
      <w:r>
        <w:rPr>
          <w:rFonts w:ascii="Times" w:hAnsi="Times"/>
          <w:i/>
          <w:sz w:val="24"/>
        </w:rPr>
        <w:t>Facility</w:t>
      </w:r>
      <w:r>
        <w:rPr>
          <w:rFonts w:ascii="Times New Roman;Times;serif" w:hAnsi="Times New Roman;Times;serif"/>
          <w:sz w:val="24"/>
        </w:rPr>
        <w:t xml:space="preserve">” </w:t>
      </w:r>
      <w:r>
        <w:rPr>
          <w:rFonts w:ascii="Times" w:hAnsi="Times"/>
          <w:sz w:val="24"/>
        </w:rPr>
        <w:t>means the Term Facility or any Incremental Term Loan Facility, as the context may require.</w:t>
      </w:r>
    </w:p>
    <w:p>
      <w:pPr>
        <w:pStyle w:val="TextBody"/>
        <w:bidi w:val="0"/>
        <w:spacing w:before="0" w:after="0"/>
        <w:ind w:left="0" w:right="0" w:firstLine="720"/>
        <w:jc w:val="both"/>
        <w:rPr/>
      </w:pPr>
      <w:r>
        <w:rPr/>
        <w:t>“</w:t>
      </w:r>
      <w:r>
        <w:rPr>
          <w:rFonts w:ascii="Times" w:hAnsi="Times"/>
          <w:i/>
          <w:sz w:val="24"/>
        </w:rPr>
        <w:t>FATCA”</w:t>
      </w:r>
      <w:r>
        <w:rPr>
          <w:rFonts w:ascii="Times New Roman;Times;serif" w:hAnsi="Times New Roman;Times;serif"/>
          <w:sz w:val="24"/>
        </w:rPr>
        <w:t xml:space="preserve"> </w:t>
      </w:r>
      <w:r>
        <w:rPr>
          <w:rFonts w:ascii="Times" w:hAnsi="Times"/>
          <w:sz w:val="24"/>
        </w:rPr>
        <w:t>means Sections 1471 through 1474 of the Code, as of the date of this Agreement</w:t>
      </w:r>
      <w:r>
        <w:rPr>
          <w:rFonts w:ascii="Times New Roman;Times;serif" w:hAnsi="Times New Roman;Times;serif"/>
          <w:sz w:val="24"/>
        </w:rPr>
        <w:t xml:space="preserve"> </w:t>
      </w:r>
      <w:r>
        <w:rPr>
          <w:rFonts w:ascii="Times" w:hAnsi="Times"/>
          <w:sz w:val="24"/>
        </w:rPr>
        <w:t xml:space="preserve">(or any amended or successor version that is substantively comparable and not materially more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w:hAnsi="Times"/>
          <w:sz w:val="24"/>
        </w:rPr>
        <w:t>onerous to comply with), any current or future regulations or official interpretations thereof, and any agreements entered into pursuant to Section 1471(b)(1) of the Code.</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FCPA”</w:t>
      </w:r>
      <w:r>
        <w:rPr>
          <w:rFonts w:ascii="Times New Roman;Times;serif" w:hAnsi="Times New Roman;Times;serif"/>
          <w:sz w:val="24"/>
        </w:rPr>
        <w:t xml:space="preserve"> </w:t>
      </w:r>
      <w:r>
        <w:rPr>
          <w:rFonts w:ascii="Times" w:hAnsi="Times"/>
          <w:sz w:val="24"/>
        </w:rPr>
        <w:t>means the Foreign Corrupt Practices Act, 15 U.S.C. §§78dd-1, et seq.</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Federal Funds Rate”</w:t>
      </w:r>
      <w:r>
        <w:rPr>
          <w:rFonts w:ascii="Times New Roman;Times;serif" w:hAnsi="Times New Roman;Times;serif"/>
          <w:sz w:val="24"/>
        </w:rPr>
        <w:t xml:space="preserve"> </w:t>
      </w:r>
      <w:r>
        <w:rPr>
          <w:rFonts w:ascii="Times" w:hAnsi="Times"/>
          <w:sz w:val="24"/>
        </w:rPr>
        <w:t>is defined in Section 1.4(a) hereof.</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w:hAnsi="Times"/>
          <w:i/>
          <w:sz w:val="24"/>
        </w:rPr>
        <w:t>Federal Reserve Bank of New York’s Website”</w:t>
      </w:r>
      <w:r>
        <w:rPr>
          <w:rFonts w:ascii="Times New Roman;Times;serif" w:hAnsi="Times New Roman;Times;serif"/>
          <w:sz w:val="24"/>
        </w:rPr>
        <w:t xml:space="preserve"> </w:t>
      </w:r>
      <w:r>
        <w:rPr>
          <w:rFonts w:ascii="Times" w:hAnsi="Times"/>
          <w:sz w:val="24"/>
        </w:rPr>
        <w:t>means the website of the Federal Reserve Bank of New York at http://www.newyorkfed.org, or any successor source.</w:t>
      </w:r>
    </w:p>
    <w:p>
      <w:pPr>
        <w:pStyle w:val="TextBody"/>
        <w:bidi w:val="0"/>
        <w:spacing w:before="0" w:after="240"/>
        <w:ind w:left="0" w:right="0" w:firstLine="720"/>
        <w:jc w:val="both"/>
        <w:rPr/>
      </w:pPr>
      <w:r>
        <w:rPr/>
        <w:t>“</w:t>
      </w:r>
      <w:r>
        <w:rPr>
          <w:rFonts w:ascii="Times" w:hAnsi="Times"/>
          <w:i/>
          <w:sz w:val="24"/>
        </w:rPr>
        <w:t>Fee Letter</w:t>
      </w:r>
      <w:r>
        <w:rPr>
          <w:rFonts w:ascii="Times New Roman;Times;serif" w:hAnsi="Times New Roman;Times;serif"/>
          <w:sz w:val="24"/>
        </w:rPr>
        <w:t xml:space="preserve">” </w:t>
      </w:r>
      <w:r>
        <w:rPr>
          <w:rFonts w:ascii="Times" w:hAnsi="Times"/>
          <w:sz w:val="24"/>
        </w:rPr>
        <w:t>means the letter agreement, dated May 21, 2021, among Borrower, Truist Bank Securities Inc., and Truist Bank.</w:t>
      </w:r>
    </w:p>
    <w:p>
      <w:pPr>
        <w:pStyle w:val="TextBody"/>
        <w:bidi w:val="0"/>
        <w:spacing w:before="0" w:after="240"/>
        <w:ind w:left="0" w:right="0" w:firstLine="720"/>
        <w:jc w:val="both"/>
        <w:rPr/>
      </w:pPr>
      <w:r>
        <w:rPr/>
        <w:t>“</w:t>
      </w:r>
      <w:r>
        <w:rPr>
          <w:rFonts w:ascii="Times" w:hAnsi="Times"/>
          <w:i/>
          <w:sz w:val="24"/>
        </w:rPr>
        <w:t>First Amendment Effective Date</w:t>
      </w:r>
      <w:r>
        <w:rPr>
          <w:rFonts w:ascii="Times New Roman;Times;serif" w:hAnsi="Times New Roman;Times;serif"/>
          <w:sz w:val="24"/>
        </w:rPr>
        <w:t xml:space="preserve">” </w:t>
      </w:r>
      <w:r>
        <w:rPr>
          <w:rFonts w:ascii="Times" w:hAnsi="Times"/>
          <w:sz w:val="24"/>
        </w:rPr>
        <w:t>means April 14, 2022.</w:t>
      </w:r>
    </w:p>
    <w:p>
      <w:pPr>
        <w:pStyle w:val="TextBody"/>
        <w:bidi w:val="0"/>
        <w:spacing w:before="0" w:after="240"/>
        <w:ind w:left="0" w:right="0" w:firstLine="720"/>
        <w:jc w:val="both"/>
        <w:rPr/>
      </w:pPr>
      <w:r>
        <w:rPr/>
        <w:t>“</w:t>
      </w:r>
      <w:r>
        <w:rPr>
          <w:rFonts w:ascii="Times" w:hAnsi="Times"/>
          <w:i/>
          <w:sz w:val="24"/>
        </w:rPr>
        <w:t>Fiscal Quarter”</w:t>
      </w:r>
      <w:r>
        <w:rPr>
          <w:rFonts w:ascii="Times New Roman;Times;serif" w:hAnsi="Times New Roman;Times;serif"/>
          <w:sz w:val="24"/>
        </w:rPr>
        <w:t xml:space="preserve"> </w:t>
      </w:r>
      <w:r>
        <w:rPr>
          <w:rFonts w:ascii="Times" w:hAnsi="Times"/>
          <w:sz w:val="24"/>
        </w:rPr>
        <w:t>means each of the three-month periods ending on March 31, June 30, September 30 and December 31.</w:t>
      </w:r>
    </w:p>
    <w:p>
      <w:pPr>
        <w:pStyle w:val="TextBody"/>
        <w:bidi w:val="0"/>
        <w:spacing w:before="0" w:after="240"/>
        <w:ind w:left="0" w:right="0" w:firstLine="720"/>
        <w:jc w:val="both"/>
        <w:rPr/>
      </w:pPr>
      <w:r>
        <w:rPr/>
        <w:t>“</w:t>
      </w:r>
      <w:r>
        <w:rPr>
          <w:rFonts w:ascii="Times" w:hAnsi="Times"/>
          <w:i/>
          <w:sz w:val="24"/>
        </w:rPr>
        <w:t>Fiscal Year”</w:t>
      </w:r>
      <w:r>
        <w:rPr>
          <w:rFonts w:ascii="Times New Roman;Times;serif" w:hAnsi="Times New Roman;Times;serif"/>
          <w:sz w:val="24"/>
        </w:rPr>
        <w:t xml:space="preserve"> </w:t>
      </w:r>
      <w:r>
        <w:rPr>
          <w:rFonts w:ascii="Times" w:hAnsi="Times"/>
          <w:sz w:val="24"/>
        </w:rPr>
        <w:t>means the twelve-month period ending on December 31.</w:t>
      </w:r>
    </w:p>
    <w:p>
      <w:pPr>
        <w:pStyle w:val="TextBody"/>
        <w:bidi w:val="0"/>
        <w:spacing w:before="0" w:after="240"/>
        <w:ind w:left="0" w:right="0" w:firstLine="720"/>
        <w:jc w:val="both"/>
        <w:rPr/>
      </w:pPr>
      <w:r>
        <w:rPr/>
        <w:t>“</w:t>
      </w:r>
      <w:r>
        <w:rPr>
          <w:rFonts w:ascii="Times" w:hAnsi="Times"/>
          <w:i/>
          <w:sz w:val="24"/>
        </w:rPr>
        <w:t>Fitch</w:t>
      </w:r>
      <w:r>
        <w:rPr>
          <w:rFonts w:ascii="Times New Roman;Times;serif" w:hAnsi="Times New Roman;Times;serif"/>
          <w:sz w:val="24"/>
        </w:rPr>
        <w:t xml:space="preserve">” </w:t>
      </w:r>
      <w:r>
        <w:rPr>
          <w:rFonts w:ascii="Times" w:hAnsi="Times"/>
          <w:sz w:val="24"/>
        </w:rPr>
        <w:t>means Fitch Rating, or any successor thereto.</w:t>
      </w:r>
    </w:p>
    <w:p>
      <w:pPr>
        <w:pStyle w:val="TextBody"/>
        <w:bidi w:val="0"/>
        <w:spacing w:before="0" w:after="240"/>
        <w:ind w:left="0" w:right="0" w:firstLine="720"/>
        <w:jc w:val="both"/>
        <w:rPr/>
      </w:pPr>
      <w:r>
        <w:rPr/>
        <w:t>“</w:t>
      </w:r>
      <w:r>
        <w:rPr>
          <w:rFonts w:ascii="Times" w:hAnsi="Times"/>
          <w:i/>
          <w:sz w:val="24"/>
        </w:rPr>
        <w:t>Fixed Charges”</w:t>
      </w:r>
      <w:r>
        <w:rPr>
          <w:rFonts w:ascii="Times New Roman;Times;serif" w:hAnsi="Times New Roman;Times;serif"/>
          <w:sz w:val="24"/>
        </w:rPr>
        <w:t xml:space="preserve"> </w:t>
      </w:r>
      <w:r>
        <w:rPr>
          <w:rFonts w:ascii="Times" w:hAnsi="Times"/>
          <w:sz w:val="24"/>
        </w:rPr>
        <w:t>means, for any Rolling Period, (a) Interest Expense, plus (b) scheduled principal amortization paid on Total Indebtedness (exclusive of any balloon payments or prepayments of principal paid on such Total Indebtedness), plus (c) Dividends and required distributions on the Parent’s preferred equity securities for such Rolling Period plus (d) all income taxes (federal, state and local) paid by Parent and its Subsidiaries in cash during such Rolling Period.  </w:t>
      </w:r>
    </w:p>
    <w:p>
      <w:pPr>
        <w:pStyle w:val="TextBody"/>
        <w:bidi w:val="0"/>
        <w:spacing w:lineRule="atLeast" w:line="280" w:before="0" w:after="0"/>
        <w:ind w:left="0" w:right="0" w:firstLine="720"/>
        <w:jc w:val="both"/>
        <w:rPr/>
      </w:pPr>
      <w:r>
        <w:rPr/>
        <w:t>“</w:t>
      </w:r>
      <w:r>
        <w:rPr>
          <w:rFonts w:ascii="Times" w:hAnsi="Times"/>
          <w:i/>
          <w:sz w:val="24"/>
        </w:rPr>
        <w:t>Floor</w:t>
      </w:r>
      <w:r>
        <w:rPr>
          <w:rFonts w:ascii="Times New Roman;Times;serif" w:hAnsi="Times New Roman;Times;serif"/>
          <w:sz w:val="24"/>
        </w:rPr>
        <w:t xml:space="preserve">” </w:t>
      </w:r>
      <w:r>
        <w:rPr>
          <w:rFonts w:ascii="Times" w:hAnsi="Times"/>
          <w:sz w:val="24"/>
        </w:rPr>
        <w:t>means a rate of interest equal to 0% per annum.</w:t>
      </w:r>
    </w:p>
    <w:p>
      <w:pPr>
        <w:pStyle w:val="TextBody"/>
        <w:bidi w:val="0"/>
        <w:spacing w:before="240" w:after="240"/>
        <w:ind w:left="0" w:right="0" w:firstLine="720"/>
        <w:jc w:val="both"/>
        <w:rPr/>
      </w:pPr>
      <w:r>
        <w:rPr/>
        <w:t>“</w:t>
      </w:r>
      <w:r>
        <w:rPr>
          <w:rFonts w:ascii="Times" w:hAnsi="Times"/>
          <w:i/>
          <w:sz w:val="24"/>
        </w:rPr>
        <w:t xml:space="preserve">Fund” </w:t>
      </w:r>
      <w:r>
        <w:rPr>
          <w:rFonts w:ascii="Times" w:hAnsi="Times"/>
          <w:sz w:val="24"/>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240"/>
        <w:ind w:left="0" w:right="0" w:firstLine="720"/>
        <w:jc w:val="both"/>
        <w:rPr/>
      </w:pPr>
      <w:r>
        <w:rPr/>
        <w:t>“</w:t>
      </w:r>
      <w:r>
        <w:rPr>
          <w:rFonts w:ascii="Times" w:hAnsi="Times"/>
          <w:i/>
          <w:sz w:val="24"/>
        </w:rPr>
        <w:t>Funds Transfer and Deposit Account Liability”</w:t>
      </w:r>
      <w:r>
        <w:rPr>
          <w:rFonts w:ascii="Times New Roman;Times;serif" w:hAnsi="Times New Roman;Times;serif"/>
          <w:sz w:val="24"/>
        </w:rPr>
        <w:t xml:space="preserve"> </w:t>
      </w:r>
      <w:r>
        <w:rPr>
          <w:rFonts w:ascii="Times" w:hAnsi="Times"/>
          <w:sz w:val="24"/>
        </w:rPr>
        <w:t>means the liability of the Borrower, or any Subsidiary owing to any of the Lenders, 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pStyle w:val="TextBody"/>
        <w:bidi w:val="0"/>
        <w:spacing w:before="0" w:after="0"/>
        <w:ind w:left="0" w:right="0" w:firstLine="720"/>
        <w:jc w:val="both"/>
        <w:rPr/>
      </w:pPr>
      <w:r>
        <w:rPr/>
        <w:t>“</w:t>
      </w:r>
      <w:r>
        <w:rPr>
          <w:rFonts w:ascii="Times" w:hAnsi="Times"/>
          <w:i/>
          <w:sz w:val="24"/>
        </w:rPr>
        <w:t>GAAP”</w:t>
      </w:r>
      <w:r>
        <w:rPr>
          <w:rFonts w:ascii="Times New Roman;Times;serif" w:hAnsi="Times New Roman;Times;serif"/>
          <w:sz w:val="24"/>
        </w:rPr>
        <w:t xml:space="preserve"> </w:t>
      </w:r>
      <w:r>
        <w:rPr>
          <w:rFonts w:ascii="Times" w:hAnsi="Times"/>
          <w:sz w:val="24"/>
        </w:rPr>
        <w:t xml:space="preserve">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the U.S. accounting profession), which are applicable to the circumstances as of the date of determination.</w:t>
      </w:r>
    </w:p>
    <w:p>
      <w:pPr>
        <w:pStyle w:val="TextBody"/>
        <w:bidi w:val="0"/>
        <w:spacing w:before="0" w:after="240"/>
        <w:ind w:left="0" w:right="0" w:firstLine="720"/>
        <w:jc w:val="both"/>
        <w:rPr/>
      </w:pPr>
      <w:r>
        <w:rPr/>
        <w:t>“</w:t>
      </w:r>
      <w:r>
        <w:rPr>
          <w:rFonts w:ascii="Times" w:hAnsi="Times"/>
          <w:i/>
          <w:sz w:val="24"/>
        </w:rPr>
        <w:t>Governmental Authority”</w:t>
      </w:r>
      <w:r>
        <w:rPr>
          <w:rFonts w:ascii="Times New Roman;Times;serif" w:hAnsi="Times New Roman;Times;serif"/>
          <w:sz w:val="24"/>
        </w:rPr>
        <w:t xml:space="preserve"> </w:t>
      </w:r>
      <w:r>
        <w:rPr>
          <w:rFonts w:ascii="Times" w:hAnsi="Times"/>
          <w:sz w:val="24"/>
        </w:rPr>
        <w:t>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both"/>
        <w:rPr/>
      </w:pPr>
      <w:r>
        <w:rPr/>
        <w:t>“</w:t>
      </w:r>
      <w:r>
        <w:rPr>
          <w:rFonts w:ascii="Times" w:hAnsi="Times"/>
          <w:i/>
          <w:sz w:val="24"/>
        </w:rPr>
        <w:t>Gross Availability</w:t>
      </w:r>
      <w:r>
        <w:rPr>
          <w:rFonts w:ascii="Times New Roman;Times;serif" w:hAnsi="Times New Roman;Times;serif"/>
          <w:sz w:val="24"/>
        </w:rPr>
        <w:t xml:space="preserve">” </w:t>
      </w:r>
      <w:r>
        <w:rPr>
          <w:rFonts w:ascii="Times" w:hAnsi="Times"/>
          <w:sz w:val="24"/>
        </w:rPr>
        <w:t>means, at any date of its determination, an amount equal to the maximum amount of Unsecured Indebtedness that would result in compliance with the covenants set forth in Sections 8.20(e) and (f) on a pro forma basis.</w:t>
      </w:r>
    </w:p>
    <w:p>
      <w:pPr>
        <w:pStyle w:val="TextBody"/>
        <w:bidi w:val="0"/>
        <w:spacing w:before="0" w:after="240"/>
        <w:ind w:left="0" w:right="0" w:firstLine="720"/>
        <w:jc w:val="both"/>
        <w:rPr/>
      </w:pPr>
      <w:r>
        <w:rPr/>
        <w:t>“</w:t>
      </w:r>
      <w:r>
        <w:rPr>
          <w:rFonts w:ascii="Times" w:hAnsi="Times"/>
          <w:i/>
          <w:sz w:val="24"/>
        </w:rPr>
        <w:t>Ground Lease”</w:t>
      </w:r>
      <w:r>
        <w:rPr>
          <w:rFonts w:ascii="Times New Roman;Times;serif" w:hAnsi="Times New Roman;Times;serif"/>
          <w:sz w:val="24"/>
        </w:rPr>
        <w:t xml:space="preserve"> </w:t>
      </w:r>
      <w:r>
        <w:rPr>
          <w:rFonts w:ascii="Times" w:hAnsi="Times"/>
          <w:sz w:val="24"/>
        </w:rPr>
        <w:t xml:space="preserve">means a long term lease of </w:t>
      </w:r>
      <w:bookmarkStart w:id="1966" w:name="_cp_change_243"/>
      <w:bookmarkEnd w:id="1966"/>
      <w:r>
        <w:rPr>
          <w:rFonts w:ascii="Times" w:hAnsi="Times"/>
          <w:color w:val="FF0000"/>
          <w:sz w:val="24"/>
        </w:rPr>
        <w:t>real</w:t>
      </w:r>
      <w:bookmarkStart w:id="1967" w:name="_cp_change_2441"/>
      <w:bookmarkEnd w:id="1967"/>
      <w:r>
        <w:rPr>
          <w:rFonts w:ascii="Times" w:hAnsi="Times"/>
          <w:color w:val="0000FF"/>
          <w:sz w:val="24"/>
          <w:u w:val="single"/>
        </w:rPr>
        <w:t>a</w:t>
      </w:r>
      <w:r>
        <w:rPr>
          <w:rFonts w:ascii="Times New Roman;Times;serif" w:hAnsi="Times New Roman;Times;serif"/>
          <w:sz w:val="24"/>
        </w:rPr>
        <w:t xml:space="preserve"> </w:t>
      </w:r>
      <w:r>
        <w:rPr>
          <w:rFonts w:ascii="Times" w:hAnsi="Times"/>
          <w:sz w:val="24"/>
        </w:rPr>
        <w:t xml:space="preserve">Property granted by the fee owner of the </w:t>
      </w:r>
      <w:bookmarkStart w:id="1968" w:name="_cp_change_245"/>
      <w:bookmarkEnd w:id="1968"/>
      <w:r>
        <w:rPr>
          <w:rFonts w:ascii="Times" w:hAnsi="Times"/>
          <w:color w:val="FF0000"/>
          <w:sz w:val="24"/>
        </w:rPr>
        <w:t>real</w:t>
      </w:r>
      <w:bookmarkStart w:id="1969" w:name="_cp_change_246"/>
      <w:bookmarkEnd w:id="1969"/>
      <w:r>
        <w:rPr>
          <w:rFonts w:ascii="Times" w:hAnsi="Times"/>
          <w:color w:val="0000FF"/>
          <w:sz w:val="24"/>
          <w:u w:val="single"/>
        </w:rPr>
        <w:t>such</w:t>
      </w:r>
      <w:r>
        <w:rPr>
          <w:rFonts w:ascii="Times New Roman;Times;serif" w:hAnsi="Times New Roman;Times;serif"/>
          <w:sz w:val="24"/>
        </w:rPr>
        <w:t xml:space="preserve"> </w:t>
      </w:r>
      <w:r>
        <w:rPr>
          <w:rFonts w:ascii="Times" w:hAnsi="Times"/>
          <w:sz w:val="24"/>
        </w:rPr>
        <w:t>Property.</w:t>
      </w:r>
    </w:p>
    <w:p>
      <w:pPr>
        <w:pStyle w:val="TextBody"/>
        <w:bidi w:val="0"/>
        <w:spacing w:before="0" w:after="240"/>
        <w:ind w:left="0" w:right="0" w:firstLine="720"/>
        <w:jc w:val="both"/>
        <w:rPr/>
      </w:pPr>
      <w:r>
        <w:rPr/>
        <w:t>“</w:t>
      </w:r>
      <w:r>
        <w:rPr>
          <w:rFonts w:ascii="Times" w:hAnsi="Times"/>
          <w:i/>
          <w:sz w:val="24"/>
        </w:rPr>
        <w:t>Guarantor”</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Guarantors”</w:t>
      </w:r>
      <w:r>
        <w:rPr>
          <w:rFonts w:ascii="Times New Roman;Times;serif" w:hAnsi="Times New Roman;Times;serif"/>
          <w:sz w:val="24"/>
        </w:rPr>
        <w:t xml:space="preserve"> </w:t>
      </w:r>
      <w:r>
        <w:rPr>
          <w:rFonts w:ascii="Times" w:hAnsi="Times"/>
          <w:sz w:val="24"/>
        </w:rPr>
        <w:t>are defined in Section 4.1 hereof.</w:t>
      </w:r>
    </w:p>
    <w:p>
      <w:pPr>
        <w:pStyle w:val="TextBody"/>
        <w:bidi w:val="0"/>
        <w:spacing w:before="0" w:after="240"/>
        <w:ind w:left="0" w:right="0" w:firstLine="720"/>
        <w:jc w:val="both"/>
        <w:rPr/>
      </w:pPr>
      <w:r>
        <w:rPr/>
        <w:t>“</w:t>
      </w:r>
      <w:r>
        <w:rPr>
          <w:rFonts w:ascii="Times" w:hAnsi="Times"/>
          <w:i/>
          <w:sz w:val="24"/>
        </w:rPr>
        <w:t>Guaranty”</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Guaranties”</w:t>
      </w:r>
      <w:r>
        <w:rPr>
          <w:rFonts w:ascii="Times New Roman;Times;serif" w:hAnsi="Times New Roman;Times;serif"/>
          <w:sz w:val="24"/>
        </w:rPr>
        <w:t xml:space="preserve"> </w:t>
      </w:r>
      <w:r>
        <w:rPr>
          <w:rFonts w:ascii="Times" w:hAnsi="Times"/>
          <w:sz w:val="24"/>
        </w:rPr>
        <w:t>are defined in Section 4.1 hereof.</w:t>
      </w:r>
    </w:p>
    <w:p>
      <w:pPr>
        <w:pStyle w:val="TextBody"/>
        <w:bidi w:val="0"/>
        <w:spacing w:before="0" w:after="240"/>
        <w:ind w:left="0" w:right="0" w:firstLine="720"/>
        <w:jc w:val="both"/>
        <w:rPr/>
      </w:pPr>
      <w:r>
        <w:rPr/>
        <w:t>“</w:t>
      </w:r>
      <w:r>
        <w:rPr>
          <w:rFonts w:ascii="Times" w:hAnsi="Times"/>
          <w:i/>
          <w:sz w:val="24"/>
        </w:rPr>
        <w:t xml:space="preserve">Hazardous Material” </w:t>
      </w:r>
      <w:r>
        <w:rPr>
          <w:rFonts w:ascii="Times" w:hAnsi="Times"/>
          <w:sz w:val="24"/>
        </w:rPr>
        <w:t>means any substance,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0" w:after="240"/>
        <w:ind w:left="0" w:right="0" w:firstLine="720"/>
        <w:jc w:val="both"/>
        <w:rPr/>
      </w:pPr>
      <w:r>
        <w:rPr/>
        <w:t>“</w:t>
      </w:r>
      <w:r>
        <w:rPr>
          <w:rFonts w:ascii="Times" w:hAnsi="Times"/>
          <w:i/>
          <w:sz w:val="24"/>
        </w:rPr>
        <w:t>Hazardous Material Activity”</w:t>
      </w:r>
      <w:r>
        <w:rPr>
          <w:rFonts w:ascii="Times New Roman;Times;serif" w:hAnsi="Times New Roman;Times;serif"/>
          <w:sz w:val="24"/>
        </w:rPr>
        <w:t xml:space="preserve"> </w:t>
      </w:r>
      <w:r>
        <w:rPr>
          <w:rFonts w:ascii="Times" w:hAnsi="Times"/>
          <w:sz w:val="24"/>
        </w:rPr>
        <w:t>means any activity, event or occurrence involving a Hazardous 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pStyle w:val="TextBody"/>
        <w:bidi w:val="0"/>
        <w:spacing w:before="0" w:after="240"/>
        <w:ind w:left="0" w:right="0" w:firstLine="720"/>
        <w:jc w:val="both"/>
        <w:rPr/>
      </w:pPr>
      <w:bookmarkStart w:id="1970" w:name="_DV_C430"/>
      <w:bookmarkEnd w:id="1970"/>
      <w:r>
        <w:rPr/>
        <w:t>“</w:t>
      </w:r>
      <w:r>
        <w:rPr>
          <w:rFonts w:ascii="Times" w:hAnsi="Times"/>
          <w:i/>
          <w:sz w:val="24"/>
        </w:rPr>
        <w:t>Hedging Agreement”</w:t>
      </w:r>
      <w:r>
        <w:rPr>
          <w:rFonts w:ascii="Times New Roman;Times;serif" w:hAnsi="Times New Roman;Times;serif"/>
          <w:sz w:val="24"/>
        </w:rPr>
        <w:t xml:space="preserve"> </w:t>
      </w:r>
      <w:r>
        <w:rPr>
          <w:rFonts w:ascii="Times" w:hAnsi="Times"/>
          <w:sz w:val="24"/>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w:hAnsi="Times"/>
          <w:i/>
          <w:sz w:val="24"/>
        </w:rPr>
        <w:t>provided</w:t>
      </w:r>
      <w:r>
        <w:rPr>
          <w:rFonts w:ascii="Times New Roman;Times;serif" w:hAnsi="Times New Roman;Times;serif"/>
          <w:sz w:val="24"/>
        </w:rPr>
        <w:t xml:space="preserve"> </w:t>
      </w:r>
      <w:r>
        <w:rPr>
          <w:rFonts w:ascii="Times" w:hAnsi="Times"/>
          <w:sz w:val="24"/>
        </w:rPr>
        <w:t>that no phantom stock or similar plan providing for payments only on account of services provided by current or former directors, officers, employees or consultants of Borrower or any Subsidiary shall be a Hedging Agreement.</w:t>
      </w:r>
    </w:p>
    <w:p>
      <w:pPr>
        <w:pStyle w:val="TextBody"/>
        <w:bidi w:val="0"/>
        <w:spacing w:before="0" w:after="240"/>
        <w:ind w:left="0" w:right="0" w:firstLine="720"/>
        <w:jc w:val="both"/>
        <w:rPr/>
      </w:pPr>
      <w:r>
        <w:rPr/>
        <w:t>“</w:t>
      </w:r>
      <w:r>
        <w:rPr>
          <w:rFonts w:ascii="Times" w:hAnsi="Times"/>
          <w:i/>
          <w:sz w:val="24"/>
        </w:rPr>
        <w:t>Hedging Liability”</w:t>
      </w:r>
      <w:r>
        <w:rPr>
          <w:rFonts w:ascii="Times New Roman;Times;serif" w:hAnsi="Times New Roman;Times;serif"/>
          <w:sz w:val="24"/>
        </w:rPr>
        <w:t xml:space="preserve"> </w:t>
      </w:r>
      <w:r>
        <w:rPr>
          <w:rFonts w:ascii="Times" w:hAnsi="Times"/>
          <w:sz w:val="24"/>
        </w:rPr>
        <w:t>means the liability of the Borrower or any Subsidiary to any Qualifying Counterparty, in respect of any Hedging Agreement as the Borrower or such Subsidiary, as the case may be, may from time to time enter into with any one or more  Qualifying Counterparties.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Incremental Term Lender</w:t>
      </w:r>
      <w:r>
        <w:rPr>
          <w:rFonts w:ascii="Times New Roman;Times;serif" w:hAnsi="Times New Roman;Times;serif"/>
          <w:sz w:val="24"/>
        </w:rPr>
        <w:t xml:space="preserve">” </w:t>
      </w:r>
      <w:r>
        <w:rPr>
          <w:rFonts w:ascii="Times" w:hAnsi="Times"/>
          <w:sz w:val="24"/>
        </w:rPr>
        <w:t>means, at any time, any Lender that has an Incremental Term Loan Commitment or holds Incremental Term Loans at such time.</w:t>
      </w:r>
    </w:p>
    <w:p>
      <w:pPr>
        <w:pStyle w:val="TextBody"/>
        <w:bidi w:val="0"/>
        <w:spacing w:before="0" w:after="240"/>
        <w:ind w:left="0" w:right="0" w:firstLine="720"/>
        <w:jc w:val="both"/>
        <w:rPr/>
      </w:pPr>
      <w:r>
        <w:rPr/>
        <w:t>“</w:t>
      </w:r>
      <w:r>
        <w:rPr>
          <w:rFonts w:ascii="Times" w:hAnsi="Times"/>
          <w:i/>
          <w:sz w:val="24"/>
        </w:rPr>
        <w:t>Incremental Term Loan</w:t>
      </w:r>
      <w:r>
        <w:rPr>
          <w:rFonts w:ascii="Times New Roman;Times;serif" w:hAnsi="Times New Roman;Times;serif"/>
          <w:sz w:val="24"/>
        </w:rPr>
        <w:t xml:space="preserve">” </w:t>
      </w:r>
      <w:r>
        <w:rPr>
          <w:rFonts w:ascii="Times" w:hAnsi="Times"/>
          <w:sz w:val="24"/>
        </w:rPr>
        <w:t>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Amendment</w:t>
      </w:r>
      <w:r>
        <w:rPr>
          <w:rFonts w:ascii="Times New Roman;Times;serif" w:hAnsi="Times New Roman;Times;serif"/>
          <w:sz w:val="24"/>
        </w:rPr>
        <w:t xml:space="preserve">” </w:t>
      </w:r>
      <w:r>
        <w:rPr>
          <w:rFonts w:ascii="Times" w:hAnsi="Times"/>
          <w:sz w:val="24"/>
        </w:rPr>
        <w:t>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Commitment</w:t>
      </w:r>
      <w:r>
        <w:rPr>
          <w:rFonts w:ascii="Times New Roman;Times;serif" w:hAnsi="Times New Roman;Times;serif"/>
          <w:sz w:val="24"/>
        </w:rPr>
        <w:t xml:space="preserve">” </w:t>
      </w:r>
      <w:r>
        <w:rPr>
          <w:rFonts w:ascii="Times" w:hAnsi="Times"/>
          <w:sz w:val="24"/>
        </w:rPr>
        <w:t>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Facility</w:t>
      </w:r>
      <w:r>
        <w:rPr>
          <w:rFonts w:ascii="Times New Roman;Times;serif" w:hAnsi="Times New Roman;Times;serif"/>
          <w:sz w:val="24"/>
        </w:rPr>
        <w:t xml:space="preserve">” </w:t>
      </w:r>
      <w:r>
        <w:rPr>
          <w:rFonts w:ascii="Times" w:hAnsi="Times"/>
          <w:sz w:val="24"/>
        </w:rPr>
        <w:t>has the meaning assigned to such term in Section 1.15.  Unless otherwise specified herein, each tranche of Incremental Term Loan Commitments or Incremental Term Loans shall constitute a separate Incremental Term Loan Facility.</w:t>
      </w:r>
    </w:p>
    <w:p>
      <w:pPr>
        <w:pStyle w:val="TextBody"/>
        <w:bidi w:val="0"/>
        <w:spacing w:before="0" w:after="240"/>
        <w:ind w:left="0" w:right="0" w:firstLine="720"/>
        <w:jc w:val="both"/>
        <w:rPr/>
      </w:pPr>
      <w:r>
        <w:rPr/>
        <w:t>“</w:t>
      </w:r>
      <w:r>
        <w:rPr>
          <w:rFonts w:ascii="Times" w:hAnsi="Times"/>
          <w:i/>
          <w:sz w:val="24"/>
        </w:rPr>
        <w:t>Indebtedness for Borrowed Money”</w:t>
      </w:r>
      <w:r>
        <w:rPr>
          <w:rFonts w:ascii="Times New Roman;Times;serif" w:hAnsi="Times New Roman;Times;serif"/>
          <w:sz w:val="24"/>
        </w:rPr>
        <w:t xml:space="preserve"> </w:t>
      </w:r>
      <w:r>
        <w:rPr>
          <w:rFonts w:ascii="Times" w:hAnsi="Times"/>
          <w:sz w:val="24"/>
        </w:rPr>
        <w:t xml:space="preserve">means for any Person (without duplication) (a) all 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w:t>
      </w:r>
      <w:bookmarkStart w:id="1971" w:name="_cp_change_247"/>
      <w:bookmarkEnd w:id="1971"/>
      <w:r>
        <w:rPr>
          <w:rFonts w:ascii="Times" w:hAnsi="Times"/>
          <w:color w:val="0000FF"/>
          <w:sz w:val="24"/>
          <w:u w:val="single"/>
        </w:rPr>
        <w:t xml:space="preserve">or other assets </w:t>
      </w:r>
      <w:r>
        <w:rPr>
          <w:rFonts w:ascii="Times" w:hAnsi="Times"/>
          <w:sz w:val="24"/>
        </w:rPr>
        <w:t>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pStyle w:val="TextBody"/>
        <w:bidi w:val="0"/>
        <w:spacing w:before="0" w:after="240"/>
        <w:ind w:left="0" w:right="0" w:firstLine="720"/>
        <w:jc w:val="both"/>
        <w:rPr/>
      </w:pPr>
      <w:r>
        <w:rPr/>
        <w:t>“</w:t>
      </w:r>
      <w:r>
        <w:rPr>
          <w:rFonts w:ascii="Times" w:hAnsi="Times"/>
          <w:i/>
          <w:sz w:val="24"/>
        </w:rPr>
        <w:t>Indemnified Taxes”</w:t>
      </w:r>
      <w:r>
        <w:rPr>
          <w:rFonts w:ascii="Times New Roman;Times;serif" w:hAnsi="Times New Roman;Times;serif"/>
          <w:sz w:val="24"/>
        </w:rPr>
        <w:t xml:space="preserve"> </w:t>
      </w:r>
      <w:r>
        <w:rPr>
          <w:rFonts w:ascii="Times" w:hAnsi="Times"/>
          <w:sz w:val="24"/>
        </w:rPr>
        <w:t>means (a) all Taxes other than Excluded Taxes and (b) to the extent not otherwise described in (a),</w:t>
      </w:r>
      <w:bookmarkStart w:id="1972" w:name="_DV_M899"/>
      <w:bookmarkEnd w:id="1972"/>
      <w:r>
        <w:rPr>
          <w:rFonts w:ascii="Times New Roman;Times;serif" w:hAnsi="Times New Roman;Times;serif"/>
          <w:sz w:val="24"/>
        </w:rPr>
        <w:t xml:space="preserve"> </w:t>
      </w:r>
      <w:r>
        <w:rPr>
          <w:rFonts w:ascii="Times" w:hAnsi="Times"/>
          <w:sz w:val="24"/>
        </w:rPr>
        <w:t>Other Taxes.</w:t>
      </w:r>
    </w:p>
    <w:p>
      <w:pPr>
        <w:pStyle w:val="TextBody"/>
        <w:bidi w:val="0"/>
        <w:spacing w:before="0" w:after="240"/>
        <w:ind w:left="0" w:right="0" w:firstLine="720"/>
        <w:jc w:val="both"/>
        <w:rPr/>
      </w:pPr>
      <w:r>
        <w:rPr/>
        <w:t>“</w:t>
      </w:r>
      <w:r>
        <w:rPr>
          <w:rFonts w:ascii="Times" w:hAnsi="Times"/>
          <w:i/>
          <w:sz w:val="24"/>
        </w:rPr>
        <w:t xml:space="preserve">Initial </w:t>
      </w:r>
      <w:bookmarkStart w:id="1973" w:name="_cp_change_248"/>
      <w:bookmarkEnd w:id="1973"/>
      <w:r>
        <w:rPr>
          <w:rFonts w:ascii="Times" w:hAnsi="Times"/>
          <w:i/>
          <w:color w:val="FF0000"/>
          <w:sz w:val="24"/>
        </w:rPr>
        <w:t>Properties</w:t>
      </w:r>
      <w:bookmarkStart w:id="1974" w:name="_cp_change_2491"/>
      <w:bookmarkEnd w:id="1974"/>
      <w:r>
        <w:rPr>
          <w:rFonts w:ascii="Times" w:hAnsi="Times"/>
          <w:i/>
          <w:color w:val="0000FF"/>
          <w:sz w:val="24"/>
        </w:rPr>
        <w:t>Unencumbered Assets</w:t>
      </w:r>
      <w:r>
        <w:rPr>
          <w:rFonts w:ascii="Times New Roman;Times;serif" w:hAnsi="Times New Roman;Times;serif"/>
          <w:sz w:val="24"/>
        </w:rPr>
        <w:t xml:space="preserve">” </w:t>
      </w:r>
      <w:r>
        <w:rPr>
          <w:rFonts w:ascii="Times" w:hAnsi="Times"/>
          <w:sz w:val="24"/>
        </w:rPr>
        <w:t xml:space="preserve">means collectively the </w:t>
      </w:r>
      <w:bookmarkStart w:id="1975" w:name="_cp_change_250"/>
      <w:bookmarkEnd w:id="1975"/>
      <w:r>
        <w:rPr>
          <w:rFonts w:ascii="Times" w:hAnsi="Times"/>
          <w:color w:val="FF0000"/>
          <w:sz w:val="24"/>
        </w:rPr>
        <w:t>Properties</w:t>
      </w:r>
      <w:bookmarkStart w:id="1976" w:name="_cp_change_251"/>
      <w:bookmarkEnd w:id="1976"/>
      <w:r>
        <w:rPr>
          <w:rFonts w:ascii="Times" w:hAnsi="Times"/>
          <w:color w:val="0000FF"/>
          <w:sz w:val="24"/>
          <w:u w:val="single"/>
        </w:rPr>
        <w:t>Unencumbered Assets</w:t>
      </w:r>
      <w:r>
        <w:rPr>
          <w:rFonts w:ascii="Times New Roman;Times;serif" w:hAnsi="Times New Roman;Times;serif"/>
          <w:sz w:val="24"/>
        </w:rPr>
        <w:t xml:space="preserve"> </w:t>
      </w:r>
      <w:r>
        <w:rPr>
          <w:rFonts w:ascii="Times" w:hAnsi="Times"/>
          <w:sz w:val="24"/>
        </w:rPr>
        <w:t xml:space="preserve">listed on Schedule 1.1 </w:t>
      </w:r>
      <w:bookmarkStart w:id="1977" w:name="_cp_change_252"/>
      <w:bookmarkEnd w:id="1977"/>
      <w:r>
        <w:rPr>
          <w:rFonts w:ascii="Times" w:hAnsi="Times"/>
          <w:color w:val="0000FF"/>
          <w:sz w:val="24"/>
          <w:u w:val="single"/>
        </w:rPr>
        <w:t xml:space="preserve">asof the Third Amendment Effective Date </w:t>
      </w:r>
      <w:r>
        <w:rPr>
          <w:rFonts w:ascii="Times" w:hAnsi="Times"/>
          <w:sz w:val="24"/>
        </w:rPr>
        <w:t xml:space="preserve">and </w:t>
      </w:r>
      <w:r>
        <w:rPr>
          <w:rFonts w:ascii="Times New Roman;Times;serif" w:hAnsi="Times New Roman;Times;serif"/>
          <w:sz w:val="24"/>
        </w:rPr>
        <w:t>“</w:t>
      </w:r>
      <w:r>
        <w:rPr>
          <w:rFonts w:ascii="Times" w:hAnsi="Times"/>
          <w:i/>
          <w:sz w:val="24"/>
        </w:rPr>
        <w:t xml:space="preserve">Initial </w:t>
      </w:r>
      <w:bookmarkStart w:id="1978" w:name="_cp_change_2531"/>
      <w:bookmarkEnd w:id="1978"/>
      <w:r>
        <w:rPr>
          <w:rFonts w:ascii="Times" w:hAnsi="Times"/>
          <w:i/>
          <w:color w:val="FF0000"/>
          <w:sz w:val="24"/>
        </w:rPr>
        <w:t>Property</w:t>
      </w:r>
      <w:bookmarkStart w:id="1979" w:name="_cp_change_254"/>
      <w:bookmarkEnd w:id="1979"/>
      <w:r>
        <w:rPr>
          <w:rFonts w:ascii="Times" w:hAnsi="Times"/>
          <w:i/>
          <w:color w:val="0000FF"/>
          <w:sz w:val="24"/>
        </w:rPr>
        <w:t>Unencumbered Asset</w:t>
      </w:r>
      <w:r>
        <w:rPr>
          <w:rFonts w:ascii="Times New Roman;Times;serif" w:hAnsi="Times New Roman;Times;serif"/>
          <w:sz w:val="24"/>
        </w:rPr>
        <w:t xml:space="preserve">” </w:t>
      </w:r>
      <w:r>
        <w:rPr>
          <w:rFonts w:ascii="Times" w:hAnsi="Times"/>
          <w:sz w:val="24"/>
        </w:rPr>
        <w:t xml:space="preserve">means any of such </w:t>
      </w:r>
      <w:bookmarkStart w:id="1980" w:name="_cp_change_255"/>
      <w:bookmarkEnd w:id="1980"/>
      <w:r>
        <w:rPr>
          <w:rFonts w:ascii="Times" w:hAnsi="Times"/>
          <w:color w:val="FF0000"/>
          <w:sz w:val="24"/>
        </w:rPr>
        <w:t>Properties</w:t>
      </w:r>
      <w:bookmarkStart w:id="1981" w:name="_cp_change_256"/>
      <w:bookmarkEnd w:id="1981"/>
      <w:r>
        <w:rPr>
          <w:rFonts w:ascii="Times" w:hAnsi="Times"/>
          <w:color w:val="0000FF"/>
          <w:sz w:val="24"/>
          <w:u w:val="single"/>
        </w:rPr>
        <w:t>Unencumbered Assets</w:t>
      </w:r>
      <w:r>
        <w:rPr>
          <w:rFonts w:ascii="Times" w:hAnsi="Times"/>
          <w:sz w:val="24"/>
        </w:rPr>
        <w:t>.</w:t>
      </w:r>
    </w:p>
    <w:p>
      <w:pPr>
        <w:pStyle w:val="TextBody"/>
        <w:bidi w:val="0"/>
        <w:spacing w:before="0" w:after="240"/>
        <w:ind w:left="0" w:right="0" w:firstLine="720"/>
        <w:jc w:val="both"/>
        <w:rPr/>
      </w:pPr>
      <w:r>
        <w:rPr/>
        <w:t>“</w:t>
      </w:r>
      <w:r>
        <w:rPr>
          <w:rFonts w:ascii="Times" w:hAnsi="Times"/>
          <w:i/>
          <w:sz w:val="24"/>
        </w:rPr>
        <w:t>Interest Expense”</w:t>
      </w:r>
      <w:r>
        <w:rPr>
          <w:rFonts w:ascii="Times New Roman;Times;serif" w:hAnsi="Times New Roman;Times;serif"/>
          <w:sz w:val="24"/>
        </w:rPr>
        <w:t xml:space="preserve"> </w:t>
      </w:r>
      <w:r>
        <w:rPr>
          <w:rFonts w:ascii="Times" w:hAnsi="Times"/>
          <w:sz w:val="24"/>
        </w:rPr>
        <w:t>means, with respect to a Person for any period of time, the interest expense 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 (ii) debt discounts (but only to the extent such discounts do not exceed 3.0% of the initial face principal amount of such debt).</w:t>
      </w:r>
    </w:p>
    <w:p>
      <w:pPr>
        <w:pStyle w:val="TextBody"/>
        <w:bidi w:val="0"/>
        <w:spacing w:before="0" w:after="0"/>
        <w:ind w:left="0" w:right="0" w:firstLine="720"/>
        <w:jc w:val="both"/>
        <w:rPr/>
      </w:pPr>
      <w:r>
        <w:rPr/>
        <w:t>“</w:t>
      </w:r>
      <w:r>
        <w:rPr>
          <w:rFonts w:ascii="Times" w:hAnsi="Times"/>
          <w:i/>
          <w:sz w:val="24"/>
        </w:rPr>
        <w:t>Interest Payment Date”</w:t>
      </w:r>
      <w:r>
        <w:rPr>
          <w:rFonts w:ascii="Times New Roman;Times;serif" w:hAnsi="Times New Roman;Times;serif"/>
          <w:sz w:val="24"/>
        </w:rPr>
        <w:t xml:space="preserve"> </w:t>
      </w:r>
      <w:r>
        <w:rPr>
          <w:rFonts w:ascii="Times" w:hAnsi="Times"/>
          <w:sz w:val="24"/>
        </w:rPr>
        <w:t xml:space="preserve">means (a) with respect to any Term SOFR Loan, the last day of each Interest Period with respect to such Term SOFR Loan and on the maturity date and, if the applicable Interest Period is longer than (3) three months, on each day occurring every three (3) months after the commencement of such Interest Period, (b) with respect to any Daily Simple SOFR Loan, the last day of each calendar month, (c) with respect to any Base Rate Loan, the last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day of every calendar quarter, and (d) with respect to any Term SOFR Loan, Daily Simple SOFR Loan, or Base Rate Loan, the maturity date.</w:t>
      </w:r>
    </w:p>
    <w:p>
      <w:pPr>
        <w:pStyle w:val="TextBody"/>
        <w:bidi w:val="0"/>
        <w:spacing w:before="0" w:after="240"/>
        <w:ind w:left="0" w:right="0" w:firstLine="720"/>
        <w:jc w:val="both"/>
        <w:rPr/>
      </w:pPr>
      <w:r>
        <w:rPr/>
        <w:t>“</w:t>
      </w:r>
      <w:r>
        <w:rPr>
          <w:rFonts w:ascii="Times" w:hAnsi="Times"/>
          <w:i/>
          <w:sz w:val="24"/>
        </w:rPr>
        <w:t>Interest Period”</w:t>
      </w:r>
      <w:r>
        <w:rPr>
          <w:rFonts w:ascii="Times New Roman;Times;serif" w:hAnsi="Times New Roman;Times;serif"/>
          <w:sz w:val="24"/>
        </w:rPr>
        <w:t xml:space="preserve"> </w:t>
      </w:r>
      <w:r>
        <w:rPr>
          <w:rFonts w:ascii="Times" w:hAnsi="Times"/>
          <w:sz w:val="24"/>
        </w:rPr>
        <w:t xml:space="preserve">means the period commencing on the date a Borrowing of Term SOFR Loans is advanced, continued, or created by conversion and ending one (1), three (3), or six (6) months thereafter, </w:t>
      </w:r>
      <w:r>
        <w:rPr>
          <w:rFonts w:ascii="Times" w:hAnsi="Times"/>
          <w:i/>
          <w:sz w:val="24"/>
        </w:rPr>
        <w:t xml:space="preserve">provided, however, </w:t>
      </w:r>
      <w:r>
        <w:rPr>
          <w:rFonts w:ascii="Times" w:hAnsi="Times"/>
          <w:sz w:val="24"/>
        </w:rPr>
        <w:t>that:</w:t>
      </w:r>
    </w:p>
    <w:p>
      <w:pPr>
        <w:pStyle w:val="TextBody"/>
        <w:bidi w:val="0"/>
        <w:spacing w:before="0" w:after="240"/>
        <w:ind w:left="720" w:right="0" w:hanging="0"/>
        <w:jc w:val="both"/>
        <w:rPr/>
      </w:pPr>
      <w:r>
        <w:rPr/>
        <w:t>●</w:t>
      </w:r>
      <w:r>
        <w:rPr>
          <w:rFonts w:ascii="Times New Roman;Times;serif" w:hAnsi="Times New Roman;Times;serif"/>
          <w:sz w:val="24"/>
        </w:rPr>
        <w:t>no Interest Period shall extend beyond the Maturity Date;</w:t>
      </w:r>
    </w:p>
    <w:p>
      <w:pPr>
        <w:pStyle w:val="TextBody"/>
        <w:bidi w:val="0"/>
        <w:spacing w:before="0" w:after="240"/>
        <w:ind w:left="720" w:right="0" w:hanging="0"/>
        <w:jc w:val="both"/>
        <w:rPr/>
      </w:pPr>
      <w:r>
        <w:rPr/>
        <w:t>●</w:t>
      </w:r>
      <w:r>
        <w:rPr>
          <w:rFonts w:ascii="Times New Roman;Times;serif" w:hAnsi="Times New Roman;Times;serif"/>
          <w:sz w:val="24"/>
        </w:rPr>
        <w:t xml:space="preserve">whenever the last day of any Interest Period would otherwise be a day that is not a Business Day, the last day of such Interest Period shall be extended to the next succeeding Business Day, </w:t>
      </w:r>
      <w:r>
        <w:rPr>
          <w:rFonts w:ascii="Times New Roman;Times;serif" w:hAnsi="Times New Roman;Times;serif"/>
          <w:i/>
          <w:sz w:val="24"/>
        </w:rPr>
        <w:t xml:space="preserve">provided </w:t>
      </w:r>
      <w:r>
        <w:rPr>
          <w:rFonts w:ascii="Times New Roman;Times;serif" w:hAnsi="Times New Roman;Times;serif"/>
          <w:sz w:val="24"/>
        </w:rPr>
        <w:t>that, if such extension would cause the last day of an Interest Period for a Borrowing of Term SOFR Loans to occur in the following calendar month, the last day of such Interest Period shall be the immediately preceding Business Day; and</w:t>
      </w:r>
    </w:p>
    <w:p>
      <w:pPr>
        <w:pStyle w:val="TextBody"/>
        <w:bidi w:val="0"/>
        <w:ind w:left="720" w:right="0" w:hanging="0"/>
        <w:jc w:val="both"/>
        <w:rPr/>
      </w:pPr>
      <w:r>
        <w:rPr/>
        <w:t>●</w:t>
      </w:r>
      <w:r>
        <w:rPr>
          <w:rFonts w:ascii="Times New Roman;Times;serif" w:hAnsi="Times New Roman;Times;serif"/>
          <w:sz w:val="24"/>
        </w:rPr>
        <w:t xml:space="preserve">for purposes of determining an Interest Period for a Borrowing of Term SOFR Loans, a month means a period starting on one day in a calendar month and ending on the numerically corresponding day in the next calendar month; </w:t>
      </w:r>
      <w:r>
        <w:rPr>
          <w:rFonts w:ascii="Times New Roman;Times;serif" w:hAnsi="Times New Roman;Times;serif"/>
          <w:i/>
          <w:sz w:val="24"/>
        </w:rPr>
        <w:t>provided, however,</w:t>
      </w:r>
      <w:r>
        <w:rPr>
          <w:rFonts w:ascii="Times New Roman;Times;serif" w:hAnsi="Times New Roman;Times;serif"/>
          <w:sz w:val="24"/>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pStyle w:val="TextBody"/>
        <w:bidi w:val="0"/>
        <w:spacing w:before="0" w:after="240"/>
        <w:ind w:left="0" w:right="0" w:firstLine="720"/>
        <w:jc w:val="both"/>
        <w:rPr/>
      </w:pPr>
      <w:bookmarkStart w:id="1982" w:name="_Hlk1153522391"/>
      <w:bookmarkEnd w:id="1982"/>
      <w:r>
        <w:rPr/>
        <w:t>“</w:t>
      </w:r>
      <w:r>
        <w:rPr>
          <w:rFonts w:ascii="Times" w:hAnsi="Times"/>
          <w:i/>
          <w:sz w:val="24"/>
        </w:rPr>
        <w:t xml:space="preserve">Land Assets” </w:t>
      </w:r>
      <w:r>
        <w:rPr>
          <w:rFonts w:ascii="Times" w:hAnsi="Times"/>
          <w:sz w:val="24"/>
        </w:rPr>
        <w:t xml:space="preserve">means any </w:t>
      </w:r>
      <w:bookmarkStart w:id="1983" w:name="_cp_change_257"/>
      <w:bookmarkEnd w:id="1983"/>
      <w:r>
        <w:rPr>
          <w:rFonts w:ascii="Times" w:hAnsi="Times"/>
          <w:color w:val="FF0000"/>
          <w:sz w:val="24"/>
        </w:rPr>
        <w:t>real property</w:t>
      </w:r>
      <w:bookmarkStart w:id="1984" w:name="_cp_change_2581"/>
      <w:bookmarkEnd w:id="1984"/>
      <w:r>
        <w:rPr>
          <w:rFonts w:ascii="Times" w:hAnsi="Times"/>
          <w:color w:val="0000FF"/>
          <w:sz w:val="24"/>
          <w:u w:val="single"/>
        </w:rPr>
        <w:t>Property</w:t>
      </w:r>
      <w:r>
        <w:rPr>
          <w:rFonts w:ascii="Times New Roman;Times;serif" w:hAnsi="Times New Roman;Times;serif"/>
          <w:sz w:val="24"/>
        </w:rPr>
        <w:t xml:space="preserve"> </w:t>
      </w:r>
      <w:r>
        <w:rPr>
          <w:rFonts w:ascii="Times" w:hAnsi="Times"/>
          <w:sz w:val="24"/>
        </w:rPr>
        <w:t>which is not an Asset Under Development and on which no significant improvements have been constructed;</w:t>
      </w:r>
      <w:r>
        <w:rPr>
          <w:rFonts w:ascii="Times New Roman;Times;serif" w:hAnsi="Times New Roman;Times;serif"/>
          <w:sz w:val="24"/>
        </w:rPr>
        <w:t xml:space="preserve"> </w:t>
      </w:r>
      <w:r>
        <w:rPr>
          <w:rFonts w:ascii="Times" w:hAnsi="Times"/>
          <w:i/>
          <w:sz w:val="24"/>
        </w:rPr>
        <w:t xml:space="preserve">provided, </w:t>
      </w:r>
      <w:r>
        <w:rPr>
          <w:rFonts w:ascii="Times" w:hAnsi="Times"/>
          <w:sz w:val="24"/>
        </w:rPr>
        <w:t xml:space="preserve">that </w:t>
      </w:r>
      <w:bookmarkStart w:id="1985" w:name="_cp_change_259"/>
      <w:bookmarkEnd w:id="1985"/>
      <w:r>
        <w:rPr>
          <w:rFonts w:ascii="Times" w:hAnsi="Times"/>
          <w:color w:val="FF0000"/>
          <w:sz w:val="24"/>
        </w:rPr>
        <w:t>real property</w:t>
      </w:r>
      <w:bookmarkStart w:id="1986" w:name="_cp_change_260"/>
      <w:bookmarkEnd w:id="1986"/>
      <w:r>
        <w:rPr>
          <w:rFonts w:ascii="Times" w:hAnsi="Times"/>
          <w:color w:val="0000FF"/>
          <w:sz w:val="24"/>
          <w:u w:val="single"/>
        </w:rPr>
        <w:t>Property</w:t>
      </w:r>
      <w:r>
        <w:rPr>
          <w:rFonts w:ascii="Times New Roman;Times;serif" w:hAnsi="Times New Roman;Times;serif"/>
          <w:sz w:val="24"/>
        </w:rPr>
        <w:t xml:space="preserve"> </w:t>
      </w:r>
      <w:r>
        <w:rPr>
          <w:rFonts w:ascii="Times" w:hAnsi="Times"/>
          <w:sz w:val="24"/>
        </w:rPr>
        <w:t xml:space="preserve">that is owned in fee by the Borrower or a Subsidiary thereof and is subject to a Ground Lease with Borrower or such Subsidiary as lessor, or that is adjacent to an Eligible Property but is undeveloped, shall not constitute </w:t>
      </w:r>
      <w:r>
        <w:rPr>
          <w:rFonts w:ascii="Times New Roman;Times;serif" w:hAnsi="Times New Roman;Times;serif"/>
          <w:sz w:val="24"/>
        </w:rPr>
        <w:t>“</w:t>
      </w:r>
      <w:r>
        <w:rPr>
          <w:rFonts w:ascii="Times" w:hAnsi="Times"/>
          <w:i/>
          <w:sz w:val="24"/>
        </w:rPr>
        <w:t>Land Assets”</w:t>
      </w:r>
      <w:r>
        <w:rPr>
          <w:rFonts w:ascii="Times" w:hAnsi="Times"/>
          <w:sz w:val="24"/>
        </w:rPr>
        <w:t>.</w:t>
      </w:r>
    </w:p>
    <w:p>
      <w:pPr>
        <w:pStyle w:val="TextBody"/>
        <w:bidi w:val="0"/>
        <w:spacing w:before="0" w:after="240"/>
        <w:ind w:left="0" w:right="0" w:firstLine="720"/>
        <w:jc w:val="both"/>
        <w:rPr/>
      </w:pPr>
      <w:r>
        <w:rPr/>
        <w:t>“</w:t>
      </w:r>
      <w:r>
        <w:rPr>
          <w:rFonts w:ascii="Times" w:hAnsi="Times"/>
          <w:i/>
          <w:sz w:val="24"/>
        </w:rPr>
        <w:t>Lease”</w:t>
      </w:r>
      <w:r>
        <w:rPr>
          <w:rFonts w:ascii="Times New Roman;Times;serif" w:hAnsi="Times New Roman;Times;serif"/>
          <w:sz w:val="24"/>
        </w:rPr>
        <w:t xml:space="preserve"> </w:t>
      </w:r>
      <w:r>
        <w:rPr>
          <w:rFonts w:ascii="Times" w:hAnsi="Times"/>
          <w:sz w:val="24"/>
        </w:rPr>
        <w:t>means each existing or future lease, sublease, license, or other agreement under the terms of which any Person has or acquires any right to occupy or use any Property of the Borrower or any Subsidiary, or any part thereof, or interest therein, as the same may be amended, supplemented or modified.</w:t>
      </w:r>
    </w:p>
    <w:p>
      <w:pPr>
        <w:pStyle w:val="TextBody"/>
        <w:bidi w:val="0"/>
        <w:spacing w:before="0" w:after="240"/>
        <w:ind w:left="0" w:right="0" w:firstLine="720"/>
        <w:jc w:val="both"/>
        <w:rPr/>
      </w:pPr>
      <w:r>
        <w:rPr/>
        <w:t>“</w:t>
      </w:r>
      <w:r>
        <w:rPr>
          <w:rFonts w:ascii="Times" w:hAnsi="Times"/>
          <w:i/>
          <w:sz w:val="24"/>
        </w:rPr>
        <w:t>Legal Requirement”</w:t>
      </w:r>
      <w:r>
        <w:rPr>
          <w:rFonts w:ascii="Times New Roman;Times;serif" w:hAnsi="Times New Roman;Times;serif"/>
          <w:sz w:val="24"/>
        </w:rPr>
        <w:t xml:space="preserve"> </w:t>
      </w:r>
      <w:r>
        <w:rPr>
          <w:rFonts w:ascii="Times" w:hAnsi="Times"/>
          <w:sz w:val="24"/>
        </w:rPr>
        <w:t>means any treaty, convention, statute, law, regulation, ordinance, license, permit, governmental approval, injunction, judgment, order, consent decree or other requirement of any governmental authority, whether federal, state, or local.</w:t>
      </w:r>
    </w:p>
    <w:p>
      <w:pPr>
        <w:pStyle w:val="TextBody"/>
        <w:bidi w:val="0"/>
        <w:spacing w:before="0" w:after="240"/>
        <w:ind w:left="0" w:right="0" w:firstLine="720"/>
        <w:jc w:val="both"/>
        <w:rPr/>
      </w:pPr>
      <w:r>
        <w:rPr/>
        <w:t>“</w:t>
      </w:r>
      <w:r>
        <w:rPr>
          <w:rFonts w:ascii="Times" w:hAnsi="Times"/>
          <w:i/>
          <w:sz w:val="24"/>
        </w:rPr>
        <w:t>Lenders”</w:t>
      </w:r>
      <w:r>
        <w:rPr>
          <w:rFonts w:ascii="Times New Roman;Times;serif" w:hAnsi="Times New Roman;Times;serif"/>
          <w:sz w:val="24"/>
        </w:rPr>
        <w:t xml:space="preserve"> </w:t>
      </w:r>
      <w:r>
        <w:rPr>
          <w:rFonts w:ascii="Times" w:hAnsi="Times"/>
          <w:sz w:val="24"/>
        </w:rPr>
        <w:t>means and includes Truist Bank, N.A. and the other financial institutions from time to time party to this Agreement, including each assignee Lender pursuant to Section 12.12 hereof and each Incremental Term Lender.</w:t>
      </w:r>
    </w:p>
    <w:p>
      <w:pPr>
        <w:pStyle w:val="TextBody"/>
        <w:bidi w:val="0"/>
        <w:spacing w:before="0" w:after="240"/>
        <w:ind w:left="0" w:right="0" w:firstLine="720"/>
        <w:jc w:val="both"/>
        <w:rPr/>
      </w:pPr>
      <w:r>
        <w:rPr/>
        <w:t>“</w:t>
      </w:r>
      <w:r>
        <w:rPr>
          <w:rFonts w:ascii="Times" w:hAnsi="Times"/>
          <w:i/>
          <w:sz w:val="24"/>
        </w:rPr>
        <w:t>Lending Office”</w:t>
      </w:r>
      <w:r>
        <w:rPr>
          <w:rFonts w:ascii="Times New Roman;Times;serif" w:hAnsi="Times New Roman;Times;serif"/>
          <w:sz w:val="24"/>
        </w:rPr>
        <w:t xml:space="preserve"> </w:t>
      </w:r>
      <w:r>
        <w:rPr>
          <w:rFonts w:ascii="Times" w:hAnsi="Times"/>
          <w:sz w:val="24"/>
        </w:rPr>
        <w:t>is defined in Section 10.4 hereof.</w:t>
      </w:r>
    </w:p>
    <w:p>
      <w:pPr>
        <w:pStyle w:val="TextBody"/>
        <w:bidi w:val="0"/>
        <w:spacing w:before="0" w:after="240"/>
        <w:ind w:left="0" w:right="0" w:firstLine="720"/>
        <w:jc w:val="both"/>
        <w:rPr/>
      </w:pPr>
      <w:r>
        <w:rPr/>
        <w:t>“</w:t>
      </w:r>
      <w:r>
        <w:rPr>
          <w:rFonts w:ascii="Times" w:hAnsi="Times"/>
          <w:i/>
          <w:sz w:val="24"/>
        </w:rPr>
        <w:t xml:space="preserve">Lien” </w:t>
      </w:r>
      <w:r>
        <w:rPr>
          <w:rFonts w:ascii="Times" w:hAnsi="Times"/>
          <w:sz w:val="24"/>
        </w:rPr>
        <w:t>means any mortgage, lien, security interest, pledge, charge or encumbrance of any kind in respect of any Property</w:t>
      </w:r>
      <w:bookmarkStart w:id="1987" w:name="_cp_change_2611"/>
      <w:bookmarkEnd w:id="1987"/>
      <w:r>
        <w:rPr>
          <w:rFonts w:ascii="Times New Roman;Times;serif" w:hAnsi="Times New Roman;Times;serif"/>
          <w:color w:val="0000FF"/>
          <w:sz w:val="24"/>
          <w:u w:val="single"/>
        </w:rPr>
        <w:t xml:space="preserve"> </w:t>
      </w:r>
      <w:r>
        <w:rPr>
          <w:rFonts w:ascii="Times" w:hAnsi="Times"/>
          <w:color w:val="0000FF"/>
          <w:sz w:val="24"/>
          <w:u w:val="single"/>
        </w:rPr>
        <w:t>or other assets</w:t>
      </w:r>
      <w:r>
        <w:rPr>
          <w:rFonts w:ascii="Times" w:hAnsi="Times"/>
          <w:sz w:val="24"/>
        </w:rPr>
        <w:t>, including the interests of a vendor or lessor under any conditional sale, Capital Lease or other title retention arrangement.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Loan” </w:t>
      </w:r>
      <w:r>
        <w:rPr>
          <w:rFonts w:ascii="Times" w:hAnsi="Times"/>
          <w:sz w:val="24"/>
        </w:rPr>
        <w:t>means any Term Loan or Incremental Term Loan whether outstanding as a Base Rate Loan, Daily Simple SOFR Loan, or Term SOFR Loan, each of which is a “type” of Loan hereunder.</w:t>
      </w:r>
    </w:p>
    <w:p>
      <w:pPr>
        <w:pStyle w:val="TextBody"/>
        <w:bidi w:val="0"/>
        <w:spacing w:before="0" w:after="240"/>
        <w:ind w:left="0" w:right="0" w:firstLine="720"/>
        <w:jc w:val="both"/>
        <w:rPr/>
      </w:pPr>
      <w:r>
        <w:rPr/>
        <w:t>“</w:t>
      </w:r>
      <w:r>
        <w:rPr>
          <w:rFonts w:ascii="Times" w:hAnsi="Times"/>
          <w:i/>
          <w:sz w:val="24"/>
        </w:rPr>
        <w:t>Loan Documents”</w:t>
      </w:r>
      <w:r>
        <w:rPr>
          <w:rFonts w:ascii="Times New Roman;Times;serif" w:hAnsi="Times New Roman;Times;serif"/>
          <w:sz w:val="24"/>
        </w:rPr>
        <w:t xml:space="preserve"> </w:t>
      </w:r>
      <w:r>
        <w:rPr>
          <w:rFonts w:ascii="Times" w:hAnsi="Times"/>
          <w:sz w:val="24"/>
        </w:rPr>
        <w:t>means this Agreement, the Notes (if any), the Guaranties, each Incremental Term Loan Amendment, and each 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pStyle w:val="TextBody"/>
        <w:bidi w:val="0"/>
        <w:spacing w:before="0" w:after="240"/>
        <w:ind w:left="0" w:right="0" w:firstLine="720"/>
        <w:jc w:val="both"/>
        <w:rPr/>
      </w:pPr>
      <w:r>
        <w:rPr/>
        <w:t>“</w:t>
      </w:r>
      <w:r>
        <w:rPr>
          <w:rFonts w:ascii="Times" w:hAnsi="Times"/>
          <w:i/>
          <w:sz w:val="24"/>
        </w:rPr>
        <w:t>Material Acquisition</w:t>
      </w:r>
      <w:r>
        <w:rPr>
          <w:rFonts w:ascii="Times New Roman;Times;serif" w:hAnsi="Times New Roman;Times;serif"/>
          <w:sz w:val="24"/>
        </w:rPr>
        <w:t xml:space="preserve">” </w:t>
      </w:r>
      <w:r>
        <w:rPr>
          <w:rFonts w:ascii="Times" w:hAnsi="Times"/>
          <w:sz w:val="24"/>
        </w:rPr>
        <w:t>means any single transaction or series of related transactions for the purpose of, or resulting, directly or indirectly, in, the acquisition (including, without limitation, a merger or consolidation or any other combination with another Person) of a Person or assets by the Parent (directly or indirectly) that has a gross purchase price equal to or greater than ten percent (10.0%) of the then current Total Asset Value (without giving effect to such transactions).</w:t>
      </w:r>
    </w:p>
    <w:p>
      <w:pPr>
        <w:pStyle w:val="TextBody"/>
        <w:bidi w:val="0"/>
        <w:spacing w:before="0" w:after="240"/>
        <w:ind w:left="0" w:right="0" w:firstLine="720"/>
        <w:jc w:val="both"/>
        <w:rPr/>
      </w:pPr>
      <w:r>
        <w:rPr/>
        <w:t>“</w:t>
      </w:r>
      <w:r>
        <w:rPr>
          <w:rFonts w:ascii="Times" w:hAnsi="Times"/>
          <w:i/>
          <w:sz w:val="24"/>
        </w:rPr>
        <w:t>Material Adverse Effect”</w:t>
      </w:r>
      <w:r>
        <w:rPr>
          <w:rFonts w:ascii="Times New Roman;Times;serif" w:hAnsi="Times New Roman;Times;serif"/>
          <w:sz w:val="24"/>
        </w:rPr>
        <w:t xml:space="preserve"> </w:t>
      </w:r>
      <w:r>
        <w:rPr>
          <w:rFonts w:ascii="Times" w:hAnsi="Times"/>
          <w:sz w:val="24"/>
        </w:rPr>
        <w:t xml:space="preserve">means (a) a material adverse change in, or material adverse effect upon, the operations, business, Property, </w:t>
      </w:r>
      <w:bookmarkStart w:id="1988" w:name="_cp_change_2621"/>
      <w:bookmarkEnd w:id="1988"/>
      <w:r>
        <w:rPr>
          <w:rFonts w:ascii="Times" w:hAnsi="Times"/>
          <w:color w:val="0000FF"/>
          <w:sz w:val="24"/>
          <w:u w:val="single"/>
        </w:rPr>
        <w:t xml:space="preserve">assets, </w:t>
      </w:r>
      <w:r>
        <w:rPr>
          <w:rFonts w:ascii="Times" w:hAnsi="Times"/>
          <w:sz w:val="24"/>
        </w:rPr>
        <w:t>or financial condition of the Parent or of the Parent and its Subsidiaries taken as a whole, (b) a material impairment of the ability of the Borrower or any Guarantor to perform its obligations under any Loan Document or (c) a material adverse effect upon the legality, validity, binding effect or enforceability against the Borrower or any Guarantor of any Loan Document or the rights and remedies of the Administrative Agent and the Lenders thereunder.</w:t>
      </w:r>
    </w:p>
    <w:p>
      <w:pPr>
        <w:pStyle w:val="TextBody"/>
        <w:bidi w:val="0"/>
        <w:spacing w:before="0" w:after="240"/>
        <w:ind w:left="0" w:right="0" w:firstLine="720"/>
        <w:jc w:val="both"/>
        <w:rPr/>
      </w:pPr>
      <w:r>
        <w:rPr/>
        <w:t>“</w:t>
      </w:r>
      <w:r>
        <w:rPr>
          <w:rFonts w:ascii="Times" w:hAnsi="Times"/>
          <w:i/>
          <w:sz w:val="24"/>
        </w:rPr>
        <w:t>Material Subsidiary”</w:t>
      </w:r>
      <w:r>
        <w:rPr>
          <w:rFonts w:ascii="Times New Roman;Times;serif" w:hAnsi="Times New Roman;Times;serif"/>
          <w:sz w:val="24"/>
        </w:rPr>
        <w:t xml:space="preserve"> </w:t>
      </w:r>
      <w:r>
        <w:rPr>
          <w:rFonts w:ascii="Times" w:hAnsi="Times"/>
          <w:sz w:val="24"/>
        </w:rPr>
        <w:t xml:space="preserve">means, each Subsidiary that owns an Eligible </w:t>
      </w:r>
      <w:bookmarkStart w:id="1989" w:name="_cp_change_2631"/>
      <w:bookmarkEnd w:id="1989"/>
      <w:r>
        <w:rPr>
          <w:rFonts w:ascii="Times" w:hAnsi="Times"/>
          <w:color w:val="FF0000"/>
          <w:sz w:val="24"/>
        </w:rPr>
        <w:t>Property</w:t>
      </w:r>
      <w:bookmarkStart w:id="1990" w:name="_cp_change_264"/>
      <w:bookmarkEnd w:id="1990"/>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included in the Unencumbered Asset Value.</w:t>
      </w:r>
    </w:p>
    <w:p>
      <w:pPr>
        <w:pStyle w:val="TextBody"/>
        <w:bidi w:val="0"/>
        <w:spacing w:before="0" w:after="240"/>
        <w:ind w:left="0" w:right="0" w:firstLine="720"/>
        <w:jc w:val="both"/>
        <w:rPr/>
      </w:pPr>
      <w:r>
        <w:rPr/>
        <w:t>“</w:t>
      </w:r>
      <w:r>
        <w:rPr>
          <w:rFonts w:ascii="Times" w:hAnsi="Times"/>
          <w:i/>
          <w:sz w:val="24"/>
        </w:rPr>
        <w:t>Maturity Date</w:t>
      </w:r>
      <w:r>
        <w:rPr>
          <w:rFonts w:ascii="Times New Roman;Times;serif" w:hAnsi="Times New Roman;Times;serif"/>
          <w:sz w:val="24"/>
        </w:rPr>
        <w:t xml:space="preserve">” </w:t>
      </w:r>
      <w:r>
        <w:rPr>
          <w:rFonts w:ascii="Times" w:hAnsi="Times"/>
          <w:sz w:val="24"/>
        </w:rPr>
        <w:t>means (a) with respect to the Term Facility, a date that is sixty (60) months from the Closing Date, and (b) with respect to any Incremental Term Loan Facility, the maturity date for such Incremental Term Loan Facility as set forth in the applicable Incremental Term Loan Amendment; provided, however, that, in each case, if such date is not a Business Day, the Maturity Date shall be the next preceding Business Day.</w:t>
      </w:r>
    </w:p>
    <w:p>
      <w:pPr>
        <w:pStyle w:val="TextBody"/>
        <w:bidi w:val="0"/>
        <w:spacing w:before="0" w:after="240"/>
        <w:ind w:left="0" w:right="0" w:firstLine="720"/>
        <w:jc w:val="both"/>
        <w:rPr/>
      </w:pPr>
      <w:r>
        <w:rPr/>
        <w:t>“</w:t>
      </w:r>
      <w:r>
        <w:rPr>
          <w:rFonts w:ascii="Times" w:hAnsi="Times"/>
          <w:i/>
          <w:sz w:val="24"/>
        </w:rPr>
        <w:t>Moody’s”</w:t>
      </w:r>
      <w:r>
        <w:rPr>
          <w:rFonts w:ascii="Times New Roman;Times;serif" w:hAnsi="Times New Roman;Times;serif"/>
          <w:sz w:val="24"/>
        </w:rPr>
        <w:t xml:space="preserve"> </w:t>
      </w:r>
      <w:r>
        <w:rPr>
          <w:rFonts w:ascii="Times" w:hAnsi="Times"/>
          <w:sz w:val="24"/>
        </w:rPr>
        <w:t>means Moody’s Investors Service, Inc., or any successor thereof.</w:t>
      </w:r>
      <w:r>
        <w:rPr>
          <w:rFonts w:ascii="Times New Roman;Times;serif" w:hAnsi="Times New Roman;Times;serif"/>
          <w:sz w:val="24"/>
        </w:rPr>
        <w:t xml:space="preserve"> </w:t>
      </w:r>
    </w:p>
    <w:p>
      <w:pPr>
        <w:pStyle w:val="TextBody"/>
        <w:bidi w:val="0"/>
        <w:spacing w:before="0" w:after="240"/>
        <w:ind w:left="0" w:right="0" w:firstLine="720"/>
        <w:jc w:val="both"/>
        <w:rPr/>
      </w:pPr>
      <w:bookmarkStart w:id="1991" w:name="_cp_change_266"/>
      <w:bookmarkEnd w:id="1991"/>
      <w:r>
        <w:rPr>
          <w:color w:val="0000FF"/>
          <w:u w:val="single"/>
        </w:rPr>
        <w:t>“</w:t>
      </w:r>
      <w:r>
        <w:rPr>
          <w:rFonts w:ascii="Times" w:hAnsi="Times"/>
          <w:i/>
          <w:color w:val="0000FF"/>
          <w:sz w:val="24"/>
        </w:rPr>
        <w:t>Mortgage Receivable</w:t>
      </w:r>
      <w:r>
        <w:rPr>
          <w:rFonts w:ascii="Times New Roman;Times;serif" w:hAnsi="Times New Roman;Times;serif"/>
          <w:color w:val="0000FF"/>
          <w:sz w:val="24"/>
          <w:u w:val="single"/>
        </w:rPr>
        <w:t xml:space="preserve">” </w:t>
      </w:r>
      <w:r>
        <w:rPr>
          <w:rFonts w:ascii="Times" w:hAnsi="Times"/>
          <w:color w:val="0000FF"/>
          <w:sz w:val="24"/>
          <w:u w:val="single"/>
        </w:rPr>
        <w:t>means a note receivable representing indebtedness owed to the Borrower or one of the Parent’s Subsidiaries which is secured by a mortgage, deed of trust, deed to secure debt or other similar instrument granting a Lien (subject only to Permitted Liens) as security for the payment of such indebtedness on one or more Properties having a value in excess of the amount of such indebtedness.</w:t>
      </w:r>
      <w:bookmarkStart w:id="1992" w:name="_cp_change_2651"/>
      <w:bookmarkEnd w:id="1992"/>
    </w:p>
    <w:p>
      <w:pPr>
        <w:pStyle w:val="TextBody"/>
        <w:bidi w:val="0"/>
        <w:spacing w:before="0" w:after="240"/>
        <w:ind w:left="0" w:right="0" w:firstLine="720"/>
        <w:jc w:val="both"/>
        <w:rPr/>
      </w:pPr>
      <w:r>
        <w:rPr/>
        <w:t>“</w:t>
      </w:r>
      <w:r>
        <w:rPr>
          <w:rFonts w:ascii="Times" w:hAnsi="Times"/>
          <w:i/>
          <w:sz w:val="24"/>
        </w:rPr>
        <w:t>MSA”</w:t>
      </w:r>
      <w:r>
        <w:rPr>
          <w:rFonts w:ascii="Times New Roman;Times;serif" w:hAnsi="Times New Roman;Times;serif"/>
          <w:sz w:val="24"/>
        </w:rPr>
        <w:t xml:space="preserve"> </w:t>
      </w:r>
      <w:r>
        <w:rPr>
          <w:rFonts w:ascii="Times" w:hAnsi="Times"/>
          <w:sz w:val="24"/>
        </w:rPr>
        <w:t>means any major metropolitan area of the United States of America that has a population size that is in the fifty (50) largest metropolitan areas of the United States of America.</w:t>
      </w:r>
    </w:p>
    <w:p>
      <w:pPr>
        <w:pStyle w:val="TextBody"/>
        <w:bidi w:val="0"/>
        <w:spacing w:before="0" w:after="240"/>
        <w:ind w:left="0" w:right="0" w:firstLine="720"/>
        <w:jc w:val="both"/>
        <w:rPr/>
      </w:pPr>
      <w:r>
        <w:rPr/>
        <w:t>“</w:t>
      </w:r>
      <w:r>
        <w:rPr>
          <w:rFonts w:ascii="Times" w:hAnsi="Times"/>
          <w:i/>
          <w:sz w:val="24"/>
        </w:rPr>
        <w:t>Note”</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Notes”</w:t>
      </w:r>
      <w:r>
        <w:rPr>
          <w:rFonts w:ascii="Times New Roman;Times;serif" w:hAnsi="Times New Roman;Times;serif"/>
          <w:sz w:val="24"/>
        </w:rPr>
        <w:t xml:space="preserve"> </w:t>
      </w:r>
      <w:r>
        <w:rPr>
          <w:rFonts w:ascii="Times" w:hAnsi="Times"/>
          <w:sz w:val="24"/>
        </w:rPr>
        <w:t>are defined in Section 1.10(d)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Obligations”</w:t>
      </w:r>
      <w:r>
        <w:rPr>
          <w:rFonts w:ascii="Times New Roman;Times;serif" w:hAnsi="Times New Roman;Times;serif"/>
          <w:sz w:val="24"/>
        </w:rPr>
        <w:t xml:space="preserve"> </w:t>
      </w:r>
      <w:r>
        <w:rPr>
          <w:rFonts w:ascii="Times" w:hAnsi="Times"/>
          <w:sz w:val="24"/>
        </w:rPr>
        <w:t>means all obligations of the Borrower to pay principal and interest on the Loans, 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pStyle w:val="TextBody"/>
        <w:bidi w:val="0"/>
        <w:spacing w:before="0" w:after="240"/>
        <w:ind w:left="0" w:right="0" w:firstLine="720"/>
        <w:jc w:val="both"/>
        <w:rPr/>
      </w:pPr>
      <w:r>
        <w:rPr/>
        <w:t>“</w:t>
      </w:r>
      <w:r>
        <w:rPr>
          <w:rFonts w:ascii="Times" w:hAnsi="Times"/>
          <w:i/>
          <w:sz w:val="24"/>
        </w:rPr>
        <w:t>Occupancy Rate”</w:t>
      </w:r>
      <w:r>
        <w:rPr>
          <w:rFonts w:ascii="Times New Roman;Times;serif" w:hAnsi="Times New Roman;Times;serif"/>
          <w:sz w:val="24"/>
        </w:rPr>
        <w:t xml:space="preserve"> </w:t>
      </w:r>
      <w:r>
        <w:rPr>
          <w:rFonts w:ascii="Times" w:hAnsi="Times"/>
          <w:sz w:val="24"/>
        </w:rPr>
        <w:t xml:space="preserve">means for any Property, the percentage of the rentable square footage of such Property occupied by bona fide Tenants of such Property or leased by such Tenants pursuant to bona fide Tenant Leases, in each case, which Tenants (a) are not more than 60 days in arrears or “materially past due” (in accordance with customary commercial practice) on base rental or other similar payments due under the Leases and (b) are not subject to a then continuing Bankruptcy Event, or if subject to a then continuing Bankruptcy Event (i) the trustee in bankruptcy of such tenant shall have accepted and assumed such Lease or the Tenant shall be in compliance with the rental payments described above in </w:t>
      </w:r>
      <w:r>
        <w:rPr>
          <w:rFonts w:ascii="Times" w:hAnsi="Times"/>
          <w:i/>
          <w:sz w:val="24"/>
        </w:rPr>
        <w:t>clause (a)</w:t>
      </w:r>
      <w:r>
        <w:rPr>
          <w:rFonts w:ascii="Times" w:hAnsi="Times"/>
          <w:sz w:val="24"/>
        </w:rPr>
        <w:t>;</w:t>
      </w:r>
      <w:r>
        <w:rPr>
          <w:rFonts w:ascii="Times New Roman;Times;serif" w:hAnsi="Times New Roman;Times;serif"/>
          <w:sz w:val="24"/>
        </w:rPr>
        <w:t xml:space="preserve"> </w:t>
      </w:r>
      <w:r>
        <w:rPr>
          <w:rFonts w:ascii="Times" w:hAnsi="Times"/>
          <w:sz w:val="24"/>
        </w:rPr>
        <w:t>(ii)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pStyle w:val="TextBody"/>
        <w:bidi w:val="0"/>
        <w:spacing w:before="0" w:after="240"/>
        <w:ind w:left="0" w:right="0" w:firstLine="720"/>
        <w:jc w:val="both"/>
        <w:rPr/>
      </w:pPr>
      <w:r>
        <w:rPr/>
        <w:t>“</w:t>
      </w:r>
      <w:r>
        <w:rPr>
          <w:rFonts w:ascii="Times" w:hAnsi="Times"/>
          <w:i/>
          <w:sz w:val="24"/>
        </w:rPr>
        <w:t>OFAC</w:t>
      </w:r>
      <w:r>
        <w:rPr>
          <w:rFonts w:ascii="Times New Roman;Times;serif" w:hAnsi="Times New Roman;Times;serif"/>
          <w:sz w:val="24"/>
        </w:rPr>
        <w:t xml:space="preserve">” </w:t>
      </w:r>
      <w:r>
        <w:rPr>
          <w:rFonts w:ascii="Times" w:hAnsi="Times"/>
          <w:sz w:val="24"/>
        </w:rPr>
        <w:t>means the United States Department of Treasury Office of Foreign Assets Control.</w:t>
      </w:r>
    </w:p>
    <w:p>
      <w:pPr>
        <w:pStyle w:val="TextBody"/>
        <w:bidi w:val="0"/>
        <w:spacing w:before="0" w:after="240"/>
        <w:ind w:left="0" w:right="0" w:firstLine="720"/>
        <w:jc w:val="both"/>
        <w:rPr/>
      </w:pPr>
      <w:r>
        <w:rPr/>
        <w:t>“</w:t>
      </w:r>
      <w:r>
        <w:rPr>
          <w:rFonts w:ascii="Times" w:hAnsi="Times"/>
          <w:i/>
          <w:sz w:val="24"/>
        </w:rPr>
        <w:t>OFAC Event</w:t>
      </w:r>
      <w:r>
        <w:rPr>
          <w:rFonts w:ascii="Times New Roman;Times;serif" w:hAnsi="Times New Roman;Times;serif"/>
          <w:sz w:val="24"/>
        </w:rPr>
        <w:t xml:space="preserve">” </w:t>
      </w:r>
      <w:r>
        <w:rPr>
          <w:rFonts w:ascii="Times" w:hAnsi="Times"/>
          <w:sz w:val="24"/>
        </w:rPr>
        <w:t>means the event specified in Section 8.13(c) hereof.</w:t>
      </w:r>
    </w:p>
    <w:p>
      <w:pPr>
        <w:pStyle w:val="TextBody"/>
        <w:bidi w:val="0"/>
        <w:spacing w:before="0" w:after="240"/>
        <w:ind w:left="0" w:right="0" w:firstLine="720"/>
        <w:jc w:val="both"/>
        <w:rPr/>
      </w:pPr>
      <w:r>
        <w:rPr/>
        <w:t>“</w:t>
      </w:r>
      <w:r>
        <w:rPr>
          <w:rFonts w:ascii="Times" w:hAnsi="Times"/>
          <w:i/>
          <w:sz w:val="24"/>
        </w:rPr>
        <w:t>OFAC Sanctions Programs</w:t>
      </w:r>
      <w:r>
        <w:rPr>
          <w:rFonts w:ascii="Times New Roman;Times;serif" w:hAnsi="Times New Roman;Times;serif"/>
          <w:sz w:val="24"/>
        </w:rPr>
        <w:t xml:space="preserve">” </w:t>
      </w:r>
      <w:r>
        <w:rPr>
          <w:rFonts w:ascii="Times" w:hAnsi="Times"/>
          <w:sz w:val="24"/>
        </w:rPr>
        <w:t xml:space="preserve">means all laws, regulations, and Executive Orders administered by OFAC, including without limitation, the Bank Secrecy Act, anti-money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 </w:t>
      </w:r>
    </w:p>
    <w:p>
      <w:pPr>
        <w:pStyle w:val="TextBody"/>
        <w:bidi w:val="0"/>
        <w:spacing w:before="0" w:after="240"/>
        <w:ind w:left="0" w:right="0" w:firstLine="720"/>
        <w:jc w:val="both"/>
        <w:rPr/>
      </w:pPr>
      <w:r>
        <w:rPr/>
        <w:t>“</w:t>
      </w:r>
      <w:r>
        <w:rPr>
          <w:rFonts w:ascii="Times" w:hAnsi="Times"/>
          <w:i/>
          <w:sz w:val="24"/>
        </w:rPr>
        <w:t xml:space="preserve">Other Connection Taxes” </w:t>
      </w:r>
      <w:r>
        <w:rPr>
          <w:rFonts w:ascii="Times" w:hAnsi="Times"/>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both"/>
        <w:rPr/>
      </w:pPr>
      <w:r>
        <w:rPr/>
        <w:t>“</w:t>
      </w:r>
      <w:r>
        <w:rPr>
          <w:rFonts w:ascii="Times" w:hAnsi="Times"/>
          <w:i/>
          <w:sz w:val="24"/>
        </w:rPr>
        <w:t>Other Taxes</w:t>
      </w:r>
      <w:r>
        <w:rPr>
          <w:rFonts w:ascii="Times New Roman;Times;serif" w:hAnsi="Times New Roman;Times;serif"/>
          <w:sz w:val="24"/>
        </w:rPr>
        <w:t xml:space="preserve">” </w:t>
      </w:r>
      <w:r>
        <w:rPr>
          <w:rFonts w:ascii="Times" w:hAnsi="Times"/>
          <w:sz w:val="24"/>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w:t>
      </w:r>
      <w:r>
        <w:rPr>
          <w:rFonts w:ascii="Times New Roman;Times;serif" w:hAnsi="Times New Roman;Times;serif"/>
          <w:sz w:val="24"/>
        </w:rPr>
        <w:t xml:space="preserve"> </w:t>
      </w:r>
      <w:r>
        <w:rPr>
          <w:rFonts w:ascii="Times" w:hAnsi="Times"/>
          <w:sz w:val="24"/>
        </w:rPr>
        <w:t>pursuant to Section 1.13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Other Unsecured Indebtedness” </w:t>
      </w:r>
      <w:r>
        <w:rPr>
          <w:rFonts w:ascii="Times" w:hAnsi="Times"/>
          <w:sz w:val="24"/>
        </w:rPr>
        <w:t xml:space="preserve">means any Unsecured Indebtedness (not including the Obligations) that is </w:t>
      </w:r>
      <w:r>
        <w:rPr>
          <w:rFonts w:ascii="Times" w:hAnsi="Times"/>
          <w:i/>
          <w:sz w:val="24"/>
        </w:rPr>
        <w:t>pari passu</w:t>
      </w:r>
      <w:r>
        <w:rPr>
          <w:rFonts w:ascii="Times New Roman;Times;serif" w:hAnsi="Times New Roman;Times;serif"/>
          <w:sz w:val="24"/>
        </w:rPr>
        <w:t xml:space="preserve"> </w:t>
      </w:r>
      <w:r>
        <w:rPr>
          <w:rFonts w:ascii="Times" w:hAnsi="Times"/>
          <w:sz w:val="24"/>
        </w:rPr>
        <w:t>with or structurally senior to the Obligations and is recourse to the Borrower.</w:t>
      </w:r>
    </w:p>
    <w:p>
      <w:pPr>
        <w:pStyle w:val="TextBody"/>
        <w:bidi w:val="0"/>
        <w:spacing w:before="0" w:after="240"/>
        <w:ind w:left="0" w:right="0" w:firstLine="720"/>
        <w:jc w:val="both"/>
        <w:rPr/>
      </w:pPr>
      <w:r>
        <w:rPr/>
        <w:t>“</w:t>
      </w:r>
      <w:r>
        <w:rPr>
          <w:rFonts w:ascii="Times" w:hAnsi="Times"/>
          <w:i/>
          <w:sz w:val="24"/>
        </w:rPr>
        <w:t>Parent”</w:t>
      </w:r>
      <w:r>
        <w:rPr>
          <w:rFonts w:ascii="Times New Roman;Times;serif" w:hAnsi="Times New Roman;Times;serif"/>
          <w:sz w:val="24"/>
        </w:rPr>
        <w:t xml:space="preserve"> </w:t>
      </w:r>
      <w:r>
        <w:rPr>
          <w:rFonts w:ascii="Times" w:hAnsi="Times"/>
          <w:sz w:val="24"/>
        </w:rPr>
        <w:t>is defined in the introductory paragraph of this Agreement.</w:t>
      </w:r>
    </w:p>
    <w:p>
      <w:pPr>
        <w:pStyle w:val="TextBody"/>
        <w:bidi w:val="0"/>
        <w:spacing w:lineRule="atLeast" w:line="280" w:before="280" w:after="0"/>
        <w:ind w:left="0" w:right="0" w:firstLine="720"/>
        <w:jc w:val="both"/>
        <w:rPr/>
      </w:pPr>
      <w:r>
        <w:rPr/>
        <w:t>“</w:t>
      </w:r>
      <w:r>
        <w:rPr>
          <w:rFonts w:ascii="Times New Roman;Times;serif" w:hAnsi="Times New Roman;Times;serif"/>
          <w:i/>
          <w:sz w:val="24"/>
        </w:rPr>
        <w:t>Patriot Act”</w:t>
      </w:r>
      <w:r>
        <w:rPr>
          <w:rFonts w:ascii="Times New Roman;Times;serif" w:hAnsi="Times New Roman;Times;serif"/>
          <w:sz w:val="24"/>
        </w:rPr>
        <w:t xml:space="preserve"> means the Uniting and Strengthening America by Providing Appropriate Tools Required to Intercept and Obstruct Terrorism Act of 2001, Pub. L. 107-56.</w:t>
      </w:r>
    </w:p>
    <w:p>
      <w:pPr>
        <w:pStyle w:val="TextBody"/>
        <w:bidi w:val="0"/>
        <w:spacing w:lineRule="atLeast" w:line="280" w:before="280" w:after="0"/>
        <w:ind w:left="0" w:right="0" w:firstLine="720"/>
        <w:jc w:val="both"/>
        <w:rPr/>
      </w:pPr>
      <w:r>
        <w:rPr/>
        <w:t>“</w:t>
      </w:r>
      <w:r>
        <w:rPr>
          <w:rFonts w:ascii="Times New Roman;Times;serif" w:hAnsi="Times New Roman;Times;serif"/>
          <w:i/>
          <w:sz w:val="24"/>
        </w:rPr>
        <w:t>Payment Recipient</w:t>
      </w:r>
      <w:r>
        <w:rPr>
          <w:rFonts w:ascii="Times New Roman;Times;serif" w:hAnsi="Times New Roman;Times;serif"/>
          <w:sz w:val="24"/>
        </w:rPr>
        <w:t>” has the meaning assigned to such term in Section 12.30(a).</w:t>
      </w:r>
    </w:p>
    <w:p>
      <w:pPr>
        <w:pStyle w:val="TextBody"/>
        <w:bidi w:val="0"/>
        <w:spacing w:lineRule="atLeast" w:line="280" w:before="280" w:after="0"/>
        <w:ind w:left="0" w:right="0" w:firstLine="720"/>
        <w:jc w:val="both"/>
        <w:rPr/>
      </w:pPr>
      <w:r>
        <w:rPr/>
        <w:t>“</w:t>
      </w:r>
      <w:r>
        <w:rPr>
          <w:rFonts w:ascii="Times New Roman;Times;serif" w:hAnsi="Times New Roman;Times;serif"/>
          <w:i/>
          <w:sz w:val="24"/>
        </w:rPr>
        <w:t>PBGC”</w:t>
      </w:r>
      <w:r>
        <w:rPr>
          <w:rFonts w:ascii="Times New Roman;Times;serif" w:hAnsi="Times New Roman;Times;serif"/>
          <w:sz w:val="24"/>
        </w:rPr>
        <w:t xml:space="preserve"> means the Pension Benefit Guaranty Corporation or any Person succeeding to any or all of its functions under ERISA.</w:t>
      </w:r>
    </w:p>
    <w:p>
      <w:pPr>
        <w:pStyle w:val="TextBody"/>
        <w:bidi w:val="0"/>
        <w:spacing w:lineRule="atLeast" w:line="280" w:before="280" w:after="240"/>
        <w:ind w:left="0" w:right="0" w:firstLine="720"/>
        <w:jc w:val="both"/>
        <w:rPr/>
      </w:pPr>
      <w:r>
        <w:rPr/>
        <w:t>“</w:t>
      </w:r>
      <w:r>
        <w:rPr>
          <w:rFonts w:ascii="Times New Roman;Times;serif" w:hAnsi="Times New Roman;Times;serif"/>
          <w:i/>
          <w:sz w:val="24"/>
        </w:rPr>
        <w:t>Permitted Liens”</w:t>
      </w:r>
      <w:r>
        <w:rPr>
          <w:rFonts w:ascii="Times New Roman;Times;serif" w:hAnsi="Times New Roman;Times;serif"/>
          <w:sz w:val="24"/>
        </w:rPr>
        <w:t xml:space="preserve"> means each of the following:  (a) Liens for taxes, assessments and governmental 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 (d) 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 (f) 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Closing Date and set forth in Schedule 8.7; and (l) Liens on Properties </w:t>
      </w:r>
      <w:bookmarkStart w:id="1993" w:name="_cp_change_267"/>
      <w:bookmarkEnd w:id="1993"/>
      <w:r>
        <w:rPr>
          <w:rFonts w:ascii="Times New Roman;Times;serif" w:hAnsi="Times New Roman;Times;serif"/>
          <w:color w:val="0000FF"/>
          <w:sz w:val="24"/>
          <w:u w:val="single"/>
        </w:rPr>
        <w:t xml:space="preserve">and other assets </w:t>
      </w:r>
      <w:r>
        <w:rPr>
          <w:rFonts w:ascii="Times New Roman;Times;serif" w:hAnsi="Times New Roman;Times;serif"/>
          <w:sz w:val="24"/>
        </w:rPr>
        <w:t>that are not Unencumbered Assets. For the avoidance of doubt, no Ground Lease with the Borrower or a Subsidiary thereof as lessor may be made subordinate to any Liens or Indebtedness of any Person without the prior written consent of the Administrative Agent.</w:t>
      </w:r>
    </w:p>
    <w:p>
      <w:pPr>
        <w:pStyle w:val="TextBody"/>
        <w:bidi w:val="0"/>
        <w:spacing w:before="0" w:after="240"/>
        <w:ind w:left="0" w:right="0" w:firstLine="720"/>
        <w:jc w:val="both"/>
        <w:rPr/>
      </w:pPr>
      <w:r>
        <w:rPr/>
        <w:t>“</w:t>
      </w:r>
      <w:r>
        <w:rPr>
          <w:rFonts w:ascii="Times" w:hAnsi="Times"/>
          <w:i/>
          <w:sz w:val="24"/>
        </w:rPr>
        <w:t>Person”</w:t>
      </w:r>
      <w:r>
        <w:rPr>
          <w:rFonts w:ascii="Times New Roman;Times;serif" w:hAnsi="Times New Roman;Times;serif"/>
          <w:sz w:val="24"/>
        </w:rPr>
        <w:t xml:space="preserve"> </w:t>
      </w:r>
      <w:r>
        <w:rPr>
          <w:rFonts w:ascii="Times" w:hAnsi="Times"/>
          <w:sz w:val="24"/>
        </w:rPr>
        <w:t>means an individual, partnership, corporation, limited liability company, association, trust, unincorporated organization or any other entity or organization, including a government or agency or political subdivision thereof.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Plan”</w:t>
      </w:r>
      <w:r>
        <w:rPr>
          <w:rFonts w:ascii="Times New Roman;Times;serif" w:hAnsi="Times New Roman;Times;serif"/>
          <w:sz w:val="24"/>
        </w:rPr>
        <w:t xml:space="preserve"> </w:t>
      </w:r>
      <w:r>
        <w:rPr>
          <w:rFonts w:ascii="Times" w:hAnsi="Times"/>
          <w:sz w:val="24"/>
        </w:rPr>
        <w:t>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pStyle w:val="TextBody"/>
        <w:bidi w:val="0"/>
        <w:spacing w:before="0" w:after="240"/>
        <w:ind w:left="0" w:right="0" w:firstLine="720"/>
        <w:jc w:val="both"/>
        <w:rPr/>
      </w:pPr>
      <w:r>
        <w:rPr/>
        <w:t>“</w:t>
      </w:r>
      <w:r>
        <w:rPr>
          <w:rFonts w:ascii="Times" w:hAnsi="Times"/>
          <w:i/>
          <w:sz w:val="24"/>
        </w:rPr>
        <w:t xml:space="preserve">Property” </w:t>
      </w:r>
      <w:r>
        <w:rPr>
          <w:rFonts w:ascii="Times" w:hAnsi="Times"/>
          <w:sz w:val="24"/>
        </w:rPr>
        <w:t>or</w:t>
      </w:r>
      <w:r>
        <w:rPr>
          <w:rFonts w:ascii="Times New Roman;Times;serif" w:hAnsi="Times New Roman;Times;serif"/>
          <w:sz w:val="24"/>
        </w:rPr>
        <w:t xml:space="preserve"> “</w:t>
      </w:r>
      <w:r>
        <w:rPr>
          <w:rFonts w:ascii="Times" w:hAnsi="Times"/>
          <w:i/>
          <w:sz w:val="24"/>
        </w:rPr>
        <w:t>Properties”</w:t>
      </w:r>
      <w:r>
        <w:rPr>
          <w:rFonts w:ascii="Times New Roman;Times;serif" w:hAnsi="Times New Roman;Times;serif"/>
          <w:sz w:val="24"/>
        </w:rPr>
        <w:t xml:space="preserve"> </w:t>
      </w:r>
      <w:r>
        <w:rPr>
          <w:rFonts w:ascii="Times" w:hAnsi="Times"/>
          <w:sz w:val="24"/>
        </w:rPr>
        <w:t xml:space="preserve">means, as to any Person, all </w:t>
      </w:r>
      <w:bookmarkStart w:id="1994" w:name="_cp_change_268"/>
      <w:bookmarkEnd w:id="1994"/>
      <w:r>
        <w:rPr>
          <w:rFonts w:ascii="Times" w:hAnsi="Times"/>
          <w:color w:val="FF0000"/>
          <w:sz w:val="24"/>
        </w:rPr>
        <w:t xml:space="preserve">types </w:t>
      </w:r>
      <w:r>
        <w:rPr>
          <w:rFonts w:ascii="Times" w:hAnsi="Times"/>
          <w:sz w:val="24"/>
        </w:rPr>
        <w:t xml:space="preserve">of </w:t>
      </w:r>
      <w:bookmarkStart w:id="1995" w:name="_cp_change_269"/>
      <w:bookmarkEnd w:id="1995"/>
      <w:r>
        <w:rPr>
          <w:rFonts w:ascii="Times" w:hAnsi="Times"/>
          <w:color w:val="0000FF"/>
          <w:sz w:val="24"/>
          <w:u w:val="single"/>
        </w:rPr>
        <w:t xml:space="preserve">of its </w:t>
      </w:r>
      <w:r>
        <w:rPr>
          <w:rFonts w:ascii="Times" w:hAnsi="Times"/>
          <w:sz w:val="24"/>
        </w:rPr>
        <w:t>real</w:t>
      </w:r>
      <w:bookmarkStart w:id="1996" w:name="_cp_change_2701"/>
      <w:bookmarkEnd w:id="1996"/>
      <w:r>
        <w:rPr>
          <w:rFonts w:ascii="Times" w:hAnsi="Times"/>
          <w:color w:val="FF0000"/>
          <w:sz w:val="24"/>
        </w:rPr>
        <w:t xml:space="preserve">, personal, tangible, intangible or mixed </w:t>
      </w:r>
      <w:r>
        <w:rPr>
          <w:rFonts w:ascii="Times" w:hAnsi="Times"/>
          <w:sz w:val="24"/>
        </w:rPr>
        <w:t>property</w:t>
      </w:r>
      <w:bookmarkStart w:id="1997" w:name="_cp_change_271"/>
      <w:bookmarkEnd w:id="1997"/>
      <w:r>
        <w:rPr>
          <w:rFonts w:ascii="Times" w:hAnsi="Times"/>
          <w:color w:val="0000FF"/>
          <w:sz w:val="24"/>
          <w:u w:val="single"/>
        </w:rPr>
        <w:t>, land, improvements and fixtures</w:t>
      </w:r>
      <w:r>
        <w:rPr>
          <w:rFonts w:ascii="Times" w:hAnsi="Times"/>
          <w:sz w:val="24"/>
        </w:rPr>
        <w:t>, including property encumbered by Acceptable Leasehold Interests or Ground Leases, owned by such Person whether or not included in the most recent balance sheet of such Person and its subsidiaries under GAAP, including any Eligible Property owned by the Borrower or any of its Subsidiaries.</w:t>
      </w:r>
    </w:p>
    <w:p>
      <w:pPr>
        <w:pStyle w:val="TextBody"/>
        <w:bidi w:val="0"/>
        <w:spacing w:before="0" w:after="240"/>
        <w:ind w:left="0" w:right="0" w:firstLine="720"/>
        <w:jc w:val="both"/>
        <w:rPr/>
      </w:pPr>
      <w:r>
        <w:rPr/>
        <w:t>“</w:t>
      </w:r>
      <w:r>
        <w:rPr>
          <w:rFonts w:ascii="Times" w:hAnsi="Times"/>
          <w:i/>
          <w:sz w:val="24"/>
        </w:rPr>
        <w:t xml:space="preserve">Property Expenses” </w:t>
      </w:r>
      <w:r>
        <w:rPr>
          <w:rFonts w:ascii="Times" w:hAnsi="Times"/>
          <w:sz w:val="24"/>
        </w:rPr>
        <w:t>means the costs (including, but not limited to, payroll, taxes, assessments, insurance, utilities, landscaping and other similar charges) of operating and maintaining any Property, which are the responsibility of the Borrower or the applicable Guarantor that are not paid directly by the tenant, including without limitation, (1) rent payable under Ground Leases, (2) the Annual Capital Expenditure Reserve, and (3) the greater of (a) (i) 1% of rents for any retail net lease asset and (ii) 3% of rents for all other Properties and (b) actual management fees paid in cash, but excluding depreciation, amortization and interest costs.</w:t>
      </w:r>
    </w:p>
    <w:p>
      <w:pPr>
        <w:pStyle w:val="TextBody"/>
        <w:bidi w:val="0"/>
        <w:spacing w:before="0" w:after="240"/>
        <w:ind w:left="0" w:right="0" w:firstLine="720"/>
        <w:jc w:val="both"/>
        <w:rPr/>
      </w:pPr>
      <w:r>
        <w:rPr/>
        <w:t>“</w:t>
      </w:r>
      <w:r>
        <w:rPr>
          <w:rFonts w:ascii="Times" w:hAnsi="Times"/>
          <w:i/>
          <w:sz w:val="24"/>
        </w:rPr>
        <w:t>Property Income”</w:t>
      </w:r>
      <w:r>
        <w:rPr>
          <w:rFonts w:ascii="Times New Roman;Times;serif" w:hAnsi="Times New Roman;Times;serif"/>
          <w:sz w:val="24"/>
        </w:rPr>
        <w:t xml:space="preserve"> </w:t>
      </w:r>
      <w:r>
        <w:rPr>
          <w:rFonts w:ascii="Times" w:hAnsi="Times"/>
          <w:sz w:val="24"/>
        </w:rPr>
        <w:t>means cash rents (excluding non-cash straight-line rent) and other cash revenues received by the Borrower or a Guarantor in the ordinary course for any Property, but excluding security deposits and prepaid rent except to the extent applied in satisfaction of tenants’ obligations for rent.</w:t>
      </w:r>
    </w:p>
    <w:p>
      <w:pPr>
        <w:pStyle w:val="TextBody"/>
        <w:bidi w:val="0"/>
        <w:spacing w:before="0" w:after="240"/>
        <w:ind w:left="0" w:right="0" w:firstLine="720"/>
        <w:jc w:val="both"/>
        <w:rPr/>
      </w:pPr>
      <w:r>
        <w:rPr/>
        <w:t>“</w:t>
      </w:r>
      <w:r>
        <w:rPr>
          <w:rFonts w:ascii="Times" w:hAnsi="Times"/>
          <w:i/>
          <w:sz w:val="24"/>
        </w:rPr>
        <w:t>Property Net Operating Income”</w:t>
      </w:r>
      <w:r>
        <w:rPr>
          <w:rFonts w:ascii="Times New Roman;Times;serif" w:hAnsi="Times New Roman;Times;serif"/>
          <w:sz w:val="24"/>
        </w:rPr>
        <w:t xml:space="preserve"> </w:t>
      </w:r>
      <w:r>
        <w:rPr>
          <w:rFonts w:ascii="Times" w:hAnsi="Times"/>
          <w:sz w:val="24"/>
        </w:rPr>
        <w:t xml:space="preserve">or </w:t>
      </w:r>
      <w:r>
        <w:rPr>
          <w:rFonts w:ascii="Times New Roman;Times;serif" w:hAnsi="Times New Roman;Times;serif"/>
          <w:sz w:val="24"/>
        </w:rPr>
        <w:t>“</w:t>
      </w:r>
      <w:r>
        <w:rPr>
          <w:rFonts w:ascii="Times" w:hAnsi="Times"/>
          <w:i/>
          <w:sz w:val="24"/>
        </w:rPr>
        <w:t>Property NOI”</w:t>
      </w:r>
      <w:r>
        <w:rPr>
          <w:rFonts w:ascii="Times New Roman;Times;serif" w:hAnsi="Times New Roman;Times;serif"/>
          <w:sz w:val="24"/>
        </w:rPr>
        <w:t xml:space="preserve"> </w:t>
      </w:r>
      <w:r>
        <w:rPr>
          <w:rFonts w:ascii="Times" w:hAnsi="Times"/>
          <w:sz w:val="24"/>
        </w:rPr>
        <w:t xml:space="preserve">means, with respect to any Property for any Rolling Period (without duplication), the aggregate amount of (i) Property Income for such period </w:t>
      </w:r>
      <w:r>
        <w:rPr>
          <w:rFonts w:ascii="Times" w:hAnsi="Times"/>
          <w:i/>
          <w:sz w:val="24"/>
        </w:rPr>
        <w:t xml:space="preserve">minus </w:t>
      </w:r>
      <w:r>
        <w:rPr>
          <w:rFonts w:ascii="Times" w:hAnsi="Times"/>
          <w:sz w:val="24"/>
        </w:rPr>
        <w:t>(ii) Property Expenses for such period.  Pro forma adjustments shall be made for any Property acquired or sold during any period as if the acquisition or disposition occurred on the first day of the applicable period.</w:t>
      </w:r>
    </w:p>
    <w:p>
      <w:pPr>
        <w:pStyle w:val="TextBody"/>
        <w:bidi w:val="0"/>
        <w:spacing w:before="0" w:after="240"/>
        <w:ind w:left="0" w:right="0" w:firstLine="720"/>
        <w:jc w:val="both"/>
        <w:rPr/>
      </w:pPr>
      <w:r>
        <w:rPr/>
        <w:t>“</w:t>
      </w:r>
      <w:r>
        <w:rPr>
          <w:rFonts w:ascii="Times" w:hAnsi="Times"/>
          <w:i/>
          <w:sz w:val="24"/>
        </w:rPr>
        <w:t>Property Owner”</w:t>
      </w:r>
      <w:r>
        <w:rPr>
          <w:rFonts w:ascii="Times New Roman;Times;serif" w:hAnsi="Times New Roman;Times;serif"/>
          <w:sz w:val="24"/>
        </w:rPr>
        <w:t xml:space="preserve"> </w:t>
      </w:r>
      <w:r>
        <w:rPr>
          <w:rFonts w:ascii="Times" w:hAnsi="Times"/>
          <w:sz w:val="24"/>
        </w:rPr>
        <w:t>means the Person who owns fee title interest or leasehold interest pursuant to a Ground Lease in and to a Property.</w:t>
      </w:r>
    </w:p>
    <w:p>
      <w:pPr>
        <w:pStyle w:val="TextBody"/>
        <w:bidi w:val="0"/>
        <w:spacing w:before="0" w:after="240"/>
        <w:ind w:left="0" w:right="0" w:firstLine="720"/>
        <w:jc w:val="both"/>
        <w:rPr/>
      </w:pPr>
      <w:bookmarkStart w:id="1998" w:name="_cp_change_273"/>
      <w:bookmarkEnd w:id="1998"/>
      <w:r>
        <w:rPr>
          <w:color w:val="0000FF"/>
          <w:u w:val="single"/>
        </w:rPr>
        <w:t>“</w:t>
      </w:r>
      <w:r>
        <w:rPr>
          <w:rFonts w:ascii="Times" w:hAnsi="Times"/>
          <w:i/>
          <w:color w:val="0000FF"/>
          <w:sz w:val="24"/>
        </w:rPr>
        <w:t>Public Investments</w:t>
      </w:r>
      <w:r>
        <w:rPr>
          <w:rFonts w:ascii="Times New Roman;Times;serif" w:hAnsi="Times New Roman;Times;serif"/>
          <w:color w:val="0000FF"/>
          <w:sz w:val="24"/>
          <w:u w:val="single"/>
        </w:rPr>
        <w:t xml:space="preserve">” </w:t>
      </w:r>
      <w:r>
        <w:rPr>
          <w:rFonts w:ascii="Times" w:hAnsi="Times"/>
          <w:color w:val="0000FF"/>
          <w:sz w:val="24"/>
          <w:u w:val="single"/>
        </w:rPr>
        <w:t>is defined in Section Section 8.8(i) hereof.</w:t>
      </w:r>
      <w:bookmarkStart w:id="1999" w:name="_cp_change_272"/>
      <w:bookmarkEnd w:id="1999"/>
    </w:p>
    <w:p>
      <w:pPr>
        <w:pStyle w:val="TextBody"/>
        <w:bidi w:val="0"/>
        <w:spacing w:before="0" w:after="240"/>
        <w:ind w:left="0" w:right="0" w:firstLine="720"/>
        <w:jc w:val="both"/>
        <w:rPr/>
      </w:pPr>
      <w:r>
        <w:rPr/>
        <w:t>“</w:t>
      </w:r>
      <w:r>
        <w:rPr>
          <w:rFonts w:ascii="Times" w:hAnsi="Times"/>
          <w:i/>
          <w:sz w:val="24"/>
        </w:rPr>
        <w:t>Qualifying Counterparty” </w:t>
      </w:r>
      <w:r>
        <w:rPr>
          <w:rFonts w:ascii="Times" w:hAnsi="Times"/>
          <w:sz w:val="24"/>
        </w:rPr>
        <w:t>means, with respect to any Hedging Liability, any party that was a Lender or an Affiliate of a Lender under this Agreement</w:t>
      </w:r>
      <w:r>
        <w:rPr>
          <w:rFonts w:ascii="Times New Roman;Times;serif" w:hAnsi="Times New Roman;Times;serif"/>
          <w:sz w:val="24"/>
        </w:rPr>
        <w:t xml:space="preserve"> </w:t>
      </w:r>
      <w:r>
        <w:rPr>
          <w:rFonts w:ascii="Times" w:hAnsi="Times"/>
          <w:sz w:val="24"/>
        </w:rPr>
        <w:t>at the time the hedging arrangement giving rise to such Hedging Liability was entered into.</w:t>
      </w:r>
    </w:p>
    <w:p>
      <w:pPr>
        <w:pStyle w:val="TextBody"/>
        <w:bidi w:val="0"/>
        <w:spacing w:before="0" w:after="0"/>
        <w:ind w:left="0" w:right="0" w:firstLine="720"/>
        <w:jc w:val="both"/>
        <w:rPr/>
      </w:pPr>
      <w:r>
        <w:rPr/>
        <w:t>“</w:t>
      </w:r>
      <w:r>
        <w:rPr>
          <w:rFonts w:ascii="Times" w:hAnsi="Times"/>
          <w:i/>
          <w:sz w:val="24"/>
        </w:rPr>
        <w:t>Qualified ECP Guarantor</w:t>
      </w:r>
      <w:r>
        <w:rPr>
          <w:rFonts w:ascii="Times New Roman;Times;serif" w:hAnsi="Times New Roman;Times;serif"/>
          <w:sz w:val="24"/>
        </w:rPr>
        <w:t xml:space="preserve">” </w:t>
      </w:r>
      <w:r>
        <w:rPr>
          <w:rFonts w:ascii="Times" w:hAnsi="Times"/>
          <w:sz w:val="24"/>
        </w:rPr>
        <w:t xml:space="preserve">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participant” at such time by entering into a keepwell under Section 1a(18)(A)(v)(II) of the Commodity Exchange Act.</w:t>
      </w:r>
    </w:p>
    <w:p>
      <w:pPr>
        <w:pStyle w:val="TextBody"/>
        <w:bidi w:val="0"/>
        <w:spacing w:before="0" w:after="240"/>
        <w:ind w:left="0" w:right="0" w:firstLine="720"/>
        <w:jc w:val="both"/>
        <w:rPr/>
      </w:pPr>
      <w:r>
        <w:rPr/>
        <w:t>“</w:t>
      </w:r>
      <w:r>
        <w:rPr>
          <w:rFonts w:ascii="Times" w:hAnsi="Times"/>
          <w:i/>
          <w:sz w:val="24"/>
        </w:rPr>
        <w:t>Rating”</w:t>
      </w:r>
      <w:r>
        <w:rPr>
          <w:rFonts w:ascii="Times New Roman;Times;serif" w:hAnsi="Times New Roman;Times;serif"/>
          <w:sz w:val="24"/>
        </w:rPr>
        <w:t xml:space="preserve"> </w:t>
      </w:r>
      <w:r>
        <w:rPr>
          <w:rFonts w:ascii="Times" w:hAnsi="Times"/>
          <w:sz w:val="24"/>
        </w:rPr>
        <w:t>means the debt rating provided by S&amp;P, Moody’s  or Fitch with respect to the unsecured senior long-term non-credit enhanced debt of a Person.</w:t>
      </w:r>
    </w:p>
    <w:p>
      <w:pPr>
        <w:pStyle w:val="TextBody"/>
        <w:bidi w:val="0"/>
        <w:spacing w:before="0" w:after="240"/>
        <w:ind w:left="0" w:right="0" w:firstLine="720"/>
        <w:jc w:val="both"/>
        <w:rPr/>
      </w:pPr>
      <w:r>
        <w:rPr/>
        <w:t>“</w:t>
      </w:r>
      <w:r>
        <w:rPr>
          <w:rFonts w:ascii="Times" w:hAnsi="Times"/>
          <w:i/>
          <w:sz w:val="24"/>
        </w:rPr>
        <w:t>RCRA”</w:t>
      </w:r>
      <w:r>
        <w:rPr>
          <w:rFonts w:ascii="Times New Roman;Times;serif" w:hAnsi="Times New Roman;Times;serif"/>
          <w:sz w:val="24"/>
        </w:rPr>
        <w:t xml:space="preserve"> </w:t>
      </w:r>
      <w:r>
        <w:rPr>
          <w:rFonts w:ascii="Times" w:hAnsi="Times"/>
          <w:sz w:val="24"/>
        </w:rPr>
        <w:t>means the Solid Waste Disposal Act, as amended by the Resource Conservation and Recovery Act of 1976 and Hazardous and Solid Waste Amendments of 1984, 42 U.S.C. </w:t>
      </w:r>
      <w:r>
        <w:rPr>
          <w:rFonts w:ascii="Times" w:hAnsi="Times"/>
          <w:b/>
          <w:sz w:val="24"/>
        </w:rPr>
        <w:t>§§</w:t>
      </w:r>
      <w:r>
        <w:rPr>
          <w:rFonts w:ascii="Times" w:hAnsi="Times"/>
          <w:sz w:val="24"/>
        </w:rPr>
        <w:t xml:space="preserve">6901 </w:t>
      </w:r>
      <w:r>
        <w:rPr>
          <w:rFonts w:ascii="Times" w:hAnsi="Times"/>
          <w:i/>
          <w:sz w:val="24"/>
        </w:rPr>
        <w:t>et seq.</w:t>
      </w:r>
      <w:r>
        <w:rPr>
          <w:rFonts w:ascii="Times" w:hAnsi="Times"/>
          <w:sz w:val="24"/>
        </w:rPr>
        <w:t>, and any future amendments.</w:t>
      </w:r>
    </w:p>
    <w:p>
      <w:pPr>
        <w:pStyle w:val="TextBody"/>
        <w:bidi w:val="0"/>
        <w:spacing w:before="0" w:after="240"/>
        <w:ind w:left="0" w:right="0" w:firstLine="720"/>
        <w:jc w:val="both"/>
        <w:rPr/>
      </w:pPr>
      <w:bookmarkStart w:id="2000" w:name="_DV_C1494"/>
      <w:bookmarkEnd w:id="2000"/>
      <w:r>
        <w:rPr/>
        <w:t>“</w:t>
      </w:r>
      <w:r>
        <w:rPr>
          <w:rFonts w:ascii="Times" w:hAnsi="Times"/>
          <w:i/>
          <w:sz w:val="24"/>
        </w:rPr>
        <w:t>Recipient</w:t>
      </w:r>
      <w:r>
        <w:rPr>
          <w:rFonts w:ascii="Times New Roman;Times;serif" w:hAnsi="Times New Roman;Times;serif"/>
          <w:sz w:val="24"/>
        </w:rPr>
        <w:t xml:space="preserve">” </w:t>
      </w:r>
      <w:r>
        <w:rPr>
          <w:rFonts w:ascii="Times" w:hAnsi="Times"/>
          <w:sz w:val="24"/>
        </w:rPr>
        <w:t>means (a) the Administrative Agent, and (b) any Lender, as applicable.</w:t>
      </w:r>
    </w:p>
    <w:p>
      <w:pPr>
        <w:pStyle w:val="TextBody"/>
        <w:bidi w:val="0"/>
        <w:spacing w:before="0" w:after="240"/>
        <w:ind w:left="0" w:right="0" w:firstLine="720"/>
        <w:jc w:val="both"/>
        <w:rPr/>
      </w:pPr>
      <w:r>
        <w:rPr/>
        <w:t>“</w:t>
      </w:r>
      <w:r>
        <w:rPr>
          <w:rFonts w:ascii="Times" w:hAnsi="Times"/>
          <w:i/>
          <w:sz w:val="24"/>
        </w:rPr>
        <w:t>REIT”</w:t>
      </w:r>
      <w:r>
        <w:rPr>
          <w:rFonts w:ascii="Times New Roman;Times;serif" w:hAnsi="Times New Roman;Times;serif"/>
          <w:sz w:val="24"/>
        </w:rPr>
        <w:t xml:space="preserve"> </w:t>
      </w:r>
      <w:r>
        <w:rPr>
          <w:rFonts w:ascii="Times" w:hAnsi="Times"/>
          <w:sz w:val="24"/>
        </w:rPr>
        <w:t>means a “real estate investment trust” in accordance with Section 856 et. seq. of the Code.</w:t>
      </w:r>
    </w:p>
    <w:p>
      <w:pPr>
        <w:pStyle w:val="TextBody"/>
        <w:bidi w:val="0"/>
        <w:spacing w:before="0" w:after="240"/>
        <w:ind w:left="0" w:right="0" w:firstLine="720"/>
        <w:jc w:val="both"/>
        <w:rPr/>
      </w:pPr>
      <w:r>
        <w:rPr/>
        <w:t>“</w:t>
      </w:r>
      <w:r>
        <w:rPr>
          <w:rFonts w:ascii="Times" w:hAnsi="Times"/>
          <w:i/>
          <w:sz w:val="24"/>
        </w:rPr>
        <w:t xml:space="preserve">Related Parties” </w:t>
      </w:r>
      <w:r>
        <w:rPr>
          <w:rFonts w:ascii="Times" w:hAnsi="Times"/>
          <w:sz w:val="24"/>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240"/>
        <w:ind w:left="0" w:right="0" w:firstLine="720"/>
        <w:jc w:val="both"/>
        <w:rPr/>
      </w:pPr>
      <w:r>
        <w:rPr/>
        <w:t>“</w:t>
      </w:r>
      <w:r>
        <w:rPr>
          <w:rFonts w:ascii="Times" w:hAnsi="Times"/>
          <w:i/>
          <w:sz w:val="24"/>
        </w:rPr>
        <w:t>Release”</w:t>
      </w:r>
      <w:r>
        <w:rPr>
          <w:rFonts w:ascii="Times New Roman;Times;serif" w:hAnsi="Times New Roman;Times;serif"/>
          <w:sz w:val="24"/>
        </w:rPr>
        <w:t xml:space="preserve"> </w:t>
      </w:r>
      <w:r>
        <w:rPr>
          <w:rFonts w:ascii="Times" w:hAnsi="Times"/>
          <w:sz w:val="24"/>
        </w:rPr>
        <w:t>means any spilling, leaking, pumping, pouring, emitting, emptying, discharging, 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pStyle w:val="TextBody"/>
        <w:bidi w:val="0"/>
        <w:spacing w:before="0" w:after="240"/>
        <w:ind w:left="0" w:right="0" w:firstLine="720"/>
        <w:jc w:val="both"/>
        <w:rPr/>
      </w:pPr>
      <w:r>
        <w:rPr/>
        <w:t>“</w:t>
      </w:r>
      <w:r>
        <w:rPr>
          <w:rFonts w:ascii="Times" w:hAnsi="Times"/>
          <w:i/>
          <w:sz w:val="24"/>
        </w:rPr>
        <w:t>Relevant Governmental Body</w:t>
      </w:r>
      <w:r>
        <w:rPr>
          <w:rFonts w:ascii="Times New Roman;Times;serif" w:hAnsi="Times New Roman;Times;serif"/>
          <w:sz w:val="24"/>
        </w:rPr>
        <w:t xml:space="preserve">” </w:t>
      </w:r>
      <w:r>
        <w:rPr>
          <w:rFonts w:ascii="Times" w:hAnsi="Times"/>
          <w:sz w:val="24"/>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240"/>
        <w:ind w:left="0" w:right="0" w:firstLine="720"/>
        <w:jc w:val="both"/>
        <w:rPr/>
      </w:pPr>
      <w:r>
        <w:rPr/>
        <w:t>“</w:t>
      </w:r>
      <w:r>
        <w:rPr>
          <w:rFonts w:ascii="Times" w:hAnsi="Times"/>
          <w:i/>
          <w:sz w:val="24"/>
        </w:rPr>
        <w:t>Required Lenders”</w:t>
      </w:r>
      <w:r>
        <w:rPr>
          <w:rFonts w:ascii="Times New Roman;Times;serif" w:hAnsi="Times New Roman;Times;serif"/>
          <w:sz w:val="24"/>
        </w:rPr>
        <w:t xml:space="preserve"> </w:t>
      </w:r>
      <w:r>
        <w:rPr>
          <w:rFonts w:ascii="Times" w:hAnsi="Times"/>
          <w:sz w:val="24"/>
        </w:rPr>
        <w:t>means, as of the date of determination thereof, (i) at any time in which there are only two Lenders, both Lenders and (ii) at any other time Lenders whose outstanding Loans constitute 66 2/3%</w:t>
      </w:r>
      <w:r>
        <w:rPr>
          <w:rFonts w:ascii="Times New Roman;Times;serif" w:hAnsi="Times New Roman;Times;serif"/>
          <w:sz w:val="24"/>
        </w:rPr>
        <w:t xml:space="preserve"> </w:t>
      </w:r>
      <w:r>
        <w:rPr>
          <w:rFonts w:ascii="Times" w:hAnsi="Times"/>
          <w:sz w:val="24"/>
        </w:rPr>
        <w:t>or more of the sum of the Total Outstandings. The outstanding Loans of any Defaulting Lender shall be disregarded in determining Required Lenders at any time.</w:t>
      </w:r>
    </w:p>
    <w:p>
      <w:pPr>
        <w:pStyle w:val="TextBody"/>
        <w:bidi w:val="0"/>
        <w:spacing w:before="0" w:after="240"/>
        <w:ind w:left="0" w:right="0" w:firstLine="720"/>
        <w:jc w:val="both"/>
        <w:rPr/>
      </w:pPr>
      <w:r>
        <w:rPr/>
        <w:t>“</w:t>
      </w:r>
      <w:r>
        <w:rPr>
          <w:rFonts w:ascii="Times" w:hAnsi="Times"/>
          <w:i/>
          <w:sz w:val="24"/>
        </w:rPr>
        <w:t>Resolution Authority</w:t>
      </w:r>
      <w:r>
        <w:rPr>
          <w:rFonts w:ascii="Times New Roman;Times;serif" w:hAnsi="Times New Roman;Times;serif"/>
          <w:sz w:val="24"/>
        </w:rPr>
        <w:t xml:space="preserve">” </w:t>
      </w:r>
      <w:r>
        <w:rPr>
          <w:rFonts w:ascii="Times" w:hAnsi="Times"/>
          <w:sz w:val="24"/>
        </w:rPr>
        <w:t>means an EEA Resolution Authority or, with respect to any UK Financial Institution, a UK Resolution Authority.</w:t>
      </w:r>
    </w:p>
    <w:p>
      <w:pPr>
        <w:pStyle w:val="TextBody"/>
        <w:bidi w:val="0"/>
        <w:spacing w:before="0" w:after="240"/>
        <w:ind w:left="0" w:right="0" w:firstLine="720"/>
        <w:jc w:val="both"/>
        <w:rPr/>
      </w:pPr>
      <w:r>
        <w:rPr/>
        <w:t>“</w:t>
      </w:r>
      <w:r>
        <w:rPr>
          <w:rFonts w:ascii="Times" w:hAnsi="Times"/>
          <w:i/>
          <w:sz w:val="24"/>
        </w:rPr>
        <w:t>Responsible Officer”</w:t>
      </w:r>
      <w:r>
        <w:rPr>
          <w:rFonts w:ascii="Times New Roman;Times;serif" w:hAnsi="Times New Roman;Times;serif"/>
          <w:sz w:val="24"/>
        </w:rPr>
        <w:t xml:space="preserve"> </w:t>
      </w:r>
      <w:r>
        <w:rPr>
          <w:rFonts w:ascii="Times" w:hAnsi="Times"/>
          <w:sz w:val="24"/>
        </w:rPr>
        <w:t xml:space="preserve">means, with respect to the Parent or any of its Subsidiaries, the chief executive officer, the chief financial officer, chief </w:t>
      </w:r>
      <w:bookmarkStart w:id="2001" w:name="_cp_change_2741"/>
      <w:bookmarkEnd w:id="2001"/>
      <w:r>
        <w:rPr>
          <w:rFonts w:ascii="Times" w:hAnsi="Times"/>
          <w:color w:val="0000FF"/>
          <w:sz w:val="24"/>
          <w:u w:val="single"/>
        </w:rPr>
        <w:t xml:space="preserve">accounting officer, chief </w:t>
      </w:r>
      <w:r>
        <w:rPr>
          <w:rFonts w:ascii="Times" w:hAnsi="Times"/>
          <w:sz w:val="24"/>
        </w:rPr>
        <w:t>legal officer or the chief operating officer of the Parent or such Subsidiary.</w:t>
      </w:r>
    </w:p>
    <w:p>
      <w:pPr>
        <w:pStyle w:val="TextBody"/>
        <w:bidi w:val="0"/>
        <w:spacing w:before="0" w:after="240"/>
        <w:ind w:left="0" w:right="0" w:firstLine="720"/>
        <w:jc w:val="both"/>
        <w:rPr/>
      </w:pPr>
      <w:r>
        <w:rPr/>
        <w:t>“</w:t>
      </w:r>
      <w:r>
        <w:rPr>
          <w:rFonts w:ascii="Times" w:hAnsi="Times"/>
          <w:i/>
          <w:sz w:val="24"/>
        </w:rPr>
        <w:t>Restricted Payments”</w:t>
      </w:r>
      <w:r>
        <w:rPr>
          <w:rFonts w:ascii="Times New Roman;Times;serif" w:hAnsi="Times New Roman;Times;serif"/>
          <w:sz w:val="24"/>
        </w:rPr>
        <w:t xml:space="preserve"> </w:t>
      </w:r>
      <w:r>
        <w:rPr>
          <w:rFonts w:ascii="Times" w:hAnsi="Times"/>
          <w:sz w:val="24"/>
        </w:rPr>
        <w:t>means dividends on or other distributions in respect of any class or series of Stock, Stock Equivalents or other Equity Interests of Parent, the Borrower or its Subsidiaries or the direct or indirect purchase, redemption, acquisition, or retirement of any of the Parent’s, the Borrower’s or a Subsidiaries’ Stock, Stock Equivalents or other Equity Interest.</w:t>
      </w:r>
    </w:p>
    <w:p>
      <w:pPr>
        <w:pStyle w:val="TextBody"/>
        <w:bidi w:val="0"/>
        <w:spacing w:before="0" w:after="240"/>
        <w:ind w:left="0" w:right="0" w:firstLine="720"/>
        <w:jc w:val="both"/>
        <w:rPr/>
      </w:pPr>
      <w:r>
        <w:rPr/>
        <w:t>“</w:t>
      </w:r>
      <w:r>
        <w:rPr>
          <w:rFonts w:ascii="Times" w:hAnsi="Times"/>
          <w:i/>
          <w:sz w:val="24"/>
        </w:rPr>
        <w:t>Rolling Period”</w:t>
      </w:r>
      <w:r>
        <w:rPr>
          <w:rFonts w:ascii="Times New Roman;Times;serif" w:hAnsi="Times New Roman;Times;serif"/>
          <w:sz w:val="24"/>
        </w:rPr>
        <w:t xml:space="preserve"> </w:t>
      </w:r>
      <w:r>
        <w:rPr>
          <w:rFonts w:ascii="Times" w:hAnsi="Times"/>
          <w:sz w:val="24"/>
        </w:rPr>
        <w:t>means, as of any date, the four Fiscal Quarters ending on or immediately preceding such date.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S&amp;P”</w:t>
      </w:r>
      <w:r>
        <w:rPr>
          <w:rFonts w:ascii="Times New Roman;Times;serif" w:hAnsi="Times New Roman;Times;serif"/>
          <w:sz w:val="24"/>
        </w:rPr>
        <w:t xml:space="preserve"> </w:t>
      </w:r>
      <w:r>
        <w:rPr>
          <w:rFonts w:ascii="Times" w:hAnsi="Times"/>
          <w:sz w:val="24"/>
        </w:rPr>
        <w:t>means S&amp;P Global, Inc. or any successor thereof.</w:t>
      </w:r>
    </w:p>
    <w:p>
      <w:pPr>
        <w:pStyle w:val="TextBody"/>
        <w:bidi w:val="0"/>
        <w:spacing w:before="0" w:after="240"/>
        <w:ind w:left="0" w:right="0" w:firstLine="720"/>
        <w:jc w:val="both"/>
        <w:rPr/>
      </w:pPr>
      <w:r>
        <w:rPr/>
        <w:t>“</w:t>
      </w:r>
      <w:r>
        <w:rPr>
          <w:rFonts w:ascii="Times" w:hAnsi="Times"/>
          <w:i/>
          <w:sz w:val="24"/>
        </w:rPr>
        <w:t>Second Amendment Effective Date</w:t>
      </w:r>
      <w:r>
        <w:rPr>
          <w:rFonts w:ascii="Times New Roman;Times;serif" w:hAnsi="Times New Roman;Times;serif"/>
          <w:sz w:val="24"/>
        </w:rPr>
        <w:t xml:space="preserve">” </w:t>
      </w:r>
      <w:r>
        <w:rPr>
          <w:rFonts w:ascii="Times" w:hAnsi="Times"/>
          <w:sz w:val="24"/>
        </w:rPr>
        <w:t>means September 30, 2022.</w:t>
      </w:r>
    </w:p>
    <w:p>
      <w:pPr>
        <w:pStyle w:val="TextBody"/>
        <w:bidi w:val="0"/>
        <w:spacing w:before="0" w:after="240"/>
        <w:ind w:left="0" w:right="0" w:firstLine="720"/>
        <w:jc w:val="both"/>
        <w:rPr/>
      </w:pPr>
      <w:r>
        <w:rPr/>
        <w:t>“</w:t>
      </w:r>
      <w:r>
        <w:rPr>
          <w:rFonts w:ascii="Times" w:hAnsi="Times"/>
          <w:i/>
          <w:sz w:val="24"/>
        </w:rPr>
        <w:t>Secured Indebtedness”</w:t>
      </w:r>
      <w:r>
        <w:rPr>
          <w:rFonts w:ascii="Times New Roman;Times;serif" w:hAnsi="Times New Roman;Times;serif"/>
          <w:sz w:val="24"/>
        </w:rPr>
        <w:t xml:space="preserve"> </w:t>
      </w:r>
      <w:r>
        <w:rPr>
          <w:rFonts w:ascii="Times" w:hAnsi="Times"/>
          <w:sz w:val="24"/>
        </w:rPr>
        <w:t>means all Indebtedness for Borrowed Money of the Parent and its Subsidiaries, that is secured by a Lien, other than the Obligations.</w:t>
      </w:r>
    </w:p>
    <w:p>
      <w:pPr>
        <w:pStyle w:val="TextBody"/>
        <w:bidi w:val="0"/>
        <w:spacing w:before="0" w:after="240"/>
        <w:ind w:left="0" w:right="0" w:firstLine="720"/>
        <w:jc w:val="both"/>
        <w:rPr/>
      </w:pPr>
      <w:r>
        <w:rPr/>
        <w:t>“</w:t>
      </w:r>
      <w:r>
        <w:rPr>
          <w:rFonts w:ascii="Times" w:hAnsi="Times"/>
          <w:i/>
          <w:sz w:val="24"/>
        </w:rPr>
        <w:t>Secured Recourse Indebtedness”</w:t>
      </w:r>
      <w:r>
        <w:rPr>
          <w:rFonts w:ascii="Times New Roman;Times;serif" w:hAnsi="Times New Roman;Times;serif"/>
          <w:sz w:val="24"/>
        </w:rPr>
        <w:t xml:space="preserve"> </w:t>
      </w:r>
      <w:r>
        <w:rPr>
          <w:rFonts w:ascii="Times" w:hAnsi="Times"/>
          <w:sz w:val="24"/>
        </w:rPr>
        <w:t>means Secured Indebtedness for which recourse for payment (except for customary exceptions for fraud, misapplication of funds, environmental indemnities and other similar exceptions to recourse liability) is to Parent, Borrower or any Guarantor,</w:t>
      </w:r>
      <w:r>
        <w:rPr>
          <w:rFonts w:ascii="Times New Roman;Times;serif" w:hAnsi="Times New Roman;Times;serif"/>
          <w:sz w:val="24"/>
        </w:rPr>
        <w:t xml:space="preserve"> </w:t>
      </w:r>
      <w:r>
        <w:rPr>
          <w:rFonts w:ascii="Times" w:hAnsi="Times"/>
          <w:sz w:val="24"/>
        </w:rPr>
        <w:t>other than the Obligations.</w:t>
      </w:r>
    </w:p>
    <w:p>
      <w:pPr>
        <w:pStyle w:val="TextBody"/>
        <w:bidi w:val="0"/>
        <w:spacing w:before="0" w:after="240"/>
        <w:ind w:left="0" w:right="0" w:firstLine="720"/>
        <w:jc w:val="both"/>
        <w:rPr/>
      </w:pPr>
      <w:r>
        <w:rPr/>
        <w:t>“</w:t>
      </w:r>
      <w:r>
        <w:rPr>
          <w:rFonts w:ascii="Times" w:hAnsi="Times"/>
          <w:i/>
          <w:sz w:val="24"/>
        </w:rPr>
        <w:t>SOFR</w:t>
      </w:r>
      <w:r>
        <w:rPr>
          <w:rFonts w:ascii="Times New Roman;Times;serif" w:hAnsi="Times New Roman;Times;serif"/>
          <w:sz w:val="24"/>
        </w:rPr>
        <w:t xml:space="preserve">” </w:t>
      </w:r>
      <w:r>
        <w:rPr>
          <w:rFonts w:ascii="Times" w:hAnsi="Times"/>
          <w:sz w:val="24"/>
        </w:rPr>
        <w:t xml:space="preserve">means a rate equal to the secured overnight financing rate as administered by the SOFR Administrator. </w:t>
      </w:r>
    </w:p>
    <w:p>
      <w:pPr>
        <w:pStyle w:val="TextBody"/>
        <w:bidi w:val="0"/>
        <w:spacing w:before="0" w:after="240"/>
        <w:ind w:left="0" w:right="0" w:firstLine="720"/>
        <w:jc w:val="both"/>
        <w:rPr/>
      </w:pPr>
      <w:r>
        <w:rPr/>
        <w:t>“</w:t>
      </w:r>
      <w:r>
        <w:rPr>
          <w:rFonts w:ascii="Times" w:hAnsi="Times"/>
          <w:i/>
          <w:sz w:val="24"/>
        </w:rPr>
        <w:t>SOFR Administrator</w:t>
      </w:r>
      <w:r>
        <w:rPr>
          <w:rFonts w:ascii="Times New Roman;Times;serif" w:hAnsi="Times New Roman;Times;serif"/>
          <w:sz w:val="24"/>
        </w:rPr>
        <w:t xml:space="preserve">” </w:t>
      </w:r>
      <w:r>
        <w:rPr>
          <w:rFonts w:ascii="Times" w:hAnsi="Times"/>
          <w:sz w:val="24"/>
        </w:rPr>
        <w:t>means the Federal Reserve Bank of New York (or a successor administrator of the secured overnight financing rate).</w:t>
      </w:r>
    </w:p>
    <w:p>
      <w:pPr>
        <w:pStyle w:val="TextBody"/>
        <w:bidi w:val="0"/>
        <w:spacing w:before="0" w:after="240"/>
        <w:ind w:left="0" w:right="0" w:firstLine="720"/>
        <w:jc w:val="both"/>
        <w:rPr/>
      </w:pPr>
      <w:bookmarkStart w:id="2002" w:name="_Ref470029861"/>
      <w:bookmarkEnd w:id="2002"/>
      <w:r>
        <w:rPr/>
        <w:t>“</w:t>
      </w:r>
      <w:r>
        <w:rPr>
          <w:rFonts w:ascii="Times" w:hAnsi="Times"/>
          <w:i/>
          <w:sz w:val="24"/>
        </w:rPr>
        <w:t>SOFR Administrator’s Website</w:t>
      </w:r>
      <w:r>
        <w:rPr>
          <w:rFonts w:ascii="Times New Roman;Times;serif" w:hAnsi="Times New Roman;Times;serif"/>
          <w:sz w:val="24"/>
        </w:rPr>
        <w:t xml:space="preserve">” </w:t>
      </w:r>
      <w:r>
        <w:rPr>
          <w:rFonts w:ascii="Times" w:hAnsi="Times"/>
          <w:sz w:val="24"/>
        </w:rPr>
        <w:t>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0" w:after="240"/>
        <w:ind w:left="0" w:right="0" w:firstLine="720"/>
        <w:jc w:val="both"/>
        <w:rPr/>
      </w:pPr>
      <w:r>
        <w:rPr/>
        <w:t>“</w:t>
      </w:r>
      <w:r>
        <w:rPr>
          <w:rFonts w:ascii="Times" w:hAnsi="Times"/>
          <w:i/>
          <w:sz w:val="24"/>
        </w:rPr>
        <w:t>SOFR Business Day</w:t>
      </w:r>
      <w:r>
        <w:rPr>
          <w:rFonts w:ascii="Times New Roman;Times;serif" w:hAnsi="Times New Roman;Times;serif"/>
          <w:sz w:val="24"/>
        </w:rPr>
        <w:t xml:space="preserve">” </w:t>
      </w:r>
      <w:r>
        <w:rPr>
          <w:rFonts w:ascii="Times" w:hAnsi="Times"/>
          <w:sz w:val="24"/>
        </w:rPr>
        <w:t xml:space="preserve">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0" w:after="240"/>
        <w:ind w:left="0" w:right="0" w:firstLine="720"/>
        <w:jc w:val="both"/>
        <w:rPr/>
      </w:pPr>
      <w:r>
        <w:rPr/>
        <w:t>“</w:t>
      </w:r>
      <w:r>
        <w:rPr>
          <w:rFonts w:ascii="Times" w:hAnsi="Times"/>
          <w:i/>
          <w:sz w:val="24"/>
        </w:rPr>
        <w:t>SOFR Determination Day</w:t>
      </w:r>
      <w:r>
        <w:rPr>
          <w:rFonts w:ascii="Times New Roman;Times;serif" w:hAnsi="Times New Roman;Times;serif"/>
          <w:sz w:val="24"/>
        </w:rPr>
        <w:t xml:space="preserve">” </w:t>
      </w:r>
      <w:r>
        <w:rPr>
          <w:rFonts w:ascii="Times" w:hAnsi="Times"/>
          <w:sz w:val="24"/>
        </w:rPr>
        <w:t>has the meaning specified in the definition of “Daily Simple SOFR”.</w:t>
      </w:r>
    </w:p>
    <w:p>
      <w:pPr>
        <w:pStyle w:val="TextBody"/>
        <w:bidi w:val="0"/>
        <w:spacing w:before="0" w:after="240"/>
        <w:ind w:left="0" w:right="0" w:firstLine="720"/>
        <w:jc w:val="both"/>
        <w:rPr/>
      </w:pPr>
      <w:r>
        <w:rPr/>
        <w:t>“</w:t>
      </w:r>
      <w:r>
        <w:rPr>
          <w:rFonts w:ascii="Times" w:hAnsi="Times"/>
          <w:i/>
          <w:sz w:val="24"/>
        </w:rPr>
        <w:t>SOFR Index Adjustment</w:t>
      </w:r>
      <w:r>
        <w:rPr>
          <w:rFonts w:ascii="Times New Roman;Times;serif" w:hAnsi="Times New Roman;Times;serif"/>
          <w:sz w:val="24"/>
        </w:rPr>
        <w:t xml:space="preserve">” </w:t>
      </w:r>
      <w:r>
        <w:rPr>
          <w:rFonts w:ascii="Times" w:hAnsi="Times"/>
          <w:sz w:val="24"/>
        </w:rPr>
        <w:t>means for any calculation with respect to a Base Rate Loan, a Daily Simple SOFR Loan or a Term SOFR Loan, a percentage per annum as set forth below for the applicable Type of such Loan:</w:t>
      </w:r>
    </w:p>
    <w:p>
      <w:pPr>
        <w:pStyle w:val="TextBody"/>
        <w:bidi w:val="0"/>
        <w:spacing w:before="0" w:after="240"/>
        <w:ind w:left="0" w:right="0" w:firstLine="720"/>
        <w:jc w:val="both"/>
        <w:rPr>
          <w:rFonts w:ascii="Times New Roman;Times;serif" w:hAnsi="Times New Roman;Times;serif"/>
          <w:sz w:val="24"/>
        </w:rPr>
      </w:pPr>
      <w:r>
        <w:rPr>
          <w:rFonts w:ascii="Times" w:hAnsi="Times"/>
          <w:i/>
          <w:sz w:val="24"/>
        </w:rPr>
        <w:t>Daily Simple SOFR Loans</w:t>
      </w:r>
      <w:r>
        <w:rPr>
          <w:rFonts w:ascii="Times" w:hAnsi="Times"/>
          <w:sz w:val="24"/>
        </w:rPr>
        <w:t>: 0.10%</w:t>
      </w:r>
    </w:p>
    <w:p>
      <w:pPr>
        <w:pStyle w:val="TextBody"/>
        <w:bidi w:val="0"/>
        <w:spacing w:before="0" w:after="240"/>
        <w:ind w:left="0" w:right="0" w:firstLine="720"/>
        <w:jc w:val="both"/>
        <w:rPr>
          <w:rFonts w:ascii="Times New Roman;Times;serif" w:hAnsi="Times New Roman;Times;serif"/>
          <w:sz w:val="24"/>
        </w:rPr>
      </w:pPr>
      <w:r>
        <w:rPr>
          <w:rFonts w:ascii="Times" w:hAnsi="Times"/>
          <w:i/>
          <w:sz w:val="24"/>
        </w:rPr>
        <w:t>Term SOFR Loans</w:t>
      </w:r>
      <w:r>
        <w:rPr>
          <w:rFonts w:ascii="Times New Roman;Times;serif" w:hAnsi="Times New Roman;Times;serif"/>
          <w:sz w:val="24"/>
        </w:rPr>
        <w:t xml:space="preserve"> </w:t>
      </w:r>
      <w:r>
        <w:rPr>
          <w:rFonts w:ascii="Times" w:hAnsi="Times"/>
          <w:sz w:val="24"/>
        </w:rPr>
        <w:t>(for all Interest Periods): 0.10%.</w:t>
      </w:r>
    </w:p>
    <w:p>
      <w:pPr>
        <w:pStyle w:val="TextBody"/>
        <w:bidi w:val="0"/>
        <w:spacing w:before="0" w:after="240"/>
        <w:ind w:left="0" w:right="0" w:firstLine="720"/>
        <w:jc w:val="both"/>
        <w:rPr/>
      </w:pPr>
      <w:r>
        <w:rPr/>
        <w:t>“</w:t>
      </w:r>
      <w:r>
        <w:rPr>
          <w:rFonts w:ascii="Times" w:hAnsi="Times"/>
          <w:i/>
          <w:sz w:val="24"/>
        </w:rPr>
        <w:t>SOFR Loan</w:t>
      </w:r>
      <w:r>
        <w:rPr>
          <w:rFonts w:ascii="Times New Roman;Times;serif" w:hAnsi="Times New Roman;Times;serif"/>
          <w:sz w:val="24"/>
        </w:rPr>
        <w:t xml:space="preserve">” </w:t>
      </w:r>
      <w:r>
        <w:rPr>
          <w:rFonts w:ascii="Times" w:hAnsi="Times"/>
          <w:sz w:val="24"/>
        </w:rPr>
        <w:t>means each Daily Simple SOFR Loan and each Term SOFR Loan.</w:t>
      </w:r>
    </w:p>
    <w:p>
      <w:pPr>
        <w:pStyle w:val="TextBody"/>
        <w:bidi w:val="0"/>
        <w:spacing w:before="0" w:after="240"/>
        <w:ind w:left="0" w:right="0" w:firstLine="720"/>
        <w:jc w:val="both"/>
        <w:rPr/>
      </w:pPr>
      <w:r>
        <w:rPr/>
        <w:t>“</w:t>
      </w:r>
      <w:r>
        <w:rPr>
          <w:rFonts w:ascii="Times" w:hAnsi="Times"/>
          <w:i/>
          <w:sz w:val="24"/>
        </w:rPr>
        <w:t>SOFR Rate Day</w:t>
      </w:r>
      <w:r>
        <w:rPr>
          <w:rFonts w:ascii="Times New Roman;Times;serif" w:hAnsi="Times New Roman;Times;serif"/>
          <w:sz w:val="24"/>
        </w:rPr>
        <w:t xml:space="preserve">” </w:t>
      </w:r>
      <w:r>
        <w:rPr>
          <w:rFonts w:ascii="Times" w:hAnsi="Times"/>
          <w:sz w:val="24"/>
        </w:rPr>
        <w:t>has the meaning specified in the definition of “Daily Simple SOFR”.</w:t>
      </w:r>
    </w:p>
    <w:p>
      <w:pPr>
        <w:pStyle w:val="TextBody"/>
        <w:bidi w:val="0"/>
        <w:spacing w:before="0" w:after="240"/>
        <w:ind w:left="0" w:right="0" w:firstLine="720"/>
        <w:jc w:val="both"/>
        <w:rPr/>
      </w:pPr>
      <w:r>
        <w:rPr/>
        <w:t>“</w:t>
      </w:r>
      <w:r>
        <w:rPr>
          <w:rFonts w:ascii="Times" w:hAnsi="Times"/>
          <w:i/>
          <w:sz w:val="24"/>
        </w:rPr>
        <w:t>Stock”</w:t>
      </w:r>
      <w:r>
        <w:rPr>
          <w:rFonts w:ascii="Times New Roman;Times;serif" w:hAnsi="Times New Roman;Times;serif"/>
          <w:sz w:val="24"/>
        </w:rPr>
        <w:t xml:space="preserve"> </w:t>
      </w:r>
      <w:r>
        <w:rPr>
          <w:rFonts w:ascii="Times" w:hAnsi="Times"/>
          <w:sz w:val="24"/>
        </w:rPr>
        <w:t>means shares of capital stock, beneficial or partnership interests, participations or other equivalents (regardless of how designated) of or in a corporation or equivalent entity, whether voting or non-voting, and includes, without limitation, common stock.</w:t>
      </w:r>
    </w:p>
    <w:p>
      <w:pPr>
        <w:pStyle w:val="TextBody"/>
        <w:bidi w:val="0"/>
        <w:spacing w:before="0" w:after="0"/>
        <w:ind w:left="0" w:right="0" w:firstLine="720"/>
        <w:jc w:val="both"/>
        <w:rPr/>
      </w:pPr>
      <w:r>
        <w:rPr/>
        <w:t>“</w:t>
      </w:r>
      <w:r>
        <w:rPr>
          <w:rFonts w:ascii="Times" w:hAnsi="Times"/>
          <w:i/>
          <w:sz w:val="24"/>
        </w:rPr>
        <w:t>Stock Equivalents”</w:t>
      </w:r>
      <w:r>
        <w:rPr>
          <w:rFonts w:ascii="Times New Roman;Times;serif" w:hAnsi="Times New Roman;Times;serif"/>
          <w:sz w:val="24"/>
        </w:rPr>
        <w:t xml:space="preserve"> </w:t>
      </w:r>
      <w:r>
        <w:rPr>
          <w:rFonts w:ascii="Times" w:hAnsi="Times"/>
          <w:sz w:val="24"/>
        </w:rPr>
        <w:t xml:space="preserve">means all securities (other than Stock) convertible into or exchangeable for Stock at the option of the holder, and all warrants, options or other rights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purchase or subscribe for any stock, whether or not presently convertible, exchangeable or exercisable.</w:t>
      </w:r>
    </w:p>
    <w:p>
      <w:pPr>
        <w:pStyle w:val="TextBody"/>
        <w:bidi w:val="0"/>
        <w:spacing w:before="0" w:after="240"/>
        <w:ind w:left="0" w:right="0" w:firstLine="720"/>
        <w:jc w:val="both"/>
        <w:rPr/>
      </w:pPr>
      <w:r>
        <w:rPr/>
        <w:t>“</w:t>
      </w:r>
      <w:r>
        <w:rPr>
          <w:rFonts w:ascii="Times" w:hAnsi="Times"/>
          <w:i/>
          <w:sz w:val="24"/>
        </w:rPr>
        <w:t>Subsidiary”</w:t>
      </w:r>
      <w:r>
        <w:rPr>
          <w:rFonts w:ascii="Times New Roman;Times;serif" w:hAnsi="Times New Roman;Times;serif"/>
          <w:sz w:val="24"/>
        </w:rPr>
        <w:t xml:space="preserve"> </w:t>
      </w:r>
      <w:r>
        <w:rPr>
          <w:rFonts w:ascii="Times" w:hAnsi="Times"/>
          <w:sz w:val="24"/>
        </w:rPr>
        <w:t xml:space="preserve">means, as to any particular parent corporation or organization, any other 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Times New Roman;Times;serif" w:hAnsi="Times New Roman;Times;serif"/>
          <w:sz w:val="24"/>
        </w:rPr>
        <w:t>“</w:t>
      </w:r>
      <w:r>
        <w:rPr>
          <w:rFonts w:ascii="Times" w:hAnsi="Times"/>
          <w:i/>
          <w:sz w:val="24"/>
        </w:rPr>
        <w:t>Subsidiary”</w:t>
      </w:r>
      <w:r>
        <w:rPr>
          <w:rFonts w:ascii="Times New Roman;Times;serif" w:hAnsi="Times New Roman;Times;serif"/>
          <w:sz w:val="24"/>
        </w:rPr>
        <w:t xml:space="preserve"> </w:t>
      </w:r>
      <w:r>
        <w:rPr>
          <w:rFonts w:ascii="Times" w:hAnsi="Times"/>
          <w:sz w:val="24"/>
        </w:rPr>
        <w:t>means a Subsidiary of Parent or the Borrower or of any of their direct or indirect Subsidiaries.</w:t>
      </w:r>
    </w:p>
    <w:p>
      <w:pPr>
        <w:pStyle w:val="TextBody"/>
        <w:bidi w:val="0"/>
        <w:spacing w:before="0" w:after="240"/>
        <w:ind w:left="0" w:right="0" w:firstLine="720"/>
        <w:jc w:val="both"/>
        <w:rPr/>
      </w:pPr>
      <w:r>
        <w:rPr/>
        <w:t>“</w:t>
      </w:r>
      <w:r>
        <w:rPr>
          <w:rFonts w:ascii="Times" w:hAnsi="Times"/>
          <w:i/>
          <w:sz w:val="24"/>
        </w:rPr>
        <w:t>Sustainability Linked Loan Principles</w:t>
      </w:r>
      <w:r>
        <w:rPr>
          <w:rFonts w:ascii="Times New Roman;Times;serif" w:hAnsi="Times New Roman;Times;serif"/>
          <w:sz w:val="24"/>
        </w:rPr>
        <w:t xml:space="preserve">” </w:t>
      </w:r>
      <w:r>
        <w:rPr>
          <w:rFonts w:ascii="Times" w:hAnsi="Times"/>
          <w:sz w:val="24"/>
        </w:rPr>
        <w:t>means the Sustainability Linked Loan Principles (as published in May 2021 and updated on July 19, 2021 by the Loan Market Association, Asia Pacific Loan Market Association and Loan Syndications &amp; Trading Association) or such other principles and metrics mutually agreed to by the Borrower and the Sustainability Structuring Agent (each acting reasonably).</w:t>
      </w:r>
    </w:p>
    <w:p>
      <w:pPr>
        <w:pStyle w:val="TextBody"/>
        <w:bidi w:val="0"/>
        <w:spacing w:before="0" w:after="240"/>
        <w:ind w:left="0" w:right="0" w:firstLine="720"/>
        <w:jc w:val="both"/>
        <w:rPr/>
      </w:pPr>
      <w:r>
        <w:rPr/>
        <w:t>“</w:t>
      </w:r>
      <w:r>
        <w:rPr>
          <w:rFonts w:ascii="Times" w:hAnsi="Times"/>
          <w:i/>
          <w:sz w:val="24"/>
        </w:rPr>
        <w:t>Sustainability Structuring Agent</w:t>
      </w:r>
      <w:r>
        <w:rPr>
          <w:rFonts w:ascii="Times New Roman;Times;serif" w:hAnsi="Times New Roman;Times;serif"/>
          <w:sz w:val="24"/>
        </w:rPr>
        <w:t xml:space="preserve">” </w:t>
      </w:r>
      <w:r>
        <w:rPr>
          <w:rFonts w:ascii="Times" w:hAnsi="Times"/>
          <w:sz w:val="24"/>
        </w:rPr>
        <w:t>means Truist Bank, N.A., as sustainability structuring agent under the terms of this Agreement, and any of its successors.</w:t>
      </w:r>
    </w:p>
    <w:p>
      <w:pPr>
        <w:pStyle w:val="TextBody"/>
        <w:bidi w:val="0"/>
        <w:spacing w:before="0" w:after="240"/>
        <w:ind w:left="0" w:right="0" w:firstLine="720"/>
        <w:jc w:val="both"/>
        <w:rPr/>
      </w:pPr>
      <w:r>
        <w:rPr/>
        <w:t>“</w:t>
      </w:r>
      <w:r>
        <w:rPr>
          <w:rFonts w:ascii="Times" w:hAnsi="Times"/>
          <w:i/>
          <w:sz w:val="24"/>
        </w:rPr>
        <w:t>Swap Obligation</w:t>
      </w:r>
      <w:r>
        <w:rPr>
          <w:rFonts w:ascii="Times New Roman;Times;serif" w:hAnsi="Times New Roman;Times;serif"/>
          <w:sz w:val="24"/>
        </w:rPr>
        <w:t xml:space="preserve">” </w:t>
      </w:r>
      <w:r>
        <w:rPr>
          <w:rFonts w:ascii="Times" w:hAnsi="Times"/>
          <w:sz w:val="24"/>
        </w:rPr>
        <w:t>means, with respect to any Guarantor, any obligation to pay or perform under any agreement, contract or transaction that constitutes a “swap” within the meaning of Section 1a(47) of the Commodity Exchange Act.</w:t>
      </w:r>
    </w:p>
    <w:p>
      <w:pPr>
        <w:pStyle w:val="TextBody"/>
        <w:bidi w:val="0"/>
        <w:spacing w:before="0" w:after="240"/>
        <w:ind w:left="0" w:right="0" w:firstLine="720"/>
        <w:jc w:val="both"/>
        <w:rPr/>
      </w:pPr>
      <w:r>
        <w:rPr/>
        <w:t>“</w:t>
      </w:r>
      <w:r>
        <w:rPr>
          <w:rFonts w:ascii="Times" w:hAnsi="Times"/>
          <w:i/>
          <w:sz w:val="24"/>
        </w:rPr>
        <w:t>Tangible Net Worth”</w:t>
      </w:r>
      <w:r>
        <w:rPr>
          <w:rFonts w:ascii="Times New Roman;Times;serif" w:hAnsi="Times New Roman;Times;serif"/>
          <w:sz w:val="24"/>
        </w:rPr>
        <w:t xml:space="preserve"> </w:t>
      </w:r>
      <w:r>
        <w:rPr>
          <w:rFonts w:ascii="Times" w:hAnsi="Times"/>
          <w:sz w:val="24"/>
        </w:rPr>
        <w:t xml:space="preserve">means for each applicable period, total shareholder’s equity and any non-controlling equity interests on the Parent’s consolidated balance sheet as reported in its Form 10-K or 10-Q for such period, </w:t>
      </w:r>
      <w:r>
        <w:rPr>
          <w:rFonts w:ascii="Times" w:hAnsi="Times"/>
          <w:sz w:val="24"/>
          <w:u w:val="single"/>
        </w:rPr>
        <w:t>plus</w:t>
      </w:r>
      <w:r>
        <w:rPr>
          <w:rFonts w:ascii="Times New Roman;Times;serif" w:hAnsi="Times New Roman;Times;serif"/>
          <w:sz w:val="24"/>
        </w:rPr>
        <w:t xml:space="preserve"> </w:t>
      </w:r>
      <w:r>
        <w:rPr>
          <w:rFonts w:ascii="Times" w:hAnsi="Times"/>
          <w:sz w:val="24"/>
        </w:rPr>
        <w:t>(i)</w:t>
      </w:r>
      <w:r>
        <w:rPr>
          <w:rFonts w:ascii="Times New Roman;Times;serif" w:hAnsi="Times New Roman;Times;serif"/>
          <w:sz w:val="24"/>
        </w:rPr>
        <w:t xml:space="preserve"> </w:t>
      </w:r>
      <w:r>
        <w:rPr>
          <w:rFonts w:ascii="Times" w:hAnsi="Times"/>
          <w:sz w:val="24"/>
        </w:rPr>
        <w:t xml:space="preserve">accumulated depreciation and amortization and (ii) unrealized losses related to marketable securities, </w:t>
      </w:r>
      <w:r>
        <w:rPr>
          <w:rFonts w:ascii="Times" w:hAnsi="Times"/>
          <w:sz w:val="24"/>
          <w:u w:val="single"/>
        </w:rPr>
        <w:t>minus</w:t>
      </w:r>
      <w:r>
        <w:rPr>
          <w:rFonts w:ascii="Times" w:hAnsi="Times"/>
          <w:sz w:val="24"/>
        </w:rPr>
        <w:t>, to the extent included when determining stockholders’ equity, (x) all unrealized gains related to marketable securities and (y) all amounts appearing on the assets side of the Parent’s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pStyle w:val="TextBody"/>
        <w:bidi w:val="0"/>
        <w:spacing w:before="0" w:after="240"/>
        <w:ind w:left="0" w:right="0" w:firstLine="720"/>
        <w:jc w:val="both"/>
        <w:rPr/>
      </w:pPr>
      <w:r>
        <w:rPr/>
        <w:t>“</w:t>
      </w:r>
      <w:r>
        <w:rPr>
          <w:rFonts w:ascii="Times" w:hAnsi="Times"/>
          <w:i/>
          <w:sz w:val="24"/>
        </w:rPr>
        <w:t>Taxes”</w:t>
      </w:r>
      <w:r>
        <w:rPr>
          <w:rFonts w:ascii="Times New Roman;Times;serif" w:hAnsi="Times New Roman;Times;serif"/>
          <w:sz w:val="24"/>
        </w:rPr>
        <w:t xml:space="preserve"> </w:t>
      </w:r>
      <w:r>
        <w:rPr>
          <w:rFonts w:ascii="Times" w:hAnsi="Times"/>
          <w:sz w:val="24"/>
        </w:rPr>
        <w:t>means all present or future taxes, levies, imposts, duties, deductions, withholdings (including back 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w:hAnsi="Times"/>
          <w:i/>
          <w:sz w:val="24"/>
        </w:rPr>
        <w:t xml:space="preserve">Tenant” </w:t>
      </w:r>
      <w:r>
        <w:rPr>
          <w:rFonts w:ascii="Times" w:hAnsi="Times"/>
          <w:sz w:val="24"/>
        </w:rPr>
        <w:t>means any Person leasing, subleasing or otherwise occupying any portion of a Property under a Lease or other occupancy agreement with the Borrower or a Subsidiary that is the direct owner of such Property.</w:t>
      </w:r>
    </w:p>
    <w:p>
      <w:pPr>
        <w:pStyle w:val="TextBody"/>
        <w:bidi w:val="0"/>
        <w:spacing w:before="0" w:after="240"/>
        <w:ind w:left="0" w:right="0" w:firstLine="720"/>
        <w:jc w:val="both"/>
        <w:rPr/>
      </w:pPr>
      <w:r>
        <w:rPr/>
        <w:t>“</w:t>
      </w:r>
      <w:r>
        <w:rPr>
          <w:rFonts w:ascii="Times" w:hAnsi="Times"/>
          <w:i/>
          <w:sz w:val="24"/>
        </w:rPr>
        <w:t>Term Commitment</w:t>
      </w:r>
      <w:r>
        <w:rPr>
          <w:rFonts w:ascii="Times New Roman;Times;serif" w:hAnsi="Times New Roman;Times;serif"/>
          <w:sz w:val="24"/>
        </w:rPr>
        <w:t xml:space="preserve">” </w:t>
      </w:r>
      <w:r>
        <w:rPr>
          <w:rFonts w:ascii="Times" w:hAnsi="Times"/>
          <w:sz w:val="24"/>
        </w:rPr>
        <w:t>means, as to each Term Lender, its obligation to make a Closing Date Term Loan to Borrower pursuant to Section 1.1(a) in an aggregate principal amount not to exceed the amount set forth opposite such Lender’s name on Schedule 1 or opposite such caption in the Assignment and Assumption pursuant to which such Lender becomes a party hereto, as applicable, as such amount may be adjusted from time to time in accordance with this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Term Facility</w:t>
      </w:r>
      <w:r>
        <w:rPr>
          <w:rFonts w:ascii="Times New Roman;Times;serif" w:hAnsi="Times New Roman;Times;serif"/>
          <w:sz w:val="24"/>
        </w:rPr>
        <w:t xml:space="preserve">” </w:t>
      </w:r>
      <w:r>
        <w:rPr>
          <w:rFonts w:ascii="Times" w:hAnsi="Times"/>
          <w:sz w:val="24"/>
        </w:rPr>
        <w:t>means (a) on the Closing Date, the aggregate amount of the Term Commitments at such time and (b) thereafter, the aggregate principal amount of the Term Loans of all Term Lenders outstanding at such time.</w:t>
      </w:r>
    </w:p>
    <w:p>
      <w:pPr>
        <w:pStyle w:val="TextBody"/>
        <w:bidi w:val="0"/>
        <w:spacing w:before="0" w:after="240"/>
        <w:ind w:left="0" w:right="0" w:firstLine="720"/>
        <w:jc w:val="both"/>
        <w:rPr/>
      </w:pPr>
      <w:r>
        <w:rPr/>
        <w:t>“</w:t>
      </w:r>
      <w:r>
        <w:rPr>
          <w:rFonts w:ascii="Times" w:hAnsi="Times"/>
          <w:i/>
          <w:sz w:val="24"/>
        </w:rPr>
        <w:t>Term Lender</w:t>
      </w:r>
      <w:r>
        <w:rPr>
          <w:rFonts w:ascii="Times New Roman;Times;serif" w:hAnsi="Times New Roman;Times;serif"/>
          <w:sz w:val="24"/>
        </w:rPr>
        <w:t xml:space="preserve">” </w:t>
      </w:r>
      <w:r>
        <w:rPr>
          <w:rFonts w:ascii="Times" w:hAnsi="Times"/>
          <w:sz w:val="24"/>
        </w:rPr>
        <w:t>means (a) on the Closing Date, any Lender that has a Term Commitment at such time and (b) at any time after the Closing Date, any Lender that has a Term Commitment or holds Term Loans at such time.</w:t>
      </w:r>
    </w:p>
    <w:p>
      <w:pPr>
        <w:pStyle w:val="TextBody"/>
        <w:bidi w:val="0"/>
        <w:spacing w:before="0" w:after="240"/>
        <w:ind w:left="0" w:right="0" w:firstLine="720"/>
        <w:jc w:val="both"/>
        <w:rPr/>
      </w:pPr>
      <w:r>
        <w:rPr/>
        <w:t>“</w:t>
      </w:r>
      <w:r>
        <w:rPr>
          <w:rFonts w:ascii="Times" w:hAnsi="Times"/>
          <w:i/>
          <w:sz w:val="24"/>
        </w:rPr>
        <w:t>Term Loan</w:t>
      </w:r>
      <w:r>
        <w:rPr>
          <w:rFonts w:ascii="Times New Roman;Times;serif" w:hAnsi="Times New Roman;Times;serif"/>
          <w:sz w:val="24"/>
        </w:rPr>
        <w:t xml:space="preserve">” </w:t>
      </w:r>
      <w:r>
        <w:rPr>
          <w:rFonts w:ascii="Times" w:hAnsi="Times"/>
          <w:sz w:val="24"/>
        </w:rPr>
        <w:t>means an advance made by any Term Lender under the Term Facility in the form of a Closing Date Term Loan.</w:t>
      </w:r>
    </w:p>
    <w:p>
      <w:pPr>
        <w:pStyle w:val="TextBody"/>
        <w:bidi w:val="0"/>
        <w:spacing w:before="0" w:after="240"/>
        <w:ind w:left="0" w:right="0" w:firstLine="720"/>
        <w:jc w:val="both"/>
        <w:rPr/>
      </w:pPr>
      <w:r>
        <w:rPr/>
        <w:t>“</w:t>
      </w:r>
      <w:r>
        <w:rPr>
          <w:rFonts w:ascii="Times" w:hAnsi="Times"/>
          <w:i/>
          <w:sz w:val="24"/>
        </w:rPr>
        <w:t>Term SOFR</w:t>
      </w:r>
      <w:r>
        <w:rPr>
          <w:rFonts w:ascii="Times New Roman;Times;serif" w:hAnsi="Times New Roman;Times;serif"/>
          <w:sz w:val="24"/>
        </w:rPr>
        <w:t xml:space="preserve">” </w:t>
      </w:r>
      <w:r>
        <w:rPr>
          <w:rFonts w:ascii="Times" w:hAnsi="Times"/>
          <w:sz w:val="24"/>
        </w:rPr>
        <w:t>means (a) for any calculation with respect to a Term SOFR Loan, the Term SOFR Reference Rate for a tenor comparable to the applicable Interest Period on the day (such day, the “Term SOFR Lookback Day”) that is two SOFR Business Days prior to the first day of such Interest Period, as such rate is published by the Term SOFR Administrator; provided, however, that if as of 5:00 p.m. (New York City time) on any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Term SOFR Lookback Day, and (b) for any calculation with respect to a Base Rate Loan on any day, the Term SOFR Reference Rate for a tenor of one month on the day (such day, the “Base Rate Term SOFR Lookback Day”) that is two SOFR Business Days prior to such day, as such rate is published by the Term SOFR Administrator; provided, however, that if as of 5:00 p.m. (New York City time) on any Base Rate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Base Rate Term SOFR Lookback Day.</w:t>
      </w:r>
    </w:p>
    <w:p>
      <w:pPr>
        <w:pStyle w:val="TextBody"/>
        <w:bidi w:val="0"/>
        <w:spacing w:before="0" w:after="240"/>
        <w:ind w:left="0" w:right="0" w:firstLine="720"/>
        <w:jc w:val="both"/>
        <w:rPr/>
      </w:pPr>
      <w:r>
        <w:rPr/>
        <w:t>“</w:t>
      </w:r>
      <w:r>
        <w:rPr>
          <w:rFonts w:ascii="Times" w:hAnsi="Times"/>
          <w:i/>
          <w:sz w:val="24"/>
        </w:rPr>
        <w:t>Term SOFR Administrator</w:t>
      </w:r>
      <w:r>
        <w:rPr>
          <w:rFonts w:ascii="Times New Roman;Times;serif" w:hAnsi="Times New Roman;Times;serif"/>
          <w:sz w:val="24"/>
        </w:rPr>
        <w:t xml:space="preserve">” </w:t>
      </w:r>
      <w:r>
        <w:rPr>
          <w:rFonts w:ascii="Times" w:hAnsi="Times"/>
          <w:sz w:val="24"/>
        </w:rPr>
        <w:t>means CBA (or a successor administrator of the Term SOFR Reference Rate, as selected by the Administrative Agent in its reasonable discretion).</w:t>
      </w:r>
    </w:p>
    <w:p>
      <w:pPr>
        <w:pStyle w:val="TextBody"/>
        <w:bidi w:val="0"/>
        <w:spacing w:before="0" w:after="240"/>
        <w:ind w:left="0" w:right="0" w:firstLine="720"/>
        <w:jc w:val="both"/>
        <w:rPr/>
      </w:pPr>
      <w:r>
        <w:rPr/>
        <w:t>“</w:t>
      </w:r>
      <w:r>
        <w:rPr>
          <w:rFonts w:ascii="Times" w:hAnsi="Times"/>
          <w:i/>
          <w:sz w:val="24"/>
        </w:rPr>
        <w:t>Term SOFR Loan</w:t>
      </w:r>
      <w:r>
        <w:rPr>
          <w:rFonts w:ascii="Times New Roman;Times;serif" w:hAnsi="Times New Roman;Times;serif"/>
          <w:sz w:val="24"/>
        </w:rPr>
        <w:t xml:space="preserve">” </w:t>
      </w:r>
      <w:r>
        <w:rPr>
          <w:rFonts w:ascii="Times" w:hAnsi="Times"/>
          <w:sz w:val="24"/>
        </w:rPr>
        <w:t>means each Loan bearing interest at a rate based upon Adjusted Term SOFR (other than pursuant to clause (iii) of the definition of Base Rate).</w:t>
      </w:r>
    </w:p>
    <w:p>
      <w:pPr>
        <w:pStyle w:val="TextBody"/>
        <w:bidi w:val="0"/>
        <w:spacing w:before="0" w:after="240"/>
        <w:ind w:left="0" w:right="0" w:firstLine="720"/>
        <w:jc w:val="both"/>
        <w:rPr/>
      </w:pPr>
      <w:r>
        <w:rPr/>
        <w:t>“</w:t>
      </w:r>
      <w:r>
        <w:rPr>
          <w:rFonts w:ascii="Times" w:hAnsi="Times"/>
          <w:i/>
          <w:sz w:val="24"/>
        </w:rPr>
        <w:t>Term SOFR Reference Rate</w:t>
      </w:r>
      <w:r>
        <w:rPr>
          <w:rFonts w:ascii="Times New Roman;Times;serif" w:hAnsi="Times New Roman;Times;serif"/>
          <w:sz w:val="24"/>
        </w:rPr>
        <w:t xml:space="preserve">” </w:t>
      </w:r>
      <w:r>
        <w:rPr>
          <w:rFonts w:ascii="Times" w:hAnsi="Times"/>
          <w:sz w:val="24"/>
        </w:rPr>
        <w:t>means the forward-looking term rate based on SOFR.</w:t>
      </w:r>
    </w:p>
    <w:p>
      <w:pPr>
        <w:pStyle w:val="TextBody"/>
        <w:bidi w:val="0"/>
        <w:spacing w:before="0" w:after="240"/>
        <w:ind w:left="0" w:right="0" w:firstLine="720"/>
        <w:jc w:val="both"/>
        <w:rPr/>
      </w:pPr>
      <w:bookmarkStart w:id="2003" w:name="_cp_change_276"/>
      <w:bookmarkEnd w:id="2003"/>
      <w:r>
        <w:rPr>
          <w:color w:val="0000FF"/>
          <w:u w:val="single"/>
        </w:rPr>
        <w:t>“</w:t>
      </w:r>
      <w:r>
        <w:rPr>
          <w:rFonts w:ascii="Times" w:hAnsi="Times"/>
          <w:i/>
          <w:color w:val="0000FF"/>
          <w:sz w:val="24"/>
        </w:rPr>
        <w:t>Third Amendment Effective Date</w:t>
      </w:r>
      <w:r>
        <w:rPr>
          <w:rFonts w:ascii="Times New Roman;Times;serif" w:hAnsi="Times New Roman;Times;serif"/>
          <w:color w:val="0000FF"/>
          <w:sz w:val="24"/>
          <w:u w:val="single"/>
        </w:rPr>
        <w:t xml:space="preserve">” </w:t>
      </w:r>
      <w:r>
        <w:rPr>
          <w:rFonts w:ascii="Times" w:hAnsi="Times"/>
          <w:color w:val="0000FF"/>
          <w:sz w:val="24"/>
          <w:u w:val="single"/>
        </w:rPr>
        <w:t>means December 20, 2024</w:t>
      </w:r>
      <w:bookmarkStart w:id="2004" w:name="_cp_change_275"/>
      <w:bookmarkEnd w:id="2004"/>
    </w:p>
    <w:p>
      <w:pPr>
        <w:pStyle w:val="TextBody"/>
        <w:bidi w:val="0"/>
        <w:spacing w:before="0" w:after="0"/>
        <w:ind w:left="0" w:right="0" w:firstLine="720"/>
        <w:jc w:val="both"/>
        <w:rPr/>
      </w:pPr>
      <w:r>
        <w:rPr/>
        <w:t>“</w:t>
      </w:r>
      <w:r>
        <w:rPr>
          <w:rFonts w:ascii="Times" w:hAnsi="Times"/>
          <w:i/>
          <w:sz w:val="24"/>
        </w:rPr>
        <w:t>Total Asset Value”</w:t>
      </w:r>
      <w:r>
        <w:rPr>
          <w:rFonts w:ascii="Times New Roman;Times;serif" w:hAnsi="Times New Roman;Times;serif"/>
          <w:sz w:val="24"/>
        </w:rPr>
        <w:t xml:space="preserve"> </w:t>
      </w:r>
      <w:r>
        <w:rPr>
          <w:rFonts w:ascii="Times" w:hAnsi="Times"/>
          <w:sz w:val="24"/>
        </w:rPr>
        <w:t xml:space="preserve">means, as of the end of any Rolling Period, an amount equal to the sum of (a) for all Properties owned by the Borrower and its Subsidiaries for more than twelve (12) months, the quotient of (i) the Property NOI from such Properties divided by (ii) the Capitalization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w:hAnsi="Times"/>
          <w:sz w:val="24"/>
        </w:rPr>
        <w:t xml:space="preserve">Rate </w:t>
      </w:r>
      <w:r>
        <w:rPr>
          <w:rFonts w:ascii="Times" w:hAnsi="Times"/>
          <w:i/>
          <w:sz w:val="24"/>
        </w:rPr>
        <w:t>plus</w:t>
      </w:r>
      <w:r>
        <w:rPr>
          <w:rFonts w:ascii="Times New Roman;Times;serif" w:hAnsi="Times New Roman;Times;serif"/>
          <w:sz w:val="24"/>
        </w:rPr>
        <w:t xml:space="preserve"> </w:t>
      </w:r>
      <w:r>
        <w:rPr>
          <w:rFonts w:ascii="Times" w:hAnsi="Times"/>
          <w:sz w:val="24"/>
        </w:rPr>
        <w:t xml:space="preserve">(b) for all Properties owned by the Borrower and its Subsidiaries for twelve (12) months or less, the lesser of (i) the book value (as defined in GAAP) of any such property or (ii), the value of any such Property as determined by the calculation in clause (a) above measured on an annualized basis rather than for the most recently ended period of four quarters </w:t>
      </w:r>
      <w:r>
        <w:rPr>
          <w:rFonts w:ascii="Times" w:hAnsi="Times"/>
          <w:i/>
          <w:sz w:val="24"/>
        </w:rPr>
        <w:t>plus</w:t>
      </w:r>
      <w:r>
        <w:rPr>
          <w:rFonts w:ascii="Times New Roman;Times;serif" w:hAnsi="Times New Roman;Times;serif"/>
          <w:sz w:val="24"/>
        </w:rPr>
        <w:t xml:space="preserve"> </w:t>
      </w:r>
      <w:r>
        <w:rPr>
          <w:rFonts w:ascii="Times" w:hAnsi="Times"/>
          <w:sz w:val="24"/>
        </w:rPr>
        <w:t xml:space="preserve">(c) the aggregate book value of all unimproved land holdings and/or construction in progress owned by the Borrower and its Subsidiaries </w:t>
      </w:r>
      <w:r>
        <w:rPr>
          <w:rFonts w:ascii="Times" w:hAnsi="Times"/>
          <w:i/>
          <w:sz w:val="24"/>
        </w:rPr>
        <w:t>plus</w:t>
      </w:r>
      <w:r>
        <w:rPr>
          <w:rFonts w:ascii="Times New Roman;Times;serif" w:hAnsi="Times New Roman;Times;serif"/>
          <w:sz w:val="24"/>
        </w:rPr>
        <w:t xml:space="preserve"> </w:t>
      </w:r>
      <w:r>
        <w:rPr>
          <w:rFonts w:ascii="Times" w:hAnsi="Times"/>
          <w:sz w:val="24"/>
        </w:rPr>
        <w:t>(d) cash, 1031 Cash Proceeds, cash equivalents and marketable securities owned by the Borrower and its Subsidiaries that are not (other than 1031 Cash Proceeds) then being held in or subject to escrow in connection with funding commitments of the Borrower or such Subsidiary</w:t>
      </w:r>
      <w:bookmarkStart w:id="2005" w:name="_cp_change_277"/>
      <w:bookmarkEnd w:id="2005"/>
      <w:r>
        <w:rPr>
          <w:rFonts w:ascii="Times New Roman;Times;serif" w:hAnsi="Times New Roman;Times;serif"/>
          <w:color w:val="0000FF"/>
          <w:sz w:val="24"/>
          <w:u w:val="single"/>
        </w:rPr>
        <w:t xml:space="preserve"> </w:t>
      </w:r>
      <w:r>
        <w:rPr>
          <w:rFonts w:ascii="Times" w:hAnsi="Times"/>
          <w:i/>
          <w:color w:val="0000FF"/>
          <w:sz w:val="24"/>
        </w:rPr>
        <w:t xml:space="preserve">plus </w:t>
      </w:r>
      <w:r>
        <w:rPr>
          <w:rFonts w:ascii="Times" w:hAnsi="Times"/>
          <w:color w:val="0000FF"/>
          <w:sz w:val="24"/>
          <w:u w:val="single"/>
        </w:rPr>
        <w:t>(e) to the extent not already included in clauses (a) through (d), investments consisting of structured debt products, preferred equity, mortgage loans (other than leases structured as mortgages due to reimbursement requirements), mezzanine loans and notes receivable, including without limitation, Mortgage Receivables, owned by the Borrower and its Subsidiaries</w:t>
      </w:r>
      <w:r>
        <w:rPr>
          <w:rFonts w:ascii="Times" w:hAnsi="Times"/>
          <w:sz w:val="24"/>
        </w:rPr>
        <w:t xml:space="preserve">; </w:t>
      </w:r>
      <w:r>
        <w:rPr>
          <w:rFonts w:ascii="Times" w:hAnsi="Times"/>
          <w:i/>
          <w:sz w:val="24"/>
        </w:rPr>
        <w:t>provided</w:t>
      </w:r>
      <w:r>
        <w:rPr>
          <w:rFonts w:ascii="Times New Roman;Times;serif" w:hAnsi="Times New Roman;Times;serif"/>
          <w:sz w:val="24"/>
        </w:rPr>
        <w:t xml:space="preserve"> </w:t>
      </w:r>
      <w:r>
        <w:rPr>
          <w:rFonts w:ascii="Times" w:hAnsi="Times"/>
          <w:sz w:val="24"/>
        </w:rPr>
        <w:t xml:space="preserve">that, for purposes of calculating the Total Asset Value (A) cash investments in joint ventures shall not exceed in the aggregate at any one time outstanding an amount equal to 15% of the Total Asset Value of Parent and its Subsidiaries at such time, with any amounts in excess of 15% of the Total Asset Value being excluded from the calculation of Total Asset Value; (B) investments in Assets Under Development shall not exceed in the aggregate at any one time outstanding an amount equal to 15% of the Total Asset Value of Parent and its Subsidiaries at such time, with any amounts in excess of 15% of the Total Asset Value being excluded from the calculation of Total Asset Value; (C) investments in Land Assets shall not exceed in the aggregate at any one time outstanding an amount equal to 5% of the Total Asset Value of Parent and its Subsidiaries at such time, with any amounts in excess of 5% of the Total Asset Value being excluded from the calculation of Total Asset Value; (D) </w:t>
      </w:r>
      <w:bookmarkStart w:id="2006" w:name="_Hlk1843241731"/>
      <w:bookmarkEnd w:id="2006"/>
      <w:r>
        <w:rPr>
          <w:rFonts w:ascii="Times" w:hAnsi="Times"/>
          <w:sz w:val="24"/>
        </w:rPr>
        <w:t>investments consisting of structured debt products, preferred equity, mortgage loans (other than leases structured as mortgages due to reimbursement requirements), mezzanine loans and notes receivable</w:t>
      </w:r>
      <w:bookmarkStart w:id="2007" w:name="_cp_change_278"/>
      <w:bookmarkEnd w:id="2007"/>
      <w:r>
        <w:rPr>
          <w:rFonts w:ascii="Times" w:hAnsi="Times"/>
          <w:color w:val="0000FF"/>
          <w:sz w:val="24"/>
          <w:u w:val="single"/>
        </w:rPr>
        <w:t>, including without limitation, Mortgage Receivables,</w:t>
      </w:r>
      <w:r>
        <w:rPr>
          <w:rFonts w:ascii="Times New Roman;Times;serif" w:hAnsi="Times New Roman;Times;serif"/>
          <w:sz w:val="24"/>
        </w:rPr>
        <w:t xml:space="preserve"> </w:t>
      </w:r>
      <w:r>
        <w:rPr>
          <w:rFonts w:ascii="Times" w:hAnsi="Times"/>
          <w:sz w:val="24"/>
        </w:rPr>
        <w:t xml:space="preserve">shall not exceed in the aggregate at any one time outstanding an amount equal to </w:t>
      </w:r>
      <w:bookmarkStart w:id="2008" w:name="_cp_change_2791"/>
      <w:bookmarkEnd w:id="2008"/>
      <w:r>
        <w:rPr>
          <w:rFonts w:ascii="Times" w:hAnsi="Times"/>
          <w:color w:val="FF0000"/>
          <w:sz w:val="24"/>
        </w:rPr>
        <w:t>10</w:t>
      </w:r>
      <w:bookmarkStart w:id="2009" w:name="_cp_change_2801"/>
      <w:bookmarkEnd w:id="2009"/>
      <w:r>
        <w:rPr>
          <w:rFonts w:ascii="Times" w:hAnsi="Times"/>
          <w:color w:val="0000FF"/>
          <w:sz w:val="24"/>
          <w:u w:val="single"/>
        </w:rPr>
        <w:t>15</w:t>
      </w:r>
      <w:r>
        <w:rPr>
          <w:rFonts w:ascii="Times" w:hAnsi="Times"/>
          <w:sz w:val="24"/>
        </w:rPr>
        <w:t xml:space="preserve">% of the Total Asset Value of Parent and its Subsidiaries at such time, with any amounts in excess of </w:t>
      </w:r>
      <w:bookmarkStart w:id="2010" w:name="_cp_change_2811"/>
      <w:bookmarkEnd w:id="2010"/>
      <w:r>
        <w:rPr>
          <w:rFonts w:ascii="Times" w:hAnsi="Times"/>
          <w:color w:val="FF0000"/>
          <w:sz w:val="24"/>
        </w:rPr>
        <w:t>10</w:t>
      </w:r>
      <w:bookmarkStart w:id="2011" w:name="_cp_change_2821"/>
      <w:bookmarkEnd w:id="2011"/>
      <w:r>
        <w:rPr>
          <w:rFonts w:ascii="Times" w:hAnsi="Times"/>
          <w:color w:val="0000FF"/>
          <w:sz w:val="24"/>
          <w:u w:val="single"/>
        </w:rPr>
        <w:t>15</w:t>
      </w:r>
      <w:r>
        <w:rPr>
          <w:rFonts w:ascii="Times" w:hAnsi="Times"/>
          <w:sz w:val="24"/>
        </w:rPr>
        <w:t>% of the Total Asset Value being excluded from the calculation of Total Asset Value; (E) investments in Public Investments shall not exceed in the aggregate at any one time outstanding an amount equal to 15% of the Total Asset Value of Parent and its Subsidiaries at such time, with any amounts in excess of 15% of the Total Asset Value being excluded from the calculation of Total Asset Value; and (F) the aggregate amount of investments described in clauses (A) through (E) above shall not exceed in the aggregate at any one time outstanding an amount equal to 30% of the Total Asset Value of Parent and its Subsidiaries at such time, with any amounts in excess of 30% of the Total Asset Value being excluded from the calculation of Total Asset Value.</w:t>
      </w:r>
    </w:p>
    <w:p>
      <w:pPr>
        <w:pStyle w:val="TextBody"/>
        <w:bidi w:val="0"/>
        <w:spacing w:before="0" w:after="240"/>
        <w:ind w:left="0" w:right="0" w:firstLine="720"/>
        <w:jc w:val="both"/>
        <w:rPr/>
      </w:pPr>
      <w:r>
        <w:rPr/>
        <w:t>“</w:t>
      </w:r>
      <w:r>
        <w:rPr>
          <w:rFonts w:ascii="Times" w:hAnsi="Times"/>
          <w:i/>
          <w:sz w:val="24"/>
        </w:rPr>
        <w:t>Total Indebtedness”</w:t>
      </w:r>
      <w:r>
        <w:rPr>
          <w:rFonts w:ascii="Times New Roman;Times;serif" w:hAnsi="Times New Roman;Times;serif"/>
          <w:sz w:val="24"/>
        </w:rPr>
        <w:t xml:space="preserve"> </w:t>
      </w:r>
      <w:r>
        <w:rPr>
          <w:rFonts w:ascii="Times" w:hAnsi="Times"/>
          <w:sz w:val="24"/>
        </w:rPr>
        <w:t>means, as of a given date, all liabilities of Parent and its Subsidiaries which would, in conformity with GAAP, be properly classified as a liability on a consolidated balance sheet of Parent and its Subsidiaries as of such date, excluding any amounts categorized as accrued expenses, accrued dividends, deposits held, deferred revenues, minority interests and other liabilities not directly associated with the borrowing of money.</w:t>
      </w:r>
    </w:p>
    <w:p>
      <w:pPr>
        <w:pStyle w:val="TextBody"/>
        <w:bidi w:val="0"/>
        <w:spacing w:before="0" w:after="240"/>
        <w:ind w:left="0" w:right="0" w:firstLine="720"/>
        <w:jc w:val="both"/>
        <w:rPr/>
      </w:pPr>
      <w:r>
        <w:rPr/>
        <w:t>“</w:t>
      </w:r>
      <w:r>
        <w:rPr>
          <w:rFonts w:ascii="Times" w:hAnsi="Times"/>
          <w:i/>
          <w:sz w:val="24"/>
        </w:rPr>
        <w:t>Total Outstandings</w:t>
      </w:r>
      <w:r>
        <w:rPr>
          <w:rFonts w:ascii="Times New Roman;Times;serif" w:hAnsi="Times New Roman;Times;serif"/>
          <w:sz w:val="24"/>
        </w:rPr>
        <w:t xml:space="preserve">” </w:t>
      </w:r>
      <w:r>
        <w:rPr>
          <w:rFonts w:ascii="Times" w:hAnsi="Times"/>
          <w:sz w:val="24"/>
        </w:rPr>
        <w:t>means the aggregate Outstanding Amount of all Loans for all Facilities.</w:t>
      </w:r>
    </w:p>
    <w:p>
      <w:pPr>
        <w:pStyle w:val="TextBody"/>
        <w:bidi w:val="0"/>
        <w:spacing w:before="0" w:after="240"/>
        <w:ind w:left="0" w:right="0" w:firstLine="720"/>
        <w:jc w:val="both"/>
        <w:rPr/>
      </w:pPr>
      <w:r>
        <w:rPr/>
        <w:t>“</w:t>
      </w:r>
      <w:r>
        <w:rPr>
          <w:rFonts w:ascii="Times" w:hAnsi="Times"/>
          <w:i/>
          <w:sz w:val="24"/>
        </w:rPr>
        <w:t>UCC”</w:t>
      </w:r>
      <w:r>
        <w:rPr>
          <w:rFonts w:ascii="Times New Roman;Times;serif" w:hAnsi="Times New Roman;Times;serif"/>
          <w:sz w:val="24"/>
        </w:rPr>
        <w:t xml:space="preserve"> </w:t>
      </w:r>
      <w:r>
        <w:rPr>
          <w:rFonts w:ascii="Times" w:hAnsi="Times"/>
          <w:sz w:val="24"/>
        </w:rPr>
        <w:t>means the Uniform Commercial Code as in effect in the State of New York.</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UK Financial Institution</w:t>
      </w:r>
      <w:r>
        <w:rPr>
          <w:rFonts w:ascii="Times New Roman;Times;serif" w:hAnsi="Times New Roman;Times;serif"/>
          <w:sz w:val="24"/>
        </w:rPr>
        <w:t xml:space="preserve">” </w:t>
      </w:r>
      <w:r>
        <w:rPr>
          <w:rFonts w:ascii="Times" w:hAnsi="Times"/>
          <w:sz w:val="24"/>
        </w:rPr>
        <w:t>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w:hAnsi="Times"/>
          <w:i/>
          <w:sz w:val="24"/>
        </w:rPr>
        <w:t>UK Resolution Authority</w:t>
      </w:r>
      <w:r>
        <w:rPr>
          <w:rFonts w:ascii="Times New Roman;Times;serif" w:hAnsi="Times New Roman;Times;serif"/>
          <w:sz w:val="24"/>
        </w:rPr>
        <w:t xml:space="preserve">” </w:t>
      </w:r>
      <w:r>
        <w:rPr>
          <w:rFonts w:ascii="Times" w:hAnsi="Times"/>
          <w:sz w:val="24"/>
        </w:rPr>
        <w:t>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w:hAnsi="Times"/>
          <w:i/>
          <w:sz w:val="24"/>
        </w:rPr>
        <w:t>Unadjusted Benchmark Replacement”</w:t>
      </w:r>
      <w:r>
        <w:rPr>
          <w:rFonts w:ascii="Times New Roman;Times;serif" w:hAnsi="Times New Roman;Times;serif"/>
          <w:sz w:val="24"/>
        </w:rPr>
        <w:t xml:space="preserve"> </w:t>
      </w:r>
      <w:r>
        <w:rPr>
          <w:rFonts w:ascii="Times" w:hAnsi="Times"/>
          <w:sz w:val="24"/>
        </w:rPr>
        <w:t>means the applicable Benchmark Replacement excluding the related Benchmark Replacement Adjustment</w:t>
      </w:r>
      <w:r>
        <w:rPr>
          <w:rFonts w:ascii="Times" w:hAnsi="Times"/>
          <w:i/>
          <w:sz w:val="24"/>
        </w:rPr>
        <w:t>.</w:t>
      </w:r>
    </w:p>
    <w:p>
      <w:pPr>
        <w:pStyle w:val="TextBody"/>
        <w:bidi w:val="0"/>
        <w:spacing w:before="0" w:after="240"/>
        <w:ind w:left="0" w:right="0" w:firstLine="720"/>
        <w:jc w:val="both"/>
        <w:rPr/>
      </w:pPr>
      <w:r>
        <w:rPr/>
        <w:t>“</w:t>
      </w:r>
      <w:r>
        <w:rPr>
          <w:rFonts w:ascii="Times" w:hAnsi="Times"/>
          <w:i/>
          <w:sz w:val="24"/>
        </w:rPr>
        <w:t>Unencumbered Asset</w:t>
      </w:r>
      <w:r>
        <w:rPr>
          <w:rFonts w:ascii="Times New Roman;Times;serif" w:hAnsi="Times New Roman;Times;serif"/>
          <w:sz w:val="24"/>
        </w:rPr>
        <w:t xml:space="preserve">” </w:t>
      </w:r>
      <w:r>
        <w:rPr>
          <w:rFonts w:ascii="Times" w:hAnsi="Times"/>
          <w:sz w:val="24"/>
        </w:rPr>
        <w:t xml:space="preserve">means, as of any date of determination, each </w:t>
      </w:r>
      <w:bookmarkStart w:id="2012" w:name="_cp_change_2831"/>
      <w:bookmarkEnd w:id="2012"/>
      <w:r>
        <w:rPr>
          <w:rFonts w:ascii="Times" w:hAnsi="Times"/>
          <w:color w:val="008000"/>
          <w:sz w:val="24"/>
        </w:rPr>
        <w:t xml:space="preserve">Eligible Property that has been designated as an “Unencumbered </w:t>
      </w:r>
      <w:bookmarkStart w:id="2013" w:name="_cp_change_2851"/>
      <w:bookmarkEnd w:id="2013"/>
      <w:r>
        <w:rPr>
          <w:rFonts w:ascii="Times" w:hAnsi="Times"/>
          <w:color w:val="008000"/>
          <w:sz w:val="24"/>
        </w:rPr>
        <w:t>Asset” in accordance with the provisions of this Agreement and has not otherwise been excluded or removed from the Unencumbered Pool.</w:t>
      </w:r>
      <w:bookmarkStart w:id="2014" w:name="_cp_change_2871"/>
      <w:bookmarkEnd w:id="2014"/>
      <w:r>
        <w:rPr>
          <w:rFonts w:ascii="Times" w:hAnsi="Times"/>
          <w:color w:val="0000FF"/>
          <w:sz w:val="24"/>
          <w:u w:val="single"/>
        </w:rPr>
        <w:t>Unencumbered Real Property Asset and each Unencumbered Mortgage Receivable.</w:t>
      </w:r>
    </w:p>
    <w:p>
      <w:pPr>
        <w:pStyle w:val="TextBody"/>
        <w:bidi w:val="0"/>
        <w:spacing w:before="0" w:after="240"/>
        <w:ind w:left="0" w:right="0" w:firstLine="720"/>
        <w:jc w:val="both"/>
        <w:rPr/>
      </w:pPr>
      <w:r>
        <w:rPr/>
        <w:t>“</w:t>
      </w:r>
      <w:r>
        <w:rPr>
          <w:rFonts w:ascii="Times" w:hAnsi="Times"/>
          <w:i/>
          <w:sz w:val="24"/>
        </w:rPr>
        <w:t>Unencumbered Asset Value”</w:t>
      </w:r>
      <w:r>
        <w:rPr>
          <w:rFonts w:ascii="Times New Roman;Times;serif" w:hAnsi="Times New Roman;Times;serif"/>
          <w:sz w:val="24"/>
        </w:rPr>
        <w:t xml:space="preserve"> </w:t>
      </w:r>
      <w:r>
        <w:rPr>
          <w:rFonts w:ascii="Times" w:hAnsi="Times"/>
          <w:sz w:val="24"/>
        </w:rPr>
        <w:t xml:space="preserve">means an amount equal to the sum of (a) for all Unencumbered </w:t>
      </w:r>
      <w:bookmarkStart w:id="2015" w:name="_cp_change_2881"/>
      <w:bookmarkEnd w:id="2015"/>
      <w:r>
        <w:rPr>
          <w:rFonts w:ascii="Times" w:hAnsi="Times"/>
          <w:color w:val="0000FF"/>
          <w:sz w:val="24"/>
          <w:u w:val="single"/>
        </w:rPr>
        <w:t xml:space="preserve">Real Property </w:t>
      </w:r>
      <w:r>
        <w:rPr>
          <w:rFonts w:ascii="Times" w:hAnsi="Times"/>
          <w:sz w:val="24"/>
        </w:rPr>
        <w:t xml:space="preserve">Assets owned for more than twelve (12) months, the quotient of (i) the Unencumbered Pool NOI </w:t>
      </w:r>
      <w:bookmarkStart w:id="2016" w:name="_cp_change_2891"/>
      <w:bookmarkEnd w:id="2016"/>
      <w:r>
        <w:rPr>
          <w:rFonts w:ascii="Times" w:hAnsi="Times"/>
          <w:color w:val="0000FF"/>
          <w:sz w:val="24"/>
          <w:u w:val="single"/>
        </w:rPr>
        <w:t xml:space="preserve">for such Unencumbered Real Property Assets </w:t>
      </w:r>
      <w:r>
        <w:rPr>
          <w:rFonts w:ascii="Times" w:hAnsi="Times"/>
          <w:sz w:val="24"/>
        </w:rPr>
        <w:t xml:space="preserve">divided by (ii) the Capitalization Rate </w:t>
      </w:r>
      <w:r>
        <w:rPr>
          <w:rFonts w:ascii="Times" w:hAnsi="Times"/>
          <w:i/>
          <w:sz w:val="24"/>
        </w:rPr>
        <w:t>plus</w:t>
      </w:r>
      <w:r>
        <w:rPr>
          <w:rFonts w:ascii="Times New Roman;Times;serif" w:hAnsi="Times New Roman;Times;serif"/>
          <w:sz w:val="24"/>
        </w:rPr>
        <w:t xml:space="preserve"> </w:t>
      </w:r>
      <w:r>
        <w:rPr>
          <w:rFonts w:ascii="Times" w:hAnsi="Times"/>
          <w:sz w:val="24"/>
        </w:rPr>
        <w:t xml:space="preserve">(b) for all Unencumbered </w:t>
      </w:r>
      <w:bookmarkStart w:id="2017" w:name="_cp_change_2901"/>
      <w:bookmarkEnd w:id="2017"/>
      <w:r>
        <w:rPr>
          <w:rFonts w:ascii="Times" w:hAnsi="Times"/>
          <w:color w:val="0000FF"/>
          <w:sz w:val="24"/>
          <w:u w:val="single"/>
        </w:rPr>
        <w:t xml:space="preserve">Real Property </w:t>
      </w:r>
      <w:r>
        <w:rPr>
          <w:rFonts w:ascii="Times" w:hAnsi="Times"/>
          <w:sz w:val="24"/>
        </w:rPr>
        <w:t xml:space="preserve">Assets owned for twelve (12) months or less, the lesser of (i) the undepreciated costs of any such Unencumbered </w:t>
      </w:r>
      <w:bookmarkStart w:id="2018" w:name="_cp_change_2911"/>
      <w:bookmarkEnd w:id="2018"/>
      <w:r>
        <w:rPr>
          <w:rFonts w:ascii="Times" w:hAnsi="Times"/>
          <w:color w:val="0000FF"/>
          <w:sz w:val="24"/>
          <w:u w:val="single"/>
        </w:rPr>
        <w:t xml:space="preserve">Real Property </w:t>
      </w:r>
      <w:r>
        <w:rPr>
          <w:rFonts w:ascii="Times" w:hAnsi="Times"/>
          <w:sz w:val="24"/>
        </w:rPr>
        <w:t xml:space="preserve">Asset and (ii), the value of any such Unencumbered </w:t>
      </w:r>
      <w:bookmarkStart w:id="2019" w:name="_cp_change_2921"/>
      <w:bookmarkEnd w:id="2019"/>
      <w:r>
        <w:rPr>
          <w:rFonts w:ascii="Times" w:hAnsi="Times"/>
          <w:color w:val="0000FF"/>
          <w:sz w:val="24"/>
          <w:u w:val="single"/>
        </w:rPr>
        <w:t xml:space="preserve">Real Property </w:t>
      </w:r>
      <w:r>
        <w:rPr>
          <w:rFonts w:ascii="Times" w:hAnsi="Times"/>
          <w:sz w:val="24"/>
        </w:rPr>
        <w:t>Asset as determined by the calculation in clause (a) above measured on an annualized basis rather than for the most recently ended period of four quarters</w:t>
      </w:r>
      <w:bookmarkStart w:id="2020" w:name="_cp_change_2931"/>
      <w:bookmarkEnd w:id="2020"/>
      <w:r>
        <w:rPr>
          <w:rFonts w:ascii="Times" w:hAnsi="Times"/>
          <w:color w:val="0000FF"/>
          <w:sz w:val="24"/>
          <w:u w:val="single"/>
        </w:rPr>
        <w:t xml:space="preserve">, </w:t>
      </w:r>
      <w:r>
        <w:rPr>
          <w:rFonts w:ascii="Times" w:hAnsi="Times"/>
          <w:i/>
          <w:color w:val="0000FF"/>
          <w:sz w:val="24"/>
        </w:rPr>
        <w:t>plus</w:t>
      </w:r>
      <w:r>
        <w:rPr>
          <w:rFonts w:ascii="Times New Roman;Times;serif" w:hAnsi="Times New Roman;Times;serif"/>
          <w:color w:val="0000FF"/>
          <w:sz w:val="24"/>
          <w:u w:val="single"/>
        </w:rPr>
        <w:t xml:space="preserve"> </w:t>
      </w:r>
      <w:r>
        <w:rPr>
          <w:rFonts w:ascii="Times" w:hAnsi="Times"/>
          <w:color w:val="0000FF"/>
          <w:sz w:val="24"/>
          <w:u w:val="single"/>
        </w:rPr>
        <w:t>(c) the book value of Unencumbered Mortgage Receivables as of such date in accordance with GAAP</w:t>
      </w:r>
      <w:r>
        <w:rPr>
          <w:rFonts w:ascii="Times" w:hAnsi="Times"/>
          <w:sz w:val="24"/>
        </w:rPr>
        <w:t xml:space="preserve">; </w:t>
      </w:r>
      <w:r>
        <w:rPr>
          <w:rFonts w:ascii="Times" w:hAnsi="Times"/>
          <w:i/>
          <w:sz w:val="24"/>
        </w:rPr>
        <w:t>provided</w:t>
      </w:r>
      <w:r>
        <w:rPr>
          <w:rFonts w:ascii="Times New Roman;Times;serif" w:hAnsi="Times New Roman;Times;serif"/>
          <w:sz w:val="24"/>
        </w:rPr>
        <w:t xml:space="preserve"> </w:t>
      </w:r>
      <w:r>
        <w:rPr>
          <w:rFonts w:ascii="Times" w:hAnsi="Times"/>
          <w:sz w:val="24"/>
        </w:rPr>
        <w:t>that Unencumbered Asset Value shall be reduced by excluding a portion of the Property NOI</w:t>
      </w:r>
      <w:bookmarkStart w:id="2021" w:name="_cp_change_2941"/>
      <w:bookmarkEnd w:id="2021"/>
      <w:r>
        <w:rPr>
          <w:rFonts w:ascii="Times New Roman;Times;serif" w:hAnsi="Times New Roman;Times;serif"/>
          <w:color w:val="FF0000"/>
          <w:sz w:val="24"/>
        </w:rPr>
        <w:t xml:space="preserve"> </w:t>
      </w:r>
      <w:r>
        <w:rPr>
          <w:rFonts w:ascii="Times" w:hAnsi="Times"/>
          <w:color w:val="FF0000"/>
          <w:sz w:val="24"/>
        </w:rPr>
        <w:t>or</w:t>
      </w:r>
      <w:bookmarkStart w:id="2022" w:name="_cp_change_2951"/>
      <w:bookmarkEnd w:id="2022"/>
      <w:r>
        <w:rPr>
          <w:rFonts w:ascii="Times" w:hAnsi="Times"/>
          <w:color w:val="0000FF"/>
          <w:sz w:val="24"/>
          <w:u w:val="single"/>
        </w:rPr>
        <w:t>,</w:t>
      </w:r>
      <w:r>
        <w:rPr>
          <w:rFonts w:ascii="Times New Roman;Times;serif" w:hAnsi="Times New Roman;Times;serif"/>
          <w:sz w:val="24"/>
        </w:rPr>
        <w:t xml:space="preserve"> </w:t>
      </w:r>
      <w:r>
        <w:rPr>
          <w:rFonts w:ascii="Times" w:hAnsi="Times"/>
          <w:sz w:val="24"/>
        </w:rPr>
        <w:t>cost</w:t>
      </w:r>
      <w:bookmarkStart w:id="2023" w:name="_cp_change_2961"/>
      <w:bookmarkEnd w:id="2023"/>
      <w:r>
        <w:rPr>
          <w:rFonts w:ascii="Times" w:hAnsi="Times"/>
          <w:color w:val="0000FF"/>
          <w:sz w:val="24"/>
          <w:u w:val="single"/>
        </w:rPr>
        <w:t>, or book value, as applicable,</w:t>
      </w:r>
      <w:r>
        <w:rPr>
          <w:rFonts w:ascii="Times New Roman;Times;serif" w:hAnsi="Times New Roman;Times;serif"/>
          <w:sz w:val="24"/>
        </w:rPr>
        <w:t xml:space="preserve"> </w:t>
      </w:r>
      <w:r>
        <w:rPr>
          <w:rFonts w:ascii="Times" w:hAnsi="Times"/>
          <w:sz w:val="24"/>
        </w:rPr>
        <w:t>of any Unencumbered Assets attributable to any Unencumbered Assets that exceed the concentration limits in the Unencumbered Pool Requirements.</w:t>
      </w:r>
    </w:p>
    <w:p>
      <w:pPr>
        <w:pStyle w:val="TextBody"/>
        <w:bidi w:val="0"/>
        <w:spacing w:before="0" w:after="240"/>
        <w:ind w:left="0" w:right="0" w:firstLine="720"/>
        <w:jc w:val="both"/>
        <w:rPr/>
      </w:pPr>
      <w:bookmarkStart w:id="2024" w:name="_cp_change_2981"/>
      <w:bookmarkEnd w:id="2024"/>
      <w:r>
        <w:rPr>
          <w:color w:val="0000FF"/>
          <w:u w:val="single"/>
        </w:rPr>
        <w:t>“</w:t>
      </w:r>
      <w:r>
        <w:rPr>
          <w:rFonts w:ascii="Times" w:hAnsi="Times"/>
          <w:i/>
          <w:color w:val="0000FF"/>
          <w:sz w:val="24"/>
        </w:rPr>
        <w:t>Unencumbered Mortgage Receivable</w:t>
      </w:r>
      <w:r>
        <w:rPr>
          <w:rFonts w:ascii="Times New Roman;Times;serif" w:hAnsi="Times New Roman;Times;serif"/>
          <w:color w:val="0000FF"/>
          <w:sz w:val="24"/>
          <w:u w:val="single"/>
        </w:rPr>
        <w:t xml:space="preserve">” </w:t>
      </w:r>
      <w:bookmarkStart w:id="2025" w:name="_Hlk1834202051"/>
      <w:bookmarkEnd w:id="2025"/>
      <w:r>
        <w:rPr>
          <w:rFonts w:ascii="Times" w:hAnsi="Times"/>
          <w:color w:val="0000FF"/>
          <w:sz w:val="24"/>
          <w:u w:val="single"/>
        </w:rPr>
        <w:t>means, as of any date of determination, each Eligible Mortgage Receivable that has been designated as an “Unencumbered Mortgage Receivable” in accordance with the provisions of this Agreement and has not otherwise been excluded or removed from the Unencumbered Pool.</w:t>
      </w:r>
      <w:bookmarkStart w:id="2026" w:name="_cp_change_2971"/>
      <w:bookmarkEnd w:id="2026"/>
    </w:p>
    <w:p>
      <w:pPr>
        <w:pStyle w:val="TextBody"/>
        <w:bidi w:val="0"/>
        <w:spacing w:before="0" w:after="240"/>
        <w:ind w:left="0" w:right="0" w:firstLine="720"/>
        <w:jc w:val="both"/>
        <w:rPr/>
      </w:pPr>
      <w:r>
        <w:rPr/>
        <w:t>“</w:t>
      </w:r>
      <w:r>
        <w:rPr>
          <w:rFonts w:ascii="Times" w:hAnsi="Times"/>
          <w:i/>
          <w:sz w:val="24"/>
        </w:rPr>
        <w:t>Unencumbered Pool</w:t>
      </w:r>
      <w:r>
        <w:rPr>
          <w:rFonts w:ascii="Times New Roman;Times;serif" w:hAnsi="Times New Roman;Times;serif"/>
          <w:sz w:val="24"/>
        </w:rPr>
        <w:t xml:space="preserve">” </w:t>
      </w:r>
      <w:r>
        <w:rPr>
          <w:rFonts w:ascii="Times" w:hAnsi="Times"/>
          <w:sz w:val="24"/>
        </w:rPr>
        <w:t>means, as of any date of determination, the collective reference to all Unencumbered Assets as of such date.</w:t>
      </w:r>
    </w:p>
    <w:p>
      <w:pPr>
        <w:pStyle w:val="TextBody"/>
        <w:bidi w:val="0"/>
        <w:spacing w:before="0" w:after="240"/>
        <w:ind w:left="0" w:right="0" w:firstLine="720"/>
        <w:jc w:val="both"/>
        <w:rPr/>
      </w:pPr>
      <w:r>
        <w:rPr/>
        <w:t>“</w:t>
      </w:r>
      <w:r>
        <w:rPr>
          <w:rFonts w:ascii="Times" w:hAnsi="Times"/>
          <w:i/>
          <w:sz w:val="24"/>
        </w:rPr>
        <w:t>Unencumbered Pool Determination Date</w:t>
      </w:r>
      <w:r>
        <w:rPr>
          <w:rFonts w:ascii="Times New Roman;Times;serif" w:hAnsi="Times New Roman;Times;serif"/>
          <w:sz w:val="24"/>
        </w:rPr>
        <w:t xml:space="preserve">” </w:t>
      </w:r>
      <w:r>
        <w:rPr>
          <w:rFonts w:ascii="Times" w:hAnsi="Times"/>
          <w:sz w:val="24"/>
        </w:rPr>
        <w:t>means each date on which the Unencumbered Pool is certified in writing to the Administrative Agent, as follows:</w:t>
      </w:r>
    </w:p>
    <w:p>
      <w:pPr>
        <w:pStyle w:val="TextBody"/>
        <w:bidi w:val="0"/>
        <w:spacing w:before="0" w:after="240"/>
        <w:ind w:left="720" w:right="0" w:hanging="0"/>
        <w:jc w:val="both"/>
        <w:rPr>
          <w:rFonts w:ascii="Times New Roman;Times;serif" w:hAnsi="Times New Roman;Times;serif"/>
          <w:sz w:val="24"/>
        </w:rPr>
      </w:pPr>
      <w:r>
        <w:rPr>
          <w:rFonts w:ascii="Times" w:hAnsi="Times"/>
          <w:sz w:val="24"/>
        </w:rPr>
        <w:t>(a)</w:t>
      </w:r>
      <w:r>
        <w:rPr>
          <w:rFonts w:ascii="Times" w:hAnsi="Times"/>
          <w:i/>
          <w:sz w:val="24"/>
        </w:rPr>
        <w:t>Quarterly</w:t>
      </w:r>
      <w:r>
        <w:rPr>
          <w:rFonts w:ascii="Times" w:hAnsi="Times"/>
          <w:sz w:val="24"/>
        </w:rPr>
        <w:t>.  As of the last day of each</w:t>
      </w:r>
      <w:r>
        <w:rPr>
          <w:rFonts w:ascii="Times New Roman;Times;serif" w:hAnsi="Times New Roman;Times;serif"/>
          <w:sz w:val="24"/>
        </w:rPr>
        <w:t xml:space="preserve"> </w:t>
      </w:r>
      <w:r>
        <w:rPr>
          <w:rFonts w:ascii="Times" w:hAnsi="Times"/>
          <w:sz w:val="24"/>
        </w:rPr>
        <w:t xml:space="preserve">Fiscal Quarter. </w:t>
      </w:r>
    </w:p>
    <w:p>
      <w:pPr>
        <w:pStyle w:val="TextBody"/>
        <w:bidi w:val="0"/>
        <w:spacing w:before="0" w:after="240"/>
        <w:ind w:left="720" w:right="0" w:hanging="0"/>
        <w:jc w:val="both"/>
        <w:rPr>
          <w:rFonts w:ascii="Times New Roman;Times;serif" w:hAnsi="Times New Roman;Times;serif"/>
          <w:sz w:val="24"/>
        </w:rPr>
      </w:pPr>
      <w:r>
        <w:rPr>
          <w:rFonts w:ascii="Times" w:hAnsi="Times"/>
          <w:sz w:val="24"/>
        </w:rPr>
        <w:t>(b)</w:t>
      </w:r>
      <w:r>
        <w:rPr>
          <w:rFonts w:ascii="Times" w:hAnsi="Times"/>
          <w:i/>
          <w:sz w:val="24"/>
        </w:rPr>
        <w:t>Property Adjustments</w:t>
      </w:r>
      <w:r>
        <w:rPr>
          <w:rFonts w:ascii="Times" w:hAnsi="Times"/>
          <w:sz w:val="24"/>
        </w:rPr>
        <w:t>.  Following each addition or deletion of an Unencumbered Assets, the Unencumbered Asset Value shall be adjusted accordingly.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Unencumbered Pool NOI” </w:t>
      </w:r>
      <w:r>
        <w:rPr>
          <w:rFonts w:ascii="Times" w:hAnsi="Times"/>
          <w:sz w:val="24"/>
        </w:rPr>
        <w:t xml:space="preserve">means for the most recent Rolling Period, the aggregate Property NOI attributable to the Unencumbered </w:t>
      </w:r>
      <w:bookmarkStart w:id="2027" w:name="_cp_change_299"/>
      <w:bookmarkEnd w:id="2027"/>
      <w:r>
        <w:rPr>
          <w:rFonts w:ascii="Times" w:hAnsi="Times"/>
          <w:color w:val="0000FF"/>
          <w:sz w:val="24"/>
          <w:u w:val="single"/>
        </w:rPr>
        <w:t xml:space="preserve">Real Property </w:t>
      </w:r>
      <w:r>
        <w:rPr>
          <w:rFonts w:ascii="Times" w:hAnsi="Times"/>
          <w:sz w:val="24"/>
        </w:rPr>
        <w:t>Assets.</w:t>
      </w:r>
    </w:p>
    <w:p>
      <w:pPr>
        <w:pStyle w:val="TextBody"/>
        <w:bidi w:val="0"/>
        <w:spacing w:before="0" w:after="0"/>
        <w:ind w:left="0" w:right="0" w:firstLine="720"/>
        <w:jc w:val="both"/>
        <w:rPr/>
      </w:pPr>
      <w:r>
        <w:rPr/>
        <w:t>“</w:t>
      </w:r>
      <w:r>
        <w:rPr>
          <w:rFonts w:ascii="Times New Roman;Times;serif" w:hAnsi="Times New Roman;Times;serif"/>
          <w:i/>
          <w:sz w:val="24"/>
        </w:rPr>
        <w:t>Unencumbered Pool Requirements”</w:t>
      </w:r>
      <w:r>
        <w:rPr>
          <w:rFonts w:ascii="Times New Roman;Times;serif" w:hAnsi="Times New Roman;Times;serif"/>
          <w:sz w:val="24"/>
        </w:rPr>
        <w:t xml:space="preserve"> means with respect to determining compliance with the covenants set forth in Sections 8.20(e) and 8.20(f), collectively that (a) at all times the Unencumbered Pool shall have no less than twenty (20) Unencumbered </w:t>
      </w:r>
      <w:bookmarkStart w:id="2028" w:name="_cp_change_300"/>
      <w:bookmarkEnd w:id="2028"/>
      <w:r>
        <w:rPr>
          <w:rFonts w:ascii="Times New Roman;Times;serif" w:hAnsi="Times New Roman;Times;serif"/>
          <w:color w:val="0000FF"/>
          <w:sz w:val="24"/>
          <w:u w:val="single"/>
        </w:rPr>
        <w:t xml:space="preserve">Real Property </w:t>
      </w:r>
      <w:r>
        <w:rPr>
          <w:rFonts w:ascii="Times New Roman;Times;serif" w:hAnsi="Times New Roman;Times;serif"/>
          <w:sz w:val="24"/>
        </w:rPr>
        <w:t xml:space="preserve">Assets; (b) the Unencumbered Asset Value shall at all times be equal to or in excess of $200,000,000; (c) no more than 25% of the Unencumbered Asset Value may be attributable to any one Unencumbered Asset (for the avoidance of doubt, an Unencumbered Asset that exceeds this sublimit may be included in the calculation of Unencumbered Asset Value; </w:t>
      </w:r>
      <w:r>
        <w:rPr>
          <w:rFonts w:ascii="Times New Roman;Times;serif" w:hAnsi="Times New Roman;Times;serif"/>
          <w:i/>
          <w:sz w:val="24"/>
        </w:rPr>
        <w:t>provided, that</w:t>
      </w:r>
      <w:r>
        <w:rPr>
          <w:rFonts w:ascii="Times New Roman;Times;serif" w:hAnsi="Times New Roman;Times;serif"/>
          <w:sz w:val="24"/>
        </w:rPr>
        <w:t xml:space="preserve"> any amount over 25% of the Unencumbered Asset Value is excluded from the calculation of the Unencumbered Asset Value); (d) no more than 20% of Unencumbered Asset Value may be attributable to any single Tenant, unless such Tenant’s Rating is equal to or better than BBB-/Baa3 from S&amp;P or Moody’s (a “</w:t>
      </w:r>
      <w:r>
        <w:rPr>
          <w:rFonts w:ascii="Times New Roman;Times;serif" w:hAnsi="Times New Roman;Times;serif"/>
          <w:i/>
          <w:sz w:val="24"/>
        </w:rPr>
        <w:t>Prime Tenant”</w:t>
      </w:r>
      <w:r>
        <w:rPr>
          <w:rFonts w:ascii="Times New Roman;Times;serif" w:hAnsi="Times New Roman;Times;serif"/>
          <w:sz w:val="24"/>
        </w:rPr>
        <w:t xml:space="preserve">), respectively (for the avoidance of doubt, to the extent that any single Tenant, other than a Prime Tenant, exceeds this sublimit, the related Unencumbered Assets may be included in the calculation of Unencumbered Asset Value in an amount of up to 20% of the Unencumbered Asset Value); (e) no more than 15% of Unencumbered Asset Value may be attributable to Unencumbered </w:t>
      </w:r>
      <w:bookmarkStart w:id="2029" w:name="_cp_change_3011"/>
      <w:bookmarkEnd w:id="2029"/>
      <w:r>
        <w:rPr>
          <w:rFonts w:ascii="Times New Roman;Times;serif" w:hAnsi="Times New Roman;Times;serif"/>
          <w:color w:val="0000FF"/>
          <w:sz w:val="24"/>
          <w:u w:val="single"/>
        </w:rPr>
        <w:t xml:space="preserve">Real Property </w:t>
      </w:r>
      <w:r>
        <w:rPr>
          <w:rFonts w:ascii="Times New Roman;Times;serif" w:hAnsi="Times New Roman;Times;serif"/>
          <w:sz w:val="24"/>
        </w:rPr>
        <w:t xml:space="preserve">Assets constituting Acceptable Leasehold Interests (for the avoidance of doubt, an Unencumbered </w:t>
      </w:r>
      <w:bookmarkStart w:id="2030" w:name="_cp_change_3021"/>
      <w:bookmarkEnd w:id="2030"/>
      <w:r>
        <w:rPr>
          <w:rFonts w:ascii="Times New Roman;Times;serif" w:hAnsi="Times New Roman;Times;serif"/>
          <w:color w:val="0000FF"/>
          <w:sz w:val="24"/>
          <w:u w:val="single"/>
        </w:rPr>
        <w:t xml:space="preserve">Real Property </w:t>
      </w:r>
      <w:r>
        <w:rPr>
          <w:rFonts w:ascii="Times New Roman;Times;serif" w:hAnsi="Times New Roman;Times;serif"/>
          <w:sz w:val="24"/>
        </w:rPr>
        <w:t xml:space="preserve">Asset that exceeds this sublimit may be included in the calculation of Unencumbered Asset Value; </w:t>
      </w:r>
      <w:r>
        <w:rPr>
          <w:rFonts w:ascii="Times New Roman;Times;serif" w:hAnsi="Times New Roman;Times;serif"/>
          <w:i/>
          <w:sz w:val="24"/>
        </w:rPr>
        <w:t>provided</w:t>
      </w:r>
      <w:r>
        <w:rPr>
          <w:rFonts w:ascii="Times New Roman;Times;serif" w:hAnsi="Times New Roman;Times;serif"/>
          <w:sz w:val="24"/>
        </w:rPr>
        <w:t xml:space="preserve">, that any amount over 15% of the Unencumbered Asset Value is excluded from the calculation of the Unencumbered Asset Value); (f) the Unencumbered </w:t>
      </w:r>
      <w:bookmarkStart w:id="2031" w:name="_cp_change_3031"/>
      <w:bookmarkEnd w:id="2031"/>
      <w:r>
        <w:rPr>
          <w:rFonts w:ascii="Times New Roman;Times;serif" w:hAnsi="Times New Roman;Times;serif"/>
          <w:color w:val="0000FF"/>
          <w:sz w:val="24"/>
          <w:u w:val="single"/>
        </w:rPr>
        <w:t xml:space="preserve">Real Property </w:t>
      </w:r>
      <w:r>
        <w:rPr>
          <w:rFonts w:ascii="Times New Roman;Times;serif" w:hAnsi="Times New Roman;Times;serif"/>
          <w:sz w:val="24"/>
        </w:rPr>
        <w:t xml:space="preserve">Assets must have an aggregate Occupancy Rate of at least 85%; </w:t>
      </w:r>
      <w:bookmarkStart w:id="2032" w:name="_cp_change_3041"/>
      <w:bookmarkEnd w:id="2032"/>
      <w:r>
        <w:rPr>
          <w:rFonts w:ascii="Times" w:hAnsi="Times"/>
          <w:color w:val="FF0000"/>
          <w:sz w:val="24"/>
        </w:rPr>
        <w:t xml:space="preserve">and </w:t>
      </w:r>
      <w:r>
        <w:rPr>
          <w:rFonts w:ascii="Times New Roman;Times;serif" w:hAnsi="Times New Roman;Times;serif"/>
          <w:sz w:val="24"/>
        </w:rPr>
        <w:t xml:space="preserve">(g) no more than 25% of the Unencumbered Asset Value may be attributable to Unencumbered </w:t>
      </w:r>
      <w:bookmarkStart w:id="2033" w:name="_cp_change_305"/>
      <w:bookmarkEnd w:id="2033"/>
      <w:r>
        <w:rPr>
          <w:rFonts w:ascii="Times New Roman;Times;serif" w:hAnsi="Times New Roman;Times;serif"/>
          <w:color w:val="0000FF"/>
          <w:sz w:val="24"/>
          <w:u w:val="single"/>
        </w:rPr>
        <w:t xml:space="preserve">Real Property </w:t>
      </w:r>
      <w:r>
        <w:rPr>
          <w:rFonts w:ascii="Times New Roman;Times;serif" w:hAnsi="Times New Roman;Times;serif"/>
          <w:sz w:val="24"/>
        </w:rPr>
        <w:t xml:space="preserve">Assets which are located in the same MSA (for the avoidance of doubt, an Unencumbered </w:t>
      </w:r>
      <w:bookmarkStart w:id="2034" w:name="_cp_change_306"/>
      <w:bookmarkEnd w:id="2034"/>
      <w:r>
        <w:rPr>
          <w:rFonts w:ascii="Times New Roman;Times;serif" w:hAnsi="Times New Roman;Times;serif"/>
          <w:color w:val="0000FF"/>
          <w:sz w:val="24"/>
          <w:u w:val="single"/>
        </w:rPr>
        <w:t xml:space="preserve">Real Property </w:t>
      </w:r>
      <w:r>
        <w:rPr>
          <w:rFonts w:ascii="Times New Roman;Times;serif" w:hAnsi="Times New Roman;Times;serif"/>
          <w:sz w:val="24"/>
        </w:rPr>
        <w:t xml:space="preserve">Asset that exceeds this sublimit may be included in the calculation of Unencumbered Asset Value; </w:t>
      </w:r>
      <w:r>
        <w:rPr>
          <w:rFonts w:ascii="Times New Roman;Times;serif" w:hAnsi="Times New Roman;Times;serif"/>
          <w:i/>
          <w:sz w:val="24"/>
        </w:rPr>
        <w:t>provided</w:t>
      </w:r>
      <w:r>
        <w:rPr>
          <w:rFonts w:ascii="Times New Roman;Times;serif" w:hAnsi="Times New Roman;Times;serif"/>
          <w:sz w:val="24"/>
        </w:rPr>
        <w:t>, that any amount over 25% of the Unencumbered Asset Value is excluded from the calculation of the Unencumbered Asset Value)</w:t>
      </w:r>
      <w:bookmarkStart w:id="2035" w:name="_cp_change_307"/>
      <w:bookmarkEnd w:id="2035"/>
      <w:r>
        <w:rPr>
          <w:rFonts w:ascii="Times" w:hAnsi="Times"/>
          <w:color w:val="FF0000"/>
          <w:sz w:val="24"/>
        </w:rPr>
        <w:t>.</w:t>
      </w:r>
      <w:bookmarkStart w:id="2036" w:name="_cp_change_308"/>
      <w:bookmarkEnd w:id="2036"/>
      <w:r>
        <w:rPr>
          <w:rFonts w:ascii="Times New Roman;Times;serif" w:hAnsi="Times New Roman;Times;serif"/>
          <w:color w:val="0000FF"/>
          <w:sz w:val="24"/>
          <w:u w:val="single"/>
        </w:rPr>
        <w:t xml:space="preserve">; (h) no more than 10% of the Unencumbered Asset Value may be attributable to Unencumbered Mortgage Receivables in the aggregate (for the avoidance of doubt, an Unencumbered Mortgage Receivable that exceeds this sublimit may be included in the calculation of Unencumbered Asset Value; </w:t>
      </w:r>
      <w:r>
        <w:rPr>
          <w:rFonts w:ascii="Times New Roman;Times;serif" w:hAnsi="Times New Roman;Times;serif"/>
          <w:i/>
          <w:color w:val="0000FF"/>
          <w:sz w:val="24"/>
        </w:rPr>
        <w:t>provided</w:t>
      </w:r>
      <w:r>
        <w:rPr>
          <w:rFonts w:ascii="Times New Roman;Times;serif" w:hAnsi="Times New Roman;Times;serif"/>
          <w:color w:val="0000FF"/>
          <w:sz w:val="24"/>
          <w:u w:val="single"/>
        </w:rPr>
        <w:t xml:space="preserve">, that any amount over 10% of the Unencumbered Asset Value is excluded from the calculation of the Unencumbered Asset Value); and (i) no more than 10% of the aggregate amount of the Unencumbered Pool Total Income may be attributable to cash interest income from Unencumbered Mortgage Receivables in the aggregate (for the avoidance of doubt, an Unencumbered Mortgage Receivable that exceeds this sublimit may be included in the calculation of Unencumbered Pool Total Income; </w:t>
      </w:r>
      <w:r>
        <w:rPr>
          <w:rFonts w:ascii="Times New Roman;Times;serif" w:hAnsi="Times New Roman;Times;serif"/>
          <w:i/>
          <w:color w:val="0000FF"/>
          <w:sz w:val="24"/>
        </w:rPr>
        <w:t>provided</w:t>
      </w:r>
      <w:r>
        <w:rPr>
          <w:rFonts w:ascii="Times New Roman;Times;serif" w:hAnsi="Times New Roman;Times;serif"/>
          <w:color w:val="0000FF"/>
          <w:sz w:val="24"/>
          <w:u w:val="single"/>
        </w:rPr>
        <w:t>, that any amount over 10% of the Unencumbered Pool Total Income attributable to Unencumbered Mortgage Receivables is excluded from the calculation of the Unencumbered Pool Total Income).</w:t>
      </w:r>
    </w:p>
    <w:p>
      <w:pPr>
        <w:pStyle w:val="TextBody"/>
        <w:bidi w:val="0"/>
        <w:spacing w:before="0" w:after="0"/>
        <w:ind w:left="0" w:right="0" w:hanging="0"/>
        <w:jc w:val="left"/>
        <w:rPr/>
      </w:pPr>
      <w:r>
        <w:rPr/>
        <w:t>​</w:t>
      </w:r>
    </w:p>
    <w:p>
      <w:pPr>
        <w:pStyle w:val="TextBody"/>
        <w:bidi w:val="0"/>
        <w:spacing w:before="0" w:after="0"/>
        <w:ind w:left="0" w:right="0" w:firstLine="720"/>
        <w:jc w:val="both"/>
        <w:rPr/>
      </w:pPr>
      <w:bookmarkStart w:id="2037" w:name="_cp_change_310"/>
      <w:bookmarkEnd w:id="2037"/>
      <w:r>
        <w:rPr>
          <w:color w:val="0000FF"/>
          <w:u w:val="single"/>
        </w:rPr>
        <w:t>“</w:t>
      </w:r>
      <w:r>
        <w:rPr>
          <w:rFonts w:ascii="Times New Roman;Times;serif" w:hAnsi="Times New Roman;Times;serif"/>
          <w:i/>
          <w:color w:val="0000FF"/>
          <w:sz w:val="24"/>
        </w:rPr>
        <w:t>Unencumbered Pool Total Income</w:t>
      </w:r>
      <w:r>
        <w:rPr>
          <w:rFonts w:ascii="Times New Roman;Times;serif" w:hAnsi="Times New Roman;Times;serif"/>
          <w:color w:val="0000FF"/>
          <w:sz w:val="24"/>
          <w:u w:val="single"/>
        </w:rPr>
        <w:t xml:space="preserve">” means for the most recent Rolling Period, the sum of (i) Unencumbered Pool NOI </w:t>
      </w:r>
      <w:r>
        <w:rPr>
          <w:rFonts w:ascii="Times New Roman;Times;serif" w:hAnsi="Times New Roman;Times;serif"/>
          <w:i/>
          <w:color w:val="0000FF"/>
          <w:sz w:val="24"/>
        </w:rPr>
        <w:t xml:space="preserve">plus </w:t>
      </w:r>
      <w:r>
        <w:rPr>
          <w:rFonts w:ascii="Times New Roman;Times;serif" w:hAnsi="Times New Roman;Times;serif"/>
          <w:color w:val="0000FF"/>
          <w:sz w:val="24"/>
          <w:u w:val="single"/>
        </w:rPr>
        <w:t xml:space="preserve">(ii) cash interest income actually received from Unencumbered Mortgage Receivables, in each case, for such Rolling Period; </w:t>
      </w:r>
      <w:r>
        <w:rPr>
          <w:rFonts w:ascii="Times New Roman;Times;serif" w:hAnsi="Times New Roman;Times;serif"/>
          <w:i/>
          <w:color w:val="0000FF"/>
          <w:sz w:val="24"/>
        </w:rPr>
        <w:t xml:space="preserve">provided </w:t>
      </w:r>
      <w:r>
        <w:rPr>
          <w:rFonts w:ascii="Times New Roman;Times;serif" w:hAnsi="Times New Roman;Times;serif"/>
          <w:color w:val="0000FF"/>
          <w:sz w:val="24"/>
          <w:u w:val="single"/>
        </w:rPr>
        <w:t>that Unencumbered Pool Total Income shall be reduced by excluding a portion of the cash interest income any Unencumbered Mortgage Receivables attributable to any Unencumbered Mortgage Receivables that exceed the concentration limits in the Unencumbered Pool Requirements.</w:t>
      </w:r>
      <w:bookmarkStart w:id="2038" w:name="_cp_change_309"/>
      <w:bookmarkEnd w:id="2038"/>
    </w:p>
    <w:p>
      <w:pPr>
        <w:pStyle w:val="TextBody"/>
        <w:bidi w:val="0"/>
        <w:spacing w:before="0" w:after="0"/>
        <w:ind w:left="0" w:right="0" w:hanging="0"/>
        <w:jc w:val="left"/>
        <w:rPr>
          <w:color w:val="0000FF"/>
        </w:rPr>
      </w:pPr>
      <w:r>
        <w:rPr>
          <w:color w:val="0000FF"/>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2039" w:name="_cp_change_311"/>
      <w:bookmarkEnd w:id="2039"/>
      <w:r>
        <w:rPr>
          <w:color w:val="0000FF"/>
          <w:u w:val="single"/>
        </w:rPr>
        <w:t>“</w:t>
      </w:r>
      <w:r>
        <w:rPr>
          <w:rFonts w:ascii="Times New Roman;Times;serif" w:hAnsi="Times New Roman;Times;serif"/>
          <w:i/>
          <w:color w:val="0000FF"/>
          <w:sz w:val="24"/>
        </w:rPr>
        <w:t>Unencumbered Real Property Asset</w:t>
      </w:r>
      <w:r>
        <w:rPr>
          <w:rFonts w:ascii="Times New Roman;Times;serif" w:hAnsi="Times New Roman;Times;serif"/>
          <w:color w:val="0000FF"/>
          <w:sz w:val="24"/>
          <w:u w:val="single"/>
        </w:rPr>
        <w:t xml:space="preserve">” means, as of any date of determination, each </w:t>
      </w:r>
      <w:bookmarkStart w:id="2040" w:name="_cp_change_312"/>
      <w:bookmarkEnd w:id="2040"/>
      <w:r>
        <w:rPr>
          <w:rFonts w:ascii="Times New Roman;Times;serif" w:hAnsi="Times New Roman;Times;serif"/>
          <w:color w:val="008000"/>
          <w:sz w:val="24"/>
          <w:u w:val="single"/>
        </w:rPr>
        <w:t xml:space="preserve">Eligible Property that has been designated as an “Unencumbered </w:t>
      </w:r>
      <w:bookmarkStart w:id="2041" w:name="_cp_change_314"/>
      <w:bookmarkEnd w:id="2041"/>
      <w:r>
        <w:rPr>
          <w:rFonts w:ascii="Times New Roman;Times;serif" w:hAnsi="Times New Roman;Times;serif"/>
          <w:color w:val="0000FF"/>
          <w:sz w:val="24"/>
          <w:u w:val="single"/>
        </w:rPr>
        <w:t xml:space="preserve">Real Property </w:t>
      </w:r>
      <w:bookmarkStart w:id="2042" w:name="_cp_change_315"/>
      <w:bookmarkEnd w:id="2042"/>
      <w:r>
        <w:rPr>
          <w:rFonts w:ascii="Times New Roman;Times;serif" w:hAnsi="Times New Roman;Times;serif"/>
          <w:color w:val="008000"/>
          <w:sz w:val="24"/>
          <w:u w:val="single"/>
        </w:rPr>
        <w:t>Asset” in accordance with the provisions of this Agreement and has not otherwise been excluded or removed from the Unencumbered Pool.</w:t>
      </w:r>
      <w:bookmarkStart w:id="2043" w:name="_cp_change_317"/>
      <w:bookmarkEnd w:id="2043"/>
    </w:p>
    <w:p>
      <w:pPr>
        <w:pStyle w:val="TextBody"/>
        <w:bidi w:val="0"/>
        <w:spacing w:before="0" w:after="240"/>
        <w:ind w:left="0" w:right="0" w:firstLine="720"/>
        <w:jc w:val="both"/>
        <w:rPr/>
      </w:pPr>
      <w:r>
        <w:rPr/>
        <w:t>“</w:t>
      </w:r>
      <w:r>
        <w:rPr>
          <w:rFonts w:ascii="Times New Roman;Times;serif" w:hAnsi="Times New Roman;Times;serif"/>
          <w:i/>
          <w:sz w:val="24"/>
        </w:rPr>
        <w:t>Unfunded Vested Liabilities”</w:t>
      </w:r>
      <w:r>
        <w:rPr>
          <w:rFonts w:ascii="Times New Roman;Times;serif" w:hAnsi="Times New Roman;Times;serif"/>
          <w:sz w:val="24"/>
        </w:rPr>
        <w:t xml:space="preserve"> means, for any Plan at any time, the amount (if any) by 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pStyle w:val="TextBody"/>
        <w:bidi w:val="0"/>
        <w:spacing w:before="0" w:after="240"/>
        <w:ind w:left="0" w:right="0" w:firstLine="720"/>
        <w:jc w:val="both"/>
        <w:rPr/>
      </w:pPr>
      <w:r>
        <w:rPr/>
        <w:t>“</w:t>
      </w:r>
      <w:r>
        <w:rPr>
          <w:rFonts w:ascii="Times" w:hAnsi="Times"/>
          <w:i/>
          <w:sz w:val="24"/>
        </w:rPr>
        <w:t>Unsecured Indebtedness</w:t>
      </w:r>
      <w:r>
        <w:rPr>
          <w:rFonts w:ascii="Times New Roman;Times;serif" w:hAnsi="Times New Roman;Times;serif"/>
          <w:sz w:val="24"/>
        </w:rPr>
        <w:t xml:space="preserve">” </w:t>
      </w:r>
      <w:r>
        <w:rPr>
          <w:rFonts w:ascii="Times" w:hAnsi="Times"/>
          <w:sz w:val="24"/>
        </w:rPr>
        <w:t>means, all Indebtedness for Borrowed Money of the Parent and its Subsidiaries that does not constitute Secured Indebtedness.</w:t>
      </w:r>
    </w:p>
    <w:p>
      <w:pPr>
        <w:pStyle w:val="TextBody"/>
        <w:bidi w:val="0"/>
        <w:spacing w:before="0" w:after="240"/>
        <w:ind w:left="0" w:right="0" w:firstLine="720"/>
        <w:jc w:val="both"/>
        <w:rPr/>
      </w:pPr>
      <w:r>
        <w:rPr/>
        <w:t>“</w:t>
      </w:r>
      <w:r>
        <w:rPr>
          <w:rFonts w:ascii="Times" w:hAnsi="Times"/>
          <w:i/>
          <w:sz w:val="24"/>
        </w:rPr>
        <w:t>Unsecured Interest Expense</w:t>
      </w:r>
      <w:r>
        <w:rPr>
          <w:rFonts w:ascii="Times New Roman;Times;serif" w:hAnsi="Times New Roman;Times;serif"/>
          <w:sz w:val="24"/>
        </w:rPr>
        <w:t xml:space="preserve">” </w:t>
      </w:r>
      <w:r>
        <w:rPr>
          <w:rFonts w:ascii="Times" w:hAnsi="Times"/>
          <w:sz w:val="24"/>
        </w:rPr>
        <w:t>means, as of any date of determination and for any period, the annual interest expense that would have been payable on all Unsecured Indebtedness during such period assuming an interest rate equal to the greater of (i) the weighted average interest rate for such period applicable to all Unsecured Indebtedness as of such date of determination, (ii) 5.75% per annum and (iii) the 10-year treasury rate on the last day of such period plus 1.75%.</w:t>
      </w:r>
    </w:p>
    <w:p>
      <w:pPr>
        <w:pStyle w:val="TextBody"/>
        <w:bidi w:val="0"/>
        <w:spacing w:before="0" w:after="240"/>
        <w:ind w:left="0" w:right="0" w:firstLine="720"/>
        <w:jc w:val="both"/>
        <w:rPr/>
      </w:pPr>
      <w:r>
        <w:rPr/>
        <w:t>“</w:t>
      </w:r>
      <w:r>
        <w:rPr>
          <w:rFonts w:ascii="Times" w:hAnsi="Times"/>
          <w:i/>
          <w:sz w:val="24"/>
        </w:rPr>
        <w:t>U.S. Dollars”</w:t>
      </w:r>
      <w:r>
        <w:rPr>
          <w:rFonts w:ascii="Times New Roman;Times;serif" w:hAnsi="Times New Roman;Times;serif"/>
          <w:sz w:val="24"/>
        </w:rPr>
        <w:t xml:space="preserve"> </w:t>
      </w:r>
      <w:r>
        <w:rPr>
          <w:rFonts w:ascii="Times" w:hAnsi="Times"/>
          <w:sz w:val="24"/>
        </w:rPr>
        <w:t xml:space="preserve">and </w:t>
      </w:r>
      <w:r>
        <w:rPr>
          <w:rFonts w:ascii="Times New Roman;Times;serif" w:hAnsi="Times New Roman;Times;serif"/>
          <w:sz w:val="24"/>
        </w:rPr>
        <w:t>“</w:t>
      </w:r>
      <w:r>
        <w:rPr>
          <w:rFonts w:ascii="Times" w:hAnsi="Times"/>
          <w:i/>
          <w:sz w:val="24"/>
        </w:rPr>
        <w:t>$”</w:t>
      </w:r>
      <w:r>
        <w:rPr>
          <w:rFonts w:ascii="Times New Roman;Times;serif" w:hAnsi="Times New Roman;Times;serif"/>
          <w:sz w:val="24"/>
        </w:rPr>
        <w:t xml:space="preserve"> </w:t>
      </w:r>
      <w:r>
        <w:rPr>
          <w:rFonts w:ascii="Times" w:hAnsi="Times"/>
          <w:sz w:val="24"/>
        </w:rPr>
        <w:t>each means the lawful currency of the United States of America.</w:t>
      </w:r>
    </w:p>
    <w:p>
      <w:pPr>
        <w:pStyle w:val="TextBody"/>
        <w:bidi w:val="0"/>
        <w:spacing w:before="0" w:after="240"/>
        <w:ind w:left="0" w:right="0" w:firstLine="720"/>
        <w:jc w:val="both"/>
        <w:rPr/>
      </w:pPr>
      <w:r>
        <w:rPr/>
        <w:t>“</w:t>
      </w:r>
      <w:r>
        <w:rPr>
          <w:rFonts w:ascii="Times" w:hAnsi="Times"/>
          <w:i/>
          <w:sz w:val="24"/>
        </w:rPr>
        <w:t>Voting Stock”</w:t>
      </w:r>
      <w:r>
        <w:rPr>
          <w:rFonts w:ascii="Times New Roman;Times;serif" w:hAnsi="Times New Roman;Times;serif"/>
          <w:sz w:val="24"/>
        </w:rPr>
        <w:t xml:space="preserve"> </w:t>
      </w:r>
      <w:r>
        <w:rPr>
          <w:rFonts w:ascii="Times" w:hAnsi="Times"/>
          <w:sz w:val="24"/>
        </w:rPr>
        <w:t>of any Person means capital stock or other equity interests of any class or classes (however designated) having ordinary power for the election of directors or other similar governing body of such Person, other than stock or other equity interests having such power only by reason of the happening of a contingency.</w:t>
      </w:r>
    </w:p>
    <w:p>
      <w:pPr>
        <w:pStyle w:val="TextBody"/>
        <w:bidi w:val="0"/>
        <w:spacing w:before="0" w:after="240"/>
        <w:ind w:left="0" w:right="0" w:firstLine="720"/>
        <w:jc w:val="both"/>
        <w:rPr/>
      </w:pPr>
      <w:r>
        <w:rPr/>
        <w:t>“</w:t>
      </w:r>
      <w:r>
        <w:rPr>
          <w:rFonts w:ascii="Times" w:hAnsi="Times"/>
          <w:i/>
          <w:sz w:val="24"/>
        </w:rPr>
        <w:t>Welfare Plan”</w:t>
      </w:r>
      <w:r>
        <w:rPr>
          <w:rFonts w:ascii="Times New Roman;Times;serif" w:hAnsi="Times New Roman;Times;serif"/>
          <w:sz w:val="24"/>
        </w:rPr>
        <w:t xml:space="preserve"> </w:t>
      </w:r>
      <w:r>
        <w:rPr>
          <w:rFonts w:ascii="Times" w:hAnsi="Times"/>
          <w:sz w:val="24"/>
        </w:rPr>
        <w:t>means a “welfare plan” as defined in Section 3(1) of ERISA.</w:t>
      </w:r>
    </w:p>
    <w:p>
      <w:pPr>
        <w:pStyle w:val="TextBody"/>
        <w:bidi w:val="0"/>
        <w:spacing w:before="0" w:after="240"/>
        <w:ind w:left="0" w:right="0" w:firstLine="720"/>
        <w:jc w:val="both"/>
        <w:rPr/>
      </w:pPr>
      <w:r>
        <w:rPr/>
        <w:t>“</w:t>
      </w:r>
      <w:r>
        <w:rPr>
          <w:rFonts w:ascii="Times" w:hAnsi="Times"/>
          <w:i/>
          <w:sz w:val="24"/>
        </w:rPr>
        <w:t>Wholly-owned Subsidiary”</w:t>
      </w:r>
      <w:r>
        <w:rPr>
          <w:rFonts w:ascii="Times New Roman;Times;serif" w:hAnsi="Times New Roman;Times;serif"/>
          <w:sz w:val="24"/>
        </w:rPr>
        <w:t xml:space="preserve"> </w:t>
      </w:r>
      <w:r>
        <w:rPr>
          <w:rFonts w:ascii="Times" w:hAnsi="Times"/>
          <w:sz w:val="24"/>
        </w:rPr>
        <w:t>means a Subsidiary of which all of the issued and outstanding shares of capital stock (other than directors’ qualifying shares as required by law) or other equity interests are owned by the Borrower and/or one or more Wholly-owned Subsidiaries within the meaning of this definition.</w:t>
      </w:r>
    </w:p>
    <w:p>
      <w:pPr>
        <w:pStyle w:val="TextBody"/>
        <w:bidi w:val="0"/>
        <w:spacing w:before="0" w:after="240"/>
        <w:ind w:left="0" w:right="0" w:firstLine="720"/>
        <w:jc w:val="both"/>
        <w:rPr/>
      </w:pPr>
      <w:r>
        <w:rPr/>
        <w:t>“</w:t>
      </w:r>
      <w:r>
        <w:rPr>
          <w:rFonts w:ascii="Times" w:hAnsi="Times"/>
          <w:i/>
          <w:sz w:val="24"/>
        </w:rPr>
        <w:t>Write-Down and Conversion Powers”</w:t>
      </w:r>
      <w:r>
        <w:rPr>
          <w:rFonts w:ascii="Times New Roman;Times;serif" w:hAnsi="Times New Roman;Times;serif"/>
          <w:sz w:val="24"/>
        </w:rPr>
        <w:t xml:space="preserve"> </w:t>
      </w:r>
      <w:r>
        <w:rPr>
          <w:rFonts w:ascii="Times" w:hAnsi="Times"/>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both"/>
        <w:rPr/>
      </w:pPr>
      <w:r>
        <w:rPr/>
        <w:t>●</w:t>
      </w:r>
      <w:bookmarkStart w:id="2044" w:name="_Toc184891477"/>
      <w:bookmarkEnd w:id="2044"/>
      <w:r>
        <w:rPr>
          <w:rFonts w:ascii="Times New Roman;Times;serif" w:hAnsi="Times New Roman;Times;serif"/>
          <w:sz w:val="24"/>
          <w:u w:val="single"/>
        </w:rPr>
        <w:t>Interpretation</w:t>
      </w:r>
      <w:r>
        <w:rPr>
          <w:rFonts w:ascii="Times New Roman;Times;serif" w:hAnsi="Times New Roman;Times;serif"/>
          <w:i/>
          <w:sz w:val="24"/>
        </w:rPr>
        <w: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The foregoing definitions are equally applicable to both the singular and plural forms of the terms defined. The words “</w:t>
      </w:r>
      <w:r>
        <w:rPr>
          <w:rFonts w:ascii="Times New Roman;Times;serif" w:hAnsi="Times New Roman;Times;serif"/>
          <w:i/>
          <w:sz w:val="24"/>
        </w:rPr>
        <w:t>hereof”</w:t>
      </w:r>
      <w:r>
        <w:rPr>
          <w:rFonts w:ascii="Times New Roman;Times;serif" w:hAnsi="Times New Roman;Times;serif"/>
          <w:sz w:val="24"/>
        </w:rPr>
        <w:t>, “</w:t>
      </w:r>
      <w:r>
        <w:rPr>
          <w:rFonts w:ascii="Times New Roman;Times;serif" w:hAnsi="Times New Roman;Times;serif"/>
          <w:i/>
          <w:sz w:val="24"/>
        </w:rPr>
        <w:t>herein”</w:t>
      </w:r>
      <w:r>
        <w:rPr>
          <w:rFonts w:ascii="Times New Roman;Times;serif" w:hAnsi="Times New Roman;Times;serif"/>
          <w:sz w:val="24"/>
        </w:rPr>
        <w:t>, and “</w:t>
      </w:r>
      <w:r>
        <w:rPr>
          <w:rFonts w:ascii="Times New Roman;Times;serif" w:hAnsi="Times New Roman;Times;serif"/>
          <w:i/>
          <w:sz w:val="24"/>
        </w:rPr>
        <w:t xml:space="preserve">hereunder” </w:t>
      </w:r>
      <w:r>
        <w:rPr>
          <w:rFonts w:ascii="Times New Roman;Times;serif" w:hAnsi="Times New Roman;Times;serif"/>
          <w:sz w:val="24"/>
        </w:rPr>
        <w:t xml:space="preserve">and words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pStyle w:val="TextBody"/>
        <w:bidi w:val="0"/>
        <w:spacing w:before="0" w:after="240"/>
        <w:ind w:left="0" w:right="0" w:hanging="0"/>
        <w:jc w:val="both"/>
        <w:rPr/>
      </w:pPr>
      <w:r>
        <w:rPr/>
        <w:t>●</w:t>
      </w:r>
      <w:bookmarkStart w:id="2045" w:name="_Toc184891478"/>
      <w:bookmarkEnd w:id="2045"/>
      <w:r>
        <w:rPr>
          <w:rFonts w:ascii="Times New Roman;Times;serif" w:hAnsi="Times New Roman;Times;serif"/>
          <w:sz w:val="24"/>
          <w:u w:val="single"/>
        </w:rPr>
        <w:t>Change in Accounting Principles</w:t>
      </w:r>
      <w:r>
        <w:rPr>
          <w:rFonts w:ascii="Times New Roman;Times;serif" w:hAnsi="Times New Roman;Times;serif"/>
          <w:i/>
          <w:sz w:val="24"/>
        </w:rPr>
        <w: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If, after the date of this Agreement, 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Parent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pStyle w:val="TextBody"/>
        <w:bidi w:val="0"/>
        <w:spacing w:before="0" w:after="240"/>
        <w:ind w:left="0" w:right="0" w:hanging="0"/>
        <w:jc w:val="both"/>
        <w:rPr/>
      </w:pPr>
      <w:r>
        <w:rPr/>
        <w:t>●</w:t>
      </w:r>
      <w:bookmarkStart w:id="2046" w:name="_Toc184891479"/>
      <w:bookmarkEnd w:id="2046"/>
      <w:r>
        <w:rPr>
          <w:rFonts w:ascii="Times New Roman;Times;serif" w:hAnsi="Times New Roman;Times;serif"/>
          <w:sz w:val="24"/>
          <w:u w:val="single"/>
        </w:rPr>
        <w:t>Rates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The interest rate on Loans denominated in U.S. Dollars may 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Base Rate, Daily Simple SOFR, Adjusted Daily Simple SOFR,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Daily Simple SOFR, Adjusted Daily Simple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Daily Simple SOFR, Adjusted Daily Simple SOFR,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reasonable discretion to ascertain the Base Rate, Daily Simple SOFR, Adjusted Daily Simple SOFR,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connection with the use or administration of Daily Simple SOFR and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Daily Simple SOFR and Term SOFR.</w:t>
      </w:r>
    </w:p>
    <w:p>
      <w:pPr>
        <w:pStyle w:val="TextBody"/>
        <w:bidi w:val="0"/>
        <w:spacing w:before="0" w:after="240"/>
        <w:ind w:left="0" w:right="0" w:hanging="0"/>
        <w:jc w:val="both"/>
        <w:rPr/>
      </w:pPr>
      <w:r>
        <w:rPr/>
        <w:t>●</w:t>
      </w:r>
      <w:bookmarkStart w:id="2047" w:name="_Toc184891480"/>
      <w:bookmarkEnd w:id="2047"/>
      <w:r>
        <w:rPr>
          <w:rFonts w:ascii="Times New Roman;Times;serif" w:hAnsi="Times New Roman;Times;serif"/>
          <w:sz w:val="24"/>
          <w:u w:val="single"/>
        </w:rPr>
        <w:t>Divisions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For all purposes under the Loan Documents, in connection with a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ind w:left="720" w:right="0" w:hanging="0"/>
        <w:jc w:val="both"/>
        <w:rPr/>
      </w:pPr>
      <w:r>
        <w:rPr>
          <w:caps/>
        </w:rPr>
        <w:t>●</w:t>
      </w:r>
      <w:bookmarkStart w:id="2048" w:name="_Toc184891481"/>
      <w:bookmarkEnd w:id="2048"/>
      <w:r>
        <w:rPr>
          <w:rFonts w:ascii="Times New Roman;Times;serif" w:hAnsi="Times New Roman;Times;serif"/>
          <w:caps/>
          <w:sz w:val="24"/>
        </w:rPr>
        <w:t>Representations and Warranties.</w:t>
      </w:r>
    </w:p>
    <w:p>
      <w:pPr>
        <w:pStyle w:val="TextBody"/>
        <w:bidi w:val="0"/>
        <w:spacing w:before="0" w:after="240"/>
        <w:ind w:left="0" w:right="0" w:firstLine="720"/>
        <w:jc w:val="both"/>
        <w:rPr>
          <w:rFonts w:ascii="Times" w:hAnsi="Times"/>
          <w:sz w:val="24"/>
        </w:rPr>
      </w:pPr>
      <w:r>
        <w:rPr>
          <w:rFonts w:ascii="Times" w:hAnsi="Times"/>
          <w:sz w:val="24"/>
        </w:rPr>
        <w:t>The Borrower represents and warrants to the Administrative Agent, and the Lenders as follows:</w:t>
      </w:r>
    </w:p>
    <w:p>
      <w:pPr>
        <w:pStyle w:val="TextBody"/>
        <w:bidi w:val="0"/>
        <w:spacing w:before="0" w:after="240"/>
        <w:ind w:left="0" w:right="0" w:hanging="0"/>
        <w:jc w:val="both"/>
        <w:rPr/>
      </w:pPr>
      <w:r>
        <w:rPr/>
        <w:t>●</w:t>
      </w:r>
      <w:bookmarkStart w:id="2049" w:name="_Toc184891482"/>
      <w:bookmarkEnd w:id="2049"/>
      <w:r>
        <w:rPr>
          <w:rFonts w:ascii="Times New Roman;Times;serif" w:hAnsi="Times New Roman;Times;serif"/>
          <w:sz w:val="24"/>
          <w:u w:val="single"/>
        </w:rPr>
        <w:t>Organization and Qualification; Limited Operations</w:t>
      </w:r>
      <w:r>
        <w:rPr>
          <w:rFonts w:ascii="Times New Roman;Times;serif" w:hAnsi="Times New Roman;Times;serif"/>
          <w:i/>
          <w:sz w:val="24"/>
        </w:rPr>
        <w: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The Borrower is duly organized, validly existing, and in good standing as a limited partnership under the laws of the State of Delaware.  The Parent is duly organized, validly existing, and in good standing as a corporation under the laws of the State of Maryland.  Each of Parent and the Borrower has full and adequate power to own their respective Properties and </w:t>
      </w:r>
      <w:bookmarkStart w:id="2050" w:name="_cp_change_318"/>
      <w:bookmarkEnd w:id="2050"/>
      <w:r>
        <w:rPr>
          <w:rFonts w:ascii="Times New Roman;Times;serif" w:hAnsi="Times New Roman;Times;serif"/>
          <w:color w:val="0000FF"/>
          <w:sz w:val="24"/>
          <w:u w:val="single"/>
        </w:rPr>
        <w:t xml:space="preserve">other assets and </w:t>
      </w:r>
      <w:r>
        <w:rPr>
          <w:rFonts w:ascii="Times New Roman;Times;serif" w:hAnsi="Times New Roman;Times;serif"/>
          <w:sz w:val="24"/>
        </w:rPr>
        <w:t xml:space="preserve">conduct their respective businesses as now conducted, and are duly licensed or qualified and in good standing in each jurisdiction in which the nature of their respective businesses conducted by them or the nature of the Properties </w:t>
      </w:r>
      <w:bookmarkStart w:id="2051" w:name="_cp_change_319"/>
      <w:bookmarkEnd w:id="2051"/>
      <w:r>
        <w:rPr>
          <w:rFonts w:ascii="Times New Roman;Times;serif" w:hAnsi="Times New Roman;Times;serif"/>
          <w:color w:val="0000FF"/>
          <w:sz w:val="24"/>
          <w:u w:val="single"/>
        </w:rPr>
        <w:t xml:space="preserve">and other assets </w:t>
      </w:r>
      <w:r>
        <w:rPr>
          <w:rFonts w:ascii="Times New Roman;Times;serif" w:hAnsi="Times New Roman;Times;serif"/>
          <w:sz w:val="24"/>
        </w:rPr>
        <w:t>owned or leased by them requires such licensing or qualifying and where the failure to be so qualified could reasonably be expected to have, in each instance, a Material Adverse Effect.</w:t>
      </w:r>
    </w:p>
    <w:p>
      <w:pPr>
        <w:pStyle w:val="TextBody"/>
        <w:bidi w:val="0"/>
        <w:spacing w:before="0" w:after="240"/>
        <w:ind w:left="0" w:right="0" w:hanging="0"/>
        <w:jc w:val="both"/>
        <w:rPr/>
      </w:pPr>
      <w:r>
        <w:rPr/>
        <w:t>●</w:t>
      </w:r>
      <w:bookmarkStart w:id="2052" w:name="_Toc184891483"/>
      <w:bookmarkEnd w:id="2052"/>
      <w:r>
        <w:rPr>
          <w:rFonts w:ascii="Times New Roman;Times;serif" w:hAnsi="Times New Roman;Times;serif"/>
          <w:sz w:val="24"/>
          <w:u w:val="single"/>
        </w:rPr>
        <w:t>Subsidiaries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Each Subsidiary is duly organized, validly existing, and in good standing under the laws of the jurisdiction in which it is organized, has full and adequate power to own its Property and </w:t>
      </w:r>
      <w:bookmarkStart w:id="2053" w:name="_cp_change_320"/>
      <w:bookmarkEnd w:id="2053"/>
      <w:r>
        <w:rPr>
          <w:rFonts w:ascii="Times New Roman;Times;serif" w:hAnsi="Times New Roman;Times;serif"/>
          <w:color w:val="0000FF"/>
          <w:sz w:val="24"/>
          <w:u w:val="single"/>
        </w:rPr>
        <w:t xml:space="preserve">other assets and </w:t>
      </w:r>
      <w:r>
        <w:rPr>
          <w:rFonts w:ascii="Times New Roman;Times;serif" w:hAnsi="Times New Roman;Times;serif"/>
          <w:sz w:val="24"/>
        </w:rPr>
        <w:t xml:space="preserve">conduct its business as now conducted, and is duly licensed or qualified and in good standing in each jurisdiction in which the nature of the business conducted by it or the nature of the Property </w:t>
      </w:r>
      <w:bookmarkStart w:id="2054" w:name="_cp_change_321"/>
      <w:bookmarkEnd w:id="2054"/>
      <w:r>
        <w:rPr>
          <w:rFonts w:ascii="Times New Roman;Times;serif" w:hAnsi="Times New Roman;Times;serif"/>
          <w:color w:val="0000FF"/>
          <w:sz w:val="24"/>
          <w:u w:val="single"/>
        </w:rPr>
        <w:t xml:space="preserve">or other assets </w:t>
      </w:r>
      <w:r>
        <w:rPr>
          <w:rFonts w:ascii="Times New Roman;Times;serif" w:hAnsi="Times New Roman;Times;serif"/>
          <w:sz w:val="24"/>
        </w:rPr>
        <w:t xml:space="preserve">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pStyle w:val="TextBody"/>
        <w:bidi w:val="0"/>
        <w:spacing w:before="0" w:after="240"/>
        <w:ind w:left="0" w:right="0" w:hanging="0"/>
        <w:jc w:val="both"/>
        <w:rPr/>
      </w:pPr>
      <w:r>
        <w:rPr/>
        <w:t>●</w:t>
      </w:r>
      <w:bookmarkStart w:id="2055" w:name="_Toc184891484"/>
      <w:bookmarkEnd w:id="2055"/>
      <w:r>
        <w:rPr>
          <w:rFonts w:ascii="Times New Roman;Times;serif" w:hAnsi="Times New Roman;Times;serif"/>
          <w:sz w:val="24"/>
          <w:u w:val="single"/>
        </w:rPr>
        <w:t>Authority and Validity of Obligations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Borrower has full right and 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Times New Roman;Times;serif" w:hAnsi="Times New Roman;Times;serif"/>
          <w:i/>
          <w:sz w:val="24"/>
        </w:rPr>
        <w:t>e.g.,</w:t>
      </w:r>
      <w:r>
        <w:rPr>
          <w:rFonts w:ascii="Times New Roman;Times;serif" w:hAnsi="Times New Roman;Times;serif"/>
          <w:sz w:val="24"/>
        </w:rPr>
        <w:t xml:space="preserve"> charter, certificate or articles of incorporation and by-laws, certificate or articles of association and operating agreement, partnership agreement, or other similar organizational documents) of the Borrower or any Material Subsidiary, (b) contravene or constitute a default under any covenant, indenture or agreement of or affecting the Borrower or any Material Subsidiary or any of their </w:t>
      </w:r>
      <w:bookmarkStart w:id="2056" w:name="_cp_change_322"/>
      <w:bookmarkEnd w:id="2056"/>
      <w:r>
        <w:rPr>
          <w:rFonts w:ascii="Times New Roman;Times;serif" w:hAnsi="Times New Roman;Times;serif"/>
          <w:color w:val="FF0000"/>
          <w:sz w:val="24"/>
        </w:rPr>
        <w:t>Property</w:t>
      </w:r>
      <w:bookmarkStart w:id="2057" w:name="_cp_change_323"/>
      <w:bookmarkEnd w:id="2057"/>
      <w:r>
        <w:rPr>
          <w:rFonts w:ascii="Times New Roman;Times;serif" w:hAnsi="Times New Roman;Times;serif"/>
          <w:color w:val="0000FF"/>
          <w:sz w:val="24"/>
          <w:u w:val="single"/>
        </w:rPr>
        <w:t>Properties or other assets</w:t>
      </w:r>
      <w:r>
        <w:rPr>
          <w:rFonts w:ascii="Times New Roman;Times;serif" w:hAnsi="Times New Roman;Times;serif"/>
          <w:sz w:val="24"/>
        </w:rPr>
        <w:t xml:space="preserve">, in each case where such contravention or default, individually or in the aggregate, could reasonably be expected to have a Material Adverse Effect, or (c) result in the creation or imposition of any Lien on any Property </w:t>
      </w:r>
      <w:bookmarkStart w:id="2058" w:name="_cp_change_324"/>
      <w:bookmarkEnd w:id="2058"/>
      <w:r>
        <w:rPr>
          <w:rFonts w:ascii="Times New Roman;Times;serif" w:hAnsi="Times New Roman;Times;serif"/>
          <w:color w:val="0000FF"/>
          <w:sz w:val="24"/>
          <w:u w:val="single"/>
        </w:rPr>
        <w:t xml:space="preserve">or other assets </w:t>
      </w:r>
      <w:r>
        <w:rPr>
          <w:rFonts w:ascii="Times New Roman;Times;serif" w:hAnsi="Times New Roman;Times;serif"/>
          <w:sz w:val="24"/>
        </w:rPr>
        <w:t>of the Borrower or any Material Subsidiary (other than in favor of the Administrative Agent for its benefit and the benefit of the Lenders).</w:t>
      </w:r>
    </w:p>
    <w:p>
      <w:pPr>
        <w:pStyle w:val="TextBody"/>
        <w:bidi w:val="0"/>
        <w:spacing w:before="0" w:after="240"/>
        <w:ind w:left="0" w:right="0" w:hanging="0"/>
        <w:jc w:val="both"/>
        <w:rPr/>
      </w:pPr>
      <w:r>
        <w:rPr/>
        <w:t>●</w:t>
      </w:r>
      <w:bookmarkStart w:id="2059" w:name="_Toc184891485"/>
      <w:bookmarkEnd w:id="2059"/>
      <w:r>
        <w:rPr>
          <w:rFonts w:ascii="Times New Roman;Times;serif" w:hAnsi="Times New Roman;Times;serif"/>
          <w:sz w:val="24"/>
          <w:u w:val="single"/>
        </w:rPr>
        <w:t>Use of Proceeds; Margin Stock</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The Borrower shall use the proceeds of the Loans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pStyle w:val="TextBody"/>
        <w:bidi w:val="0"/>
        <w:spacing w:before="0" w:after="240"/>
        <w:ind w:left="0" w:right="0" w:hanging="0"/>
        <w:jc w:val="both"/>
        <w:rPr/>
      </w:pPr>
      <w:r>
        <w:rPr/>
        <w:t>●</w:t>
      </w:r>
      <w:bookmarkStart w:id="2060" w:name="_Toc184891486"/>
      <w:bookmarkEnd w:id="2060"/>
      <w:r>
        <w:rPr>
          <w:rFonts w:ascii="Times New Roman;Times;serif" w:hAnsi="Times New Roman;Times;serif"/>
          <w:sz w:val="24"/>
          <w:u w:val="single"/>
        </w:rPr>
        <w:t>Financial Reports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consolidated results of operations of Parent for the year ended December 31, 2021 and the three months ended March 31, 2022, and accompanying notes thereto, which consolidated financial statements are accompanied by the unqualified audit report of independent public accountants, heretofore furnished to the Administrative Agent and the Lenders, fairly present the consolidated financial condition of Parent as at said date and the consolidated results of its operations and cash flows for the period then ended in conformity with GAAP applied on a consistent basis.  Neither Parent nor Borrower has any contingent liabilities which are material to it and are required to be set forth in its consolidated financial statements or notes thereto in accordance with GAAP other than as indicated on such consolidated financial statements and notes thereto and projected financial statements, including with respect to future periods, on the consolidated financial statements and projected financial statements furnished pursuant to Section 8.5 hereof.  </w:t>
      </w:r>
    </w:p>
    <w:p>
      <w:pPr>
        <w:pStyle w:val="TextBody"/>
        <w:bidi w:val="0"/>
        <w:spacing w:before="0" w:after="240"/>
        <w:ind w:left="0" w:right="0" w:hanging="0"/>
        <w:jc w:val="both"/>
        <w:rPr/>
      </w:pPr>
      <w:r>
        <w:rPr/>
        <w:t>●</w:t>
      </w:r>
      <w:bookmarkStart w:id="2061" w:name="_Toc184891487"/>
      <w:bookmarkEnd w:id="2061"/>
      <w:r>
        <w:rPr>
          <w:rFonts w:ascii="Times New Roman;Times;serif" w:hAnsi="Times New Roman;Times;serif"/>
          <w:sz w:val="24"/>
          <w:u w:val="single"/>
        </w:rPr>
        <w:t>No Material Adverse Effect</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Except as set forth on Schedule 6.6, since the date of delivery of the most recent financial statements delivered to the Administrative Agent pursuant to Section 8.5(c), there has been no event or circumstance individually or in the aggregate that has had or would reasonably be expected to have a Material Adverse Effect.</w:t>
      </w:r>
    </w:p>
    <w:p>
      <w:pPr>
        <w:pStyle w:val="TextBody"/>
        <w:bidi w:val="0"/>
        <w:spacing w:before="0" w:after="240"/>
        <w:ind w:left="0" w:right="0" w:hanging="0"/>
        <w:jc w:val="both"/>
        <w:rPr/>
      </w:pPr>
      <w:r>
        <w:rPr/>
        <w:t>●</w:t>
      </w:r>
      <w:bookmarkStart w:id="2062" w:name="_Toc184891488"/>
      <w:bookmarkEnd w:id="2062"/>
      <w:r>
        <w:rPr>
          <w:rFonts w:ascii="Times New Roman;Times;serif" w:hAnsi="Times New Roman;Times;serif"/>
          <w:sz w:val="24"/>
          <w:u w:val="single"/>
        </w:rPr>
        <w:t>Full Disclosure</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statements and information furnished to the Administrative Agent and the Lenders in connection with the negotiation of this Agreement and the other Loan Documents and the commitments by the Lenders to provide all or part of the financing contemplated hereby do not contain any untrue statements (known by Borrower to be untrue) of a material fact known to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 the Borrower believed to be reasonable and (b) the financial information provided to the Administrative Agent and the Lenders is governed by Section 6.5 hereof.  The information included in the Beneficial Ownership Certification, as updated in accordance with Section 6.5(k), is true and correct in all respects.</w:t>
      </w:r>
    </w:p>
    <w:p>
      <w:pPr>
        <w:pStyle w:val="TextBody"/>
        <w:bidi w:val="0"/>
        <w:spacing w:before="0" w:after="240"/>
        <w:ind w:left="0" w:right="0" w:hanging="0"/>
        <w:jc w:val="both"/>
        <w:rPr/>
      </w:pPr>
      <w:r>
        <w:rPr/>
        <w:t>●</w:t>
      </w:r>
      <w:bookmarkStart w:id="2063" w:name="_Toc184891489"/>
      <w:bookmarkEnd w:id="2063"/>
      <w:r>
        <w:rPr>
          <w:rFonts w:ascii="Times New Roman;Times;serif" w:hAnsi="Times New Roman;Times;serif"/>
          <w:sz w:val="24"/>
          <w:u w:val="single"/>
        </w:rPr>
        <w:t>Trademarks, Franchises, and Licenses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To Borrower’s knowledge, the 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pStyle w:val="TextBody"/>
        <w:bidi w:val="0"/>
        <w:spacing w:before="0" w:after="240"/>
        <w:ind w:left="0" w:right="0" w:hanging="0"/>
        <w:jc w:val="both"/>
        <w:rPr/>
      </w:pPr>
      <w:r>
        <w:rPr/>
        <w:t>●</w:t>
      </w:r>
      <w:bookmarkStart w:id="2064" w:name="_Toc184891490"/>
      <w:bookmarkEnd w:id="2064"/>
      <w:r>
        <w:rPr>
          <w:rFonts w:ascii="Times New Roman;Times;serif" w:hAnsi="Times New Roman;Times;serif"/>
          <w:sz w:val="24"/>
          <w:u w:val="single"/>
        </w:rPr>
        <w:t>Governmental Authority and Licensing</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The Borrower and its Subsidiaries have received all licenses, permits, and approvals of all federal, state, and local governmental authorities, if any, necessary to conduct their businesses, in each case where the failure to obtain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pStyle w:val="TextBody"/>
        <w:bidi w:val="0"/>
        <w:spacing w:before="0" w:after="240"/>
        <w:ind w:left="0" w:right="0" w:hanging="0"/>
        <w:jc w:val="both"/>
        <w:rPr/>
      </w:pPr>
      <w:r>
        <w:rPr/>
        <w:t>●</w:t>
      </w:r>
      <w:bookmarkStart w:id="2065" w:name="_Toc184891491"/>
      <w:bookmarkEnd w:id="2065"/>
      <w:r>
        <w:rPr>
          <w:rFonts w:ascii="Times New Roman;Times;serif" w:hAnsi="Times New Roman;Times;serif"/>
          <w:sz w:val="24"/>
          <w:u w:val="single"/>
        </w:rPr>
        <w:t>Good Title</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Borrower and its Subsidiaries have good and defensible title (or valid leasehold interests) to each Unencumbered Asset and their other material assets as reflected on the most recent consolidated balance sheet of Parent and its Subsidiaries furnished to the Administrative Agent and the Lenders (except for sales of assets in the ordinary course of business), subject to no Liens other than such thereof as are permitted by Section 8.7 hereof.</w:t>
      </w:r>
    </w:p>
    <w:p>
      <w:pPr>
        <w:pStyle w:val="TextBody"/>
        <w:bidi w:val="0"/>
        <w:spacing w:before="0" w:after="240"/>
        <w:ind w:left="0" w:right="0" w:hanging="0"/>
        <w:jc w:val="both"/>
        <w:rPr/>
      </w:pPr>
      <w:r>
        <w:rPr/>
        <w:t>●</w:t>
      </w:r>
      <w:bookmarkStart w:id="2066" w:name="_Toc184891492"/>
      <w:bookmarkEnd w:id="2066"/>
      <w:r>
        <w:rPr>
          <w:rFonts w:ascii="Times New Roman;Times;serif" w:hAnsi="Times New Roman;Times;serif"/>
          <w:sz w:val="24"/>
          <w:u w:val="single"/>
        </w:rPr>
        <w:t>Litigation and Other Controversies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Except as set forth on Schedule 6.11, there is no litigation or governmental or arbitration proceeding or labor controversy pending, nor to the knowledge of the Borrower threatened, against the Borrower or any Subsidiary or any of their Property </w:t>
      </w:r>
      <w:bookmarkStart w:id="2067" w:name="_cp_change_325"/>
      <w:bookmarkEnd w:id="2067"/>
      <w:r>
        <w:rPr>
          <w:rFonts w:ascii="Times New Roman;Times;serif" w:hAnsi="Times New Roman;Times;serif"/>
          <w:color w:val="0000FF"/>
          <w:sz w:val="24"/>
          <w:u w:val="single"/>
        </w:rPr>
        <w:t xml:space="preserve">or other assets </w:t>
      </w:r>
      <w:r>
        <w:rPr>
          <w:rFonts w:ascii="Times New Roman;Times;serif" w:hAnsi="Times New Roman;Times;serif"/>
          <w:sz w:val="24"/>
        </w:rPr>
        <w:t>which individually or in the aggregate, could reasonably be expected to have a Material Adverse Effect.</w:t>
      </w:r>
    </w:p>
    <w:p>
      <w:pPr>
        <w:pStyle w:val="TextBody"/>
        <w:bidi w:val="0"/>
        <w:spacing w:before="0" w:after="240"/>
        <w:ind w:left="0" w:right="0" w:hanging="0"/>
        <w:jc w:val="both"/>
        <w:rPr/>
      </w:pPr>
      <w:r>
        <w:rPr/>
        <w:t>●</w:t>
      </w:r>
      <w:bookmarkStart w:id="2068" w:name="_Toc184891493"/>
      <w:bookmarkEnd w:id="2068"/>
      <w:r>
        <w:rPr>
          <w:rFonts w:ascii="Times New Roman;Times;serif" w:hAnsi="Times New Roman;Times;serif"/>
          <w:sz w:val="24"/>
          <w:u w:val="single"/>
        </w:rPr>
        <w:t>Taxes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All material tax returns required to be filed by Parent or any Subsidiary in any jurisdiction have, in fact, been filed, and all taxes, assessments, fees, and other governmental charges upon Parent or any Subsidiary or upon any of its Property, </w:t>
      </w:r>
      <w:bookmarkStart w:id="2069" w:name="_cp_change_326"/>
      <w:bookmarkEnd w:id="2069"/>
      <w:r>
        <w:rPr>
          <w:rFonts w:ascii="Times New Roman;Times;serif" w:hAnsi="Times New Roman;Times;serif"/>
          <w:color w:val="0000FF"/>
          <w:sz w:val="24"/>
          <w:u w:val="single"/>
        </w:rPr>
        <w:t xml:space="preserve">other assets, </w:t>
      </w:r>
      <w:r>
        <w:rPr>
          <w:rFonts w:ascii="Times New Roman;Times;serif" w:hAnsi="Times New Roman;Times;serif"/>
          <w:sz w:val="24"/>
        </w:rPr>
        <w:t>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Parent has not received written notice of any proposed additional tax assessment against Parent or its Subsidiaries for which adequate provisions in accordance with GAAP have not been made on their accounts.  Adequate provisions in accordance with GAAP for taxes on the books of Parent and each Subsidiary have been made for all open years, and for its current fiscal period.</w:t>
      </w:r>
    </w:p>
    <w:p>
      <w:pPr>
        <w:pStyle w:val="TextBody"/>
        <w:bidi w:val="0"/>
        <w:spacing w:before="0" w:after="240"/>
        <w:ind w:left="0" w:right="0" w:hanging="0"/>
        <w:jc w:val="both"/>
        <w:rPr/>
      </w:pPr>
      <w:r>
        <w:rPr/>
        <w:t>●</w:t>
      </w:r>
      <w:bookmarkStart w:id="2070" w:name="_Toc184891494"/>
      <w:bookmarkEnd w:id="2070"/>
      <w:r>
        <w:rPr>
          <w:rFonts w:ascii="Times New Roman;Times;serif" w:hAnsi="Times New Roman;Times;serif"/>
          <w:sz w:val="24"/>
          <w:u w:val="single"/>
        </w:rPr>
        <w:t>Approvals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Except those already received, no authorization, consent, license or exemption from, or filing or registration with, any court or governmental department, agency or instrumentality, nor any approval or consent of any other Person, is or will be necessary to the valid execution, delivery or performance by the Borrower or any Guarantor of any Loan Document.</w:t>
      </w:r>
    </w:p>
    <w:p>
      <w:pPr>
        <w:pStyle w:val="TextBody"/>
        <w:bidi w:val="0"/>
        <w:spacing w:before="0" w:after="240"/>
        <w:ind w:left="0" w:right="0" w:hanging="0"/>
        <w:jc w:val="both"/>
        <w:rPr/>
      </w:pPr>
      <w:r>
        <w:rPr/>
        <w:t>●</w:t>
      </w:r>
      <w:bookmarkStart w:id="2071" w:name="_Toc184891495"/>
      <w:bookmarkEnd w:id="2071"/>
      <w:r>
        <w:rPr>
          <w:rFonts w:ascii="Times New Roman;Times;serif" w:hAnsi="Times New Roman;Times;serif"/>
          <w:sz w:val="24"/>
          <w:u w:val="single"/>
        </w:rPr>
        <w:t>Affiliate Transactions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Except as permitted by Section 8.14 hereof, none of 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pStyle w:val="TextBody"/>
        <w:bidi w:val="0"/>
        <w:spacing w:before="0" w:after="240"/>
        <w:ind w:left="0" w:right="0" w:hanging="0"/>
        <w:jc w:val="both"/>
        <w:rPr/>
      </w:pPr>
      <w:r>
        <w:rPr/>
        <w:t>●</w:t>
      </w:r>
      <w:bookmarkStart w:id="2072" w:name="_Toc184891496"/>
      <w:bookmarkEnd w:id="2072"/>
      <w:r>
        <w:rPr>
          <w:rFonts w:ascii="Times New Roman;Times;serif" w:hAnsi="Times New Roman;Times;serif"/>
          <w:sz w:val="24"/>
          <w:u w:val="single"/>
        </w:rPr>
        <w:t>Investment Company</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None of the Borrower or any Subsidiary is an “investment company” or a company “controlled” by an “investment company” within the meaning of the Investment Company Act of 1940, as amended.  </w:t>
      </w:r>
    </w:p>
    <w:p>
      <w:pPr>
        <w:pStyle w:val="TextBody"/>
        <w:bidi w:val="0"/>
        <w:spacing w:before="0" w:after="240"/>
        <w:ind w:left="0" w:right="0" w:hanging="0"/>
        <w:jc w:val="both"/>
        <w:rPr/>
      </w:pPr>
      <w:r>
        <w:rPr/>
        <w:t>●</w:t>
      </w:r>
      <w:bookmarkStart w:id="2073" w:name="_Toc184891497"/>
      <w:bookmarkEnd w:id="2073"/>
      <w:r>
        <w:rPr>
          <w:rFonts w:ascii="Times New Roman;Times;serif" w:hAnsi="Times New Roman;Times;serif"/>
          <w:sz w:val="24"/>
          <w:u w:val="single"/>
        </w:rPr>
        <w:t>ERISA</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The Borrower and each other member of their Controlled Group has fulfilled its obligations under the minimum funding standards of and is in compliance in all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pStyle w:val="TextBody"/>
        <w:bidi w:val="0"/>
        <w:spacing w:before="0" w:after="240"/>
        <w:ind w:left="0" w:right="0" w:hanging="0"/>
        <w:jc w:val="both"/>
        <w:rPr/>
      </w:pPr>
      <w:r>
        <w:rPr/>
        <w:t>●</w:t>
      </w:r>
      <w:bookmarkStart w:id="2074" w:name="_Toc184891498"/>
      <w:bookmarkEnd w:id="2074"/>
      <w:r>
        <w:rPr>
          <w:rFonts w:ascii="Times New Roman;Times;serif" w:hAnsi="Times New Roman;Times;serif"/>
          <w:sz w:val="24"/>
          <w:u w:val="single"/>
        </w:rPr>
        <w:t>Compliance with Laws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w:t>
      </w:r>
    </w:p>
    <w:p>
      <w:pPr>
        <w:pStyle w:val="TextBody"/>
        <w:bidi w:val="0"/>
        <w:spacing w:before="0" w:after="240"/>
        <w:ind w:left="0" w:right="0" w:hanging="0"/>
        <w:jc w:val="both"/>
        <w:rPr/>
      </w:pPr>
      <w:r>
        <w:rPr/>
        <w:t>●</w:t>
      </w:r>
      <w:r>
        <w:rPr>
          <w:rFonts w:ascii="Times New Roman;Times;serif" w:hAnsi="Times New Roman;Times;serif"/>
          <w:sz w:val="24"/>
        </w:rPr>
        <w:t>The Borrower and its Subsidiaries are in compliance with the requirements of all federal, state and local laws, rules and regulations applicable to or pertaining to their Property</w:t>
      </w:r>
      <w:bookmarkStart w:id="2075" w:name="_cp_change_327"/>
      <w:bookmarkEnd w:id="2075"/>
      <w:r>
        <w:rPr>
          <w:rFonts w:ascii="Times New Roman;Times;serif" w:hAnsi="Times New Roman;Times;serif"/>
          <w:color w:val="0000FF"/>
          <w:sz w:val="24"/>
          <w:u w:val="single"/>
        </w:rPr>
        <w:t>, assets,</w:t>
      </w:r>
      <w:r>
        <w:rPr>
          <w:rFonts w:ascii="Times New Roman;Times;serif" w:hAnsi="Times New Roman;Times;serif"/>
          <w:sz w:val="24"/>
        </w:rPr>
        <w:t xml:space="preserve">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 </w:t>
      </w:r>
    </w:p>
    <w:p>
      <w:pPr>
        <w:pStyle w:val="TextBody"/>
        <w:bidi w:val="0"/>
        <w:spacing w:before="0" w:after="240"/>
        <w:ind w:left="0" w:right="0" w:hanging="0"/>
        <w:jc w:val="both"/>
        <w:rPr/>
      </w:pPr>
      <w:r>
        <w:rPr/>
        <w:t>●</w:t>
      </w:r>
      <w:r>
        <w:rPr>
          <w:rFonts w:ascii="Times New Roman;Times;serif" w:hAnsi="Times New Roman;Times;serif"/>
          <w:sz w:val="24"/>
        </w:rPr>
        <w:t xml:space="preserve">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 (v) 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w:t>
      </w:r>
      <w:r>
        <w:rPr>
          <w:rFonts w:ascii="Times New Roman;Times;serif" w:hAnsi="Times New Roman;Times;serif"/>
          <w:i/>
          <w:sz w:val="24"/>
        </w:rPr>
        <w:t xml:space="preserve">provided </w:t>
      </w:r>
      <w:r>
        <w:rPr>
          <w:rFonts w:ascii="Times New Roman;Times;serif" w:hAnsi="Times New Roman;Times;serif"/>
          <w:sz w:val="24"/>
        </w:rPr>
        <w:t>that the Administrative Agent shall be entitled to make only one (1) such request per property during the initial term of this Agreement unless an Event of Default has occurred and is continuing.</w:t>
      </w:r>
    </w:p>
    <w:p>
      <w:pPr>
        <w:pStyle w:val="TextBody"/>
        <w:bidi w:val="0"/>
        <w:spacing w:before="0" w:after="0"/>
        <w:ind w:left="0" w:right="0" w:hanging="0"/>
        <w:jc w:val="both"/>
        <w:rPr/>
      </w:pPr>
      <w:r>
        <w:rPr/>
        <w:t>●</w:t>
      </w:r>
      <w:r>
        <w:rPr>
          <w:rFonts w:ascii="Times New Roman;Times;serif" w:hAnsi="Times New Roman;Times;serif"/>
          <w:sz w:val="24"/>
        </w:rPr>
        <w:t>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pStyle w:val="TextBody"/>
        <w:bidi w:val="0"/>
        <w:spacing w:before="0" w:after="240"/>
        <w:ind w:left="0" w:right="0" w:hanging="0"/>
        <w:jc w:val="both"/>
        <w:rPr/>
      </w:pPr>
      <w:r>
        <w:rPr/>
        <w:t>●</w:t>
      </w:r>
      <w:bookmarkStart w:id="2076" w:name="_Toc184891499"/>
      <w:bookmarkEnd w:id="2076"/>
      <w:r>
        <w:rPr>
          <w:rFonts w:ascii="Times New Roman;Times;serif" w:hAnsi="Times New Roman;Times;serif"/>
          <w:sz w:val="24"/>
          <w:u w:val="single"/>
        </w:rPr>
        <w:t>OFAC</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0"/>
        <w:ind w:left="0" w:right="0" w:hanging="0"/>
        <w:jc w:val="both"/>
        <w:rPr/>
      </w:pPr>
      <w:r>
        <w:rPr/>
        <w:t>●</w:t>
      </w:r>
      <w:r>
        <w:rPr>
          <w:rFonts w:ascii="Times New Roman;Times;serif" w:hAnsi="Times New Roman;Times;serif"/>
          <w:sz w:val="24"/>
        </w:rPr>
        <w:t>The Borrower is in compliance, in all material respects, with the requirements of all OFAC Sanctions Programs applicable to it, (b) each Subsidiary of the Borrower is in compliance, in all material respects, with the requirements of all OFAC Sanctions Programs applicable to such Subsidiary, (c) the Borrower has provided to the Administrative Agent and the Lenders all information regarding the Borrower and its Affiliates and Subsidiaries necessary for the Administrative Agent and the Lenders to comply with all applicable OFAC Sanctions Programs, and (d) neither the Borrower nor any of its Affiliates or Subsidiaries nor, to the knowledge of Borrower, any officer, director or Affiliate of any such Person or any of its Subsidiaries, is a person, that is, or is owned or controlled by Persons that are (i) the target of any OFAC Sanctions Programs or (ii) located, organized or resident in a country or territory that is, or whose government is, the subject of any OFAC Sanctions Programs.</w:t>
      </w:r>
    </w:p>
    <w:p>
      <w:pPr>
        <w:pStyle w:val="TextBody"/>
        <w:bidi w:val="0"/>
        <w:spacing w:before="0" w:after="240"/>
        <w:ind w:left="0" w:right="0" w:hanging="0"/>
        <w:jc w:val="both"/>
        <w:rPr/>
      </w:pPr>
      <w:r>
        <w:rPr/>
        <w:t>●</w:t>
      </w:r>
      <w:bookmarkStart w:id="2077" w:name="_Toc184891500"/>
      <w:bookmarkEnd w:id="2077"/>
      <w:r>
        <w:rPr>
          <w:rFonts w:ascii="Times New Roman;Times;serif" w:hAnsi="Times New Roman;Times;serif"/>
          <w:sz w:val="24"/>
          <w:u w:val="single"/>
        </w:rPr>
        <w:t>Other Agreements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Neither the Borrower nor any Subsidiary is in default under the terms of any covenant, indenture or agreement of or affecting such Person or any of its </w:t>
      </w:r>
      <w:bookmarkStart w:id="2078" w:name="_cp_change_328"/>
      <w:bookmarkEnd w:id="2078"/>
      <w:r>
        <w:rPr>
          <w:rFonts w:ascii="Times New Roman;Times;serif" w:hAnsi="Times New Roman;Times;serif"/>
          <w:color w:val="FF0000"/>
          <w:sz w:val="24"/>
        </w:rPr>
        <w:t>Property</w:t>
      </w:r>
      <w:bookmarkStart w:id="2079" w:name="_cp_change_329"/>
      <w:bookmarkEnd w:id="2079"/>
      <w:r>
        <w:rPr>
          <w:rFonts w:ascii="Times New Roman;Times;serif" w:hAnsi="Times New Roman;Times;serif"/>
          <w:color w:val="0000FF"/>
          <w:sz w:val="24"/>
          <w:u w:val="single"/>
        </w:rPr>
        <w:t>Properties or other assets</w:t>
      </w:r>
      <w:r>
        <w:rPr>
          <w:rFonts w:ascii="Times New Roman;Times;serif" w:hAnsi="Times New Roman;Times;serif"/>
          <w:sz w:val="24"/>
        </w:rPr>
        <w:t>,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2080" w:name="_Toc184891501"/>
      <w:bookmarkEnd w:id="2080"/>
      <w:r>
        <w:rPr>
          <w:rFonts w:ascii="Times New Roman;Times;serif" w:hAnsi="Times New Roman;Times;serif"/>
          <w:sz w:val="24"/>
          <w:u w:val="single"/>
        </w:rPr>
        <w:t>Solvency</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Borrower and its Subsidiaries are solvent, able to pay their debts as they become due, and have sufficient capital to carry on their business and all businesses in which they are about to engage.  </w:t>
      </w:r>
    </w:p>
    <w:p>
      <w:pPr>
        <w:pStyle w:val="TextBody"/>
        <w:bidi w:val="0"/>
        <w:spacing w:before="0" w:after="240"/>
        <w:ind w:left="0" w:right="0" w:hanging="0"/>
        <w:jc w:val="both"/>
        <w:rPr/>
      </w:pPr>
      <w:r>
        <w:rPr/>
        <w:t>●</w:t>
      </w:r>
      <w:bookmarkStart w:id="2081" w:name="_Toc184891502"/>
      <w:bookmarkEnd w:id="2081"/>
      <w:r>
        <w:rPr>
          <w:rFonts w:ascii="Times New Roman;Times;serif" w:hAnsi="Times New Roman;Times;serif"/>
          <w:sz w:val="24"/>
          <w:u w:val="single"/>
        </w:rPr>
        <w:t>No Default</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No Default or Event of Default has occurred and is continuing.</w:t>
      </w:r>
    </w:p>
    <w:p>
      <w:pPr>
        <w:pStyle w:val="TextBody"/>
        <w:bidi w:val="0"/>
        <w:spacing w:before="0" w:after="240"/>
        <w:ind w:left="0" w:right="0" w:hanging="0"/>
        <w:jc w:val="both"/>
        <w:rPr/>
      </w:pPr>
      <w:r>
        <w:rPr/>
        <w:t>●</w:t>
      </w:r>
      <w:bookmarkStart w:id="2082" w:name="_Toc184891503"/>
      <w:bookmarkEnd w:id="2082"/>
      <w:r>
        <w:rPr>
          <w:rFonts w:ascii="Times New Roman;Times;serif" w:hAnsi="Times New Roman;Times;serif"/>
          <w:sz w:val="24"/>
          <w:u w:val="single"/>
        </w:rPr>
        <w:t>No Broker Fees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No broker’s or finder’s fee or commission will be payable 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pStyle w:val="TextBody"/>
        <w:bidi w:val="0"/>
        <w:spacing w:before="0" w:after="240"/>
        <w:ind w:left="0" w:right="0" w:hanging="0"/>
        <w:jc w:val="both"/>
        <w:rPr/>
      </w:pPr>
      <w:r>
        <w:rPr/>
        <w:t>●</w:t>
      </w:r>
      <w:bookmarkStart w:id="2083" w:name="_Toc184891504"/>
      <w:bookmarkEnd w:id="2083"/>
      <w:r>
        <w:rPr>
          <w:rFonts w:ascii="Times New Roman;Times;serif" w:hAnsi="Times New Roman;Times;serif"/>
          <w:sz w:val="24"/>
          <w:u w:val="single"/>
        </w:rPr>
        <w:t>Condition of Property; Casualties; Condemnation</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Except as set forth in Schedule 6.23, each Property owned by the Borrower and each Subsidiary, in all material respects (a) is in good repair, working order and condition, normal wear and tear excepted, (b) 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 </w:t>
      </w:r>
      <w:r>
        <w:rPr>
          <w:rFonts w:ascii="Times New Roman;Times;serif" w:hAnsi="Times New Roman;Times;serif"/>
          <w:i/>
          <w:sz w:val="24"/>
        </w:rPr>
        <w:t>provided</w:t>
      </w:r>
      <w:r>
        <w:rPr>
          <w:rFonts w:ascii="Times New Roman;Times;serif" w:hAnsi="Times New Roman;Times;serif"/>
          <w:sz w:val="24"/>
        </w:rPr>
        <w:t xml:space="preserve"> that the Administrative Agent shall be entitled to make only one (1) such request during the initial term of this Agreement unless an Event of Default has occurred and is continuing.</w:t>
      </w:r>
    </w:p>
    <w:p>
      <w:pPr>
        <w:pStyle w:val="TextBody"/>
        <w:bidi w:val="0"/>
        <w:spacing w:before="0" w:after="240"/>
        <w:ind w:left="0" w:right="0" w:hanging="0"/>
        <w:jc w:val="both"/>
        <w:rPr/>
      </w:pPr>
      <w:r>
        <w:rPr/>
        <w:t>●</w:t>
      </w:r>
      <w:bookmarkStart w:id="2084" w:name="_Toc184891505"/>
      <w:bookmarkEnd w:id="2084"/>
      <w:r>
        <w:rPr>
          <w:rFonts w:ascii="Times New Roman;Times;serif" w:hAnsi="Times New Roman;Times;serif"/>
          <w:sz w:val="24"/>
          <w:u w:val="single"/>
        </w:rPr>
        <w:t>Legal Requirements and Zoning</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To Borrower’s knowledge, the use and 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2085" w:name="_Toc184891506"/>
      <w:bookmarkEnd w:id="2085"/>
      <w:r>
        <w:rPr>
          <w:rFonts w:ascii="Times New Roman;Times;serif" w:hAnsi="Times New Roman;Times;serif"/>
          <w:sz w:val="24"/>
          <w:u w:val="single"/>
        </w:rPr>
        <w:t>No Defaults; Landlord is in Compliance with Leases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Except as disclosed to the Administrative Agent in writing in accordance with Section 8.5(l) hereof, none of the tenants occupying Properties owned by the Borrower, Material Subsidiaries or any other Subsidiary of the Borrower are in default for a period in excess of sixty (60) days or “materially past due” (in accordance with customary commercial practice) on the monthly contractual rent payments.</w:t>
      </w:r>
    </w:p>
    <w:p>
      <w:pPr>
        <w:pStyle w:val="TextBody"/>
        <w:bidi w:val="0"/>
        <w:spacing w:before="0" w:after="240"/>
        <w:ind w:left="0" w:right="0" w:hanging="0"/>
        <w:jc w:val="both"/>
        <w:rPr/>
      </w:pPr>
      <w:r>
        <w:rPr/>
        <w:t>●</w:t>
      </w:r>
      <w:bookmarkStart w:id="2086" w:name="_Toc184891507"/>
      <w:bookmarkEnd w:id="2086"/>
      <w:r>
        <w:rPr>
          <w:rFonts w:ascii="Times New Roman;Times;serif" w:hAnsi="Times New Roman;Times;serif"/>
          <w:sz w:val="24"/>
          <w:u w:val="single"/>
        </w:rPr>
        <w:t>Affected Financial Institution</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Neither Borrower nor any Subsidiary is an Affected Financial Institution.</w:t>
      </w:r>
    </w:p>
    <w:p>
      <w:pPr>
        <w:pStyle w:val="TextBody"/>
        <w:bidi w:val="0"/>
        <w:spacing w:before="0" w:after="240"/>
        <w:ind w:left="0" w:right="0" w:hanging="0"/>
        <w:jc w:val="both"/>
        <w:rPr/>
      </w:pPr>
      <w:r>
        <w:rPr/>
        <w:t>●</w:t>
      </w:r>
      <w:bookmarkStart w:id="2087" w:name="_Toc184891508"/>
      <w:bookmarkEnd w:id="2087"/>
      <w:r>
        <w:rPr>
          <w:rFonts w:ascii="Times New Roman;Times;serif" w:hAnsi="Times New Roman;Times;serif"/>
          <w:sz w:val="24"/>
          <w:u w:val="single"/>
        </w:rPr>
        <w:t>REIT Status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Parent has elected to be taxed as a REIT and will continue to operate in a manner so as to qualify as a REIT, and (b) will not revoke its election to be taxed as a REIT.</w:t>
      </w:r>
    </w:p>
    <w:p>
      <w:pPr>
        <w:pStyle w:val="TextBody"/>
        <w:bidi w:val="0"/>
        <w:spacing w:before="0" w:after="240"/>
        <w:ind w:left="0" w:right="0" w:hanging="0"/>
        <w:jc w:val="both"/>
        <w:rPr/>
      </w:pPr>
      <w:r>
        <w:rPr/>
        <w:t>●</w:t>
      </w:r>
      <w:bookmarkStart w:id="2088" w:name="_Toc184891509"/>
      <w:bookmarkEnd w:id="2088"/>
      <w:r>
        <w:rPr>
          <w:rFonts w:ascii="Times New Roman;Times;serif" w:hAnsi="Times New Roman;Times;serif"/>
          <w:sz w:val="24"/>
          <w:u w:val="single"/>
        </w:rPr>
        <w:t>Covered Entities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Borrower is not a Covered Entity.</w:t>
      </w:r>
    </w:p>
    <w:p>
      <w:pPr>
        <w:pStyle w:val="TextBody"/>
        <w:bidi w:val="0"/>
        <w:spacing w:before="0" w:after="240"/>
        <w:ind w:left="720" w:right="0" w:hanging="0"/>
        <w:jc w:val="both"/>
        <w:rPr/>
      </w:pPr>
      <w:r>
        <w:rPr>
          <w:caps/>
        </w:rPr>
        <w:t>●</w:t>
      </w:r>
      <w:bookmarkStart w:id="2089" w:name="_Toc184891510"/>
      <w:bookmarkStart w:id="2090" w:name="_Ref703412781"/>
      <w:bookmarkStart w:id="2091" w:name="_Ref703411741"/>
      <w:bookmarkStart w:id="2092" w:name="_Ref703411101"/>
      <w:bookmarkEnd w:id="2089"/>
      <w:bookmarkEnd w:id="2090"/>
      <w:bookmarkEnd w:id="2091"/>
      <w:bookmarkEnd w:id="2092"/>
      <w:r>
        <w:rPr>
          <w:rFonts w:ascii="Times New Roman;Times;serif" w:hAnsi="Times New Roman;Times;serif"/>
          <w:caps/>
          <w:sz w:val="24"/>
        </w:rPr>
        <w:t>Conditions Precedent.</w:t>
      </w:r>
    </w:p>
    <w:p>
      <w:pPr>
        <w:pStyle w:val="TextBody"/>
        <w:bidi w:val="0"/>
        <w:spacing w:before="0" w:after="240"/>
        <w:ind w:left="0" w:right="0" w:hanging="0"/>
        <w:jc w:val="both"/>
        <w:rPr/>
      </w:pPr>
      <w:r>
        <w:rPr/>
        <w:t>●</w:t>
      </w:r>
      <w:bookmarkStart w:id="2093" w:name="_Toc184891511"/>
      <w:bookmarkEnd w:id="2093"/>
      <w:r>
        <w:rPr>
          <w:rFonts w:ascii="Times New Roman;Times;serif" w:hAnsi="Times New Roman;Times;serif"/>
          <w:sz w:val="24"/>
          <w:u w:val="single"/>
        </w:rPr>
        <w:t>All Borrowings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At the time of each Borrowing hereunder:</w:t>
      </w:r>
    </w:p>
    <w:p>
      <w:pPr>
        <w:pStyle w:val="TextBody"/>
        <w:bidi w:val="0"/>
        <w:spacing w:before="0" w:after="240"/>
        <w:ind w:left="0" w:right="0" w:hanging="0"/>
        <w:jc w:val="both"/>
        <w:rPr/>
      </w:pPr>
      <w:r>
        <w:rPr/>
        <w:t>●</w:t>
      </w:r>
      <w:r>
        <w:rPr>
          <w:rFonts w:ascii="Times New Roman;Times;serif" w:hAnsi="Times New Roman;Times;serif"/>
          <w:sz w:val="24"/>
        </w:rPr>
        <w:t>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pStyle w:val="TextBody"/>
        <w:bidi w:val="0"/>
        <w:spacing w:before="0" w:after="240"/>
        <w:ind w:left="0" w:right="0" w:hanging="0"/>
        <w:jc w:val="both"/>
        <w:rPr/>
      </w:pPr>
      <w:r>
        <w:rPr/>
        <w:t>●</w:t>
      </w:r>
      <w:r>
        <w:rPr>
          <w:rFonts w:ascii="Times New Roman;Times;serif" w:hAnsi="Times New Roman;Times;serif"/>
          <w:sz w:val="24"/>
        </w:rPr>
        <w:t>no Default or Event of Default shall have occurred and be continuing or would occur as a result of such Borrowing and, after giving effect to such Borrowing, subject to Section 7.2(i), the Adjusted Availability as then determined and computed shall be no less than $0;</w:t>
      </w:r>
    </w:p>
    <w:p>
      <w:pPr>
        <w:pStyle w:val="TextBody"/>
        <w:bidi w:val="0"/>
        <w:spacing w:before="0" w:after="240"/>
        <w:ind w:left="0" w:right="0" w:hanging="0"/>
        <w:jc w:val="both"/>
        <w:rPr/>
      </w:pPr>
      <w:r>
        <w:rPr/>
        <w:t>●</w:t>
      </w:r>
      <w:r>
        <w:rPr>
          <w:rFonts w:ascii="Times New Roman;Times;serif" w:hAnsi="Times New Roman;Times;serif"/>
          <w:sz w:val="24"/>
        </w:rPr>
        <w:t xml:space="preserve">in the case of a Borrowing the Administrative Agent shall have received the notice required by Section 1.6 hereof; </w:t>
      </w:r>
    </w:p>
    <w:p>
      <w:pPr>
        <w:pStyle w:val="TextBody"/>
        <w:bidi w:val="0"/>
        <w:spacing w:before="0" w:after="240"/>
        <w:ind w:left="0" w:right="0" w:hanging="0"/>
        <w:jc w:val="both"/>
        <w:rPr/>
      </w:pPr>
      <w:r>
        <w:rPr/>
        <w:t>●</w:t>
      </w:r>
      <w:r>
        <w:rPr>
          <w:rFonts w:ascii="Times New Roman;Times;serif" w:hAnsi="Times New Roman;Times;serif"/>
          <w:sz w:val="24"/>
        </w:rPr>
        <w:t>such Borrowing shall not violate any order, judgment or decree of any court or other authority or any provision of law or regulation applicable to the Administrative Agent or any Lender (including, without limitation, Regulation U of the Board of Governors of the Federal Reserve System) as then in effect; and</w:t>
      </w:r>
    </w:p>
    <w:p>
      <w:pPr>
        <w:pStyle w:val="TextBody"/>
        <w:bidi w:val="0"/>
        <w:ind w:left="0" w:right="0" w:hanging="0"/>
        <w:jc w:val="both"/>
        <w:rPr/>
      </w:pPr>
      <w:r>
        <w:rPr/>
        <w:t>●</w:t>
      </w:r>
      <w:r>
        <w:rPr>
          <w:rFonts w:ascii="Times New Roman;Times;serif" w:hAnsi="Times New Roman;Times;serif"/>
          <w:sz w:val="24"/>
        </w:rPr>
        <w:t>no Change of Control shall have occurred as a result of (i) the termination set forth in clause (c) of the definition “Change of Control” and (ii) the Borrower’s failure to cure such Change of Control by appointing a replacement chief executive officer of the Parent reasonably acceptable to the Administrative Agent within four (4) months.</w:t>
      </w:r>
    </w:p>
    <w:p>
      <w:pPr>
        <w:pStyle w:val="TextBody"/>
        <w:bidi w:val="0"/>
        <w:spacing w:before="0" w:after="0"/>
        <w:ind w:left="0" w:right="0" w:firstLine="720"/>
        <w:jc w:val="both"/>
        <w:rPr>
          <w:rFonts w:ascii="Times New Roman;Times;serif" w:hAnsi="Times New Roman;Times;serif"/>
          <w:sz w:val="24"/>
        </w:rPr>
      </w:pPr>
      <w:r>
        <w:rPr>
          <w:rFonts w:ascii="Times" w:hAnsi="Times"/>
          <w:sz w:val="24"/>
        </w:rPr>
        <w:t xml:space="preserve">Each request for a Borrowing hereunder shall be deemed to be a representation and warranty by the Borrower on the date of such Borrowing as to the facts specified in subsections (a) through (c), inclusive, of this Section 7.1; </w:t>
      </w:r>
      <w:r>
        <w:rPr>
          <w:rFonts w:ascii="Times" w:hAnsi="Times"/>
          <w:i/>
          <w:sz w:val="24"/>
        </w:rPr>
        <w:t xml:space="preserve">provided, however, </w:t>
      </w:r>
      <w:r>
        <w:rPr>
          <w:rFonts w:ascii="Times" w:hAnsi="Times"/>
          <w:sz w:val="24"/>
        </w:rPr>
        <w:t xml:space="preserve">that the Lenders may advance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Loan, in the sole discretion of the Lenders with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pStyle w:val="TextBody"/>
        <w:bidi w:val="0"/>
        <w:spacing w:before="0" w:after="240"/>
        <w:ind w:left="0" w:right="0" w:hanging="0"/>
        <w:jc w:val="both"/>
        <w:rPr/>
      </w:pPr>
      <w:r>
        <w:rPr/>
        <w:t>●</w:t>
      </w:r>
      <w:bookmarkStart w:id="2094" w:name="_Toc184891512"/>
      <w:bookmarkEnd w:id="2094"/>
      <w:r>
        <w:rPr>
          <w:rFonts w:ascii="Times New Roman;Times;serif" w:hAnsi="Times New Roman;Times;serif"/>
          <w:sz w:val="24"/>
          <w:u w:val="single"/>
        </w:rPr>
        <w:t>Closing Date Term Loan</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Before or concurrently with the advance of the Closing Date Term Loans:</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this Agreement duly executed by the Borrower, Parent and the Material Subsidiaries, as Guarantors, and the Lenders.</w:t>
      </w:r>
    </w:p>
    <w:p>
      <w:pPr>
        <w:pStyle w:val="TextBody"/>
        <w:bidi w:val="0"/>
        <w:spacing w:before="0" w:after="240"/>
        <w:ind w:left="0" w:right="0" w:hanging="0"/>
        <w:jc w:val="both"/>
        <w:rPr/>
      </w:pPr>
      <w:r>
        <w:rPr/>
        <w:t>●</w:t>
      </w:r>
      <w:r>
        <w:rPr>
          <w:rFonts w:ascii="Times New Roman;Times;serif" w:hAnsi="Times New Roman;Times;serif"/>
          <w:sz w:val="24"/>
        </w:rPr>
        <w:t>if requested by any Lender, the Administrative Agent shall have received for such Lender such Lender’s duly executed Note of the Borrower dated the date hereof and otherwise in compliance with the provisions of Section 1.10 hereof;</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copies of the Borrower’s, Parent’s and each Material Subsidiary’s articles of incorporation and bylaws (or comparable organizational documents) and any amendments thereto, certified in each instance by its Secretary or Assistant Secretary;</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copies of resolutions of the Borrower’s, Parent’s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Parent’s and each Material Subsidiary’s behalf, all certified in each instance by its Secretary or Assistant Secretary or other Authorized Representative;</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copies of the certificates of good standing for the Borrower, Parent and each Material Subsidiary (dated no earlier than forty-five (45) days prior to the date hereof) from the office of the secretary of the state of its incorporation or organization and of each state in which it is required to the qualified to do business as a foreign corporation or organization under Sections 6.1 or 6.2;</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a list of the Borrower’s Authorized Representatives;</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the initial fees called for by Section 2.1 hereof;</w:t>
      </w:r>
    </w:p>
    <w:p>
      <w:pPr>
        <w:pStyle w:val="TextBody"/>
        <w:bidi w:val="0"/>
        <w:spacing w:before="0" w:after="240"/>
        <w:ind w:left="0" w:right="0" w:hanging="0"/>
        <w:jc w:val="both"/>
        <w:rPr/>
      </w:pPr>
      <w:r>
        <w:rPr/>
        <w:t>●</w:t>
      </w:r>
      <w:r>
        <w:rPr>
          <w:rFonts w:ascii="Times New Roman;Times;serif" w:hAnsi="Times New Roman;Times;serif"/>
          <w:sz w:val="24"/>
        </w:rPr>
        <w:t>the capital and organizational structure of the Borrower and its Subsidiaries shall be reasonably satisfactory to the Administrative Agent;</w:t>
      </w:r>
    </w:p>
    <w:p>
      <w:pPr>
        <w:pStyle w:val="TextBody"/>
        <w:bidi w:val="0"/>
        <w:spacing w:before="0" w:after="240"/>
        <w:ind w:left="0" w:right="0" w:hanging="0"/>
        <w:jc w:val="both"/>
        <w:rPr/>
      </w:pPr>
      <w:r>
        <w:rPr/>
        <w:t>●</w:t>
      </w:r>
      <w:r>
        <w:rPr>
          <w:rFonts w:ascii="Times New Roman;Times;serif" w:hAnsi="Times New Roman;Times;serif"/>
          <w:sz w:val="24"/>
        </w:rPr>
        <w:t xml:space="preserve">the Administrative Agent shall have received a borrowing base certificate dated as of the Closing Date which shall reflect the calculation of the adjusted borrowing base after giving effect to repayment of the advances under the Existing Credit Agreement with the proceeds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the Closing Date Term Loan, resulting in an adjusted borrowing base which shall be no less than $0;</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financing statement, tax, and judgment lien search results against each Eligible Property of the Borrower and each Material Subsidiary evidencing the absence of Liens on its Property except as Permitted Liens or as otherwise permitted by Section 8.8 hereof;</w:t>
      </w:r>
    </w:p>
    <w:p>
      <w:pPr>
        <w:pStyle w:val="TextBody"/>
        <w:bidi w:val="0"/>
        <w:spacing w:before="0" w:after="240"/>
        <w:ind w:left="0" w:right="0" w:hanging="0"/>
        <w:jc w:val="both"/>
        <w:rPr/>
      </w:pPr>
      <w:r>
        <w:rPr/>
        <w:t>●</w:t>
      </w:r>
      <w:r>
        <w:rPr>
          <w:rFonts w:ascii="Times New Roman;Times;serif" w:hAnsi="Times New Roman;Times;serif"/>
          <w:sz w:val="24"/>
        </w:rPr>
        <w:t xml:space="preserve">the Administrative Agent shall have received a written opinion of counsel to the Borrower, Parent and each Material Subsidiary, in form and substance reasonably satisfactory to the Administrative Agent; </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pStyle w:val="TextBody"/>
        <w:bidi w:val="0"/>
        <w:spacing w:before="0" w:after="240"/>
        <w:ind w:left="0" w:right="0" w:hanging="0"/>
        <w:jc w:val="both"/>
        <w:rPr/>
      </w:pPr>
      <w:r>
        <w:rPr/>
        <w:t>●</w:t>
      </w:r>
      <w:r>
        <w:rPr>
          <w:rFonts w:ascii="Times New Roman;Times;serif" w:hAnsi="Times New Roman;Times;serif"/>
          <w:sz w:val="24"/>
        </w:rPr>
        <w:t>the Administrative Agent shall have received such other agreements, instruments, documents, certificates, and opinions as the Administrative Agent may reasonably request;</w:t>
      </w:r>
    </w:p>
    <w:p>
      <w:pPr>
        <w:pStyle w:val="TextBody"/>
        <w:bidi w:val="0"/>
        <w:spacing w:before="0" w:after="240"/>
        <w:ind w:left="0" w:right="0" w:hanging="0"/>
        <w:jc w:val="both"/>
        <w:rPr/>
      </w:pPr>
      <w:r>
        <w:rPr/>
        <w:t>●</w:t>
      </w:r>
      <w:r>
        <w:rPr>
          <w:rFonts w:ascii="Times New Roman;Times;serif" w:hAnsi="Times New Roman;Times;serif"/>
          <w:sz w:val="24"/>
        </w:rPr>
        <w:t>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w:t>
      </w:r>
      <w:r>
        <w:rPr>
          <w:rFonts w:ascii="Times New Roman;Times;serif" w:hAnsi="Times New Roman;Times;serif"/>
          <w:i/>
          <w:sz w:val="24"/>
        </w:rPr>
        <w:t>know your customer”</w:t>
      </w:r>
      <w:r>
        <w:rPr>
          <w:rFonts w:ascii="Times New Roman;Times;serif" w:hAnsi="Times New Roman;Times;serif"/>
          <w:sz w:val="24"/>
        </w:rPr>
        <w:t xml:space="preserve"> or similar rules and regulations;</w:t>
      </w:r>
    </w:p>
    <w:p>
      <w:pPr>
        <w:pStyle w:val="TextBody"/>
        <w:bidi w:val="0"/>
        <w:spacing w:before="0" w:after="240"/>
        <w:ind w:left="0" w:right="0" w:hanging="0"/>
        <w:jc w:val="both"/>
        <w:rPr/>
      </w:pPr>
      <w:r>
        <w:rPr/>
        <w:t>●</w:t>
      </w:r>
      <w:r>
        <w:rPr>
          <w:rFonts w:ascii="Times New Roman;Times;serif" w:hAnsi="Times New Roman;Times;serif"/>
          <w:sz w:val="24"/>
        </w:rPr>
        <w:t xml:space="preserve">the Administrative Agent shall have received pay-off and lien release letters (except with respect to any Permitted Liens) from secured creditors of the Borrower and each Subsidiary setting forth, among other things, the total amount of indebtedness outstanding and owing to them (or outstanding letters of credit issued for the account of the Borrower or any Subsidiary) and containing an undertaking to cause to be delivered to the Administrative Agent UCC termination statements and any other lien release instruments necessary to release their Liens on the assets of the Borrower and each Subsidiary, which pay-off and lien release letters shall be in form and substance reasonably acceptable to the Administrative Agent; </w:t>
      </w:r>
    </w:p>
    <w:p>
      <w:pPr>
        <w:pStyle w:val="TextBody"/>
        <w:bidi w:val="0"/>
        <w:spacing w:before="0" w:after="240"/>
        <w:ind w:left="0" w:right="0" w:hanging="0"/>
        <w:jc w:val="both"/>
        <w:rPr/>
      </w:pPr>
      <w:r>
        <w:rPr/>
        <w:t>●</w:t>
      </w:r>
      <w:r>
        <w:rPr>
          <w:rFonts w:ascii="Times New Roman;Times;serif" w:hAnsi="Times New Roman;Times;serif"/>
          <w:sz w:val="24"/>
        </w:rPr>
        <w:t>the secured creditors of the Borrower and each Subsidiary shall have deposited in escrow UCC termination statements and other lien release instruments necessary to release their Liens (other than Permitted Liens) on the assets of the Borrower and each Subsidiary; and</w:t>
      </w:r>
    </w:p>
    <w:p>
      <w:pPr>
        <w:pStyle w:val="TextBody"/>
        <w:bidi w:val="0"/>
        <w:spacing w:before="0" w:after="0"/>
        <w:ind w:left="0" w:right="0" w:hanging="0"/>
        <w:jc w:val="both"/>
        <w:rPr/>
      </w:pPr>
      <w:r>
        <w:rPr/>
        <w:t>●</w:t>
      </w:r>
      <w:r>
        <w:rPr>
          <w:rFonts w:ascii="Times New Roman;Times;serif" w:hAnsi="Times New Roman;Times;serif"/>
          <w:sz w:val="24"/>
        </w:rPr>
        <w:t>at least five days prior to the Closing Date, if the Borrower qualifies as a “legal entity customer” under the Beneficial Ownership Regulation, the Borrower shall deliver a Beneficial Ownership Certification in relation to it.</w:t>
      </w:r>
    </w:p>
    <w:p>
      <w:pPr>
        <w:pStyle w:val="TextBody"/>
        <w:bidi w:val="0"/>
        <w:spacing w:before="0" w:after="240"/>
        <w:ind w:left="0" w:right="0" w:hanging="0"/>
        <w:jc w:val="both"/>
        <w:rPr/>
      </w:pPr>
      <w:r>
        <w:rPr/>
        <w:t>●</w:t>
      </w:r>
      <w:bookmarkStart w:id="2095" w:name="_Toc184891513"/>
      <w:bookmarkStart w:id="2096" w:name="_Toc115162562"/>
      <w:bookmarkEnd w:id="2095"/>
      <w:bookmarkEnd w:id="2096"/>
      <w:r>
        <w:rPr>
          <w:rFonts w:ascii="Times New Roman;Times;serif" w:hAnsi="Times New Roman;Times;serif"/>
          <w:sz w:val="24"/>
          <w:u w:val="single"/>
        </w:rPr>
        <w:t>Unencumbered Assets Additions and Deletions to the Unencumbered Pool</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 xml:space="preserve">As of the </w:t>
      </w:r>
      <w:bookmarkStart w:id="2097" w:name="_cp_change_330"/>
      <w:bookmarkEnd w:id="2097"/>
      <w:r>
        <w:rPr>
          <w:rFonts w:ascii="Times New Roman;Times;serif" w:hAnsi="Times New Roman;Times;serif"/>
          <w:color w:val="FF0000"/>
          <w:sz w:val="24"/>
        </w:rPr>
        <w:t>Second</w:t>
      </w:r>
      <w:bookmarkStart w:id="2098" w:name="_cp_change_3311"/>
      <w:bookmarkEnd w:id="2098"/>
      <w:r>
        <w:rPr>
          <w:rFonts w:ascii="Times New Roman;Times;serif" w:hAnsi="Times New Roman;Times;serif"/>
          <w:color w:val="0000FF"/>
          <w:sz w:val="24"/>
          <w:u w:val="single"/>
        </w:rPr>
        <w:t>Third</w:t>
      </w:r>
      <w:r>
        <w:rPr>
          <w:rFonts w:ascii="Times New Roman;Times;serif" w:hAnsi="Times New Roman;Times;serif"/>
          <w:sz w:val="24"/>
        </w:rPr>
        <w:t xml:space="preserve"> Amendment Effective Date, the Borrower represents and warrants to the Lenders and the Administrative Agent that the Initial </w:t>
      </w:r>
      <w:bookmarkStart w:id="2099" w:name="_cp_change_332"/>
      <w:bookmarkEnd w:id="2099"/>
      <w:r>
        <w:rPr>
          <w:rFonts w:ascii="Times New Roman;Times;serif" w:hAnsi="Times New Roman;Times;serif"/>
          <w:color w:val="FF0000"/>
          <w:sz w:val="24"/>
        </w:rPr>
        <w:t>Properties</w:t>
      </w:r>
      <w:bookmarkStart w:id="2100" w:name="_cp_change_333"/>
      <w:bookmarkEnd w:id="2100"/>
      <w:r>
        <w:rPr>
          <w:rFonts w:ascii="Times New Roman;Times;serif" w:hAnsi="Times New Roman;Times;serif"/>
          <w:color w:val="0000FF"/>
          <w:sz w:val="24"/>
          <w:u w:val="single"/>
        </w:rPr>
        <w:t>Unencumbered Assets</w:t>
      </w:r>
      <w:r>
        <w:rPr>
          <w:rFonts w:ascii="Times New Roman;Times;serif" w:hAnsi="Times New Roman;Times;serif"/>
          <w:sz w:val="24"/>
        </w:rPr>
        <w:t xml:space="preserve"> qualify as Eligible </w:t>
      </w:r>
      <w:bookmarkStart w:id="2101" w:name="_cp_change_334"/>
      <w:bookmarkEnd w:id="2101"/>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sz w:val="24"/>
        </w:rPr>
      </w:pPr>
      <w:r>
        <w:rPr>
          <w:rFonts w:ascii="Times New Roman;Times;serif" w:hAnsi="Times New Roman;Times;serif"/>
          <w:b w:val="false"/>
          <w:i w:val="false"/>
          <w:caps w:val="false"/>
          <w:smallCaps w:val="false"/>
          <w:color w:val="FF0000"/>
          <w:sz w:val="24"/>
        </w:rPr>
        <w:t>Properties</w:t>
      </w:r>
      <w:bookmarkStart w:id="2102" w:name="_cp_change_335"/>
      <w:bookmarkEnd w:id="2102"/>
      <w:r>
        <w:rPr>
          <w:rFonts w:ascii="Times New Roman;Times;serif" w:hAnsi="Times New Roman;Times;serif"/>
          <w:b w:val="false"/>
          <w:i w:val="false"/>
          <w:caps w:val="false"/>
          <w:smallCaps w:val="false"/>
          <w:color w:val="0000FF"/>
          <w:sz w:val="24"/>
          <w:u w:val="single"/>
        </w:rPr>
        <w:t>Assets</w:t>
      </w:r>
      <w:r>
        <w:rPr>
          <w:caps w:val="false"/>
          <w:smallCaps w:val="false"/>
          <w:sz w:val="24"/>
        </w:rPr>
        <w:t xml:space="preserve"> </w:t>
      </w:r>
      <w:r>
        <w:rPr>
          <w:rFonts w:ascii="Times New Roman;Times;serif" w:hAnsi="Times New Roman;Times;serif"/>
          <w:b w:val="false"/>
          <w:i w:val="false"/>
          <w:caps w:val="false"/>
          <w:smallCaps w:val="false"/>
          <w:sz w:val="24"/>
        </w:rPr>
        <w:t>and that the information provided on Schedule 1.1 is true and correct in all material respects.</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Upon not less than 10 Business Days prior written notice from the Borrower to the Administrative Agent, the Borrower can designate that an Eligible </w:t>
      </w:r>
      <w:bookmarkStart w:id="2103" w:name="_cp_change_336"/>
      <w:bookmarkEnd w:id="2103"/>
      <w:r>
        <w:rPr>
          <w:rFonts w:ascii="Times" w:hAnsi="Times"/>
          <w:color w:val="FF0000"/>
          <w:sz w:val="24"/>
        </w:rPr>
        <w:t>Property</w:t>
      </w:r>
      <w:bookmarkStart w:id="2104" w:name="_cp_change_337"/>
      <w:bookmarkEnd w:id="2104"/>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 xml:space="preserve">be added (subject to the other requirements for a Property </w:t>
      </w:r>
      <w:bookmarkStart w:id="2105" w:name="_cp_change_338"/>
      <w:bookmarkEnd w:id="2105"/>
      <w:r>
        <w:rPr>
          <w:rFonts w:ascii="Times" w:hAnsi="Times"/>
          <w:color w:val="0000FF"/>
          <w:sz w:val="24"/>
          <w:u w:val="single"/>
        </w:rPr>
        <w:t xml:space="preserve">or Mortgage Receivable </w:t>
      </w:r>
      <w:r>
        <w:rPr>
          <w:rFonts w:ascii="Times" w:hAnsi="Times"/>
          <w:sz w:val="24"/>
        </w:rPr>
        <w:t xml:space="preserve">qualifying as an Eligible </w:t>
      </w:r>
      <w:bookmarkStart w:id="2106" w:name="_cp_change_339"/>
      <w:bookmarkEnd w:id="2106"/>
      <w:r>
        <w:rPr>
          <w:rFonts w:ascii="Times" w:hAnsi="Times"/>
          <w:color w:val="FF0000"/>
          <w:sz w:val="24"/>
        </w:rPr>
        <w:t>Property</w:t>
      </w:r>
      <w:bookmarkStart w:id="2107" w:name="_cp_change_340"/>
      <w:bookmarkEnd w:id="2107"/>
      <w:r>
        <w:rPr>
          <w:rFonts w:ascii="Times" w:hAnsi="Times"/>
          <w:color w:val="0000FF"/>
          <w:sz w:val="24"/>
          <w:u w:val="single"/>
        </w:rPr>
        <w:t>Asset</w:t>
      </w:r>
      <w:r>
        <w:rPr>
          <w:rFonts w:ascii="Times" w:hAnsi="Times"/>
          <w:sz w:val="24"/>
        </w:rPr>
        <w:t xml:space="preserve">) or deleted as an Unencumbered Asset.  Such notice shall be accompanied by a certification that the applicable Property </w:t>
      </w:r>
      <w:bookmarkStart w:id="2108" w:name="_cp_change_341"/>
      <w:bookmarkEnd w:id="2108"/>
      <w:r>
        <w:rPr>
          <w:rFonts w:ascii="Times" w:hAnsi="Times"/>
          <w:color w:val="0000FF"/>
          <w:sz w:val="24"/>
          <w:u w:val="single"/>
        </w:rPr>
        <w:t xml:space="preserve">or Mortgage Receivable </w:t>
      </w:r>
      <w:r>
        <w:rPr>
          <w:rFonts w:ascii="Times" w:hAnsi="Times"/>
          <w:sz w:val="24"/>
        </w:rPr>
        <w:t xml:space="preserve">meets the requirements of an Eligible </w:t>
      </w:r>
      <w:bookmarkStart w:id="2109" w:name="_cp_change_342"/>
      <w:bookmarkEnd w:id="2109"/>
      <w:r>
        <w:rPr>
          <w:rFonts w:ascii="Times" w:hAnsi="Times"/>
          <w:color w:val="FF0000"/>
          <w:sz w:val="24"/>
        </w:rPr>
        <w:t>Property</w:t>
      </w:r>
      <w:bookmarkStart w:id="2110" w:name="_cp_change_343"/>
      <w:bookmarkEnd w:id="2110"/>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 xml:space="preserve">and a Compliance Certificate setting forth the calculations evidencing compliance with the covenants set forth in Section 8.20 and 8.21, as of the addition or deletion of the designated Property </w:t>
      </w:r>
      <w:bookmarkStart w:id="2111" w:name="_cp_change_344"/>
      <w:bookmarkEnd w:id="2111"/>
      <w:r>
        <w:rPr>
          <w:rFonts w:ascii="Times" w:hAnsi="Times"/>
          <w:color w:val="0000FF"/>
          <w:sz w:val="24"/>
          <w:u w:val="single"/>
        </w:rPr>
        <w:t xml:space="preserve">or Mortgage Receivable </w:t>
      </w:r>
      <w:r>
        <w:rPr>
          <w:rFonts w:ascii="Times" w:hAnsi="Times"/>
          <w:sz w:val="24"/>
        </w:rPr>
        <w:t xml:space="preserve">as an Unencumbered Asset, and with respect to a deletion, Borrower’s certification in such detail as reasonably required by the Administrative Agent that no Default or Event of Default exists under this Agreement and such deletion shall not (A) cause the Unencumbered Pool to violate the Unencumbered Pool Requirements, (B) cause a Default, or (C) cause or result in the Borrower failing to comply with any of the covenants contained in Section 8.20 and 8.21 hereof.  Each addition shall be an Eligible </w:t>
      </w:r>
      <w:bookmarkStart w:id="2112" w:name="_cp_change_345"/>
      <w:bookmarkEnd w:id="2112"/>
      <w:r>
        <w:rPr>
          <w:rFonts w:ascii="Times" w:hAnsi="Times"/>
          <w:color w:val="FF0000"/>
          <w:sz w:val="24"/>
        </w:rPr>
        <w:t>Property</w:t>
      </w:r>
      <w:bookmarkStart w:id="2113" w:name="_cp_change_346"/>
      <w:bookmarkEnd w:id="2113"/>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 xml:space="preserve">in a minimum amount equal to $500,000 of Unencumbered Asset Value, or shall be comprised of more than one qualifying Eligible </w:t>
      </w:r>
      <w:bookmarkStart w:id="2114" w:name="_cp_change_347"/>
      <w:bookmarkEnd w:id="2114"/>
      <w:r>
        <w:rPr>
          <w:rFonts w:ascii="Times" w:hAnsi="Times"/>
          <w:color w:val="FF0000"/>
          <w:sz w:val="24"/>
        </w:rPr>
        <w:t>Properties</w:t>
      </w:r>
      <w:bookmarkStart w:id="2115" w:name="_cp_change_348"/>
      <w:bookmarkEnd w:id="2115"/>
      <w:r>
        <w:rPr>
          <w:rFonts w:ascii="Times" w:hAnsi="Times"/>
          <w:color w:val="0000FF"/>
          <w:sz w:val="24"/>
          <w:u w:val="single"/>
        </w:rPr>
        <w:t>Assets</w:t>
      </w:r>
      <w:r>
        <w:rPr>
          <w:rFonts w:ascii="Times New Roman;Times;serif" w:hAnsi="Times New Roman;Times;serif"/>
          <w:sz w:val="24"/>
        </w:rPr>
        <w:t xml:space="preserve"> </w:t>
      </w:r>
      <w:r>
        <w:rPr>
          <w:rFonts w:ascii="Times" w:hAnsi="Times"/>
          <w:sz w:val="24"/>
        </w:rPr>
        <w:t xml:space="preserve">that in the aggregate have a minimum amount equal to $1,000,000 of Unencumbered Asset Value.  All additions of a Property </w:t>
      </w:r>
      <w:bookmarkStart w:id="2116" w:name="_cp_change_349"/>
      <w:bookmarkEnd w:id="2116"/>
      <w:r>
        <w:rPr>
          <w:rFonts w:ascii="Times" w:hAnsi="Times"/>
          <w:color w:val="0000FF"/>
          <w:sz w:val="24"/>
          <w:u w:val="single"/>
        </w:rPr>
        <w:t xml:space="preserve">or Mortgage Receivable </w:t>
      </w:r>
      <w:r>
        <w:rPr>
          <w:rFonts w:ascii="Times" w:hAnsi="Times"/>
          <w:sz w:val="24"/>
        </w:rPr>
        <w:t xml:space="preserve">that does not satisfy the requirements to be an Eligible </w:t>
      </w:r>
      <w:bookmarkStart w:id="2117" w:name="_cp_change_350"/>
      <w:bookmarkEnd w:id="2117"/>
      <w:r>
        <w:rPr>
          <w:rFonts w:ascii="Times" w:hAnsi="Times"/>
          <w:color w:val="FF0000"/>
          <w:sz w:val="24"/>
        </w:rPr>
        <w:t>Property</w:t>
      </w:r>
      <w:bookmarkStart w:id="2118" w:name="_cp_change_3511"/>
      <w:bookmarkEnd w:id="2118"/>
      <w:r>
        <w:rPr>
          <w:rFonts w:ascii="Times" w:hAnsi="Times"/>
          <w:color w:val="0000FF"/>
          <w:sz w:val="24"/>
          <w:u w:val="single"/>
        </w:rPr>
        <w:t>Asset</w:t>
      </w:r>
      <w:r>
        <w:rPr>
          <w:rFonts w:ascii="Times New Roman;Times;serif" w:hAnsi="Times New Roman;Times;serif"/>
          <w:sz w:val="24"/>
        </w:rPr>
        <w:t xml:space="preserve"> </w:t>
      </w:r>
      <w:r>
        <w:rPr>
          <w:rFonts w:ascii="Times" w:hAnsi="Times"/>
          <w:sz w:val="24"/>
        </w:rPr>
        <w:t>shall be subject to reasonable approval by the  Required Lenders.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If no Default exists at the time of any deletion of a Property </w:t>
      </w:r>
      <w:bookmarkStart w:id="2119" w:name="_cp_change_352"/>
      <w:bookmarkEnd w:id="2119"/>
      <w:r>
        <w:rPr>
          <w:rFonts w:ascii="Times New Roman;Times;serif" w:hAnsi="Times New Roman;Times;serif"/>
          <w:color w:val="0000FF"/>
          <w:sz w:val="24"/>
          <w:u w:val="single"/>
        </w:rPr>
        <w:t xml:space="preserve">or Mortgage Receivable </w:t>
      </w:r>
      <w:r>
        <w:rPr>
          <w:rFonts w:ascii="Times New Roman;Times;serif" w:hAnsi="Times New Roman;Times;serif"/>
          <w:sz w:val="24"/>
        </w:rPr>
        <w:t xml:space="preserve">from qualifying as an Eligible </w:t>
      </w:r>
      <w:bookmarkStart w:id="2120" w:name="_cp_change_353"/>
      <w:bookmarkEnd w:id="2120"/>
      <w:r>
        <w:rPr>
          <w:rFonts w:ascii="Times New Roman;Times;serif" w:hAnsi="Times New Roman;Times;serif"/>
          <w:color w:val="FF0000"/>
          <w:sz w:val="24"/>
        </w:rPr>
        <w:t>Property</w:t>
      </w:r>
      <w:bookmarkStart w:id="2121" w:name="_cp_change_354"/>
      <w:bookmarkEnd w:id="2121"/>
      <w:r>
        <w:rPr>
          <w:rFonts w:ascii="Times New Roman;Times;serif" w:hAnsi="Times New Roman;Times;serif"/>
          <w:color w:val="0000FF"/>
          <w:sz w:val="24"/>
          <w:u w:val="single"/>
        </w:rPr>
        <w:t>Asset</w:t>
      </w:r>
      <w:r>
        <w:rPr>
          <w:rFonts w:ascii="Times New Roman;Times;serif" w:hAnsi="Times New Roman;Times;serif"/>
          <w:sz w:val="24"/>
        </w:rPr>
        <w:t xml:space="preserve"> included in calculating the Gross Availability and the Adjusted Availability, as applicable, any Material Subsidiary which owned such Property</w:t>
      </w:r>
      <w:bookmarkStart w:id="2122" w:name="_cp_change_355"/>
      <w:bookmarkEnd w:id="2122"/>
      <w:r>
        <w:rPr>
          <w:rFonts w:ascii="Times New Roman;Times;serif" w:hAnsi="Times New Roman;Times;serif"/>
          <w:color w:val="0000FF"/>
          <w:sz w:val="24"/>
          <w:u w:val="single"/>
        </w:rPr>
        <w:t xml:space="preserve"> or Mortgage Receivable</w:t>
      </w:r>
      <w:r>
        <w:rPr>
          <w:rFonts w:ascii="Times New Roman;Times;serif" w:hAnsi="Times New Roman;Times;serif"/>
          <w:sz w:val="24"/>
        </w:rPr>
        <w:t xml:space="preserve">, but that does not otherwise own any other Eligible </w:t>
      </w:r>
      <w:bookmarkStart w:id="2123" w:name="_cp_change_356"/>
      <w:bookmarkEnd w:id="2123"/>
      <w:r>
        <w:rPr>
          <w:rFonts w:ascii="Times New Roman;Times;serif" w:hAnsi="Times New Roman;Times;serif"/>
          <w:color w:val="FF0000"/>
          <w:sz w:val="24"/>
        </w:rPr>
        <w:t>Property</w:t>
      </w:r>
      <w:bookmarkStart w:id="2124" w:name="_cp_change_357"/>
      <w:bookmarkEnd w:id="2124"/>
      <w:r>
        <w:rPr>
          <w:rFonts w:ascii="Times New Roman;Times;serif" w:hAnsi="Times New Roman;Times;serif"/>
          <w:color w:val="0000FF"/>
          <w:sz w:val="24"/>
          <w:u w:val="single"/>
        </w:rPr>
        <w:t>Asset</w:t>
      </w:r>
      <w:r>
        <w:rPr>
          <w:rFonts w:ascii="Times New Roman;Times;serif" w:hAnsi="Times New Roman;Times;serif"/>
          <w:sz w:val="24"/>
        </w:rPr>
        <w:t>, shall be released from its obligations under its Guaranty.</w:t>
      </w:r>
    </w:p>
    <w:p>
      <w:pPr>
        <w:pStyle w:val="TextBody"/>
        <w:bidi w:val="0"/>
        <w:ind w:left="720" w:right="0" w:hanging="0"/>
        <w:jc w:val="both"/>
        <w:rPr/>
      </w:pPr>
      <w:r>
        <w:rPr>
          <w:caps/>
        </w:rPr>
        <w:t>●</w:t>
      </w:r>
      <w:bookmarkStart w:id="2125" w:name="_Toc184891514"/>
      <w:bookmarkEnd w:id="2125"/>
      <w:r>
        <w:rPr>
          <w:rFonts w:ascii="Times New Roman;Times;serif" w:hAnsi="Times New Roman;Times;serif"/>
          <w:caps/>
          <w:sz w:val="24"/>
        </w:rPr>
        <w:t>Covenants.</w:t>
      </w:r>
    </w:p>
    <w:p>
      <w:pPr>
        <w:pStyle w:val="TextBody"/>
        <w:bidi w:val="0"/>
        <w:spacing w:before="0" w:after="240"/>
        <w:ind w:left="0" w:right="0" w:firstLine="720"/>
        <w:jc w:val="both"/>
        <w:rPr>
          <w:rFonts w:ascii="Times" w:hAnsi="Times"/>
          <w:sz w:val="24"/>
        </w:rPr>
      </w:pPr>
      <w:r>
        <w:rPr>
          <w:rFonts w:ascii="Times" w:hAnsi="Times"/>
          <w:sz w:val="24"/>
        </w:rPr>
        <w:t>The Borrower agrees that, so long as any Loan is outstanding by the Borrower hereunder, except to the extent compliance in any case or cases is cured or waived in writing pursuant to the terms of Section 12.13 hereof:</w:t>
      </w:r>
    </w:p>
    <w:p>
      <w:pPr>
        <w:pStyle w:val="TextBody"/>
        <w:bidi w:val="0"/>
        <w:spacing w:before="0" w:after="240"/>
        <w:ind w:left="0" w:right="0" w:hanging="0"/>
        <w:jc w:val="both"/>
        <w:rPr/>
      </w:pPr>
      <w:r>
        <w:rPr/>
        <w:t>●</w:t>
      </w:r>
      <w:bookmarkStart w:id="2126" w:name="_Toc184891515"/>
      <w:bookmarkEnd w:id="2126"/>
      <w:r>
        <w:rPr>
          <w:rFonts w:ascii="Times New Roman;Times;serif" w:hAnsi="Times New Roman;Times;serif"/>
          <w:sz w:val="24"/>
          <w:u w:val="single"/>
        </w:rPr>
        <w:t>Maintenance of Existence</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(i) The Borrower shall, and shall cause each 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pStyle w:val="TextBody"/>
        <w:bidi w:val="0"/>
        <w:ind w:left="0" w:right="0" w:hanging="0"/>
        <w:jc w:val="both"/>
        <w:rPr>
          <w:rFonts w:ascii="Times" w:hAnsi="Times"/>
          <w:sz w:val="24"/>
        </w:rPr>
      </w:pPr>
      <w:r>
        <w:rPr>
          <w:rFonts w:ascii="Times" w:hAnsi="Times"/>
          <w:sz w:val="24"/>
        </w:rPr>
        <w:t xml:space="preserve">(ii)(a) At least one class of common stock of Parent shall at all times be duly listed on the New York Stock Exchange, the NYSE American or The NASDAQ Stock Market and (b) the Parent shall timely file all reports required to be filed by it with the New York Stock Exchange, the NYSE American or The NASDAQ Stock Market, as applicable, and the Securities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Exchange Commission, unless such failure to timely file could not reasonably be expected to have a Material Adverse Effect.</w:t>
      </w:r>
    </w:p>
    <w:p>
      <w:pPr>
        <w:pStyle w:val="TextBody"/>
        <w:bidi w:val="0"/>
        <w:spacing w:before="0" w:after="240"/>
        <w:ind w:left="0" w:right="0" w:hanging="0"/>
        <w:jc w:val="both"/>
        <w:rPr/>
      </w:pPr>
      <w:r>
        <w:rPr/>
        <w:t>●</w:t>
      </w:r>
      <w:bookmarkStart w:id="2127" w:name="_Toc184891516"/>
      <w:bookmarkStart w:id="2128" w:name="_Toc1154212921"/>
      <w:bookmarkEnd w:id="2127"/>
      <w:bookmarkEnd w:id="2128"/>
      <w:r>
        <w:rPr>
          <w:rFonts w:ascii="Times New Roman;Times;serif" w:hAnsi="Times New Roman;Times;serif"/>
          <w:sz w:val="24"/>
          <w:u w:val="single"/>
        </w:rPr>
        <w:t>Maintenance of Properties, Agreements</w:t>
      </w:r>
    </w:p>
    <w:p>
      <w:pPr>
        <w:pStyle w:val="TextBody"/>
        <w:bidi w:val="0"/>
        <w:spacing w:before="0" w:after="240"/>
        <w:jc w:val="both"/>
        <w:rPr>
          <w:rFonts w:ascii="Times New Roman;Times;serif" w:hAnsi="Times New Roman;Times;serif"/>
          <w:sz w:val="24"/>
        </w:rPr>
      </w:pPr>
      <w:bookmarkStart w:id="2129" w:name="_cp_change_358"/>
      <w:bookmarkEnd w:id="2129"/>
      <w:r>
        <w:rPr>
          <w:rFonts w:ascii="Times New Roman;Times;serif" w:hAnsi="Times New Roman;Times;serif"/>
          <w:i/>
          <w:sz w:val="24"/>
        </w:rPr>
        <w:t>.</w:t>
      </w:r>
      <w:r>
        <w:rPr>
          <w:rFonts w:ascii="Times New Roman;Times;serif" w:hAnsi="Times New Roman;Times;serif"/>
          <w:sz w:val="24"/>
        </w:rPr>
        <w:t xml:space="preserve">  The Borrower and each Guarantor shall cause each of its tenants to maintain, preserve, and keep all of the Borrower’s and each Guarantor’s </w:t>
      </w:r>
      <w:bookmarkStart w:id="2130" w:name="_cp_change_359"/>
      <w:bookmarkEnd w:id="2130"/>
      <w:r>
        <w:rPr>
          <w:rFonts w:ascii="Times New Roman;Times;serif" w:hAnsi="Times New Roman;Times;serif"/>
          <w:color w:val="FF0000"/>
          <w:sz w:val="24"/>
        </w:rPr>
        <w:t>Property</w:t>
      </w:r>
      <w:bookmarkStart w:id="2131" w:name="_cp_change_360"/>
      <w:bookmarkEnd w:id="2131"/>
      <w:r>
        <w:rPr>
          <w:rFonts w:ascii="Times New Roman;Times;serif" w:hAnsi="Times New Roman;Times;serif"/>
          <w:color w:val="0000FF"/>
          <w:sz w:val="24"/>
          <w:u w:val="single"/>
        </w:rPr>
        <w:t>Properties and other assets</w:t>
      </w:r>
      <w:r>
        <w:rPr>
          <w:rFonts w:ascii="Times New Roman;Times;serif" w:hAnsi="Times New Roman;Times;serif"/>
          <w:sz w:val="24"/>
        </w:rPr>
        <w:t xml:space="preserve"> in working condition and order (ordinary wear and tear excepted) in all material respects, and Borrower and each Guarantor shall from time to time make all needful and proper repairs, renewals, replacements, additions, and betterments to its </w:t>
      </w:r>
      <w:bookmarkStart w:id="2132" w:name="_cp_change_361"/>
      <w:bookmarkEnd w:id="2132"/>
      <w:r>
        <w:rPr>
          <w:rFonts w:ascii="Times New Roman;Times;serif" w:hAnsi="Times New Roman;Times;serif"/>
          <w:color w:val="FF0000"/>
          <w:sz w:val="24"/>
        </w:rPr>
        <w:t>Property</w:t>
      </w:r>
      <w:bookmarkStart w:id="2133" w:name="_cp_change_362"/>
      <w:bookmarkEnd w:id="2133"/>
      <w:r>
        <w:rPr>
          <w:rFonts w:ascii="Times New Roman;Times;serif" w:hAnsi="Times New Roman;Times;serif"/>
          <w:color w:val="0000FF"/>
          <w:sz w:val="24"/>
          <w:u w:val="single"/>
        </w:rPr>
        <w:t>Properties and other assets</w:t>
      </w:r>
      <w:r>
        <w:rPr>
          <w:rFonts w:ascii="Times New Roman;Times;serif" w:hAnsi="Times New Roman;Times;serif"/>
          <w:sz w:val="24"/>
        </w:rPr>
        <w:t xml:space="preserve">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Parent in its business judgment or due to any breach by the other party thereto) and shall not modify or amend any material contract or agreement that would cause a Material Adverse Effect.</w:t>
      </w:r>
    </w:p>
    <w:p>
      <w:pPr>
        <w:pStyle w:val="TextBody"/>
        <w:bidi w:val="0"/>
        <w:spacing w:before="0" w:after="240"/>
        <w:ind w:left="0" w:right="0" w:hanging="0"/>
        <w:jc w:val="both"/>
        <w:rPr/>
      </w:pPr>
      <w:r>
        <w:rPr/>
        <w:t>●</w:t>
      </w:r>
      <w:bookmarkStart w:id="2134" w:name="_Toc184891517"/>
      <w:bookmarkEnd w:id="2134"/>
      <w:r>
        <w:rPr>
          <w:rFonts w:ascii="Times New Roman;Times;serif" w:hAnsi="Times New Roman;Times;serif"/>
          <w:sz w:val="24"/>
          <w:u w:val="single"/>
        </w:rPr>
        <w:t>Taxes and Assessment</w:t>
      </w:r>
      <w:r>
        <w:rPr>
          <w:rFonts w:ascii="Times New Roman;Times;serif" w:hAnsi="Times New Roman;Times;serif"/>
          <w:i/>
          <w:sz w:val="24"/>
        </w:rPr>
        <w: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The Borrower and each Guarantor shall, or shall cause its tenants to, duly pay and discharge all taxes, rates, assessments, fees, and governmental charges upon or against it or its </w:t>
      </w:r>
      <w:bookmarkStart w:id="2135" w:name="_cp_change_363"/>
      <w:bookmarkEnd w:id="2135"/>
      <w:r>
        <w:rPr>
          <w:rFonts w:ascii="Times New Roman;Times;serif" w:hAnsi="Times New Roman;Times;serif"/>
          <w:color w:val="FF0000"/>
          <w:sz w:val="24"/>
        </w:rPr>
        <w:t>Property</w:t>
      </w:r>
      <w:bookmarkStart w:id="2136" w:name="_cp_change_364"/>
      <w:bookmarkEnd w:id="2136"/>
      <w:r>
        <w:rPr>
          <w:rFonts w:ascii="Times New Roman;Times;serif" w:hAnsi="Times New Roman;Times;serif"/>
          <w:color w:val="0000FF"/>
          <w:sz w:val="24"/>
          <w:u w:val="single"/>
        </w:rPr>
        <w:t>Properties or other assets</w:t>
      </w:r>
      <w:r>
        <w:rPr>
          <w:rFonts w:ascii="Times New Roman;Times;serif" w:hAnsi="Times New Roman;Times;serif"/>
          <w:sz w:val="24"/>
        </w:rPr>
        <w:t>,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pStyle w:val="TextBody"/>
        <w:bidi w:val="0"/>
        <w:spacing w:before="0" w:after="240"/>
        <w:ind w:left="0" w:right="0" w:hanging="0"/>
        <w:jc w:val="both"/>
        <w:rPr/>
      </w:pPr>
      <w:r>
        <w:rPr/>
        <w:t>●</w:t>
      </w:r>
      <w:bookmarkStart w:id="2137" w:name="_Toc184891518"/>
      <w:bookmarkEnd w:id="2137"/>
      <w:r>
        <w:rPr>
          <w:rFonts w:ascii="Times New Roman;Times;serif" w:hAnsi="Times New Roman;Times;serif"/>
          <w:sz w:val="24"/>
          <w:u w:val="single"/>
        </w:rPr>
        <w:t>Insurance</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Except where the Tenant of a Property shall maintain insurance pursuant to the terms of its Lease, the Borrower shall insure and keep insured, and shall cause each Subsidiary to insure and keep insured, with good and responsible insurance companies all insurable </w:t>
      </w:r>
      <w:bookmarkStart w:id="2138" w:name="_cp_change_365"/>
      <w:bookmarkEnd w:id="2138"/>
      <w:r>
        <w:rPr>
          <w:rFonts w:ascii="Times New Roman;Times;serif" w:hAnsi="Times New Roman;Times;serif"/>
          <w:color w:val="FF0000"/>
          <w:sz w:val="24"/>
        </w:rPr>
        <w:t>Property</w:t>
      </w:r>
      <w:bookmarkStart w:id="2139" w:name="_cp_change_366"/>
      <w:bookmarkEnd w:id="2139"/>
      <w:r>
        <w:rPr>
          <w:rFonts w:ascii="Times New Roman;Times;serif" w:hAnsi="Times New Roman;Times;serif"/>
          <w:color w:val="0000FF"/>
          <w:sz w:val="24"/>
          <w:u w:val="single"/>
        </w:rPr>
        <w:t>Properties and other assets</w:t>
      </w:r>
      <w:r>
        <w:rPr>
          <w:rFonts w:ascii="Times New Roman;Times;serif" w:hAnsi="Times New Roman;Times;serif"/>
          <w:sz w:val="24"/>
        </w:rPr>
        <w:t xml:space="preserve"> owned by it which is of a character usually insured by Persons similarly situated and operating like Properties against loss or damage from such hazards and risks, and in such amounts, as are insured by Persons similarly situated and operating like Properties;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  </w:t>
      </w:r>
    </w:p>
    <w:p>
      <w:pPr>
        <w:pStyle w:val="TextBody"/>
        <w:bidi w:val="0"/>
        <w:spacing w:before="0" w:after="240"/>
        <w:ind w:left="0" w:right="0" w:hanging="0"/>
        <w:jc w:val="both"/>
        <w:rPr/>
      </w:pPr>
      <w:r>
        <w:rPr/>
        <w:t>●</w:t>
      </w:r>
      <w:bookmarkStart w:id="2140" w:name="_Toc184891519"/>
      <w:bookmarkEnd w:id="2140"/>
      <w:r>
        <w:rPr>
          <w:rFonts w:ascii="Times New Roman;Times;serif" w:hAnsi="Times New Roman;Times;serif"/>
          <w:sz w:val="24"/>
          <w:u w:val="single"/>
        </w:rPr>
        <w:t>Financial Reports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The Borrower shall, and shall cause Parent and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w:t>
      </w:r>
    </w:p>
    <w:p>
      <w:pPr>
        <w:pStyle w:val="TextBody"/>
        <w:bidi w:val="0"/>
        <w:spacing w:before="0" w:after="240"/>
        <w:ind w:left="0" w:right="0" w:hanging="0"/>
        <w:jc w:val="both"/>
        <w:rPr/>
      </w:pPr>
      <w:r>
        <w:rPr/>
        <w:t>●</w:t>
      </w:r>
      <w:r>
        <w:rPr>
          <w:rFonts w:ascii="Times New Roman;Times;serif" w:hAnsi="Times New Roman;Times;serif"/>
          <w:sz w:val="24"/>
        </w:rPr>
        <w:t xml:space="preserve">as soon as available, and in any event no later than ninety (90) days after the last day of each fiscal year of Parent, a copy of the consolidated and consolidating balance sheet of Parent and its Subsidiaries as of the last day of the fiscal year then ended and the consolidated and consolidating statements of income, retained earnings, and cash flows of Parent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Parent and reasonably satisfactory to the Administrative Agent, to the effect that the consolidated financial statements have been prepared in accordance with GAAP and present fairly in accordance with GAAP the consolidated financial condition of Parent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w:t>
      </w:r>
    </w:p>
    <w:p>
      <w:pPr>
        <w:pStyle w:val="TextBody"/>
        <w:bidi w:val="0"/>
        <w:spacing w:before="0" w:after="240"/>
        <w:ind w:left="0" w:right="0" w:hanging="0"/>
        <w:jc w:val="both"/>
        <w:rPr/>
      </w:pPr>
      <w:r>
        <w:rPr/>
        <w:t>●</w:t>
      </w:r>
      <w:r>
        <w:rPr>
          <w:rFonts w:ascii="Times New Roman;Times;serif" w:hAnsi="Times New Roman;Times;serif"/>
          <w:sz w:val="24"/>
        </w:rPr>
        <w:t>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pStyle w:val="TextBody"/>
        <w:bidi w:val="0"/>
        <w:spacing w:before="0" w:after="240"/>
        <w:ind w:left="0" w:right="0" w:hanging="0"/>
        <w:jc w:val="both"/>
        <w:rPr/>
      </w:pPr>
      <w:r>
        <w:rPr/>
        <w:t>●</w:t>
      </w:r>
      <w:r>
        <w:rPr>
          <w:rFonts w:ascii="Times New Roman;Times;serif" w:hAnsi="Times New Roman;Times;serif"/>
          <w:sz w:val="24"/>
        </w:rPr>
        <w:t>as soon as available, and in any event no later than forty-five (45) days after the last day of each fiscal quarter of each fiscal year of Parent (or ninety (90) days after the last day of each fiscal year of Parent), a copy of the consolidated and consolidating balance sheet of Parent and its Subsidiaries as of the last day of such fiscal quarter and the consolidated and consolidating statements of income, retained earnings, and cash flows of Parent and its Subsidiaries for the fiscal quarter and for the fiscal year-to-date period then ended, each in reasonable detail showing in comparative form the figures for the corresponding date and period in the previous fiscal year, prepared by Parent in accordance with GAAP (subject to the absence of footnote disclosures and year-end audit adjustments) and certified to by its chief financial officer or another officer of Parent reasonably acceptable to the Administrative Agent;</w:t>
      </w:r>
    </w:p>
    <w:p>
      <w:pPr>
        <w:pStyle w:val="TextBody"/>
        <w:bidi w:val="0"/>
        <w:spacing w:before="0" w:after="240"/>
        <w:ind w:left="0" w:right="0" w:hanging="0"/>
        <w:jc w:val="both"/>
        <w:rPr/>
      </w:pPr>
      <w:r>
        <w:rPr/>
        <w:t>●</w:t>
      </w:r>
      <w:bookmarkStart w:id="2141" w:name="_Ref703408281"/>
      <w:bookmarkEnd w:id="2141"/>
      <w:r>
        <w:rPr>
          <w:rFonts w:ascii="Times New Roman;Times;serif" w:hAnsi="Times New Roman;Times;serif"/>
          <w:sz w:val="24"/>
        </w:rPr>
        <w:t>[Intentionally Omitted];</w:t>
      </w:r>
    </w:p>
    <w:p>
      <w:pPr>
        <w:pStyle w:val="TextBody"/>
        <w:bidi w:val="0"/>
        <w:spacing w:before="0" w:after="240"/>
        <w:ind w:left="0" w:right="0" w:hanging="0"/>
        <w:jc w:val="both"/>
        <w:rPr/>
      </w:pPr>
      <w:r>
        <w:rPr/>
        <w:t>●</w:t>
      </w:r>
      <w:r>
        <w:rPr>
          <w:rFonts w:ascii="Times New Roman;Times;serif" w:hAnsi="Times New Roman;Times;serif"/>
          <w:sz w:val="24"/>
        </w:rPr>
        <w:t>with each of the financial statements delivered pursuant to subsections (a) and (b) above, a Compliance Certificate (“</w:t>
      </w:r>
      <w:r>
        <w:rPr>
          <w:rFonts w:ascii="Times New Roman;Times;serif" w:hAnsi="Times New Roman;Times;serif"/>
          <w:i/>
          <w:sz w:val="24"/>
        </w:rPr>
        <w:t>Compliance Certificate”</w:t>
      </w:r>
      <w:r>
        <w:rPr>
          <w:rFonts w:ascii="Times New Roman;Times;serif" w:hAnsi="Times New Roman;Times;serif"/>
          <w:sz w:val="24"/>
        </w:rPr>
        <w:t xml:space="preserve">) in the form attached hereto as Exhibit E signed by the chief financial officer of Parent or another officer of Parent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 </w:t>
      </w:r>
    </w:p>
    <w:p>
      <w:pPr>
        <w:pStyle w:val="TextBody"/>
        <w:bidi w:val="0"/>
        <w:spacing w:before="0" w:after="240"/>
        <w:ind w:left="0" w:right="0" w:hanging="0"/>
        <w:jc w:val="both"/>
        <w:rPr/>
      </w:pPr>
      <w:r>
        <w:rPr/>
        <w:t>●</w:t>
      </w:r>
      <w:r>
        <w:rPr>
          <w:rFonts w:ascii="Times New Roman;Times;serif" w:hAnsi="Times New Roman;Times;serif"/>
          <w:sz w:val="24"/>
        </w:rPr>
        <w:t>promptly after receipt thereof, any additional written reports, management letters or other detailed information contained in writing concerning significant aspects of Parent’s or any Subsidiary’s operations and financial affairs given to it by its independent public accountants;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promptly after the sending or filing thereof, copies of each financial statement, report, notice or proxy statement sent by Parent or any Subsidiary to its stockholders or other equity holders, and upon written request from the Administrative Agent, copies of each regular, periodic or special report, registration statement or prospectus (including all Form 10-K, Form 10-Q and Form 8-K reports) filed by Parent or any Subsidiary with any securities exchange or the Securities and Exchange Commission or any successor agency;</w:t>
      </w:r>
    </w:p>
    <w:p>
      <w:pPr>
        <w:pStyle w:val="TextBody"/>
        <w:bidi w:val="0"/>
        <w:spacing w:before="0" w:after="240"/>
        <w:ind w:left="0" w:right="0" w:hanging="0"/>
        <w:jc w:val="both"/>
        <w:rPr/>
      </w:pPr>
      <w:r>
        <w:rPr/>
        <w:t>●</w:t>
      </w:r>
      <w:r>
        <w:rPr>
          <w:rFonts w:ascii="Times New Roman;Times;serif" w:hAnsi="Times New Roman;Times;serif"/>
          <w:sz w:val="24"/>
        </w:rPr>
        <w:t>promptly after receipt thereof, a copy of each audit made by any regulatory agency of the books and records of Parent or any Subsidiary or of notice of any material noncompliance with any applicable law, regulation or guideline relating to Parent or any Subsidiary, or their respective businesses;  </w:t>
      </w:r>
    </w:p>
    <w:p>
      <w:pPr>
        <w:pStyle w:val="TextBody"/>
        <w:bidi w:val="0"/>
        <w:spacing w:before="0" w:after="240"/>
        <w:ind w:left="0" w:right="0" w:hanging="0"/>
        <w:jc w:val="both"/>
        <w:rPr/>
      </w:pPr>
      <w:r>
        <w:rPr/>
        <w:t>●</w:t>
      </w:r>
      <w:r>
        <w:rPr>
          <w:rFonts w:ascii="Times New Roman;Times;serif" w:hAnsi="Times New Roman;Times;serif"/>
          <w:sz w:val="24"/>
        </w:rPr>
        <w:t>[Intentionally Omitted];</w:t>
      </w:r>
    </w:p>
    <w:p>
      <w:pPr>
        <w:pStyle w:val="TextBody"/>
        <w:bidi w:val="0"/>
        <w:spacing w:before="0" w:after="240"/>
        <w:ind w:left="0" w:right="0" w:hanging="0"/>
        <w:jc w:val="both"/>
        <w:rPr/>
      </w:pPr>
      <w:r>
        <w:rPr/>
        <w:t>●</w:t>
      </w:r>
      <w:r>
        <w:rPr>
          <w:rFonts w:ascii="Times New Roman;Times;serif" w:hAnsi="Times New Roman;Times;serif"/>
          <w:sz w:val="24"/>
        </w:rPr>
        <w:t>notice of any Change of Control;</w:t>
      </w:r>
    </w:p>
    <w:p>
      <w:pPr>
        <w:pStyle w:val="TextBody"/>
        <w:bidi w:val="0"/>
        <w:spacing w:before="0" w:after="240"/>
        <w:ind w:left="0" w:right="0" w:hanging="0"/>
        <w:jc w:val="both"/>
        <w:rPr/>
      </w:pPr>
      <w:r>
        <w:rPr/>
        <w:t>●</w:t>
      </w:r>
      <w:r>
        <w:rPr>
          <w:rFonts w:ascii="Times New Roman;Times;serif" w:hAnsi="Times New Roman;Times;serif"/>
          <w:sz w:val="24"/>
        </w:rPr>
        <w:t xml:space="preserve">promptly after knowledge thereof shall have come to the attention of any Responsible Officer of Parent, written notice of (i) any threatened (in writing) or pending litigation or governmental or arbitration proceeding or labor controversy against Parent or any Subsidiary or any of their Property </w:t>
      </w:r>
      <w:bookmarkStart w:id="2142" w:name="_cp_change_367"/>
      <w:bookmarkEnd w:id="2142"/>
      <w:r>
        <w:rPr>
          <w:rFonts w:ascii="Times New Roman;Times;serif" w:hAnsi="Times New Roman;Times;serif"/>
          <w:color w:val="0000FF"/>
          <w:sz w:val="24"/>
          <w:u w:val="single"/>
        </w:rPr>
        <w:t xml:space="preserve">or other assets </w:t>
      </w:r>
      <w:r>
        <w:rPr>
          <w:rFonts w:ascii="Times New Roman;Times;serif" w:hAnsi="Times New Roman;Times;serif"/>
          <w:sz w:val="24"/>
        </w:rPr>
        <w:t>which could reasonably be expected to have a Material Adverse Effect, (ii) 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of such certification;</w:t>
      </w:r>
    </w:p>
    <w:p>
      <w:pPr>
        <w:pStyle w:val="TextBody"/>
        <w:bidi w:val="0"/>
        <w:spacing w:before="0" w:after="240"/>
        <w:ind w:left="0" w:right="0" w:hanging="0"/>
        <w:jc w:val="both"/>
        <w:rPr/>
      </w:pPr>
      <w:r>
        <w:rPr/>
        <w:t>●</w:t>
      </w:r>
      <w:r>
        <w:rPr>
          <w:rFonts w:ascii="Times New Roman;Times;serif" w:hAnsi="Times New Roman;Times;serif"/>
          <w:sz w:val="24"/>
        </w:rPr>
        <w:t>within forty-five (45) days of the end of each of the first three (3) fiscal quarters and within 90 days after the close of the last fiscal quarter of the year (i) a list of all newly formed or acquired Subsidiaries during such quarter (such list shall contain the information relative to such new Subsidiaries as set forth in Schedule 6.2 hereto); and (ii)  a copy of any notice of a material default by the Borrower or any Guarantor from any ground lessor during such quarter;</w:t>
      </w:r>
    </w:p>
    <w:p>
      <w:pPr>
        <w:pStyle w:val="TextBody"/>
        <w:bidi w:val="0"/>
        <w:spacing w:before="0" w:after="240"/>
        <w:ind w:left="0" w:right="0" w:hanging="0"/>
        <w:jc w:val="both"/>
        <w:rPr/>
      </w:pPr>
      <w:r>
        <w:rPr/>
        <w:t>●</w:t>
      </w:r>
      <w:r>
        <w:rPr>
          <w:rFonts w:ascii="Times New Roman;Times;serif" w:hAnsi="Times New Roman;Times;serif"/>
          <w:sz w:val="24"/>
        </w:rPr>
        <w:t xml:space="preserve">promptly after knowledge thereof shall have come to the attention of any Responsible Officer of Parent, written notice to </w:t>
      </w:r>
      <w:bookmarkStart w:id="2143" w:name="_cp_change_368"/>
      <w:bookmarkEnd w:id="2143"/>
      <w:r>
        <w:rPr>
          <w:rFonts w:ascii="Times New Roman;Times;serif" w:hAnsi="Times New Roman;Times;serif"/>
          <w:color w:val="FF0000"/>
          <w:sz w:val="24"/>
        </w:rPr>
        <w:t>each Lender if</w:t>
      </w:r>
      <w:bookmarkStart w:id="2144" w:name="_cp_change_369"/>
      <w:bookmarkEnd w:id="2144"/>
      <w:r>
        <w:rPr>
          <w:rFonts w:ascii="Times New Roman;Times;serif" w:hAnsi="Times New Roman;Times;serif"/>
          <w:color w:val="0000FF"/>
          <w:sz w:val="24"/>
          <w:u w:val="single"/>
        </w:rPr>
        <w:t>the Administrative Agent if (i)</w:t>
      </w:r>
      <w:r>
        <w:rPr>
          <w:rFonts w:ascii="Times New Roman;Times;serif" w:hAnsi="Times New Roman;Times;serif"/>
          <w:sz w:val="24"/>
        </w:rPr>
        <w:t xml:space="preserve"> amounts payable under a Lease of any Eligible Property or portion thereof included in the Unencumbered Asset Value is more than sixty (60) days past due</w:t>
      </w:r>
      <w:bookmarkStart w:id="2145" w:name="_cp_change_370"/>
      <w:bookmarkEnd w:id="2145"/>
      <w:r>
        <w:rPr>
          <w:rFonts w:ascii="Times New Roman;Times;serif" w:hAnsi="Times New Roman;Times;serif"/>
          <w:color w:val="0000FF"/>
          <w:sz w:val="24"/>
          <w:u w:val="single"/>
        </w:rPr>
        <w:t>, (ii) amounts payable under an Unencumbered Mortgage Receivable is more than sixty (60) days past due, or (iii) any Unencumbered Asset fails to qualify as an Eligible Asset</w:t>
      </w:r>
      <w:r>
        <w:rPr>
          <w:rFonts w:ascii="Times New Roman;Times;serif" w:hAnsi="Times New Roman;Times;serif"/>
          <w:sz w:val="24"/>
        </w:rPr>
        <w:t>; and</w:t>
      </w:r>
    </w:p>
    <w:p>
      <w:pPr>
        <w:pStyle w:val="TextBody"/>
        <w:bidi w:val="0"/>
        <w:ind w:left="0" w:right="0" w:hanging="0"/>
        <w:jc w:val="both"/>
        <w:rPr/>
      </w:pPr>
      <w:r>
        <w:rPr/>
        <w:t>●</w:t>
      </w:r>
      <w:r>
        <w:rPr>
          <w:rFonts w:ascii="Times New Roman;Times;serif" w:hAnsi="Times New Roman;Times;serif"/>
          <w:sz w:val="24"/>
        </w:rPr>
        <w:t>promptly after the request of any Lender, any other information or report reasonably requested by a Lender.</w:t>
      </w:r>
    </w:p>
    <w:p>
      <w:pPr>
        <w:pStyle w:val="TextBody"/>
        <w:bidi w:val="0"/>
        <w:spacing w:before="0" w:after="240"/>
        <w:ind w:left="0" w:right="0" w:firstLine="720"/>
        <w:jc w:val="both"/>
        <w:rPr>
          <w:rFonts w:ascii="Times New Roman;Times;serif" w:hAnsi="Times New Roman;Times;serif"/>
          <w:sz w:val="24"/>
        </w:rPr>
      </w:pPr>
      <w:r>
        <w:rPr>
          <w:rFonts w:ascii="Times" w:hAnsi="Times"/>
          <w:i/>
          <w:sz w:val="24"/>
        </w:rPr>
        <w:t>provided, however</w:t>
      </w:r>
      <w:r>
        <w:rPr>
          <w:rFonts w:ascii="Times" w:hAnsi="Times"/>
          <w:sz w:val="24"/>
        </w:rPr>
        <w:t>, to the extent such items set forth above are filed with the Securities and Exchange Commission or otherwise are publicly available, the Borrower shall be deemed to have satisfied this covenant once it provides notice to the Administrative Agent of such availability.</w:t>
      </w:r>
    </w:p>
    <w:p>
      <w:pPr>
        <w:pStyle w:val="TextBody"/>
        <w:bidi w:val="0"/>
        <w:spacing w:before="0" w:after="240"/>
        <w:ind w:left="0" w:right="0" w:hanging="0"/>
        <w:jc w:val="both"/>
        <w:rPr/>
      </w:pPr>
      <w:r>
        <w:rPr/>
        <w:t>●</w:t>
      </w:r>
      <w:bookmarkStart w:id="2146" w:name="_Toc184891520"/>
      <w:bookmarkEnd w:id="2146"/>
      <w:r>
        <w:rPr>
          <w:rFonts w:ascii="Times New Roman;Times;serif" w:hAnsi="Times New Roman;Times;serif"/>
          <w:sz w:val="24"/>
          <w:u w:val="single"/>
        </w:rPr>
        <w:t>Inspection</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The Borrower shall, and shall cause Parent and each Subsidiary to, permit the Administrative Agent, each Lender and each of their duly authorized representatives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sz w:val="24"/>
        </w:rPr>
      </w:pPr>
      <w:r>
        <w:rPr>
          <w:rFonts w:ascii="Times New Roman;Times;serif" w:hAnsi="Times New Roman;Times;serif"/>
          <w:b w:val="false"/>
          <w:i w:val="false"/>
          <w:caps w:val="false"/>
          <w:smallCaps w:val="false"/>
          <w:sz w:val="24"/>
        </w:rPr>
        <w:t xml:space="preserve">and agents during normal business hours to visit and inspect any of its </w:t>
      </w:r>
      <w:bookmarkStart w:id="2147" w:name="_cp_change_371"/>
      <w:bookmarkEnd w:id="2147"/>
      <w:r>
        <w:rPr>
          <w:rFonts w:ascii="Times New Roman;Times;serif" w:hAnsi="Times New Roman;Times;serif"/>
          <w:b w:val="false"/>
          <w:i w:val="false"/>
          <w:caps w:val="false"/>
          <w:smallCaps w:val="false"/>
          <w:color w:val="FF0000"/>
          <w:sz w:val="24"/>
        </w:rPr>
        <w:t>Property</w:t>
      </w:r>
      <w:bookmarkStart w:id="2148" w:name="_cp_change_372"/>
      <w:bookmarkEnd w:id="2148"/>
      <w:r>
        <w:rPr>
          <w:rFonts w:ascii="Times New Roman;Times;serif" w:hAnsi="Times New Roman;Times;serif"/>
          <w:b w:val="false"/>
          <w:i w:val="false"/>
          <w:caps w:val="false"/>
          <w:smallCaps w:val="false"/>
          <w:color w:val="0000FF"/>
          <w:sz w:val="24"/>
          <w:u w:val="single"/>
        </w:rPr>
        <w:t>Properties</w:t>
      </w:r>
      <w:r>
        <w:rPr>
          <w:rFonts w:ascii="Times New Roman;Times;serif" w:hAnsi="Times New Roman;Times;serif"/>
          <w:b w:val="false"/>
          <w:i w:val="false"/>
          <w:caps w:val="false"/>
          <w:smallCaps w:val="false"/>
          <w:sz w:val="24"/>
        </w:rPr>
        <w:t>,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Parent hereby authorizes such accountants with Parent present to discuss with the Administrative Agent and such Lenders the finances and affairs of the Parent and its Subsidiaries) at such reasonable times and intervals as the Administrative Agent or any such Lender may designate and, so long as no Default or Event of Default exists, with reasonable prior notice to Parent.  The Administrative Agent, and Lenders shall use reasonable efforts to coordinate inspections undertaken in accordance with this Section 8.6 to reduce the administrative burden of such inspections on the Parent and their Subsidiaries.</w:t>
      </w:r>
    </w:p>
    <w:p>
      <w:pPr>
        <w:pStyle w:val="TextBody"/>
        <w:bidi w:val="0"/>
        <w:spacing w:before="0" w:after="240"/>
        <w:ind w:left="0" w:right="0" w:hanging="0"/>
        <w:jc w:val="both"/>
        <w:rPr/>
      </w:pPr>
      <w:r>
        <w:rPr/>
        <w:t>●</w:t>
      </w:r>
      <w:bookmarkStart w:id="2149" w:name="_Toc184891521"/>
      <w:bookmarkEnd w:id="2149"/>
      <w:r>
        <w:rPr>
          <w:rFonts w:ascii="Times New Roman;Times;serif" w:hAnsi="Times New Roman;Times;serif"/>
          <w:sz w:val="24"/>
          <w:u w:val="single"/>
        </w:rPr>
        <w:t>Liens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The Borrower shall not, nor shall it permit any Subsidiary to, create, incur or permit to exist any Lien of any kind on any Property </w:t>
      </w:r>
      <w:bookmarkStart w:id="2150" w:name="_cp_change_373"/>
      <w:bookmarkEnd w:id="2150"/>
      <w:r>
        <w:rPr>
          <w:rFonts w:ascii="Times New Roman;Times;serif" w:hAnsi="Times New Roman;Times;serif"/>
          <w:color w:val="0000FF"/>
          <w:sz w:val="24"/>
          <w:u w:val="single"/>
        </w:rPr>
        <w:t xml:space="preserve">or other assets </w:t>
      </w:r>
      <w:r>
        <w:rPr>
          <w:rFonts w:ascii="Times New Roman;Times;serif" w:hAnsi="Times New Roman;Times;serif"/>
          <w:sz w:val="24"/>
        </w:rPr>
        <w:t xml:space="preserve">owned by any such Person; </w:t>
      </w:r>
      <w:r>
        <w:rPr>
          <w:rFonts w:ascii="Times New Roman;Times;serif" w:hAnsi="Times New Roman;Times;serif"/>
          <w:i/>
          <w:sz w:val="24"/>
        </w:rPr>
        <w:t>provided, however,</w:t>
      </w:r>
      <w:r>
        <w:rPr>
          <w:rFonts w:ascii="Times New Roman;Times;serif" w:hAnsi="Times New Roman;Times;serif"/>
          <w:sz w:val="24"/>
        </w:rPr>
        <w:t xml:space="preserve"> that the foregoing shall not apply to nor operate to prevent any Permitted Liens.</w:t>
      </w:r>
    </w:p>
    <w:p>
      <w:pPr>
        <w:pStyle w:val="TextBody"/>
        <w:bidi w:val="0"/>
        <w:spacing w:before="0" w:after="240"/>
        <w:ind w:left="0" w:right="0" w:hanging="0"/>
        <w:jc w:val="both"/>
        <w:rPr/>
      </w:pPr>
      <w:r>
        <w:rPr/>
        <w:t>●</w:t>
      </w:r>
      <w:bookmarkStart w:id="2151" w:name="_Toc184891522"/>
      <w:bookmarkStart w:id="2152" w:name="_Toc115162571"/>
      <w:bookmarkEnd w:id="2151"/>
      <w:bookmarkEnd w:id="2152"/>
      <w:r>
        <w:rPr>
          <w:rFonts w:ascii="Times New Roman;Times;serif" w:hAnsi="Times New Roman;Times;serif"/>
          <w:sz w:val="24"/>
          <w:u w:val="single"/>
        </w:rPr>
        <w:t>Investments, Acquisitions, Loans and Advances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The Borrower shall not, nor shall it permit any Subsidiary to (i) directly or indirectly, make, retain or have outstanding any of the following any investments (whether through the purchase of stock or obligations or otherwise) in any Person, </w:t>
      </w:r>
      <w:bookmarkStart w:id="2153" w:name="_cp_change_374"/>
      <w:bookmarkEnd w:id="2153"/>
      <w:r>
        <w:rPr>
          <w:rFonts w:ascii="Times New Roman;Times;serif" w:hAnsi="Times New Roman;Times;serif"/>
          <w:color w:val="FF0000"/>
          <w:sz w:val="24"/>
        </w:rPr>
        <w:t>real property</w:t>
      </w:r>
      <w:bookmarkStart w:id="2154" w:name="_cp_change_375"/>
      <w:bookmarkEnd w:id="2154"/>
      <w:r>
        <w:rPr>
          <w:rFonts w:ascii="Times New Roman;Times;serif" w:hAnsi="Times New Roman;Times;serif"/>
          <w:color w:val="0000FF"/>
          <w:sz w:val="24"/>
          <w:u w:val="single"/>
        </w:rPr>
        <w:t>Property</w:t>
      </w:r>
      <w:r>
        <w:rPr>
          <w:rFonts w:ascii="Times New Roman;Times;serif" w:hAnsi="Times New Roman;Times;serif"/>
          <w:sz w:val="24"/>
        </w:rPr>
        <w:t xml:space="preserve"> or improvements on </w:t>
      </w:r>
      <w:bookmarkStart w:id="2155" w:name="_cp_change_376"/>
      <w:bookmarkEnd w:id="2155"/>
      <w:r>
        <w:rPr>
          <w:rFonts w:ascii="Times New Roman;Times;serif" w:hAnsi="Times New Roman;Times;serif"/>
          <w:color w:val="FF0000"/>
          <w:sz w:val="24"/>
        </w:rPr>
        <w:t>real property</w:t>
      </w:r>
      <w:bookmarkStart w:id="2156" w:name="_cp_change_377"/>
      <w:bookmarkEnd w:id="2156"/>
      <w:r>
        <w:rPr>
          <w:rFonts w:ascii="Times New Roman;Times;serif" w:hAnsi="Times New Roman;Times;serif"/>
          <w:color w:val="0000FF"/>
          <w:sz w:val="24"/>
          <w:u w:val="single"/>
        </w:rPr>
        <w:t>Property</w:t>
      </w:r>
      <w:r>
        <w:rPr>
          <w:rFonts w:ascii="Times New Roman;Times;serif" w:hAnsi="Times New Roman;Times;serif"/>
          <w:sz w:val="24"/>
        </w:rPr>
        <w:t xml:space="preserve">, or any loans, advances, lines of credit, mortgage loans or other financings (including pursuant to sale/leaseback transactions) to any other Person, or (ii) acquire any </w:t>
      </w:r>
      <w:bookmarkStart w:id="2157" w:name="_cp_change_378"/>
      <w:bookmarkEnd w:id="2157"/>
      <w:r>
        <w:rPr>
          <w:rFonts w:ascii="Times New Roman;Times;serif" w:hAnsi="Times New Roman;Times;serif"/>
          <w:color w:val="FF0000"/>
          <w:sz w:val="24"/>
        </w:rPr>
        <w:t>real property</w:t>
      </w:r>
      <w:bookmarkStart w:id="2158" w:name="_cp_change_379"/>
      <w:bookmarkEnd w:id="2158"/>
      <w:r>
        <w:rPr>
          <w:rFonts w:ascii="Times New Roman;Times;serif" w:hAnsi="Times New Roman;Times;serif"/>
          <w:color w:val="0000FF"/>
          <w:sz w:val="24"/>
          <w:u w:val="single"/>
        </w:rPr>
        <w:t>Property</w:t>
      </w:r>
      <w:r>
        <w:rPr>
          <w:rFonts w:ascii="Times New Roman;Times;serif" w:hAnsi="Times New Roman;Times;serif"/>
          <w:sz w:val="24"/>
        </w:rPr>
        <w:t xml:space="preserve">, improvements on </w:t>
      </w:r>
      <w:bookmarkStart w:id="2159" w:name="_cp_change_380"/>
      <w:bookmarkEnd w:id="2159"/>
      <w:r>
        <w:rPr>
          <w:rFonts w:ascii="Times New Roman;Times;serif" w:hAnsi="Times New Roman;Times;serif"/>
          <w:color w:val="FF0000"/>
          <w:sz w:val="24"/>
        </w:rPr>
        <w:t>real property</w:t>
      </w:r>
      <w:bookmarkStart w:id="2160" w:name="_cp_change_381"/>
      <w:bookmarkEnd w:id="2160"/>
      <w:r>
        <w:rPr>
          <w:rFonts w:ascii="Times New Roman;Times;serif" w:hAnsi="Times New Roman;Times;serif"/>
          <w:color w:val="0000FF"/>
          <w:sz w:val="24"/>
          <w:u w:val="single"/>
        </w:rPr>
        <w:t>Property</w:t>
      </w:r>
      <w:r>
        <w:rPr>
          <w:rFonts w:ascii="Times New Roman;Times;serif" w:hAnsi="Times New Roman;Times;serif"/>
          <w:sz w:val="24"/>
        </w:rPr>
        <w:t xml:space="preserve"> or all or any substantial part of the assets or business of any other Person or division thereof; </w:t>
      </w:r>
      <w:r>
        <w:rPr>
          <w:rFonts w:ascii="Times New Roman;Times;serif" w:hAnsi="Times New Roman;Times;serif"/>
          <w:i/>
          <w:sz w:val="24"/>
        </w:rPr>
        <w:t>provided, however,</w:t>
      </w:r>
      <w:r>
        <w:rPr>
          <w:rFonts w:ascii="Times New Roman;Times;serif" w:hAnsi="Times New Roman;Times;serif"/>
          <w:sz w:val="24"/>
        </w:rPr>
        <w:t xml:space="preserve"> that the foregoing shall not apply to nor operate to prevent, with respect to the Borrower or any Subsidiary, any of the following:</w:t>
      </w:r>
    </w:p>
    <w:p>
      <w:pPr>
        <w:pStyle w:val="TextBody"/>
        <w:bidi w:val="0"/>
        <w:spacing w:before="0" w:after="240"/>
        <w:ind w:left="0" w:right="0" w:hanging="0"/>
        <w:jc w:val="both"/>
        <w:rPr/>
      </w:pPr>
      <w:r>
        <w:rPr/>
        <w:t>●</w:t>
      </w:r>
      <w:r>
        <w:rPr>
          <w:rFonts w:ascii="Times New Roman;Times;serif" w:hAnsi="Times New Roman;Times;serif"/>
          <w:sz w:val="24"/>
        </w:rPr>
        <w:t>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pStyle w:val="TextBody"/>
        <w:bidi w:val="0"/>
        <w:spacing w:before="0" w:after="240"/>
        <w:ind w:left="0" w:right="0" w:hanging="0"/>
        <w:jc w:val="both"/>
        <w:rPr/>
      </w:pPr>
      <w:r>
        <w:rPr/>
        <w:t>●</w:t>
      </w:r>
      <w:r>
        <w:rPr>
          <w:rFonts w:ascii="Times New Roman;Times;serif" w:hAnsi="Times New Roman;Times;serif"/>
          <w:sz w:val="24"/>
        </w:rPr>
        <w:t>investments in commercial paper with a Rating of at least P-1 by Moody’s and at least A-1 by S&amp;P maturing within one (1) year of the date of issuance thereof;</w:t>
      </w:r>
    </w:p>
    <w:p>
      <w:pPr>
        <w:pStyle w:val="TextBody"/>
        <w:bidi w:val="0"/>
        <w:spacing w:before="0" w:after="240"/>
        <w:ind w:left="0" w:right="0" w:hanging="0"/>
        <w:jc w:val="both"/>
        <w:rPr/>
      </w:pPr>
      <w:r>
        <w:rPr/>
        <w:t>●</w:t>
      </w:r>
      <w:r>
        <w:rPr>
          <w:rFonts w:ascii="Times New Roman;Times;serif" w:hAnsi="Times New Roman;Times;serif"/>
          <w:sz w:val="24"/>
        </w:rPr>
        <w:t>interest bearing assets or investments in certificates of deposit issued by any Lender or by any United States commercial bank having capital and surplus of not less than $100,000,000 which have a maturity of one (1) year or less;</w:t>
      </w:r>
    </w:p>
    <w:p>
      <w:pPr>
        <w:pStyle w:val="TextBody"/>
        <w:bidi w:val="0"/>
        <w:spacing w:before="0" w:after="240"/>
        <w:ind w:left="0" w:right="0" w:hanging="0"/>
        <w:jc w:val="both"/>
        <w:rPr/>
      </w:pPr>
      <w:r>
        <w:rPr/>
        <w:t>●</w:t>
      </w:r>
      <w:r>
        <w:rPr>
          <w:rFonts w:ascii="Times New Roman;Times;serif" w:hAnsi="Times New Roman;Times;serif"/>
          <w:sz w:val="24"/>
        </w:rPr>
        <w:t>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investments in money market funds that invest solely, and which are restricted by their respective charters to invest solely, in investments of the type described in the immediately preceding subsections (a), (b), (c), and (d) above;</w:t>
      </w:r>
    </w:p>
    <w:p>
      <w:pPr>
        <w:pStyle w:val="TextBody"/>
        <w:bidi w:val="0"/>
        <w:spacing w:before="0" w:after="240"/>
        <w:ind w:left="0" w:right="0" w:hanging="0"/>
        <w:jc w:val="both"/>
        <w:rPr/>
      </w:pPr>
      <w:r>
        <w:rPr/>
        <w:t>●</w:t>
      </w:r>
      <w:r>
        <w:rPr>
          <w:rFonts w:ascii="Times New Roman;Times;serif" w:hAnsi="Times New Roman;Times;serif"/>
          <w:sz w:val="24"/>
        </w:rPr>
        <w:t>the Borrower’s investments from time to time in its Subsidiaries, and investments made from time to time by a Subsidiary in one or more of its Subsidiaries;</w:t>
      </w:r>
    </w:p>
    <w:p>
      <w:pPr>
        <w:pStyle w:val="TextBody"/>
        <w:bidi w:val="0"/>
        <w:spacing w:before="0" w:after="240"/>
        <w:ind w:left="0" w:right="0" w:hanging="0"/>
        <w:jc w:val="both"/>
        <w:rPr/>
      </w:pPr>
      <w:r>
        <w:rPr/>
        <w:t>●</w:t>
      </w:r>
      <w:r>
        <w:rPr>
          <w:rFonts w:ascii="Times New Roman;Times;serif" w:hAnsi="Times New Roman;Times;serif"/>
          <w:sz w:val="24"/>
        </w:rPr>
        <w:t>intercompany advances made from time to time among the Borrower and its Subsidiaries in the ordinary course of business to finance working capital needs;</w:t>
      </w:r>
    </w:p>
    <w:p>
      <w:pPr>
        <w:pStyle w:val="TextBody"/>
        <w:bidi w:val="0"/>
        <w:spacing w:before="0" w:after="240"/>
        <w:ind w:left="0" w:right="0" w:hanging="0"/>
        <w:jc w:val="both"/>
        <w:rPr/>
      </w:pPr>
      <w:r>
        <w:rPr/>
        <w:t>●</w:t>
      </w:r>
      <w:r>
        <w:rPr>
          <w:rFonts w:ascii="Times New Roman;Times;serif" w:hAnsi="Times New Roman;Times;serif"/>
          <w:sz w:val="24"/>
        </w:rPr>
        <w:t>investments from time to time in individual Properties, including Eligible Properties</w:t>
      </w:r>
      <w:bookmarkStart w:id="2161" w:name="_cp_change_382"/>
      <w:bookmarkEnd w:id="2161"/>
      <w:r>
        <w:rPr>
          <w:rFonts w:ascii="Times New Roman;Times;serif" w:hAnsi="Times New Roman;Times;serif"/>
          <w:color w:val="FF0000"/>
          <w:sz w:val="24"/>
        </w:rPr>
        <w:t>, or in</w:t>
      </w:r>
      <w:r>
        <w:rPr>
          <w:rFonts w:ascii="Times New Roman;Times;serif" w:hAnsi="Times New Roman;Times;serif"/>
          <w:sz w:val="24"/>
        </w:rPr>
        <w:t xml:space="preserve"> </w:t>
      </w:r>
      <w:bookmarkStart w:id="2162" w:name="_cp_change_383"/>
      <w:bookmarkEnd w:id="2162"/>
      <w:r>
        <w:rPr>
          <w:rFonts w:ascii="Times New Roman;Times;serif" w:hAnsi="Times New Roman;Times;serif"/>
          <w:color w:val="0000FF"/>
          <w:sz w:val="24"/>
          <w:u w:val="single"/>
        </w:rPr>
        <w:t>and Acceptable Leasehold Interests, Land Assets, and Assets Under Development, or in joint venture or other</w:t>
      </w:r>
      <w:r>
        <w:rPr>
          <w:rFonts w:ascii="Times New Roman;Times;serif" w:hAnsi="Times New Roman;Times;serif"/>
          <w:sz w:val="24"/>
        </w:rPr>
        <w:t xml:space="preserve"> entities which own such individual Properties, including Eligible Properties</w:t>
      </w:r>
      <w:bookmarkStart w:id="2163" w:name="_cp_change_384"/>
      <w:bookmarkEnd w:id="2163"/>
      <w:r>
        <w:rPr>
          <w:rFonts w:ascii="Times New Roman;Times;serif" w:hAnsi="Times New Roman;Times;serif"/>
          <w:color w:val="0000FF"/>
          <w:sz w:val="24"/>
          <w:u w:val="single"/>
        </w:rPr>
        <w:t>, Acceptable Leasehold Interests, Land Assets, and Assets Under Development</w:t>
      </w:r>
      <w:r>
        <w:rPr>
          <w:rFonts w:ascii="Times New Roman;Times;serif" w:hAnsi="Times New Roman;Times;serif"/>
          <w:sz w:val="24"/>
        </w:rPr>
        <w:t>, provided that such investment does not cause a breach of the financial covenants set forth in Section 8.20 hereof;</w:t>
      </w:r>
    </w:p>
    <w:p>
      <w:pPr>
        <w:pStyle w:val="TextBody"/>
        <w:bidi w:val="0"/>
        <w:ind w:left="0" w:right="0" w:hanging="0"/>
        <w:jc w:val="both"/>
        <w:rPr/>
      </w:pPr>
      <w:r>
        <w:rPr/>
        <w:t>●</w:t>
      </w:r>
      <w:bookmarkStart w:id="2164" w:name="_Ref1146763181"/>
      <w:bookmarkEnd w:id="2164"/>
      <w:r>
        <w:rPr>
          <w:rFonts w:ascii="Times New Roman;Times;serif" w:hAnsi="Times New Roman;Times;serif"/>
          <w:sz w:val="24"/>
        </w:rPr>
        <w:t xml:space="preserve">investments in (x) corporate debt issued by any real estate company or real estate investment trust and (y) Stock or Stock Equivalents issued by any real estate company or real estate investment trust, so long as in each case the real estate company or real estate investment trust is listed on the New York Stock Exchange, the NYSE American or The NASDAQ Stock Market (investments described in this clause (y), collectively, “Public Investments”); </w:t>
      </w:r>
      <w:bookmarkStart w:id="2165" w:name="_cp_change_385"/>
      <w:bookmarkEnd w:id="2165"/>
      <w:r>
        <w:rPr>
          <w:rFonts w:ascii="Times New Roman;Times;serif" w:hAnsi="Times New Roman;Times;serif"/>
          <w:color w:val="FF0000"/>
          <w:sz w:val="24"/>
        </w:rPr>
        <w:t>and</w:t>
      </w:r>
    </w:p>
    <w:p>
      <w:pPr>
        <w:pStyle w:val="TextBody"/>
        <w:bidi w:val="0"/>
        <w:spacing w:before="0" w:after="240"/>
        <w:ind w:left="0" w:right="0" w:firstLine="1440"/>
        <w:jc w:val="both"/>
        <w:rPr>
          <w:rFonts w:ascii="Times New Roman;Times;serif" w:hAnsi="Times New Roman;Times;serif"/>
          <w:color w:val="0000FF"/>
          <w:sz w:val="24"/>
          <w:u w:val="single"/>
        </w:rPr>
      </w:pPr>
      <w:bookmarkStart w:id="2166" w:name="_cp_change_388"/>
      <w:bookmarkStart w:id="2167" w:name="_cp_change_386"/>
      <w:bookmarkEnd w:id="2166"/>
      <w:bookmarkEnd w:id="2167"/>
      <w:r>
        <w:rPr>
          <w:rFonts w:ascii="Times New Roman;Times;serif" w:hAnsi="Times New Roman;Times;serif"/>
          <w:color w:val="0000FF"/>
          <w:sz w:val="24"/>
          <w:u w:val="single"/>
        </w:rPr>
        <w:t>investments from time to time in mortgages, deeds of trust, deeds to secure debt or similar instruments that are a lien upon Property, Mortgage Receivables, mezzanine loans, notes receivable, and investments in preferred equity securities; provided that, such investment does not cause a breach of the financial covenants set forth in Section 8.20 hereof; and</w:t>
      </w:r>
      <w:bookmarkStart w:id="2168" w:name="_cp_change_387"/>
      <w:bookmarkEnd w:id="2168"/>
    </w:p>
    <w:p>
      <w:pPr>
        <w:pStyle w:val="TextBody"/>
        <w:bidi w:val="0"/>
        <w:spacing w:before="0" w:after="240"/>
        <w:ind w:left="0" w:right="0" w:firstLine="1440"/>
        <w:jc w:val="both"/>
        <w:rPr>
          <w:rFonts w:ascii="Times New Roman;Times;serif" w:hAnsi="Times New Roman;Times;serif"/>
          <w:sz w:val="24"/>
        </w:rPr>
      </w:pPr>
      <w:bookmarkStart w:id="2169" w:name="_cp_change_390"/>
      <w:bookmarkStart w:id="2170" w:name="_cp_change_391"/>
      <w:bookmarkEnd w:id="2169"/>
      <w:bookmarkEnd w:id="2170"/>
      <w:r>
        <w:rPr>
          <w:rFonts w:ascii="Times New Roman;Times;serif" w:hAnsi="Times New Roman;Times;serif"/>
          <w:color w:val="FF0000"/>
          <w:sz w:val="24"/>
        </w:rPr>
        <w:t xml:space="preserve">(j) </w:t>
      </w:r>
      <w:r>
        <w:rPr>
          <w:rFonts w:ascii="Times New Roman;Times;serif" w:hAnsi="Times New Roman;Times;serif"/>
          <w:sz w:val="24"/>
        </w:rPr>
        <w:t>repurchases (including tender offers (</w:t>
      </w:r>
      <w:r>
        <w:rPr>
          <w:rFonts w:ascii="Times New Roman;Times;serif" w:hAnsi="Times New Roman;Times;serif"/>
          <w:i/>
          <w:sz w:val="24"/>
        </w:rPr>
        <w:t>e.g.</w:t>
      </w:r>
      <w:r>
        <w:rPr>
          <w:rFonts w:ascii="Times New Roman;Times;serif" w:hAnsi="Times New Roman;Times;serif"/>
          <w:sz w:val="24"/>
        </w:rPr>
        <w:t xml:space="preserve"> Dutch or modified Dutch tender offers)) of Parent’s stock in accordance with the provisions of this Agreement. </w:t>
      </w:r>
    </w:p>
    <w:p>
      <w:pPr>
        <w:pStyle w:val="TextBody"/>
        <w:bidi w:val="0"/>
        <w:spacing w:before="0" w:after="240"/>
        <w:ind w:left="0" w:right="0" w:hanging="0"/>
        <w:jc w:val="both"/>
        <w:rPr>
          <w:rFonts w:ascii="Times" w:hAnsi="Times"/>
          <w:sz w:val="24"/>
        </w:rPr>
      </w:pPr>
      <w:r>
        <w:rPr>
          <w:rFonts w:ascii="Times" w:hAnsi="Times"/>
          <w:sz w:val="24"/>
        </w:rPr>
        <w:t>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pStyle w:val="TextBody"/>
        <w:bidi w:val="0"/>
        <w:spacing w:before="0" w:after="240"/>
        <w:ind w:left="0" w:right="0" w:hanging="0"/>
        <w:jc w:val="both"/>
        <w:rPr/>
      </w:pPr>
      <w:r>
        <w:rPr/>
        <w:t>●</w:t>
      </w:r>
      <w:bookmarkStart w:id="2171" w:name="_Toc184891523"/>
      <w:bookmarkEnd w:id="2171"/>
      <w:r>
        <w:rPr>
          <w:rFonts w:ascii="Times New Roman;Times;serif" w:hAnsi="Times New Roman;Times;serif"/>
          <w:sz w:val="24"/>
          <w:u w:val="single"/>
        </w:rPr>
        <w:t>Mergers, Consolidations and Sales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Except with the prior written consent of the Required Lenders (which shall not be unreasonably withheld, conditioned or delayed), the Borrower shall not, nor shall it permit Parent or any Subsidiary to, be a party to any merger or consolidation, or sell, transfer, lease or otherwise dispose of all or substantially all of its Property</w:t>
      </w:r>
      <w:bookmarkStart w:id="2172" w:name="_cp_change_392"/>
      <w:bookmarkEnd w:id="2172"/>
      <w:r>
        <w:rPr>
          <w:rFonts w:ascii="Times New Roman;Times;serif" w:hAnsi="Times New Roman;Times;serif"/>
          <w:color w:val="0000FF"/>
          <w:sz w:val="24"/>
          <w:u w:val="single"/>
        </w:rPr>
        <w:t xml:space="preserve"> or other assets</w:t>
      </w:r>
      <w:r>
        <w:rPr>
          <w:rFonts w:ascii="Times New Roman;Times;serif" w:hAnsi="Times New Roman;Times;serif"/>
          <w:sz w:val="24"/>
        </w:rPr>
        <w:t xml:space="preserve">; </w:t>
      </w:r>
      <w:r>
        <w:rPr>
          <w:rFonts w:ascii="Times New Roman;Times;serif" w:hAnsi="Times New Roman;Times;serif"/>
          <w:i/>
          <w:sz w:val="24"/>
        </w:rPr>
        <w:t>provided, however,</w:t>
      </w:r>
      <w:r>
        <w:rPr>
          <w:rFonts w:ascii="Times New Roman;Times;serif" w:hAnsi="Times New Roman;Times;serif"/>
          <w:sz w:val="24"/>
        </w:rPr>
        <w:t xml:space="preserve"> so long as the Borrower and Subsidiaries are in compliance with all covenants and agreements in this Agreement and no Default or Event of Default then exist, this Section shall not apply to nor operate to prevent:</w:t>
      </w:r>
    </w:p>
    <w:p>
      <w:pPr>
        <w:pStyle w:val="TextBody"/>
        <w:bidi w:val="0"/>
        <w:spacing w:before="0" w:after="240"/>
        <w:ind w:left="0" w:right="0" w:hanging="0"/>
        <w:jc w:val="both"/>
        <w:rPr/>
      </w:pPr>
      <w:r>
        <w:rPr/>
        <w:t>●</w:t>
      </w:r>
      <w:r>
        <w:rPr>
          <w:rFonts w:ascii="Times New Roman;Times;serif" w:hAnsi="Times New Roman;Times;serif"/>
          <w:sz w:val="24"/>
        </w:rPr>
        <w:t xml:space="preserve">the sale, transfer, lease or other disposition of Property </w:t>
      </w:r>
      <w:bookmarkStart w:id="2173" w:name="_cp_change_393"/>
      <w:bookmarkEnd w:id="2173"/>
      <w:r>
        <w:rPr>
          <w:rFonts w:ascii="Times New Roman;Times;serif" w:hAnsi="Times New Roman;Times;serif"/>
          <w:color w:val="0000FF"/>
          <w:sz w:val="24"/>
          <w:u w:val="single"/>
        </w:rPr>
        <w:t xml:space="preserve">and other assets </w:t>
      </w:r>
      <w:r>
        <w:rPr>
          <w:rFonts w:ascii="Times New Roman;Times;serif" w:hAnsi="Times New Roman;Times;serif"/>
          <w:sz w:val="24"/>
        </w:rPr>
        <w:t>of the Borrower and its Subsidiaries to one another in the ordinary course of its business;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 xml:space="preserve">the merger of any Subsidiary with and into the Borrower or any other Subsidiary, </w:t>
      </w:r>
      <w:r>
        <w:rPr>
          <w:rFonts w:ascii="Times New Roman;Times;serif" w:hAnsi="Times New Roman;Times;serif"/>
          <w:i/>
          <w:sz w:val="24"/>
        </w:rPr>
        <w:t>provided</w:t>
      </w:r>
      <w:r>
        <w:rPr>
          <w:rFonts w:ascii="Times New Roman;Times;serif" w:hAnsi="Times New Roman;Times;serif"/>
          <w:sz w:val="24"/>
        </w:rPr>
        <w:t xml:space="preserve"> that, in the case of any merger involving the Borrower, the Borrower is the corporation surviving the merger;</w:t>
      </w:r>
    </w:p>
    <w:p>
      <w:pPr>
        <w:pStyle w:val="TextBody"/>
        <w:bidi w:val="0"/>
        <w:spacing w:before="0" w:after="240"/>
        <w:ind w:left="0" w:right="0" w:hanging="0"/>
        <w:jc w:val="both"/>
        <w:rPr/>
      </w:pPr>
      <w:r>
        <w:rPr/>
        <w:t>●</w:t>
      </w:r>
      <w:r>
        <w:rPr>
          <w:rFonts w:ascii="Times New Roman;Times;serif" w:hAnsi="Times New Roman;Times;serif"/>
          <w:sz w:val="24"/>
        </w:rPr>
        <w:t>the sale, transfer or other disposition of any tangible personal property that, in the reasonable business judgment of the Borrower or its Subsidiary, has become obsolete or worn out, and which is disposed of in the ordinary course of business; and</w:t>
      </w:r>
    </w:p>
    <w:p>
      <w:pPr>
        <w:pStyle w:val="TextBody"/>
        <w:bidi w:val="0"/>
        <w:spacing w:before="0" w:after="240"/>
        <w:ind w:left="0" w:right="0" w:hanging="0"/>
        <w:jc w:val="both"/>
        <w:rPr/>
      </w:pPr>
      <w:r>
        <w:rPr/>
        <w:t>●</w:t>
      </w:r>
      <w:r>
        <w:rPr>
          <w:rFonts w:ascii="Times New Roman;Times;serif" w:hAnsi="Times New Roman;Times;serif"/>
          <w:sz w:val="24"/>
        </w:rPr>
        <w:t>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w:t>
      </w:r>
    </w:p>
    <w:p>
      <w:pPr>
        <w:pStyle w:val="TextBody"/>
        <w:bidi w:val="0"/>
        <w:spacing w:before="0" w:after="240"/>
        <w:ind w:left="0" w:right="0" w:hanging="0"/>
        <w:jc w:val="both"/>
        <w:rPr/>
      </w:pPr>
      <w:r>
        <w:rPr/>
        <w:t>●</w:t>
      </w:r>
      <w:r>
        <w:rPr>
          <w:rFonts w:ascii="Times New Roman;Times;serif" w:hAnsi="Times New Roman;Times;serif"/>
          <w:sz w:val="24"/>
        </w:rPr>
        <w:t>any merger if it results in the simultaneous payoff in immediately available funds of the Obligations; and</w:t>
      </w:r>
    </w:p>
    <w:p>
      <w:pPr>
        <w:pStyle w:val="TextBody"/>
        <w:bidi w:val="0"/>
        <w:spacing w:before="0" w:after="0"/>
        <w:ind w:left="0" w:right="0" w:hanging="0"/>
        <w:jc w:val="both"/>
        <w:rPr/>
      </w:pPr>
      <w:r>
        <w:rPr/>
        <w:t>●</w:t>
      </w:r>
      <w:r>
        <w:rPr>
          <w:rFonts w:ascii="Times New Roman;Times;serif" w:hAnsi="Times New Roman;Times;serif"/>
          <w:sz w:val="24"/>
        </w:rPr>
        <w:t>any merger or consolidation, directly or indirectly, with any other Person so long as (i) Parent, the Borrower and the Subsidiaries, as applicable, shall be the survivor thereof; (ii) the Borrower shall have given the Administrative Agent and the Lenders at least fifteen (15) Business Days’ prior written notice of such consolidation or merger; (iii) immediately prior thereto, and immediately thereafter and after giving effect thereto, no Default or Event of Default has occurred or would result therefrom; and (iv) at the time the Borrower gives notice pursuant to clause (ii) of this subsection, the Borrower shall have delivered to the Administrative Agent for distribution to each of the Lenders a Compliance Certificate, calculated on a pro forma basis based on information then available to the Borrower, evidencing the continued compliance by Parent, the Borrower and the Subsidiaries with the terms and conditions of this Agreement and the other Loan Documents, including, without limitation, the financial covenants contained in Section 8.20, after giving effect to such consolidation or merger.</w:t>
      </w:r>
    </w:p>
    <w:p>
      <w:pPr>
        <w:pStyle w:val="TextBody"/>
        <w:bidi w:val="0"/>
        <w:spacing w:before="0" w:after="240"/>
        <w:ind w:left="0" w:right="0" w:hanging="0"/>
        <w:jc w:val="both"/>
        <w:rPr/>
      </w:pPr>
      <w:r>
        <w:rPr/>
        <w:t>●</w:t>
      </w:r>
      <w:bookmarkStart w:id="2174" w:name="_Toc184891524"/>
      <w:bookmarkEnd w:id="2174"/>
      <w:r>
        <w:rPr>
          <w:rFonts w:ascii="Times New Roman;Times;serif" w:hAnsi="Times New Roman;Times;serif"/>
          <w:sz w:val="24"/>
          <w:u w:val="single"/>
        </w:rPr>
        <w:t>Maintenance of Subsidiaries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The Borrower shall not assign, sell or transfer, nor shall it permit any Material Subsidiary to issue, assign, sell or transfer, any shares of capital stock or other equity interests of a Material Subsidiary; </w:t>
      </w:r>
      <w:r>
        <w:rPr>
          <w:rFonts w:ascii="Times New Roman;Times;serif" w:hAnsi="Times New Roman;Times;serif"/>
          <w:i/>
          <w:sz w:val="24"/>
        </w:rPr>
        <w:t>provided, however,</w:t>
      </w:r>
      <w:r>
        <w:rPr>
          <w:rFonts w:ascii="Times New Roman;Times;serif" w:hAnsi="Times New Roman;Times;serif"/>
          <w:sz w:val="24"/>
        </w:rPr>
        <w:t xml:space="preserve"> 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pStyle w:val="TextBody"/>
        <w:bidi w:val="0"/>
        <w:spacing w:before="0" w:after="240"/>
        <w:ind w:left="0" w:right="0" w:hanging="0"/>
        <w:jc w:val="both"/>
        <w:rPr/>
      </w:pPr>
      <w:r>
        <w:rPr/>
        <w:t>●</w:t>
      </w:r>
      <w:bookmarkStart w:id="2175" w:name="_Toc184891525"/>
      <w:bookmarkEnd w:id="2175"/>
      <w:r>
        <w:rPr>
          <w:rFonts w:ascii="Times New Roman;Times;serif" w:hAnsi="Times New Roman;Times;serif"/>
          <w:sz w:val="24"/>
          <w:u w:val="single"/>
        </w:rPr>
        <w:t>ERISA</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The Borrower shall, and shall cause each Subsidiary to, promptly pay and discharge all obligations and liabilities arising under ERISA in excess of $1,000,000 of a character which if unpaid or unperformed could reasonably be expected to result in the imposition of a Lien against any of its </w:t>
      </w:r>
      <w:bookmarkStart w:id="2176" w:name="_cp_change_394"/>
      <w:bookmarkEnd w:id="2176"/>
      <w:r>
        <w:rPr>
          <w:rFonts w:ascii="Times New Roman;Times;serif" w:hAnsi="Times New Roman;Times;serif"/>
          <w:color w:val="FF0000"/>
          <w:sz w:val="24"/>
        </w:rPr>
        <w:t>Property</w:t>
      </w:r>
      <w:bookmarkStart w:id="2177" w:name="_cp_change_395"/>
      <w:bookmarkEnd w:id="2177"/>
      <w:r>
        <w:rPr>
          <w:rFonts w:ascii="Times New Roman;Times;serif" w:hAnsi="Times New Roman;Times;serif"/>
          <w:color w:val="0000FF"/>
          <w:sz w:val="24"/>
          <w:u w:val="single"/>
        </w:rPr>
        <w:t>Properties or other assets</w:t>
      </w:r>
      <w:r>
        <w:rPr>
          <w:rFonts w:ascii="Times New Roman;Times;serif" w:hAnsi="Times New Roman;Times;serif"/>
          <w:sz w:val="24"/>
        </w:rPr>
        <w:t xml:space="preserve">.  Upon the Borrower or a Subsidiary obtaining knowledge of any of 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pStyle w:val="TextBody"/>
        <w:bidi w:val="0"/>
        <w:spacing w:before="0" w:after="240"/>
        <w:ind w:left="0" w:right="0" w:hanging="0"/>
        <w:jc w:val="both"/>
        <w:rPr/>
      </w:pPr>
      <w:r>
        <w:rPr/>
        <w:t>●</w:t>
      </w:r>
      <w:bookmarkStart w:id="2178" w:name="_Toc184891526"/>
      <w:bookmarkEnd w:id="2178"/>
      <w:r>
        <w:rPr>
          <w:rFonts w:ascii="Times New Roman;Times;serif" w:hAnsi="Times New Roman;Times;serif"/>
          <w:sz w:val="24"/>
          <w:u w:val="single"/>
        </w:rPr>
        <w:t>Compliance with Laws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 xml:space="preserve">The Borrower shall, and shall cause each Subsidiary to, comply in all material respects with the requirements of all federal, state, and local laws, rules, regulations, ordinances and orders applicable to or pertaining to its </w:t>
      </w:r>
      <w:bookmarkStart w:id="2179" w:name="_cp_change_396"/>
      <w:bookmarkEnd w:id="2179"/>
      <w:r>
        <w:rPr>
          <w:rFonts w:ascii="Times New Roman;Times;serif" w:hAnsi="Times New Roman;Times;serif"/>
          <w:color w:val="FF0000"/>
          <w:sz w:val="24"/>
        </w:rPr>
        <w:t>Property</w:t>
      </w:r>
      <w:bookmarkStart w:id="2180" w:name="_cp_change_397"/>
      <w:bookmarkEnd w:id="2180"/>
      <w:r>
        <w:rPr>
          <w:rFonts w:ascii="Times New Roman;Times;serif" w:hAnsi="Times New Roman;Times;serif"/>
          <w:color w:val="0000FF"/>
          <w:sz w:val="24"/>
          <w:u w:val="single"/>
        </w:rPr>
        <w:t>Properties, assets,</w:t>
      </w:r>
      <w:r>
        <w:rPr>
          <w:rFonts w:ascii="Times New Roman;Times;serif" w:hAnsi="Times New Roman;Times;serif"/>
          <w:sz w:val="24"/>
        </w:rPr>
        <w:t xml:space="preserve"> or business operations, where any such non-compliance, individually or in the aggregate, could reasonably be expected to have a Material Adverse Effect.</w:t>
      </w:r>
    </w:p>
    <w:p>
      <w:pPr>
        <w:pStyle w:val="TextBody"/>
        <w:bidi w:val="0"/>
        <w:ind w:left="0" w:right="0" w:hanging="0"/>
        <w:jc w:val="both"/>
        <w:rPr/>
      </w:pPr>
      <w:r>
        <w:rPr/>
        <w:t>●</w:t>
      </w:r>
      <w:r>
        <w:rPr>
          <w:rFonts w:ascii="Times New Roman;Times;serif" w:hAnsi="Times New Roman;Times;serif"/>
          <w:sz w:val="24"/>
        </w:rPr>
        <w:t xml:space="preserve">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required by any governmental authority or Environmental Law, or included in any no further action letter or covenant not to sue issued by any governmental authority under any Environmental Law.</w:t>
      </w:r>
    </w:p>
    <w:p>
      <w:pPr>
        <w:pStyle w:val="TextBody"/>
        <w:bidi w:val="0"/>
        <w:spacing w:before="0" w:after="240"/>
        <w:ind w:left="0" w:right="0" w:hanging="0"/>
        <w:jc w:val="both"/>
        <w:rPr/>
      </w:pPr>
      <w:r>
        <w:rPr/>
        <w:t>●</w:t>
      </w:r>
      <w:bookmarkStart w:id="2181" w:name="_Toc184891527"/>
      <w:bookmarkEnd w:id="2181"/>
      <w:r>
        <w:rPr>
          <w:rFonts w:ascii="Times New Roman;Times;serif" w:hAnsi="Times New Roman;Times;serif"/>
          <w:sz w:val="24"/>
          <w:u w:val="single"/>
        </w:rPr>
        <w:t>Compliance with OFAC Sanctions Programs and Anti-Corruption Laws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pStyle w:val="TextBody"/>
        <w:bidi w:val="0"/>
        <w:spacing w:before="0" w:after="240"/>
        <w:ind w:left="0" w:right="0" w:hanging="0"/>
        <w:jc w:val="both"/>
        <w:rPr/>
      </w:pPr>
      <w:r>
        <w:rPr/>
        <w:t>●</w:t>
      </w:r>
      <w:r>
        <w:rPr>
          <w:rFonts w:ascii="Times New Roman;Times;serif" w:hAnsi="Times New Roman;Times;serif"/>
          <w:sz w:val="24"/>
        </w:rPr>
        <w:t>The Borrower shall provide the Administrative Agent and the Lenders any information regarding the Borrower, its Affiliates, and its Subsidiaries necessary for the Administrative Agent and the Lenders to comply with all applicable OFAC Sanctions Programs; subject however, in the case of Affiliates, to the Borrower’s ability to provide information applicable to them.  </w:t>
      </w:r>
    </w:p>
    <w:p>
      <w:pPr>
        <w:pStyle w:val="TextBody"/>
        <w:bidi w:val="0"/>
        <w:spacing w:before="0" w:after="240"/>
        <w:ind w:left="0" w:right="0" w:hanging="0"/>
        <w:jc w:val="both"/>
        <w:rPr/>
      </w:pPr>
      <w:r>
        <w:rPr/>
        <w:t>●</w:t>
      </w:r>
      <w:r>
        <w:rPr>
          <w:rFonts w:ascii="Times New Roman;Times;serif" w:hAnsi="Times New Roman;Times;serif"/>
          <w:sz w:val="24"/>
        </w:rPr>
        <w:t>If a Responsible Officer of the Borrower obtains actual knowledge or receives any written notice that the Borrower, any Subsidiary of Borrower, or any officer, director or Affiliate of Borrower or any Subsidiary or that any Person that owns or controls any such Person is the target of any OFAC Sanctions Programs or is located, organized or resident in a country or territory that is, or whose government is, the subject of any OFAC Sanctions Programs (such occurrence, an “</w:t>
      </w:r>
      <w:r>
        <w:rPr>
          <w:rFonts w:ascii="Times New Roman;Times;serif" w:hAnsi="Times New Roman;Times;serif"/>
          <w:i/>
          <w:sz w:val="24"/>
        </w:rPr>
        <w:t>OFAC Event”</w:t>
      </w:r>
      <w:r>
        <w:rPr>
          <w:rFonts w:ascii="Times New Roman;Times;serif" w:hAnsi="Times New Roman;Times;serif"/>
          <w:sz w:val="24"/>
        </w:rPr>
        <w: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pStyle w:val="TextBody"/>
        <w:bidi w:val="0"/>
        <w:spacing w:before="0" w:after="240"/>
        <w:ind w:left="0" w:right="0" w:hanging="0"/>
        <w:jc w:val="both"/>
        <w:rPr/>
      </w:pPr>
      <w:r>
        <w:rPr/>
        <w:t>●</w:t>
      </w:r>
      <w:r>
        <w:rPr>
          <w:rFonts w:ascii="Times New Roman;Times;serif" w:hAnsi="Times New Roman;Times;serif"/>
          <w:sz w:val="24"/>
        </w:rPr>
        <w:t>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pStyle w:val="TextBody"/>
        <w:bidi w:val="0"/>
        <w:spacing w:before="0" w:after="240"/>
        <w:ind w:left="0" w:right="0" w:hanging="0"/>
        <w:jc w:val="both"/>
        <w:rPr/>
      </w:pPr>
      <w:r>
        <w:rPr/>
        <w:t>●</w:t>
      </w:r>
      <w:r>
        <w:rPr>
          <w:rFonts w:ascii="Times New Roman;Times;serif" w:hAnsi="Times New Roman;Times;serif"/>
          <w:sz w:val="24"/>
        </w:rPr>
        <w:t>Borrower will not, nor will it permit any Subsidiary to, violate any Anti-Corruption Law in any material respect.</w:t>
      </w:r>
    </w:p>
    <w:p>
      <w:pPr>
        <w:pStyle w:val="TextBody"/>
        <w:bidi w:val="0"/>
        <w:ind w:left="0" w:right="0" w:hanging="0"/>
        <w:jc w:val="both"/>
        <w:rPr/>
      </w:pPr>
      <w:r>
        <w:rPr/>
        <w:t>●</w:t>
      </w:r>
      <w:r>
        <w:rPr>
          <w:rFonts w:ascii="Times New Roman;Times;serif" w:hAnsi="Times New Roman;Times;serif"/>
          <w:sz w:val="24"/>
        </w:rPr>
        <w:t>Borrower and each Subsidiary will maintain in effect policies and procedures designed to ensure compliance by such Persons, their Subsidiaries, and their respective directors, officers, employees, and agents with applicable Anti-Corruption Laws.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2182" w:name="_Toc184891528"/>
      <w:bookmarkEnd w:id="2182"/>
      <w:r>
        <w:rPr>
          <w:rFonts w:ascii="Times New Roman;Times;serif" w:hAnsi="Times New Roman;Times;serif"/>
          <w:sz w:val="24"/>
          <w:u w:val="single"/>
        </w:rPr>
        <w:t>Burdensome Contracts With Affiliates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xml:space="preserve">. </w:t>
      </w:r>
      <w:r>
        <w:rPr>
          <w:rFonts w:ascii="Times New Roman;Times;serif" w:hAnsi="Times New Roman;Times;serif"/>
          <w:sz w:val="24"/>
        </w:rPr>
        <w:t>Except (a) compensation, bonus and benefit arrangements with employees, officers and directors approved by Parent’s board of directors or committee thereof, (b) transactions permitted by Section 8.9 hereof, (c) transactions in the ordinary course of business of the Borrower, Parent or its Subsidiaries or (d) transactions approved by the Parent’s board of directors and reasonably acceptable to the Administrative Agent, the Borrower shall not, nor shall it permit Parent or any Subsidiary to, enter into any contract, agreement or business arrangement with any of its Affiliates on terms and conditions which are less favorable to the Borrower, Parent or such Subsidiary than would be usual and customary in similar contracts, agreements or business arrangements between Persons not affiliated with each other.</w:t>
      </w:r>
    </w:p>
    <w:p>
      <w:pPr>
        <w:pStyle w:val="TextBody"/>
        <w:bidi w:val="0"/>
        <w:spacing w:before="0" w:after="240"/>
        <w:ind w:left="0" w:right="0" w:hanging="0"/>
        <w:jc w:val="both"/>
        <w:rPr/>
      </w:pPr>
      <w:r>
        <w:rPr/>
        <w:t>●</w:t>
      </w:r>
      <w:bookmarkStart w:id="2183" w:name="_Toc184891529"/>
      <w:bookmarkEnd w:id="2183"/>
      <w:r>
        <w:rPr>
          <w:rFonts w:ascii="Times New Roman;Times;serif" w:hAnsi="Times New Roman;Times;serif"/>
          <w:sz w:val="24"/>
          <w:u w:val="single"/>
        </w:rPr>
        <w:t>No Changes in Fiscal Year</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The Fiscal Year of the Parent and its Subsidiaries ends on December 31 of each year; and the Borrower shall not, nor shall it permit Parent or any Subsidiary to, change its Fiscal Year from its present basis.</w:t>
      </w:r>
    </w:p>
    <w:p>
      <w:pPr>
        <w:pStyle w:val="TextBody"/>
        <w:bidi w:val="0"/>
        <w:spacing w:before="0" w:after="240"/>
        <w:ind w:left="0" w:right="0" w:hanging="0"/>
        <w:jc w:val="both"/>
        <w:rPr/>
      </w:pPr>
      <w:r>
        <w:rPr/>
        <w:t>●</w:t>
      </w:r>
      <w:bookmarkStart w:id="2184" w:name="_Toc184891530"/>
      <w:bookmarkEnd w:id="2184"/>
      <w:r>
        <w:rPr>
          <w:rFonts w:ascii="Times New Roman;Times;serif" w:hAnsi="Times New Roman;Times;serif"/>
          <w:sz w:val="24"/>
          <w:u w:val="single"/>
        </w:rPr>
        <w:t>Formation of Subsidiaries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Promptly upon the formation or acquisition of any Material Subsidiary, the Borrower shall provide the Administrative Agent and the Lenders notice thereof and timely comply with the requirements of Sections 4.2 and 8.24 hereof.</w:t>
      </w:r>
    </w:p>
    <w:p>
      <w:pPr>
        <w:pStyle w:val="TextBody"/>
        <w:bidi w:val="0"/>
        <w:spacing w:before="0" w:after="240"/>
        <w:ind w:left="0" w:right="0" w:hanging="0"/>
        <w:jc w:val="both"/>
        <w:rPr/>
      </w:pPr>
      <w:r>
        <w:rPr/>
        <w:t>●</w:t>
      </w:r>
      <w:bookmarkStart w:id="2185" w:name="_Toc184891531"/>
      <w:bookmarkEnd w:id="2185"/>
      <w:r>
        <w:rPr>
          <w:rFonts w:ascii="Times New Roman;Times;serif" w:hAnsi="Times New Roman;Times;serif"/>
          <w:sz w:val="24"/>
          <w:u w:val="single"/>
        </w:rPr>
        <w:t>Change in the Nature of Business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The Borrower shall not, nor shall it permit any Subsidiary to, engage in any business or activity if as a result the general nature of the business of the Borrower or any Subsidiary would be changed in any material respect from the general nature of the business engaged in by it as of the Closing Date.</w:t>
      </w:r>
    </w:p>
    <w:p>
      <w:pPr>
        <w:pStyle w:val="TextBody"/>
        <w:bidi w:val="0"/>
        <w:spacing w:before="0" w:after="240"/>
        <w:ind w:left="0" w:right="0" w:hanging="0"/>
        <w:jc w:val="both"/>
        <w:rPr/>
      </w:pPr>
      <w:r>
        <w:rPr/>
        <w:t>●</w:t>
      </w:r>
      <w:bookmarkStart w:id="2186" w:name="_Toc184891532"/>
      <w:bookmarkEnd w:id="2186"/>
      <w:r>
        <w:rPr>
          <w:rFonts w:ascii="Times New Roman;Times;serif" w:hAnsi="Times New Roman;Times;serif"/>
          <w:sz w:val="24"/>
          <w:u w:val="single"/>
        </w:rPr>
        <w:t>Use of Proceeds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Borrower shall use the credit extended under this Agreement solely for the purposes set forth in, or otherwise permitted by, Section 6.4 hereof.</w:t>
      </w:r>
    </w:p>
    <w:p>
      <w:pPr>
        <w:pStyle w:val="TextBody"/>
        <w:bidi w:val="0"/>
        <w:spacing w:before="0" w:after="240"/>
        <w:ind w:left="0" w:right="0" w:hanging="0"/>
        <w:jc w:val="both"/>
        <w:rPr/>
      </w:pPr>
      <w:r>
        <w:rPr/>
        <w:t>●</w:t>
      </w:r>
      <w:bookmarkStart w:id="2187" w:name="_Toc184891533"/>
      <w:bookmarkEnd w:id="2187"/>
      <w:r>
        <w:rPr>
          <w:rFonts w:ascii="Times New Roman;Times;serif" w:hAnsi="Times New Roman;Times;serif"/>
          <w:sz w:val="24"/>
          <w:u w:val="single"/>
        </w:rPr>
        <w:t>No Restrictions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Except as provided herein,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 (other than limitations on Restricted Payments comparable to those in Section 8.25 in any documentation evidencing any Other Unsecured Indebtedness), (b) pay any indebtedness owed to the Borrower or any other Subsidiary, (c) make loans or advances to the Borrower or any other Subsidiary, (d) transfer any of its </w:t>
      </w:r>
      <w:bookmarkStart w:id="2188" w:name="_cp_change_398"/>
      <w:bookmarkEnd w:id="2188"/>
      <w:r>
        <w:rPr>
          <w:rFonts w:ascii="Times New Roman;Times;serif" w:hAnsi="Times New Roman;Times;serif"/>
          <w:color w:val="FF0000"/>
          <w:sz w:val="24"/>
        </w:rPr>
        <w:t>Property</w:t>
      </w:r>
      <w:bookmarkStart w:id="2189" w:name="_cp_change_399"/>
      <w:bookmarkEnd w:id="2189"/>
      <w:r>
        <w:rPr>
          <w:rFonts w:ascii="Times New Roman;Times;serif" w:hAnsi="Times New Roman;Times;serif"/>
          <w:color w:val="0000FF"/>
          <w:sz w:val="24"/>
          <w:u w:val="single"/>
        </w:rPr>
        <w:t>Properties or other assets</w:t>
      </w:r>
      <w:r>
        <w:rPr>
          <w:rFonts w:ascii="Times New Roman;Times;serif" w:hAnsi="Times New Roman;Times;serif"/>
          <w:sz w:val="24"/>
        </w:rPr>
        <w:t xml:space="preserve"> to the Borrower or any other Subsidiary (other than limitations on transfers comparable to those in Section 8.9 in any documentation evidencing any Other Unsecured Indebtedness)</w:t>
      </w:r>
      <w:r>
        <w:rPr>
          <w:rFonts w:ascii="Times New Roman;Times;serif" w:hAnsi="Times New Roman;Times;serif"/>
          <w:i/>
          <w:sz w:val="24"/>
        </w:rPr>
        <w:t>; provided however, that</w:t>
      </w:r>
      <w:r>
        <w:rPr>
          <w:rFonts w:ascii="Times New Roman;Times;serif" w:hAnsi="Times New Roman;Times;serif"/>
          <w:sz w:val="24"/>
        </w:rPr>
        <w:t xml:space="preserve"> 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pStyle w:val="TextBody"/>
        <w:bidi w:val="0"/>
        <w:spacing w:before="0" w:after="240"/>
        <w:ind w:left="0" w:right="0" w:hanging="0"/>
        <w:jc w:val="both"/>
        <w:rPr/>
      </w:pPr>
      <w:r>
        <w:rPr/>
        <w:t>●</w:t>
      </w:r>
      <w:bookmarkStart w:id="2190" w:name="_Toc184891534"/>
      <w:bookmarkStart w:id="2191" w:name="_Toc115162583"/>
      <w:bookmarkEnd w:id="2190"/>
      <w:bookmarkEnd w:id="2191"/>
      <w:r>
        <w:rPr>
          <w:rFonts w:ascii="Times New Roman;Times;serif" w:hAnsi="Times New Roman;Times;serif"/>
          <w:sz w:val="24"/>
          <w:u w:val="single"/>
        </w:rPr>
        <w:t>Financial Covenants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u w:val="single"/>
        </w:rPr>
        <w:t>Maximum Total Indebtedness to Total Asset Value Ratio</w:t>
      </w:r>
      <w:r>
        <w:rPr>
          <w:rFonts w:ascii="Times New Roman;Times;serif" w:hAnsi="Times New Roman;Times;serif"/>
          <w:sz w:val="24"/>
        </w:rPr>
        <w:t xml:space="preserve">.  As of the last day of each Fiscal Quarter of the Borrower, the Borrower shall not permit the ratio of Total Indebtedness to Total Asset Value to be greater than 0.60 to 1.00; </w:t>
      </w:r>
      <w:r>
        <w:rPr>
          <w:rFonts w:ascii="Times New Roman;Times;serif" w:hAnsi="Times New Roman;Times;serif"/>
          <w:sz w:val="24"/>
          <w:u w:val="single"/>
        </w:rPr>
        <w:t>provided</w:t>
      </w:r>
      <w:r>
        <w:rPr>
          <w:rFonts w:ascii="Times New Roman;Times;serif" w:hAnsi="Times New Roman;Times;serif"/>
          <w:sz w:val="24"/>
        </w:rPr>
        <w:t xml:space="preserve">, that such ratio may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increase to up to 0.65 to 1.00 in connection with a Material Acquisition so long as (a) the Borrower completed a Material Acquisition during the quarter in which such ratio first exceeded 0.60 to 1.00, (b) such ratio does not exceed 0.60 to 1.00 for a period of more than three (3) fiscal quarters immediately following the fiscal quarter in which such Material Acquisition was completed, (c) the Borrower has not maintained compliance with this Section 8.20(a) or Section 8.20(e) in reliance on this proviso more than two times during the term of this Agreement, and (d) such ratio is not greater than 0.65 to 1.00 at any time.</w:t>
      </w:r>
    </w:p>
    <w:p>
      <w:pPr>
        <w:pStyle w:val="TextBody"/>
        <w:bidi w:val="0"/>
        <w:spacing w:before="0" w:after="240"/>
        <w:ind w:left="0" w:right="0" w:hanging="0"/>
        <w:jc w:val="both"/>
        <w:rPr/>
      </w:pPr>
      <w:r>
        <w:rPr/>
        <w:t>●</w:t>
      </w:r>
      <w:r>
        <w:rPr>
          <w:rFonts w:ascii="Times New Roman;Times;serif" w:hAnsi="Times New Roman;Times;serif"/>
          <w:sz w:val="24"/>
          <w:u w:val="single"/>
        </w:rPr>
        <w:t>Maximum Secured Indebtedness to Total Asset Value Ratio</w:t>
      </w:r>
      <w:r>
        <w:rPr>
          <w:rFonts w:ascii="Times New Roman;Times;serif" w:hAnsi="Times New Roman;Times;serif"/>
          <w:sz w:val="24"/>
        </w:rPr>
        <w:t>.  As of the last day of each Fiscal Quarter of the Borrower, the Borrower shall not permit the ratio of Secured Indebtedness to Total Asset Value to be greater than 0.40 to 1.00.</w:t>
      </w:r>
    </w:p>
    <w:p>
      <w:pPr>
        <w:pStyle w:val="TextBody"/>
        <w:bidi w:val="0"/>
        <w:spacing w:before="0" w:after="240"/>
        <w:ind w:left="0" w:right="0" w:hanging="0"/>
        <w:jc w:val="both"/>
        <w:rPr/>
      </w:pPr>
      <w:r>
        <w:rPr/>
        <w:t>●</w:t>
      </w:r>
      <w:r>
        <w:rPr>
          <w:rFonts w:ascii="Times New Roman;Times;serif" w:hAnsi="Times New Roman;Times;serif"/>
          <w:sz w:val="24"/>
          <w:u w:val="single"/>
        </w:rPr>
        <w:t>Minimum EBITDA to Fixed Charges Ratio</w:t>
      </w:r>
      <w:r>
        <w:rPr>
          <w:rFonts w:ascii="Times New Roman;Times;serif" w:hAnsi="Times New Roman;Times;serif"/>
          <w:i/>
          <w:sz w:val="24"/>
        </w:rPr>
        <w:t>.</w:t>
      </w:r>
      <w:r>
        <w:rPr>
          <w:rFonts w:ascii="Times New Roman;Times;serif" w:hAnsi="Times New Roman;Times;serif"/>
          <w:sz w:val="24"/>
        </w:rPr>
        <w:t xml:space="preserve">  As of the last day of each Fiscal Quarter of the Borrower, the Borrower shall not permit the ratio of EBITDA for the applicable Rolling Period to Fixed Charges for such Rolling Period to be less than 1.50 to 1.0.</w:t>
      </w:r>
    </w:p>
    <w:p>
      <w:pPr>
        <w:pStyle w:val="TextBody"/>
        <w:bidi w:val="0"/>
        <w:spacing w:before="0" w:after="240"/>
        <w:ind w:left="0" w:right="0" w:hanging="0"/>
        <w:jc w:val="both"/>
        <w:rPr/>
      </w:pPr>
      <w:r>
        <w:rPr/>
        <w:t>●</w:t>
      </w:r>
      <w:r>
        <w:rPr>
          <w:rFonts w:ascii="Times New Roman;Times;serif" w:hAnsi="Times New Roman;Times;serif"/>
          <w:sz w:val="24"/>
          <w:u w:val="single"/>
        </w:rPr>
        <w:t>Maximum Secured Recourse Indebtedness to Total Asset Value Ratio</w:t>
      </w:r>
      <w:r>
        <w:rPr>
          <w:rFonts w:ascii="Times New Roman;Times;serif" w:hAnsi="Times New Roman;Times;serif"/>
          <w:sz w:val="24"/>
        </w:rPr>
        <w:t>.  As of the last day of each Fiscal Quarter of the Borrower, the Borrower shall not permit the ratio of Secured Recourse Indebtedness to Total Asset Value to be greater than 0.10 to 1.0.</w:t>
      </w:r>
    </w:p>
    <w:p>
      <w:pPr>
        <w:pStyle w:val="TextBody"/>
        <w:bidi w:val="0"/>
        <w:spacing w:before="0" w:after="240"/>
        <w:ind w:left="0" w:right="0" w:hanging="0"/>
        <w:jc w:val="both"/>
        <w:rPr/>
      </w:pPr>
      <w:r>
        <w:rPr/>
        <w:t>●</w:t>
      </w:r>
      <w:r>
        <w:rPr>
          <w:rFonts w:ascii="Times New Roman;Times;serif" w:hAnsi="Times New Roman;Times;serif"/>
          <w:sz w:val="24"/>
          <w:u w:val="single"/>
        </w:rPr>
        <w:t>Maximum Unsecured Indebtedness to Unencumbered Asset Value Ratio</w:t>
      </w:r>
      <w:r>
        <w:rPr>
          <w:rFonts w:ascii="Times New Roman;Times;serif" w:hAnsi="Times New Roman;Times;serif"/>
          <w:sz w:val="24"/>
        </w:rPr>
        <w:t xml:space="preserve">.  As of the last day of each Fiscal Quarter of the Borrower, the Borrower shall not permit the ratio of Unsecured Indebtedness to Unencumbered Asset Value to be greater than 0.60 to 1.00; </w:t>
      </w:r>
      <w:r>
        <w:rPr>
          <w:rFonts w:ascii="Times New Roman;Times;serif" w:hAnsi="Times New Roman;Times;serif"/>
          <w:sz w:val="24"/>
          <w:u w:val="single"/>
        </w:rPr>
        <w:t>provided</w:t>
      </w:r>
      <w:r>
        <w:rPr>
          <w:rFonts w:ascii="Times New Roman;Times;serif" w:hAnsi="Times New Roman;Times;serif"/>
          <w:sz w:val="24"/>
        </w:rPr>
        <w:t>, that such ratio may increase to up to 0.65 to 1.00 in connection with a Material Acquisition so long as (a) the Borrower completed a Material Acquisition during the quarter in which such ratio first exceeded 0.60 to 1.00, (b) such ratio does not exceed 0.60 to 1.00 for a period of more than three (3) fiscal quarters immediately following the fiscal quarter in which such Material Acquisition was completed, (c) the Borrower has not maintained compliance with this Section 8.20(e) or Section 8.20(a) in reliance on this proviso more than two times during the term of this Agreement, and (d) such ratio is not greater than 0.65 to 1.00 at any time.</w:t>
      </w:r>
    </w:p>
    <w:p>
      <w:pPr>
        <w:pStyle w:val="TextBody"/>
        <w:bidi w:val="0"/>
        <w:spacing w:before="0" w:after="240"/>
        <w:ind w:left="0" w:right="0" w:hanging="0"/>
        <w:jc w:val="both"/>
        <w:rPr/>
      </w:pPr>
      <w:r>
        <w:rPr/>
        <w:t>●</w:t>
      </w:r>
      <w:r>
        <w:rPr>
          <w:rFonts w:ascii="Times New Roman;Times;serif" w:hAnsi="Times New Roman;Times;serif"/>
          <w:sz w:val="24"/>
          <w:u w:val="single"/>
        </w:rPr>
        <w:t xml:space="preserve">Minimum </w:t>
      </w:r>
      <w:bookmarkStart w:id="2192" w:name="_cp_change_400"/>
      <w:bookmarkEnd w:id="2192"/>
      <w:r>
        <w:rPr>
          <w:rFonts w:ascii="Times New Roman;Times;serif" w:hAnsi="Times New Roman;Times;serif"/>
          <w:color w:val="FF0000"/>
          <w:sz w:val="24"/>
          <w:u w:val="single"/>
        </w:rPr>
        <w:t>Property NOI</w:t>
      </w:r>
      <w:bookmarkStart w:id="2193" w:name="_cp_change_401"/>
      <w:bookmarkEnd w:id="2193"/>
      <w:r>
        <w:rPr>
          <w:rFonts w:ascii="Times New Roman;Times;serif" w:hAnsi="Times New Roman;Times;serif"/>
          <w:color w:val="0000FF"/>
          <w:sz w:val="24"/>
          <w:u w:val="single"/>
        </w:rPr>
        <w:t>Income from Unencumbered Assets</w:t>
      </w:r>
      <w:r>
        <w:rPr>
          <w:rFonts w:ascii="Times New Roman;Times;serif" w:hAnsi="Times New Roman;Times;serif"/>
          <w:sz w:val="24"/>
          <w:u w:val="single"/>
        </w:rPr>
        <w:t xml:space="preserve"> to Unsecured Interest Expense Ratio</w:t>
      </w:r>
      <w:r>
        <w:rPr>
          <w:rFonts w:ascii="Times New Roman;Times;serif" w:hAnsi="Times New Roman;Times;serif"/>
          <w:i/>
          <w:sz w:val="24"/>
        </w:rPr>
        <w:t>.</w:t>
      </w:r>
      <w:r>
        <w:rPr>
          <w:rFonts w:ascii="Times New Roman;Times;serif" w:hAnsi="Times New Roman;Times;serif"/>
          <w:sz w:val="24"/>
        </w:rPr>
        <w:t xml:space="preserve">  As of the last day of each Fiscal Quarter of the Borrower, the Borrower shall not permit the ratio of </w:t>
      </w:r>
      <w:bookmarkStart w:id="2194" w:name="_cp_change_402"/>
      <w:bookmarkEnd w:id="2194"/>
      <w:r>
        <w:rPr>
          <w:rFonts w:ascii="Times New Roman;Times;serif" w:hAnsi="Times New Roman;Times;serif"/>
          <w:color w:val="0000FF"/>
          <w:sz w:val="24"/>
          <w:u w:val="single"/>
        </w:rPr>
        <w:t xml:space="preserve">(i) the </w:t>
      </w:r>
      <w:r>
        <w:rPr>
          <w:rFonts w:ascii="Times New Roman;Times;serif" w:hAnsi="Times New Roman;Times;serif"/>
          <w:sz w:val="24"/>
        </w:rPr>
        <w:t xml:space="preserve">Unencumbered Pool </w:t>
      </w:r>
      <w:bookmarkStart w:id="2195" w:name="_cp_change_403"/>
      <w:bookmarkEnd w:id="2195"/>
      <w:r>
        <w:rPr>
          <w:rFonts w:ascii="Times New Roman;Times;serif" w:hAnsi="Times New Roman;Times;serif"/>
          <w:color w:val="FF0000"/>
          <w:sz w:val="24"/>
        </w:rPr>
        <w:t>NOI</w:t>
      </w:r>
      <w:bookmarkStart w:id="2196" w:name="_cp_change_404"/>
      <w:bookmarkEnd w:id="2196"/>
      <w:r>
        <w:rPr>
          <w:rFonts w:ascii="Times New Roman;Times;serif" w:hAnsi="Times New Roman;Times;serif"/>
          <w:color w:val="0000FF"/>
          <w:sz w:val="24"/>
          <w:u w:val="single"/>
        </w:rPr>
        <w:t>Total Income</w:t>
      </w:r>
      <w:r>
        <w:rPr>
          <w:rFonts w:ascii="Times New Roman;Times;serif" w:hAnsi="Times New Roman;Times;serif"/>
          <w:sz w:val="24"/>
        </w:rPr>
        <w:t xml:space="preserve"> for the applicable Rolling Period to </w:t>
      </w:r>
      <w:bookmarkStart w:id="2197" w:name="_cp_change_405"/>
      <w:bookmarkEnd w:id="2197"/>
      <w:r>
        <w:rPr>
          <w:rFonts w:ascii="Times New Roman;Times;serif" w:hAnsi="Times New Roman;Times;serif"/>
          <w:color w:val="0000FF"/>
          <w:sz w:val="24"/>
          <w:u w:val="single"/>
        </w:rPr>
        <w:t xml:space="preserve">(ii) </w:t>
      </w:r>
      <w:r>
        <w:rPr>
          <w:rFonts w:ascii="Times New Roman;Times;serif" w:hAnsi="Times New Roman;Times;serif"/>
          <w:sz w:val="24"/>
        </w:rPr>
        <w:t>Unsecured Interest Expense for such Rolling Period to be less than 1.75 to 1.0.</w:t>
      </w:r>
    </w:p>
    <w:p>
      <w:pPr>
        <w:pStyle w:val="TextBody"/>
        <w:bidi w:val="0"/>
        <w:spacing w:before="0" w:after="0"/>
        <w:ind w:left="0" w:right="0" w:hanging="0"/>
        <w:jc w:val="both"/>
        <w:rPr/>
      </w:pPr>
      <w:r>
        <w:rPr/>
        <w:t>●</w:t>
      </w:r>
      <w:r>
        <w:rPr>
          <w:rFonts w:ascii="Times New Roman;Times;serif" w:hAnsi="Times New Roman;Times;serif"/>
          <w:sz w:val="24"/>
          <w:u w:val="single"/>
        </w:rPr>
        <w:t>Maintenance of Net Worth</w:t>
      </w:r>
      <w:r>
        <w:rPr>
          <w:rFonts w:ascii="Times New Roman;Times;serif" w:hAnsi="Times New Roman;Times;serif"/>
          <w:sz w:val="24"/>
        </w:rPr>
        <w:t xml:space="preserve">.  The Borrower shall, as of the last day of each Fiscal Quarter, maintain a Tangible Net Worth of not less than the sum of (a) $212,500,000, </w:t>
      </w:r>
      <w:r>
        <w:rPr>
          <w:rFonts w:ascii="Times New Roman;Times;serif" w:hAnsi="Times New Roman;Times;serif"/>
          <w:sz w:val="24"/>
          <w:u w:val="single"/>
        </w:rPr>
        <w:t>plus</w:t>
      </w:r>
      <w:r>
        <w:rPr>
          <w:rFonts w:ascii="Times New Roman;Times;serif" w:hAnsi="Times New Roman;Times;serif"/>
          <w:sz w:val="24"/>
        </w:rPr>
        <w:t xml:space="preserve"> (b) 75% of the aggregate net proceeds received by Parent or any of its Subsidiaries in connection with any offering of Stock or Stock Equivalents of the Borrower, Parent or the Subsidiaries since June 30, 2022. </w:t>
      </w:r>
    </w:p>
    <w:p>
      <w:pPr>
        <w:pStyle w:val="TextBody"/>
        <w:bidi w:val="0"/>
        <w:spacing w:before="0" w:after="240"/>
        <w:ind w:left="0" w:right="0" w:hanging="0"/>
        <w:jc w:val="both"/>
        <w:rPr/>
      </w:pPr>
      <w:r>
        <w:rPr/>
        <w:t>●</w:t>
      </w:r>
      <w:bookmarkStart w:id="2198" w:name="_Toc184891535"/>
      <w:bookmarkStart w:id="2199" w:name="_Toc115162584"/>
      <w:bookmarkStart w:id="2200" w:name="_Toc115101812"/>
      <w:bookmarkStart w:id="2201" w:name="_Ref837209821"/>
      <w:bookmarkEnd w:id="2198"/>
      <w:bookmarkEnd w:id="2199"/>
      <w:bookmarkEnd w:id="2200"/>
      <w:bookmarkEnd w:id="2201"/>
      <w:r>
        <w:rPr>
          <w:rFonts w:ascii="Times New Roman;Times;serif" w:hAnsi="Times New Roman;Times;serif"/>
          <w:sz w:val="24"/>
          <w:u w:val="single"/>
        </w:rPr>
        <w:t>Pool Covenants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Borrower shall cause the Unencumbered Pool to at all times comply with the Unencumbered Pool Requirements (other than with respect to Unencumbered Assets that may exceed concentration limits but still be included in the Unencumbered Asset Value in compliance with the definition of Unencumbered Pool Requirements) and shall exclude from the calculation of Unencumbered Asset Value any portion of Property NOI</w:t>
      </w:r>
      <w:bookmarkStart w:id="2202" w:name="_cp_change_406"/>
      <w:bookmarkEnd w:id="2202"/>
      <w:r>
        <w:rPr>
          <w:rFonts w:ascii="Times New Roman;Times;serif" w:hAnsi="Times New Roman;Times;serif"/>
          <w:color w:val="0000FF"/>
          <w:sz w:val="24"/>
          <w:u w:val="single"/>
        </w:rPr>
        <w:t>, cost,</w:t>
      </w:r>
      <w:r>
        <w:rPr>
          <w:rFonts w:ascii="Times New Roman;Times;serif" w:hAnsi="Times New Roman;Times;serif"/>
          <w:sz w:val="24"/>
        </w:rPr>
        <w:t xml:space="preserve"> or book value of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Unencumbered Assets attributable to any Unencumbered Assets that exceed the concentration limits set forth in the Unencumbered Pool Requirements or that cease to satisfy the conditions to be Unencumbered Assets.</w:t>
      </w:r>
    </w:p>
    <w:p>
      <w:pPr>
        <w:pStyle w:val="TextBody"/>
        <w:bidi w:val="0"/>
        <w:spacing w:before="0" w:after="240"/>
        <w:ind w:left="0" w:right="0" w:hanging="0"/>
        <w:jc w:val="both"/>
        <w:rPr/>
      </w:pPr>
      <w:r>
        <w:rPr/>
        <w:t>●</w:t>
      </w:r>
      <w:bookmarkStart w:id="2203" w:name="_Toc184891536"/>
      <w:bookmarkEnd w:id="2203"/>
      <w:r>
        <w:rPr>
          <w:rFonts w:ascii="Times New Roman;Times;serif" w:hAnsi="Times New Roman;Times;serif"/>
          <w:sz w:val="24"/>
          <w:u w:val="single"/>
        </w:rPr>
        <w:t>Electronic Delivery of Certain Information</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rPr>
        <w:t xml:space="preserve">Documents, including financial reports to 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New York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 </w:t>
      </w:r>
    </w:p>
    <w:p>
      <w:pPr>
        <w:pStyle w:val="TextBody"/>
        <w:bidi w:val="0"/>
        <w:spacing w:before="0" w:after="240"/>
        <w:ind w:left="0" w:right="0" w:hanging="0"/>
        <w:jc w:val="both"/>
        <w:rPr/>
      </w:pPr>
      <w:r>
        <w:rPr/>
        <w:t>●</w:t>
      </w:r>
      <w:r>
        <w:rPr>
          <w:rFonts w:ascii="Times New Roman;Times;serif" w:hAnsi="Times New Roman;Times;serif"/>
          <w:sz w:val="24"/>
        </w:rPr>
        <w:t>Documents required to be delivered pursuant to Section 1 may be delivered electronically to a website provided for such purpose by the Administrative Agent pursuant to the procedures provided to the Borrower by the Administrative Agent.</w:t>
      </w:r>
    </w:p>
    <w:p>
      <w:pPr>
        <w:pStyle w:val="TextBody"/>
        <w:bidi w:val="0"/>
        <w:ind w:left="0" w:right="0" w:hanging="0"/>
        <w:jc w:val="both"/>
        <w:rPr/>
      </w:pPr>
      <w:r>
        <w:rPr/>
        <w:t xml:space="preserve">● </w:t>
      </w:r>
      <w:r>
        <w:rPr>
          <w:rFonts w:ascii="Times New Roman;Times;serif" w:hAnsi="Times New Roman;Times;serif"/>
          <w:sz w:val="24"/>
        </w:rPr>
        <w:t xml:space="preserve">This </w:t>
      </w:r>
      <w:bookmarkStart w:id="2204" w:name="_cp_change_407"/>
      <w:bookmarkEnd w:id="2204"/>
      <w:r>
        <w:rPr>
          <w:rFonts w:ascii="Times New Roman;Times;serif" w:hAnsi="Times New Roman;Times;serif"/>
          <w:color w:val="FF0000"/>
          <w:sz w:val="24"/>
        </w:rPr>
        <w:t xml:space="preserve">Credit </w:t>
      </w:r>
      <w:r>
        <w:rPr>
          <w:rFonts w:ascii="Times New Roman;Times;serif" w:hAnsi="Times New Roman;Times;serif"/>
          <w:sz w:val="24"/>
        </w:rPr>
        <w:t xml:space="preserve">Agreement and any document, amendment, approval, consent, information, notice, certificate, request, statement, disclosure or authorization related to this </w:t>
      </w:r>
      <w:bookmarkStart w:id="2205" w:name="_cp_change_408"/>
      <w:bookmarkEnd w:id="2205"/>
      <w:r>
        <w:rPr>
          <w:rFonts w:ascii="Times New Roman;Times;serif" w:hAnsi="Times New Roman;Times;serif"/>
          <w:color w:val="FF0000"/>
          <w:sz w:val="24"/>
        </w:rPr>
        <w:t xml:space="preserve">Credit </w:t>
      </w:r>
      <w:r>
        <w:rPr>
          <w:rFonts w:ascii="Times New Roman;Times;serif" w:hAnsi="Times New Roman;Times;serif"/>
          <w:sz w:val="24"/>
        </w:rPr>
        <w:t>Agreement (each a “</w:t>
      </w:r>
      <w:r>
        <w:rPr>
          <w:rFonts w:ascii="Times New Roman;Times;serif" w:hAnsi="Times New Roman;Times;serif"/>
          <w:i/>
          <w:sz w:val="24"/>
        </w:rPr>
        <w:t>Communication</w:t>
      </w:r>
      <w:r>
        <w:rPr>
          <w:rFonts w:ascii="Times New Roman;Times;serif" w:hAnsi="Times New Roman;Times;serif"/>
          <w:sz w:val="24"/>
        </w:rPr>
        <w:t xml:space="preserve">”),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Communication may be executed in as many counterparts as necessary or convenient, including both paper and electronic counterparts, but all such counterparts are one and the same Communication. For the avoidance of doubt, the authorization under this paragraph may include,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w:t>
      </w:r>
      <w:r>
        <w:rPr>
          <w:rFonts w:ascii="Times New Roman;Times;serif" w:hAnsi="Times New Roman;Times;serif"/>
          <w:i/>
          <w:sz w:val="24"/>
        </w:rPr>
        <w:t>Electronic Copy</w:t>
      </w:r>
      <w:r>
        <w:rPr>
          <w:rFonts w:ascii="Times New Roman;Times;serif" w:hAnsi="Times New Roman;Times;serif"/>
          <w:sz w:val="24"/>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before="0" w:after="240"/>
        <w:ind w:left="0" w:right="0" w:hanging="0"/>
        <w:jc w:val="both"/>
        <w:rPr/>
      </w:pPr>
      <w:r>
        <w:rPr/>
        <w:t>●</w:t>
      </w:r>
      <w:bookmarkStart w:id="2206" w:name="_Toc184891537"/>
      <w:bookmarkEnd w:id="2206"/>
      <w:r>
        <w:rPr>
          <w:rFonts w:ascii="Times New Roman;Times;serif" w:hAnsi="Times New Roman;Times;serif"/>
          <w:sz w:val="24"/>
          <w:u w:val="single"/>
        </w:rPr>
        <w:t>Evidence of Payment of Florida Intangibles Tax</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Within thirty (30) days after the Closing Date (or such longer time period consented to in writing by the Administrative Agent, in its reasonable discretion), the Borrower shall deliver evidence reasonably acceptable to the Administrative Agent of Borrower’s payment in full of all documentary stamp tax required to be paid by the State of Florida with respect to the Loans.</w:t>
      </w:r>
    </w:p>
    <w:p>
      <w:pPr>
        <w:pStyle w:val="TextBody"/>
        <w:bidi w:val="0"/>
        <w:spacing w:before="0" w:after="240"/>
        <w:ind w:left="0" w:right="0" w:hanging="0"/>
        <w:jc w:val="both"/>
        <w:rPr/>
      </w:pPr>
      <w:r>
        <w:rPr/>
        <w:t>●</w:t>
      </w:r>
      <w:bookmarkStart w:id="2207" w:name="_Toc184891538"/>
      <w:bookmarkEnd w:id="2207"/>
      <w:r>
        <w:rPr>
          <w:rFonts w:ascii="Times New Roman;Times;serif" w:hAnsi="Times New Roman;Times;serif"/>
          <w:sz w:val="24"/>
          <w:u w:val="single"/>
        </w:rPr>
        <w:t>REIT Status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Parent shall maintain its status as a REIT.</w:t>
      </w:r>
    </w:p>
    <w:p>
      <w:pPr>
        <w:pStyle w:val="TextBody"/>
        <w:bidi w:val="0"/>
        <w:spacing w:before="0" w:after="240"/>
        <w:ind w:left="0" w:right="0" w:hanging="0"/>
        <w:jc w:val="both"/>
        <w:rPr/>
      </w:pPr>
      <w:r>
        <w:rPr/>
        <w:t>●</w:t>
      </w:r>
      <w:bookmarkStart w:id="2208" w:name="_Toc184891539"/>
      <w:bookmarkStart w:id="2209" w:name="_Toc115162588"/>
      <w:bookmarkEnd w:id="2208"/>
      <w:bookmarkEnd w:id="2209"/>
      <w:r>
        <w:rPr>
          <w:rFonts w:ascii="Times New Roman;Times;serif" w:hAnsi="Times New Roman;Times;serif"/>
          <w:sz w:val="24"/>
          <w:u w:val="single"/>
        </w:rPr>
        <w:t>Restricted Payments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The Borrower shall not, nor shall Parent or any Subsidiary to, declare or make any Restricted Payment; </w:t>
      </w:r>
      <w:r>
        <w:rPr>
          <w:rFonts w:ascii="Times New Roman;Times;serif" w:hAnsi="Times New Roman;Times;serif"/>
          <w:i/>
          <w:sz w:val="24"/>
        </w:rPr>
        <w:t>provided</w:t>
      </w:r>
      <w:r>
        <w:rPr>
          <w:rFonts w:ascii="Times New Roman;Times;serif" w:hAnsi="Times New Roman;Times;serif"/>
          <w:sz w:val="24"/>
        </w:rPr>
        <w:t xml:space="preserve"> that:</w:t>
      </w:r>
    </w:p>
    <w:p>
      <w:pPr>
        <w:pStyle w:val="TextBody"/>
        <w:bidi w:val="0"/>
        <w:spacing w:before="0" w:after="240"/>
        <w:ind w:left="0" w:right="0" w:hanging="0"/>
        <w:jc w:val="both"/>
        <w:rPr/>
      </w:pPr>
      <w:r>
        <w:rPr/>
        <w:t>●</w:t>
      </w:r>
      <w:r>
        <w:rPr>
          <w:rFonts w:ascii="Times New Roman;Times;serif" w:hAnsi="Times New Roman;Times;serif"/>
          <w:sz w:val="24"/>
        </w:rPr>
        <w:t xml:space="preserve">(i) Parent may declare or make </w:t>
      </w:r>
      <w:bookmarkStart w:id="2210" w:name="_cp_change_409"/>
      <w:bookmarkEnd w:id="2210"/>
      <w:r>
        <w:rPr>
          <w:rFonts w:ascii="Times New Roman;Times;serif" w:hAnsi="Times New Roman;Times;serif"/>
          <w:color w:val="0000FF"/>
          <w:sz w:val="24"/>
          <w:u w:val="single"/>
        </w:rPr>
        <w:t xml:space="preserve">Restricted Payments in </w:t>
      </w:r>
      <w:r>
        <w:rPr>
          <w:rFonts w:ascii="Times New Roman;Times;serif" w:hAnsi="Times New Roman;Times;serif"/>
          <w:sz w:val="24"/>
        </w:rPr>
        <w:t xml:space="preserve">cash </w:t>
      </w:r>
      <w:bookmarkStart w:id="2211" w:name="_cp_change_410"/>
      <w:bookmarkEnd w:id="2211"/>
      <w:r>
        <w:rPr>
          <w:rFonts w:ascii="Times New Roman;Times;serif" w:hAnsi="Times New Roman;Times;serif"/>
          <w:color w:val="FF0000"/>
          <w:sz w:val="24"/>
        </w:rPr>
        <w:t xml:space="preserve">distributions </w:t>
      </w:r>
      <w:r>
        <w:rPr>
          <w:rFonts w:ascii="Times New Roman;Times;serif" w:hAnsi="Times New Roman;Times;serif"/>
          <w:sz w:val="24"/>
        </w:rPr>
        <w:t xml:space="preserve">to its equity holders in an aggregate amount not to exceed the greater of (x) ninety-five percent (95%) of Parent’s Adjusted FFO </w:t>
      </w:r>
      <w:bookmarkStart w:id="2212" w:name="_cp_change_4111"/>
      <w:bookmarkEnd w:id="2212"/>
      <w:r>
        <w:rPr>
          <w:rFonts w:ascii="Times New Roman;Times;serif" w:hAnsi="Times New Roman;Times;serif"/>
          <w:color w:val="FF0000"/>
          <w:sz w:val="24"/>
        </w:rPr>
        <w:t>for each Fiscal Quarter ending thereafter</w:t>
      </w:r>
      <w:bookmarkStart w:id="2213" w:name="_cp_change_412"/>
      <w:bookmarkEnd w:id="2213"/>
      <w:r>
        <w:rPr>
          <w:rFonts w:ascii="Times New Roman;Times;serif" w:hAnsi="Times New Roman;Times;serif"/>
          <w:color w:val="0000FF"/>
          <w:sz w:val="24"/>
          <w:u w:val="single"/>
        </w:rPr>
        <w:t>(excluding any regular distributions to holders of preferred partnership units in Borrower and distributions necessary to pay holders of preferred stock of Parent) for each Rolling Period (commencing with the Rolling Period ending on December 31, 2024)</w:t>
      </w:r>
      <w:r>
        <w:rPr>
          <w:rFonts w:ascii="Times New Roman;Times;serif" w:hAnsi="Times New Roman;Times;serif"/>
          <w:sz w:val="24"/>
        </w:rPr>
        <w:t xml:space="preserve">, or (y) the amount necessary for Parent to be able to make </w:t>
      </w:r>
      <w:bookmarkStart w:id="2214" w:name="_cp_change_413"/>
      <w:bookmarkEnd w:id="2214"/>
      <w:r>
        <w:rPr>
          <w:rFonts w:ascii="Times New Roman;Times;serif" w:hAnsi="Times New Roman;Times;serif"/>
          <w:color w:val="FF0000"/>
          <w:sz w:val="24"/>
        </w:rPr>
        <w:t>distributions</w:t>
      </w:r>
      <w:bookmarkStart w:id="2215" w:name="_cp_change_414"/>
      <w:bookmarkEnd w:id="2215"/>
      <w:r>
        <w:rPr>
          <w:rFonts w:ascii="Times New Roman;Times;serif" w:hAnsi="Times New Roman;Times;serif"/>
          <w:color w:val="0000FF"/>
          <w:sz w:val="24"/>
          <w:u w:val="single"/>
        </w:rPr>
        <w:t>Restricted Payments</w:t>
      </w:r>
      <w:r>
        <w:rPr>
          <w:rFonts w:ascii="Times New Roman;Times;serif" w:hAnsi="Times New Roman;Times;serif"/>
          <w:sz w:val="24"/>
        </w:rPr>
        <w:t xml:space="preserve"> required to maintain its status as a REIT and to avoid the imposition of any federal or state income tax, and to avoid the imposition of the excise tax described by Section 4981 of the Code, in each case on Parent;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in either case, during the continuance of an Event of Default, (A) Restricted Payments made pursuant to this clause (a) shall not exceed the amounts described in clause (y), and (B) no other cash </w:t>
      </w:r>
      <w:bookmarkStart w:id="2216" w:name="_cp_change_415"/>
      <w:bookmarkEnd w:id="2216"/>
      <w:r>
        <w:rPr>
          <w:rFonts w:ascii="Times New Roman;Times;serif" w:hAnsi="Times New Roman;Times;serif"/>
          <w:color w:val="FF0000"/>
          <w:sz w:val="24"/>
        </w:rPr>
        <w:t>distributions</w:t>
      </w:r>
      <w:bookmarkStart w:id="2217" w:name="_cp_change_416"/>
      <w:bookmarkEnd w:id="2217"/>
      <w:r>
        <w:rPr>
          <w:rFonts w:ascii="Times New Roman;Times;serif" w:hAnsi="Times New Roman;Times;serif"/>
          <w:color w:val="0000FF"/>
          <w:sz w:val="24"/>
          <w:u w:val="single"/>
        </w:rPr>
        <w:t>Restricted Payments</w:t>
      </w:r>
      <w:r>
        <w:rPr>
          <w:rFonts w:ascii="Times New Roman;Times;serif" w:hAnsi="Times New Roman;Times;serif"/>
          <w:sz w:val="24"/>
        </w:rPr>
        <w:t xml:space="preserve"> will be permitted;</w:t>
      </w:r>
    </w:p>
    <w:p>
      <w:pPr>
        <w:pStyle w:val="TextBody"/>
        <w:bidi w:val="0"/>
        <w:spacing w:before="0" w:after="240"/>
        <w:ind w:left="0" w:right="0" w:hanging="0"/>
        <w:jc w:val="both"/>
        <w:rPr/>
      </w:pPr>
      <w:r>
        <w:rPr/>
        <w:t>●</w:t>
      </w:r>
      <w:r>
        <w:rPr>
          <w:rFonts w:ascii="Times New Roman;Times;serif" w:hAnsi="Times New Roman;Times;serif"/>
          <w:sz w:val="24"/>
        </w:rPr>
        <w:t>the Borrower may make Restricted Payments ratably to the holders of its Equity Interests to permit Parent to make the Restricted Payments permitted under clause (a)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each Subsidiary may make Restricted Payments ratably to the holders of its Equity Interests;</w:t>
      </w:r>
    </w:p>
    <w:p>
      <w:pPr>
        <w:pStyle w:val="TextBody"/>
        <w:bidi w:val="0"/>
        <w:spacing w:before="0" w:after="240"/>
        <w:ind w:left="0" w:right="0" w:hanging="0"/>
        <w:jc w:val="both"/>
        <w:rPr/>
      </w:pPr>
      <w:r>
        <w:rPr/>
        <w:t>●</w:t>
      </w:r>
      <w:r>
        <w:rPr>
          <w:rFonts w:ascii="Times New Roman;Times;serif" w:hAnsi="Times New Roman;Times;serif"/>
          <w:sz w:val="24"/>
        </w:rPr>
        <w:t xml:space="preserve">Parent, 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 </w:t>
      </w:r>
    </w:p>
    <w:p>
      <w:pPr>
        <w:pStyle w:val="TextBody"/>
        <w:bidi w:val="0"/>
        <w:spacing w:before="0" w:after="240"/>
        <w:ind w:left="0" w:right="0" w:hanging="0"/>
        <w:jc w:val="both"/>
        <w:rPr/>
      </w:pPr>
      <w:r>
        <w:rPr/>
        <w:t>●</w:t>
      </w:r>
      <w:r>
        <w:rPr>
          <w:rFonts w:ascii="Times New Roman;Times;serif" w:hAnsi="Times New Roman;Times;serif"/>
          <w:sz w:val="24"/>
        </w:rPr>
        <w:t>Parent, the Borrower and each Guarantor may make cash payments in lieu of the issuance of fractional shares representing insignificant interests in connection with the exercise of warrants, options or other securities convertible into or exchangeable for equity interests of Parent, the Borrower or any Subsidiary;</w:t>
      </w:r>
    </w:p>
    <w:p>
      <w:pPr>
        <w:pStyle w:val="TextBody"/>
        <w:bidi w:val="0"/>
        <w:spacing w:before="0" w:after="240"/>
        <w:ind w:left="0" w:right="0" w:hanging="0"/>
        <w:jc w:val="both"/>
        <w:rPr/>
      </w:pPr>
      <w:r>
        <w:rPr/>
        <w:t>●</w:t>
      </w:r>
      <w:r>
        <w:rPr>
          <w:rFonts w:ascii="Times New Roman;Times;serif" w:hAnsi="Times New Roman;Times;serif"/>
          <w:sz w:val="24"/>
        </w:rPr>
        <w:t>so long as no Change of Control results therefrom, Parent,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pStyle w:val="TextBody"/>
        <w:bidi w:val="0"/>
        <w:spacing w:before="0" w:after="240"/>
        <w:ind w:left="0" w:right="0" w:hanging="0"/>
        <w:jc w:val="both"/>
        <w:rPr/>
      </w:pPr>
      <w:r>
        <w:rPr/>
        <w:t>●</w:t>
      </w:r>
      <w:r>
        <w:rPr>
          <w:rFonts w:ascii="Times New Roman;Times;serif" w:hAnsi="Times New Roman;Times;serif"/>
          <w:sz w:val="24"/>
        </w:rPr>
        <w:t>so long as no Change of Control results therefrom, the Borrower and each Subsidiary that is a Guarantor may make dividends or distributions to allow Parent to make payments in connection with share purchase programs, to the extent not otherwise prohibited by the terms of this Agreement; and</w:t>
      </w:r>
    </w:p>
    <w:p>
      <w:pPr>
        <w:pStyle w:val="TextBody"/>
        <w:bidi w:val="0"/>
        <w:spacing w:before="0" w:after="0"/>
        <w:ind w:left="0" w:right="0" w:hanging="0"/>
        <w:jc w:val="both"/>
        <w:rPr/>
      </w:pPr>
      <w:r>
        <w:rPr/>
        <w:t>●</w:t>
      </w:r>
      <w:r>
        <w:rPr>
          <w:rFonts w:ascii="Times New Roman;Times;serif" w:hAnsi="Times New Roman;Times;serif"/>
          <w:sz w:val="24"/>
        </w:rPr>
        <w:t>Parent may exercise any redemption or conversion rights with respect to its Equity Interests in accordance with the terms of the governing documents setting out any such rights</w:t>
      </w:r>
      <w:bookmarkStart w:id="2218" w:name="_cp_change_417"/>
      <w:bookmarkEnd w:id="2218"/>
      <w:r>
        <w:rPr>
          <w:rFonts w:ascii="Times New Roman;Times;serif" w:hAnsi="Times New Roman;Times;serif"/>
          <w:color w:val="0000FF"/>
          <w:sz w:val="24"/>
          <w:u w:val="single"/>
        </w:rPr>
        <w:t xml:space="preserve"> and, to the extent paid in cash from sources other than a concurrent offering of Equity Interests of the Parent, subject to Section 8.25(a)</w:t>
      </w:r>
      <w:r>
        <w:rPr>
          <w:rFonts w:ascii="Times New Roman;Times;serif" w:hAnsi="Times New Roman;Times;serif"/>
          <w:sz w:val="24"/>
        </w:rPr>
        <w:t>.</w:t>
      </w:r>
    </w:p>
    <w:p>
      <w:pPr>
        <w:pStyle w:val="TextBody"/>
        <w:bidi w:val="0"/>
        <w:spacing w:before="0" w:after="240"/>
        <w:ind w:left="0" w:right="0" w:hanging="0"/>
        <w:jc w:val="both"/>
        <w:rPr/>
      </w:pPr>
      <w:r>
        <w:rPr/>
        <w:t>●</w:t>
      </w:r>
      <w:bookmarkStart w:id="2219" w:name="_Toc184891540"/>
      <w:bookmarkEnd w:id="2219"/>
      <w:r>
        <w:rPr>
          <w:rFonts w:ascii="Times New Roman;Times;serif" w:hAnsi="Times New Roman;Times;serif"/>
          <w:sz w:val="24"/>
          <w:u w:val="single"/>
        </w:rPr>
        <w:t>Other Unsecured Indebtedness Guarantees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No Subsidiary shall guaranty the payment of, or agree to enter into a guaranty of the payment of, any Other Unsecured Indebtedness without simultaneously entering into and delivering to the Administrative Agent, for the benefit of the Lenders, a comparable guaranty of the payment of the Obligations; provided, that the foregoing shall not restrict or prohibit any Subsidiary guaranty of any Property level Indebtedness for Borrowed Money which otherwise remains in compliance with Section 8.20. </w:t>
      </w:r>
    </w:p>
    <w:p>
      <w:pPr>
        <w:pStyle w:val="TextBody"/>
        <w:bidi w:val="0"/>
        <w:spacing w:before="0" w:after="240"/>
        <w:ind w:left="720" w:right="0" w:hanging="0"/>
        <w:jc w:val="both"/>
        <w:rPr/>
      </w:pPr>
      <w:r>
        <w:rPr>
          <w:caps/>
        </w:rPr>
        <w:t>●</w:t>
      </w:r>
      <w:bookmarkStart w:id="2220" w:name="_Toc184891541"/>
      <w:bookmarkEnd w:id="2220"/>
      <w:r>
        <w:rPr>
          <w:rFonts w:ascii="Times New Roman;Times;serif" w:hAnsi="Times New Roman;Times;serif"/>
          <w:caps/>
          <w:sz w:val="24"/>
        </w:rPr>
        <w:t>Events of Default and Remedies</w:t>
      </w:r>
    </w:p>
    <w:p>
      <w:pPr>
        <w:pStyle w:val="TextBody"/>
        <w:bidi w:val="0"/>
        <w:spacing w:before="0" w:after="240"/>
        <w:ind w:left="0" w:right="0" w:hanging="0"/>
        <w:jc w:val="both"/>
        <w:rPr/>
      </w:pPr>
      <w:r>
        <w:rPr/>
        <w:t>●</w:t>
      </w:r>
      <w:bookmarkStart w:id="2221" w:name="_Toc184891542"/>
      <w:bookmarkEnd w:id="2221"/>
      <w:r>
        <w:rPr>
          <w:rFonts w:ascii="Times New Roman;Times;serif" w:hAnsi="Times New Roman;Times;serif"/>
          <w:sz w:val="24"/>
          <w:u w:val="single"/>
        </w:rPr>
        <w:t>Events of Default</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Any one or more of the following shall constitute an “</w:t>
      </w:r>
      <w:r>
        <w:rPr>
          <w:rFonts w:ascii="Times New Roman;Times;serif" w:hAnsi="Times New Roman;Times;serif"/>
          <w:i/>
          <w:sz w:val="24"/>
        </w:rPr>
        <w:t>Event of Default”</w:t>
      </w:r>
      <w:r>
        <w:rPr>
          <w:rFonts w:ascii="Times New Roman;Times;serif" w:hAnsi="Times New Roman;Times;serif"/>
          <w:sz w:val="24"/>
        </w:rPr>
        <w:t xml:space="preserve"> hereunder:</w:t>
      </w:r>
    </w:p>
    <w:p>
      <w:pPr>
        <w:pStyle w:val="TextBody"/>
        <w:bidi w:val="0"/>
        <w:spacing w:before="0" w:after="240"/>
        <w:ind w:left="0" w:right="0" w:hanging="0"/>
        <w:jc w:val="both"/>
        <w:rPr/>
      </w:pPr>
      <w:r>
        <w:rPr/>
        <w:t>●</w:t>
      </w:r>
      <w:r>
        <w:rPr>
          <w:rFonts w:ascii="Times New Roman;Times;serif" w:hAnsi="Times New Roman;Times;serif"/>
          <w:sz w:val="24"/>
        </w:rPr>
        <w:t>default in the payment when due of all or any part of the principal of any Loan (whether at the stated maturity thereof or at any other time provided for in this Agreement); or default for a period of three (3) Business Days in the payment when due of any interest, fee or other Obligation payable hereunder or under any other Loan Document;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4"/>
        </w:rPr>
        <w:t xml:space="preserve">default in the observance or performance of any covenant set forth in Sections 8.1 (only with respect to the first sentence thereof), 8.5 (for a period of five (5) days), 8.7, 8.8, 8.9, 8.10, 8.20, 8.21 (if not replaced with another Eligible </w:t>
      </w:r>
      <w:bookmarkStart w:id="2222" w:name="_cp_change_418"/>
      <w:bookmarkEnd w:id="2222"/>
      <w:r>
        <w:rPr>
          <w:rFonts w:ascii="Times New Roman;Times;serif" w:hAnsi="Times New Roman;Times;serif"/>
          <w:color w:val="FF0000"/>
          <w:sz w:val="24"/>
        </w:rPr>
        <w:t>Property</w:t>
      </w:r>
      <w:bookmarkStart w:id="2223" w:name="_cp_change_419"/>
      <w:bookmarkEnd w:id="2223"/>
      <w:r>
        <w:rPr>
          <w:rFonts w:ascii="Times New Roman;Times;serif" w:hAnsi="Times New Roman;Times;serif"/>
          <w:color w:val="0000FF"/>
          <w:sz w:val="24"/>
          <w:u w:val="single"/>
        </w:rPr>
        <w:t>Asset</w:t>
      </w:r>
      <w:r>
        <w:rPr>
          <w:rFonts w:ascii="Times New Roman;Times;serif" w:hAnsi="Times New Roman;Times;serif"/>
          <w:sz w:val="24"/>
        </w:rPr>
        <w:t xml:space="preserve"> or Eligible </w:t>
      </w:r>
      <w:bookmarkStart w:id="2224" w:name="_cp_change_420"/>
      <w:bookmarkEnd w:id="2224"/>
      <w:r>
        <w:rPr>
          <w:rFonts w:ascii="Times New Roman;Times;serif" w:hAnsi="Times New Roman;Times;serif"/>
          <w:color w:val="FF0000"/>
          <w:sz w:val="24"/>
        </w:rPr>
        <w:t>Properties</w:t>
      </w:r>
      <w:bookmarkStart w:id="2225" w:name="_cp_change_421"/>
      <w:bookmarkEnd w:id="2225"/>
      <w:r>
        <w:rPr>
          <w:rFonts w:ascii="Times New Roman;Times;serif" w:hAnsi="Times New Roman;Times;serif"/>
          <w:color w:val="0000FF"/>
          <w:sz w:val="24"/>
          <w:u w:val="single"/>
        </w:rPr>
        <w:t>Assets</w:t>
      </w:r>
      <w:r>
        <w:rPr>
          <w:rFonts w:ascii="Times New Roman;Times;serif" w:hAnsi="Times New Roman;Times;serif"/>
          <w:sz w:val="24"/>
        </w:rPr>
        <w:t xml:space="preserve"> in accordance with Section 7.3 hereof within ten (10) Business Days after the period of notice required by Section 7.3), 8.23 or 8.25 hereof;</w:t>
      </w:r>
    </w:p>
    <w:p>
      <w:pPr>
        <w:pStyle w:val="TextBody"/>
        <w:bidi w:val="0"/>
        <w:spacing w:before="0" w:after="240"/>
        <w:ind w:left="0" w:right="0" w:hanging="0"/>
        <w:jc w:val="both"/>
        <w:rPr/>
      </w:pPr>
      <w:r>
        <w:rPr/>
        <w:t>●</w:t>
      </w:r>
      <w:r>
        <w:rPr>
          <w:rFonts w:ascii="Times New Roman;Times;serif" w:hAnsi="Times New Roman;Times;serif"/>
          <w:sz w:val="24"/>
        </w:rPr>
        <w:t xml:space="preserve">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w:t>
      </w:r>
      <w:r>
        <w:rPr>
          <w:rFonts w:ascii="Times New Roman;Times;serif" w:hAnsi="Times New Roman;Times;serif"/>
          <w:i/>
          <w:sz w:val="24"/>
        </w:rPr>
        <w:t>provided, however</w:t>
      </w:r>
      <w:r>
        <w:rPr>
          <w:rFonts w:ascii="Times New Roman;Times;serif" w:hAnsi="Times New Roman;Times;serif"/>
          <w:sz w:val="24"/>
        </w:rPr>
        <w:t xml:space="preserve">,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 </w:t>
      </w:r>
    </w:p>
    <w:p>
      <w:pPr>
        <w:pStyle w:val="TextBody"/>
        <w:bidi w:val="0"/>
        <w:spacing w:before="0" w:after="240"/>
        <w:ind w:left="0" w:right="0" w:hanging="0"/>
        <w:jc w:val="both"/>
        <w:rPr/>
      </w:pPr>
      <w:r>
        <w:rPr/>
        <w:t>●</w:t>
      </w:r>
      <w:r>
        <w:rPr>
          <w:rFonts w:ascii="Times New Roman;Times;serif" w:hAnsi="Times New Roman;Times;serif"/>
          <w:sz w:val="24"/>
        </w:rPr>
        <w:t xml:space="preserve">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w:t>
      </w:r>
      <w:r>
        <w:rPr>
          <w:rFonts w:ascii="Times New Roman;Times;serif" w:hAnsi="Times New Roman;Times;serif"/>
          <w:i/>
          <w:sz w:val="24"/>
        </w:rPr>
        <w:t xml:space="preserve">provided, </w:t>
      </w:r>
      <w:r>
        <w:rPr>
          <w:rFonts w:ascii="Times New Roman;Times;serif" w:hAnsi="Times New Roman;Times;serif"/>
          <w:sz w:val="24"/>
        </w:rPr>
        <w:t xml:space="preserve">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 </w:t>
      </w:r>
    </w:p>
    <w:p>
      <w:pPr>
        <w:pStyle w:val="TextBody"/>
        <w:bidi w:val="0"/>
        <w:spacing w:before="0" w:after="240"/>
        <w:ind w:left="0" w:right="0" w:hanging="0"/>
        <w:jc w:val="both"/>
        <w:rPr/>
      </w:pPr>
      <w:r>
        <w:rPr/>
        <w:t>●</w:t>
      </w:r>
      <w:r>
        <w:rPr>
          <w:rFonts w:ascii="Times New Roman;Times;serif" w:hAnsi="Times New Roman;Times;serif"/>
          <w:sz w:val="24"/>
        </w:rPr>
        <w:t>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 except as expressly permitted by the terms hereof;</w:t>
      </w:r>
    </w:p>
    <w:p>
      <w:pPr>
        <w:pStyle w:val="TextBody"/>
        <w:bidi w:val="0"/>
        <w:spacing w:before="0" w:after="240"/>
        <w:ind w:left="0" w:right="0" w:hanging="0"/>
        <w:jc w:val="both"/>
        <w:rPr/>
      </w:pPr>
      <w:r>
        <w:rPr/>
        <w:t>●</w:t>
      </w:r>
      <w:r>
        <w:rPr>
          <w:rFonts w:ascii="Times New Roman;Times;serif" w:hAnsi="Times New Roman;Times;serif"/>
          <w:sz w:val="24"/>
        </w:rPr>
        <w:t>default and expiration of any cure periods related thereto shall occur under (x) any nonrecourse Indebtedness for Borrowed Money issued, assumed or guaranteed by the Borrower or any Subsidiary aggregating in excess of $30,000,000 or (y) any recourse Indebtedness for Borrowed Money issued, assumed or guaranteed by the Borrower or any Subsidiary aggregating in excess of $10,000,000,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pStyle w:val="TextBody"/>
        <w:bidi w:val="0"/>
        <w:spacing w:before="0" w:after="240"/>
        <w:ind w:left="0" w:right="0" w:hanging="0"/>
        <w:jc w:val="both"/>
        <w:rPr/>
      </w:pPr>
      <w:r>
        <w:rPr/>
        <w:t>●</w:t>
      </w:r>
      <w:r>
        <w:rPr>
          <w:rFonts w:ascii="Times New Roman;Times;serif" w:hAnsi="Times New Roman;Times;serif"/>
          <w:sz w:val="24"/>
        </w:rPr>
        <w:t xml:space="preserve">any judgment or judgments, writ or writs or warrant or warrants of attachment, or any similar process or processes, shall be entered or filed against the Borrower or any Subsidiary, or against any of its </w:t>
      </w:r>
      <w:bookmarkStart w:id="2226" w:name="_cp_change_422"/>
      <w:bookmarkEnd w:id="2226"/>
      <w:r>
        <w:rPr>
          <w:rFonts w:ascii="Times New Roman;Times;serif" w:hAnsi="Times New Roman;Times;serif"/>
          <w:color w:val="FF0000"/>
          <w:sz w:val="24"/>
        </w:rPr>
        <w:t>Property</w:t>
      </w:r>
      <w:bookmarkStart w:id="2227" w:name="_cp_change_423"/>
      <w:bookmarkEnd w:id="2227"/>
      <w:r>
        <w:rPr>
          <w:rFonts w:ascii="Times New Roman;Times;serif" w:hAnsi="Times New Roman;Times;serif"/>
          <w:color w:val="0000FF"/>
          <w:sz w:val="24"/>
          <w:u w:val="single"/>
        </w:rPr>
        <w:t>Properties or other assets</w:t>
      </w:r>
      <w:r>
        <w:rPr>
          <w:rFonts w:ascii="Times New Roman;Times;serif" w:hAnsi="Times New Roman;Times;serif"/>
          <w:sz w:val="24"/>
        </w:rPr>
        <w:t xml:space="preserve">, in an aggregate amount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excess of $5,000,000 (except to the extent fully covered by insurance pursuant to which the insurer has accepted liability therefor in writing), and which remains undischarged, unvacated, unbonded or unstayed for a period of thirty (30) days; </w:t>
      </w:r>
    </w:p>
    <w:p>
      <w:pPr>
        <w:pStyle w:val="TextBody"/>
        <w:bidi w:val="0"/>
        <w:spacing w:before="0" w:after="240"/>
        <w:ind w:left="0" w:right="0" w:hanging="0"/>
        <w:jc w:val="both"/>
        <w:rPr/>
      </w:pPr>
      <w:r>
        <w:rPr/>
        <w:t>●</w:t>
      </w:r>
      <w:r>
        <w:rPr>
          <w:rFonts w:ascii="Times New Roman;Times;serif" w:hAnsi="Times New Roman;Times;serif"/>
          <w:sz w:val="24"/>
        </w:rPr>
        <w:t>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w:t>
      </w:r>
      <w:r>
        <w:rPr>
          <w:rFonts w:ascii="Times New Roman;Times;serif" w:hAnsi="Times New Roman;Times;serif"/>
          <w:i/>
          <w:sz w:val="24"/>
        </w:rPr>
        <w:t>Material Plan”</w:t>
      </w:r>
      <w:r>
        <w:rPr>
          <w:rFonts w:ascii="Times New Roman;Times;serif" w:hAnsi="Times New Roman;Times;serif"/>
          <w:sz w:val="24"/>
        </w:rPr>
        <w:t xml:space="preserve">)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 </w:t>
      </w:r>
    </w:p>
    <w:p>
      <w:pPr>
        <w:pStyle w:val="TextBody"/>
        <w:bidi w:val="0"/>
        <w:spacing w:before="0" w:after="240"/>
        <w:ind w:left="0" w:right="0" w:hanging="0"/>
        <w:jc w:val="both"/>
        <w:rPr/>
      </w:pPr>
      <w:r>
        <w:rPr/>
        <w:t>●</w:t>
      </w:r>
      <w:r>
        <w:rPr>
          <w:rFonts w:ascii="Times New Roman;Times;serif" w:hAnsi="Times New Roman;Times;serif"/>
          <w:sz w:val="24"/>
        </w:rPr>
        <w:t>any Change of Control shall occur;</w:t>
      </w:r>
    </w:p>
    <w:p>
      <w:pPr>
        <w:pStyle w:val="TextBody"/>
        <w:bidi w:val="0"/>
        <w:spacing w:before="0" w:after="240"/>
        <w:ind w:left="0" w:right="0" w:hanging="0"/>
        <w:jc w:val="both"/>
        <w:rPr/>
      </w:pPr>
      <w:r>
        <w:rPr/>
        <w:t>●</w:t>
      </w:r>
      <w:r>
        <w:rPr>
          <w:rFonts w:ascii="Times New Roman;Times;serif" w:hAnsi="Times New Roman;Times;serif"/>
          <w:sz w:val="24"/>
        </w:rPr>
        <w:t xml:space="preserve">the Borrower or any Material Subsidiary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w:t>
      </w:r>
      <w:bookmarkStart w:id="2228" w:name="_cp_change_424"/>
      <w:bookmarkEnd w:id="2228"/>
      <w:r>
        <w:rPr>
          <w:rFonts w:ascii="Times New Roman;Times;serif" w:hAnsi="Times New Roman;Times;serif"/>
          <w:color w:val="FF0000"/>
          <w:sz w:val="24"/>
        </w:rPr>
        <w:t>Property,</w:t>
      </w:r>
      <w:bookmarkStart w:id="2229" w:name="_cp_change_425"/>
      <w:bookmarkEnd w:id="2229"/>
      <w:r>
        <w:rPr>
          <w:rFonts w:ascii="Times New Roman;Times;serif" w:hAnsi="Times New Roman;Times;serif"/>
          <w:color w:val="0000FF"/>
          <w:sz w:val="24"/>
          <w:u w:val="single"/>
        </w:rPr>
        <w:t>Properties or other assets,</w:t>
      </w:r>
      <w:r>
        <w:rPr>
          <w:rFonts w:ascii="Times New Roman;Times;serif" w:hAnsi="Times New Roman;Times;serif"/>
          <w:sz w:val="24"/>
        </w:rPr>
        <w:t xml:space="preserve">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pStyle w:val="TextBody"/>
        <w:bidi w:val="0"/>
        <w:spacing w:before="0" w:after="240"/>
        <w:ind w:left="0" w:right="0" w:hanging="0"/>
        <w:jc w:val="both"/>
        <w:rPr/>
      </w:pPr>
      <w:r>
        <w:rPr/>
        <w:t>●</w:t>
      </w:r>
      <w:r>
        <w:rPr>
          <w:rFonts w:ascii="Times New Roman;Times;serif" w:hAnsi="Times New Roman;Times;serif"/>
          <w:sz w:val="24"/>
        </w:rPr>
        <w:t xml:space="preserve">a custodian, receiver, trustee, examiner, liquidator or similar official shall be appointed for the Borrower or any Subsidiary, or any substantial part of any of its </w:t>
      </w:r>
      <w:bookmarkStart w:id="2230" w:name="_cp_change_426"/>
      <w:bookmarkEnd w:id="2230"/>
      <w:r>
        <w:rPr>
          <w:rFonts w:ascii="Times New Roman;Times;serif" w:hAnsi="Times New Roman;Times;serif"/>
          <w:color w:val="FF0000"/>
          <w:sz w:val="24"/>
        </w:rPr>
        <w:t>Property,</w:t>
      </w:r>
      <w:bookmarkStart w:id="2231" w:name="_cp_change_427"/>
      <w:bookmarkEnd w:id="2231"/>
      <w:r>
        <w:rPr>
          <w:rFonts w:ascii="Times New Roman;Times;serif" w:hAnsi="Times New Roman;Times;serif"/>
          <w:color w:val="0000FF"/>
          <w:sz w:val="24"/>
          <w:u w:val="single"/>
        </w:rPr>
        <w:t>Properties or other assets,</w:t>
      </w:r>
      <w:r>
        <w:rPr>
          <w:rFonts w:ascii="Times New Roman;Times;serif" w:hAnsi="Times New Roman;Times;serif"/>
          <w:sz w:val="24"/>
        </w:rPr>
        <w:t xml:space="preserve"> or a proceeding described in Section 9.1(j)(v) shall be instituted against the Borrower or any Subsidiary, and such appointment continues undischarged or such proceeding continues undismissed or unstayed for a period of sixty (60) days;</w:t>
      </w:r>
    </w:p>
    <w:p>
      <w:pPr>
        <w:pStyle w:val="TextBody"/>
        <w:bidi w:val="0"/>
        <w:spacing w:before="0" w:after="240"/>
        <w:ind w:left="0" w:right="0" w:hanging="0"/>
        <w:jc w:val="both"/>
        <w:rPr/>
      </w:pPr>
      <w:r>
        <w:rPr/>
        <w:t>●</w:t>
      </w:r>
      <w:r>
        <w:rPr>
          <w:rFonts w:ascii="Times New Roman;Times;serif" w:hAnsi="Times New Roman;Times;serif"/>
          <w:sz w:val="24"/>
        </w:rPr>
        <w:t>the Common Stock of Parent fails to be duly listed on the New York Stock Exchange, the NYSE American or The NASDAQ Stock Market; or</w:t>
      </w:r>
    </w:p>
    <w:p>
      <w:pPr>
        <w:pStyle w:val="TextBody"/>
        <w:bidi w:val="0"/>
        <w:ind w:left="0" w:right="0" w:hanging="0"/>
        <w:jc w:val="both"/>
        <w:rPr/>
      </w:pPr>
      <w:r>
        <w:rPr/>
        <w:t>●</w:t>
      </w:r>
      <w:r>
        <w:rPr>
          <w:rFonts w:ascii="Times New Roman;Times;serif" w:hAnsi="Times New Roman;Times;serif"/>
          <w:sz w:val="24"/>
        </w:rPr>
        <w:t xml:space="preserve">any material provision of any Loan Document, at any time after its execution and delivery and for any reason other than in accordance with the terms hereof or thereof, or satisfaction in full or all the Obligations, is revoked, terminated, cancelled or rescinded,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without the prior written approval of the Administrative Agent; or any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pStyle w:val="TextBody"/>
        <w:bidi w:val="0"/>
        <w:spacing w:before="0" w:after="240"/>
        <w:ind w:left="0" w:right="0" w:hanging="0"/>
        <w:jc w:val="both"/>
        <w:rPr/>
      </w:pPr>
      <w:r>
        <w:rPr/>
        <w:t>●</w:t>
      </w:r>
      <w:bookmarkStart w:id="2232" w:name="_Toc184891543"/>
      <w:bookmarkEnd w:id="2232"/>
      <w:r>
        <w:rPr>
          <w:rFonts w:ascii="Times New Roman;Times;serif" w:hAnsi="Times New Roman;Times;serif"/>
          <w:sz w:val="24"/>
          <w:u w:val="single"/>
        </w:rPr>
        <w:t>Non-Bankruptcy Defaults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When any Event of Default (other than those 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Required Lenders, declare the principal of and the accrued interest on all outstanding Term Loans and Incremental Term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The Administrative Agent, after giving notice to the Borrower pursuant to Section 9.1(c) or this Section 9.2, shall also promptly send a copy of such notice to the other Lenders, but the failure to do so shall not impair or annul the effect of such notice.</w:t>
      </w:r>
    </w:p>
    <w:p>
      <w:pPr>
        <w:pStyle w:val="TextBody"/>
        <w:bidi w:val="0"/>
        <w:spacing w:before="0" w:after="240"/>
        <w:ind w:left="0" w:right="0" w:hanging="0"/>
        <w:jc w:val="both"/>
        <w:rPr/>
      </w:pPr>
      <w:r>
        <w:rPr/>
        <w:t>●</w:t>
      </w:r>
      <w:bookmarkStart w:id="2233" w:name="_Toc184891544"/>
      <w:bookmarkEnd w:id="2233"/>
      <w:r>
        <w:rPr>
          <w:rFonts w:ascii="Times New Roman;Times;serif" w:hAnsi="Times New Roman;Times;serif"/>
          <w:sz w:val="24"/>
          <w:u w:val="single"/>
        </w:rPr>
        <w:t>Bankruptcy Defaults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When any Event of Default described in subsections (j) or (k) of Section 9.1 hereof has occurred and is continuing, then all outstanding Loans shall immediately become due and payable together with all other amounts payable under the Loan Documents without presentment, demand, protest or notice of any kind.</w:t>
      </w:r>
    </w:p>
    <w:p>
      <w:pPr>
        <w:pStyle w:val="TextBody"/>
        <w:bidi w:val="0"/>
        <w:spacing w:before="0" w:after="240"/>
        <w:ind w:left="0" w:right="0" w:hanging="0"/>
        <w:jc w:val="both"/>
        <w:rPr/>
      </w:pPr>
      <w:r>
        <w:rPr/>
        <w:t>●</w:t>
      </w:r>
      <w:bookmarkStart w:id="2234" w:name="_Toc184891545"/>
      <w:bookmarkStart w:id="2235" w:name="_Toc698236331"/>
      <w:bookmarkEnd w:id="2234"/>
      <w:bookmarkEnd w:id="2235"/>
      <w:r>
        <w:rPr>
          <w:rFonts w:ascii="Times New Roman;Times;serif" w:hAnsi="Times New Roman;Times;serif"/>
          <w:sz w:val="24"/>
          <w:u w:val="single"/>
        </w:rPr>
        <w:t>Notice of Default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Administrative Agent shall give notice to the Borrower under Section 9.1 hereof promptly upon being requested to do so by any Lender and shall thereupon notify all the Lenders thereof.</w:t>
      </w:r>
    </w:p>
    <w:p>
      <w:pPr>
        <w:pStyle w:val="TextBody"/>
        <w:bidi w:val="0"/>
        <w:spacing w:before="0" w:after="240"/>
        <w:ind w:left="720" w:right="0" w:hanging="0"/>
        <w:jc w:val="both"/>
        <w:rPr/>
      </w:pPr>
      <w:r>
        <w:rPr>
          <w:caps/>
        </w:rPr>
        <w:t>●</w:t>
      </w:r>
      <w:bookmarkStart w:id="2236" w:name="_Toc184891546"/>
      <w:bookmarkEnd w:id="2236"/>
      <w:r>
        <w:rPr>
          <w:rFonts w:ascii="Times New Roman;Times;serif" w:hAnsi="Times New Roman;Times;serif"/>
          <w:caps/>
          <w:sz w:val="24"/>
        </w:rPr>
        <w:t>Change in Circumstances.</w:t>
      </w:r>
    </w:p>
    <w:p>
      <w:pPr>
        <w:pStyle w:val="TextBody"/>
        <w:bidi w:val="0"/>
        <w:spacing w:before="0" w:after="240"/>
        <w:ind w:left="0" w:right="0" w:hanging="0"/>
        <w:jc w:val="both"/>
        <w:rPr/>
      </w:pPr>
      <w:r>
        <w:rPr/>
        <w:t>●</w:t>
      </w:r>
      <w:bookmarkStart w:id="2237" w:name="_Toc184891547"/>
      <w:bookmarkEnd w:id="2237"/>
      <w:r>
        <w:rPr>
          <w:rFonts w:ascii="Times New Roman;Times;serif" w:hAnsi="Times New Roman;Times;serif"/>
          <w:sz w:val="24"/>
          <w:u w:val="single"/>
        </w:rPr>
        <w:t>Change of Law</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Notwithstanding any other provisions of this Agreement or any other Loan Document, if at any time any Change in Law makes it unlawful for any Lender to make or continue to maintain any SOFR Loans or to perform its obligations as contemplated hereby related to SOFR Loans, such Lender shall promptly give written notice thereof to the Borrower and such Lender’s obligations to make or maintain SOFR Loans under this Agreement shall be suspended until it is no longer unlawful for such Lender to make or maintain SOFR Loans.  The Borrower shall promptly prepay the outstanding principal amount of any such affected SOFR Loans, together with all interest accrued thereon and all other amounts then due and payable to such Lender under this Agreement or, subject to all of the terms and conditions of this Agreement, convert such affected SOFR Loans into Base Rate Loans; </w:t>
      </w:r>
      <w:r>
        <w:rPr>
          <w:rFonts w:ascii="Times New Roman;Times;serif" w:hAnsi="Times New Roman;Times;serif"/>
          <w:i/>
          <w:sz w:val="24"/>
        </w:rPr>
        <w:t>provided, however,</w:t>
      </w:r>
      <w:r>
        <w:rPr>
          <w:rFonts w:ascii="Times New Roman;Times;serif" w:hAnsi="Times New Roman;Times;serif"/>
          <w:sz w:val="24"/>
        </w:rPr>
        <w:t xml:space="preserve"> subject to all of the terms and conditions of this Agreement (unless the affected SOFR Loans are converted into Base Rate Loans), the Borrower may then elect to borrow the principal amount of the affected SOFR Loans from such Lender by means of Base Rate Loans from such Lender, which Base Rate Loans shall not be made ratably by the Lenders but only from such affected Lender.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2238" w:name="_Toc184891548"/>
      <w:bookmarkStart w:id="2239" w:name="_Ref999607971"/>
      <w:bookmarkStart w:id="2240" w:name="_Toc99958867"/>
      <w:bookmarkStart w:id="2241" w:name="_Toc975587781"/>
      <w:bookmarkStart w:id="2242" w:name="_Toc935746191"/>
      <w:bookmarkStart w:id="2243" w:name="_Ref935254151"/>
      <w:bookmarkStart w:id="2244" w:name="_Toc814142651"/>
      <w:bookmarkStart w:id="2245" w:name="_Ref171509351"/>
      <w:bookmarkStart w:id="2246" w:name="_Ref166859281"/>
      <w:bookmarkStart w:id="2247" w:name="_Ref166854671"/>
      <w:bookmarkStart w:id="2248" w:name="_Ref5243475591"/>
      <w:bookmarkStart w:id="2249" w:name="_Ref5243475581"/>
      <w:bookmarkStart w:id="2250" w:name="_Ref5243475571"/>
      <w:bookmarkStart w:id="2251" w:name="_Toc1282997491"/>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r>
        <w:rPr>
          <w:rFonts w:ascii="Times New Roman;Times;serif" w:hAnsi="Times New Roman;Times;serif"/>
          <w:sz w:val="24"/>
          <w:u w:val="single"/>
        </w:rPr>
        <w:t>Temporary Inability to Determine Rates Alternate Rate of Interest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If (A) the Administrative Agent determines (which determination shall be conclusive and binding absent manifest error) that Adjusted Daily Simple SOFR or Adjusted Term SOFR cannot be determined pursuant to the definition thereof or (B) the Required Lenders determine that for any reason in connection with any request for a SOFR Loan or a conversion thereto or a continuation thereof that Adjusted Daily Simple SOFR or Adjusted Term SOFR for any requested Interest Period with respect to a proposed SOFR Loan does not adequately and fairly reflect the cost to such Lenders of funding such Loan, and the Required Lenders have provided notice of such determination to the Administrative Agent, in each case of (A) and (B), on or prior to the first day of any Interest Period, the Administrative Agent will promptly so notify the Borrower and each Lender.  Upon notice thereof by the Administrative Agent to the Borrower, (i) any obligation of the Lenders to make or continue the applicable SOFR Loans or to convert Base Rate Loans to SOFR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Upon receipt of such notice, (i) the Borrower may revoke any pending request for a borrowing of, conversion to or continuation of any applicable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in respect of Term SOFR Loans, or immediately in respect of Daily Simple SOFR Loans.  Upon any such conversion, the Borrower shall also pay accrued interest on the amount so converted, together with any additional amounts required pursuant to Section 1.11.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The Administrative Agent shall promptly revoke any such determination promptly upon the circumstances leading to such determination ceasing to exist.</w:t>
      </w:r>
    </w:p>
    <w:p>
      <w:pPr>
        <w:pStyle w:val="TextBody"/>
        <w:bidi w:val="0"/>
        <w:spacing w:before="0" w:after="240"/>
        <w:ind w:left="0" w:right="0" w:hanging="0"/>
        <w:jc w:val="both"/>
        <w:rPr/>
      </w:pPr>
      <w:r>
        <w:rPr>
          <w:caps w:val="false"/>
          <w:smallCaps w:val="false"/>
        </w:rPr>
        <w:t>●</w:t>
      </w:r>
      <w:bookmarkStart w:id="2252" w:name="_Toc184891549"/>
      <w:bookmarkEnd w:id="2252"/>
      <w:r>
        <w:rPr>
          <w:rFonts w:ascii="Times New Roman;Times;serif" w:hAnsi="Times New Roman;Times;serif"/>
          <w:b w:val="false"/>
          <w:i w:val="false"/>
          <w:caps w:val="false"/>
          <w:smallCaps w:val="false"/>
          <w:sz w:val="24"/>
          <w:u w:val="single"/>
        </w:rPr>
        <w:t>Increased Cost and Reduced Return</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rPr>
        <w:t>If any Change in Law shall:</w:t>
      </w:r>
    </w:p>
    <w:p>
      <w:pPr>
        <w:pStyle w:val="TextBody"/>
        <w:bidi w:val="0"/>
        <w:spacing w:before="0" w:after="240"/>
        <w:ind w:left="720" w:right="0" w:hanging="0"/>
        <w:jc w:val="both"/>
        <w:rPr/>
      </w:pPr>
      <w:r>
        <w:rPr/>
        <w:t>●</w:t>
      </w:r>
      <w:r>
        <w:rPr>
          <w:rFonts w:ascii="Times New Roman;Times;serif" w:hAnsi="Times New Roman;Times;serif"/>
          <w:sz w:val="24"/>
        </w:rPr>
        <w:t xml:space="preserve">subject any Lender (or its Lending Office) to any </w:t>
      </w:r>
      <w:bookmarkStart w:id="2253" w:name="_DV_C2795"/>
      <w:bookmarkEnd w:id="2253"/>
      <w:r>
        <w:rPr>
          <w:rFonts w:ascii="Times New Roman;Times;serif" w:hAnsi="Times New Roman;Times;serif"/>
          <w:sz w:val="24"/>
        </w:rPr>
        <w:t>Tax (other than (A) Indemnified Taxes, (B) Taxes described in clauses (b) through (d) of the definition of Excluded Taxes, and (C) Connection Income Taxes) with respect to its SOFR Loans, its Notes or any other amounts due under this Agreement or any other Loan Document in respect of its SOFR Loans, (except for changes in the basis or rate of (A) Indemnified Taxes, (B) Taxes described in clauses (b) through (d) of the definition of Excluded Taxes and (C) Connection Income Taxes); or</w:t>
      </w:r>
    </w:p>
    <w:p>
      <w:pPr>
        <w:pStyle w:val="TextBody"/>
        <w:bidi w:val="0"/>
        <w:ind w:left="720" w:right="0" w:hanging="0"/>
        <w:jc w:val="both"/>
        <w:rPr/>
      </w:pPr>
      <w:r>
        <w:rPr/>
        <w:t>●</w:t>
      </w:r>
      <w:r>
        <w:rPr>
          <w:rFonts w:ascii="Times New Roman;Times;serif" w:hAnsi="Times New Roman;Times;serif"/>
          <w:sz w:val="24"/>
        </w:rPr>
        <w:t xml:space="preserve">impose, modify or deem applicable any reserve, special deposit, compulsory loan, insurance charge or similar requirement (including, without limitation, any such requirement imposed by the Board of Governors of the Federal Reserve System) against assets of, deposits with or for the account of, or credit extended by, and Lender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its Lending Office)or on the interbank market any other condition affecting its SOFR Loans, it Notes or its obligations to make SOFR Loans;</w:t>
      </w:r>
    </w:p>
    <w:p>
      <w:pPr>
        <w:pStyle w:val="TextBody"/>
        <w:bidi w:val="0"/>
        <w:spacing w:before="0" w:after="240"/>
        <w:ind w:left="0" w:right="0" w:hanging="0"/>
        <w:jc w:val="both"/>
        <w:rPr>
          <w:rFonts w:ascii="Times" w:hAnsi="Times"/>
          <w:sz w:val="24"/>
        </w:rPr>
      </w:pPr>
      <w:r>
        <w:rPr>
          <w:rFonts w:ascii="Times" w:hAnsi="Times"/>
          <w:sz w:val="24"/>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pStyle w:val="TextBody"/>
        <w:bidi w:val="0"/>
        <w:spacing w:before="0" w:after="240"/>
        <w:ind w:left="0" w:right="0" w:hanging="0"/>
        <w:jc w:val="both"/>
        <w:rPr/>
      </w:pPr>
      <w:r>
        <w:rPr/>
        <w:t>●</w:t>
      </w:r>
      <w:r>
        <w:rPr>
          <w:rFonts w:ascii="Times New Roman;Times;serif" w:hAnsi="Times New Roman;Times;serif"/>
          <w:sz w:val="24"/>
        </w:rPr>
        <w:t>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pStyle w:val="TextBody"/>
        <w:bidi w:val="0"/>
        <w:spacing w:before="0" w:after="240"/>
        <w:ind w:left="0" w:right="0" w:hanging="0"/>
        <w:jc w:val="both"/>
        <w:rPr/>
      </w:pPr>
      <w:r>
        <w:rPr/>
        <w:t>●</w:t>
      </w:r>
      <w:r>
        <w:rPr>
          <w:rFonts w:ascii="Times New Roman;Times;serif" w:hAnsi="Times New Roman;Times;serif"/>
          <w:sz w:val="24"/>
        </w:rPr>
        <w:t>A certificate of a Lender claiming compensation under Sections 1.11, 10.1, 10.3 and 12.1 and setting forth the additional amount or amounts to be paid to it hereunder shall be conclusive if reasonably determined.  In determining such amount, such Lender may use any reasonable averaging and attribution methods.</w:t>
      </w:r>
    </w:p>
    <w:p>
      <w:pPr>
        <w:pStyle w:val="TextBody"/>
        <w:bidi w:val="0"/>
        <w:spacing w:before="0" w:after="0"/>
        <w:ind w:left="0" w:right="0" w:hanging="0"/>
        <w:jc w:val="both"/>
        <w:rPr/>
      </w:pPr>
      <w:r>
        <w:rPr/>
        <w:t>●</w:t>
      </w:r>
      <w:r>
        <w:rPr>
          <w:rFonts w:ascii="Times New Roman;Times;serif" w:hAnsi="Times New Roman;Times;serif"/>
          <w:sz w:val="24"/>
        </w:rPr>
        <w:t xml:space="preserve">Failure or delay on the part of any Lender to demand compensation pursuant to this Section shall not constitute a waiver of such Lender’s right to demand such compensation; </w:t>
      </w:r>
      <w:r>
        <w:rPr>
          <w:rFonts w:ascii="Times New Roman;Times;serif" w:hAnsi="Times New Roman;Times;serif"/>
          <w:i/>
          <w:sz w:val="24"/>
        </w:rPr>
        <w:t>provided</w:t>
      </w:r>
      <w:r>
        <w:rPr>
          <w:rFonts w:ascii="Times New Roman;Times;serif" w:hAnsi="Times New Roman;Times;serif"/>
          <w:sz w:val="24"/>
        </w:rPr>
        <w:t xml:space="preserve">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 </w:t>
      </w:r>
    </w:p>
    <w:p>
      <w:pPr>
        <w:pStyle w:val="TextBody"/>
        <w:bidi w:val="0"/>
        <w:spacing w:before="0" w:after="240"/>
        <w:ind w:left="0" w:right="0" w:hanging="0"/>
        <w:jc w:val="both"/>
        <w:rPr/>
      </w:pPr>
      <w:r>
        <w:rPr/>
        <w:t>●</w:t>
      </w:r>
      <w:bookmarkStart w:id="2254" w:name="_Toc184891550"/>
      <w:bookmarkEnd w:id="2254"/>
      <w:r>
        <w:rPr>
          <w:rFonts w:ascii="Times New Roman;Times;serif" w:hAnsi="Times New Roman;Times;serif"/>
          <w:sz w:val="24"/>
          <w:u w:val="single"/>
        </w:rPr>
        <w:t>Lending Offices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Each Lender may, at its option, elect to make its Loans hereunder at the branch, office or affiliate specified on the appropriate signature page hereof (each a “</w:t>
      </w:r>
      <w:r>
        <w:rPr>
          <w:rFonts w:ascii="Times New Roman;Times;serif" w:hAnsi="Times New Roman;Times;serif"/>
          <w:i/>
          <w:sz w:val="24"/>
        </w:rPr>
        <w:t>Lending Office”</w:t>
      </w:r>
      <w:r>
        <w:rPr>
          <w:rFonts w:ascii="Times New Roman;Times;serif" w:hAnsi="Times New Roman;Times;serif"/>
          <w:sz w:val="24"/>
        </w:rPr>
        <w:t>)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SOFR Loans to reduce any liability of the Borrower to such Lender under Section 10.3 hereof or to avoid the unavailability of SOFR Loans under Section 10.2 hereof, so long as such designation is not otherwise disadvantageous to the Lender.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2255" w:name="_Toc184891551"/>
      <w:bookmarkEnd w:id="2255"/>
      <w:r>
        <w:rPr>
          <w:rFonts w:ascii="Times New Roman;Times;serif" w:hAnsi="Times New Roman;Times;serif"/>
          <w:sz w:val="24"/>
          <w:u w:val="single"/>
        </w:rPr>
        <w:t>Discretion of Lender as to Manner of Funding</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xml:space="preserve">. </w:t>
      </w:r>
      <w:r>
        <w:rPr>
          <w:rFonts w:ascii="Times New Roman;Times;serif" w:hAnsi="Times New Roman;Times;serif"/>
          <w:sz w:val="24"/>
        </w:rPr>
        <w:t> 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SOFR Loans shall be made as if each Lender had actually funded and maintained each SOFR Loan through the purchase of deposits in the applicable interbank market having a maturity corresponding to such Loan’s Interest Period, and bearing an interest rate equal to the applicable SOFR for any applicable Interest Period.</w:t>
      </w:r>
    </w:p>
    <w:p>
      <w:pPr>
        <w:pStyle w:val="TextBody"/>
        <w:bidi w:val="0"/>
        <w:spacing w:before="0" w:after="240"/>
        <w:ind w:left="0" w:right="0" w:hanging="0"/>
        <w:jc w:val="both"/>
        <w:rPr/>
      </w:pPr>
      <w:r>
        <w:rPr/>
        <w:t>●</w:t>
      </w:r>
      <w:bookmarkStart w:id="2256" w:name="_Toc935746261"/>
      <w:bookmarkStart w:id="2257" w:name="_Ref935244011"/>
      <w:bookmarkStart w:id="2258" w:name="_Toc184891552"/>
      <w:bookmarkStart w:id="2259" w:name="_Ref999607611"/>
      <w:bookmarkStart w:id="2260" w:name="_Toc99958871"/>
      <w:bookmarkStart w:id="2261" w:name="_Toc975587861"/>
      <w:bookmarkEnd w:id="2256"/>
      <w:bookmarkEnd w:id="2257"/>
      <w:bookmarkEnd w:id="2258"/>
      <w:bookmarkEnd w:id="2259"/>
      <w:bookmarkEnd w:id="2260"/>
      <w:bookmarkEnd w:id="2261"/>
      <w:r>
        <w:rPr>
          <w:rFonts w:ascii="Times New Roman;Times;serif" w:hAnsi="Times New Roman;Times;serif"/>
          <w:sz w:val="24"/>
          <w:u w:val="single"/>
        </w:rPr>
        <w:t>Permanent Inability to Determine Rate; Benchmark Replacement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bookmarkStart w:id="2262" w:name="_Ref935243931"/>
      <w:bookmarkEnd w:id="2262"/>
      <w:r>
        <w:rPr>
          <w:rFonts w:ascii="Times New Roman;Times;serif" w:hAnsi="Times New Roman;Times;serif"/>
          <w:sz w:val="24"/>
          <w:u w:val="single"/>
        </w:rPr>
        <w:t>Benchmark Replacement</w:t>
      </w:r>
      <w:r>
        <w:rPr>
          <w:rFonts w:ascii="Times New Roman;Times;serif" w:hAnsi="Times New Roman;Times;serif"/>
          <w:sz w:val="24"/>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Boston, Massachusetts time,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No replacement of the then-current Benchmark with a Benchmark Replacement pursuant to this Section 10.6 will occur prior to the applicable Benchmark Transition Start Date.</w:t>
      </w:r>
    </w:p>
    <w:p>
      <w:pPr>
        <w:pStyle w:val="TextBody"/>
        <w:bidi w:val="0"/>
        <w:spacing w:before="0" w:after="240"/>
        <w:ind w:left="0" w:right="0" w:hanging="0"/>
        <w:jc w:val="both"/>
        <w:rPr/>
      </w:pPr>
      <w:r>
        <w:rPr/>
        <w:t>●</w:t>
      </w:r>
      <w:r>
        <w:rPr>
          <w:rFonts w:ascii="Times New Roman;Times;serif" w:hAnsi="Times New Roman;Times;serif"/>
          <w:sz w:val="24"/>
          <w:u w:val="single"/>
        </w:rPr>
        <w:t>Benchmark Replacement Conforming Changes</w:t>
      </w:r>
      <w:r>
        <w:rPr>
          <w:rFonts w:ascii="Times New Roman;Times;serif" w:hAnsi="Times New Roman;Times;serif"/>
          <w:sz w:val="24"/>
        </w:rPr>
        <w: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ind w:left="0" w:right="0" w:hanging="0"/>
        <w:jc w:val="both"/>
        <w:rPr/>
      </w:pPr>
      <w:r>
        <w:rPr/>
        <w:t>●</w:t>
      </w:r>
      <w:r>
        <w:rPr>
          <w:rFonts w:ascii="Times New Roman;Times;serif" w:hAnsi="Times New Roman;Times;serif"/>
          <w:sz w:val="24"/>
          <w:u w:val="single"/>
        </w:rPr>
        <w:t>Notices; Standards for Decisions and Determinations</w:t>
      </w:r>
      <w:r>
        <w:rPr>
          <w:rFonts w:ascii="Times New Roman;Times;serif" w:hAnsi="Times New Roman;Times;serif"/>
          <w:sz w:val="24"/>
        </w:rPr>
        <w:t>.  The Administrative Agent will promptly notify the Borrower and the Lenders of the implementation of any Benchmark Replacement and the effectiveness of any Conforming Changes.  The Administrative Agent will notify the Borrower of (x) the removal or reinstatement of any tenor of a Benchmark and (y) the commencement of any Benchmark Unavailability Period.  Any determination, decision or election that may be made by the Administrative Agent or Lenders pursuant to this Section 10.6,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10.6.</w:t>
      </w:r>
    </w:p>
    <w:p>
      <w:pPr>
        <w:pStyle w:val="TextBody"/>
        <w:bidi w:val="0"/>
        <w:spacing w:before="0" w:after="240"/>
        <w:ind w:left="0" w:right="0" w:hanging="0"/>
        <w:jc w:val="both"/>
        <w:rPr/>
      </w:pPr>
      <w:r>
        <w:rPr/>
        <w:t>●</w:t>
      </w:r>
      <w:bookmarkStart w:id="2263" w:name="_Ref935253641"/>
      <w:bookmarkEnd w:id="2263"/>
      <w:r>
        <w:rPr>
          <w:rFonts w:ascii="Times New Roman;Times;serif" w:hAnsi="Times New Roman;Times;serif"/>
          <w:sz w:val="24"/>
          <w:u w:val="single"/>
        </w:rPr>
        <w:t>Unavailability of Tenor of Benchmark</w:t>
      </w:r>
      <w:r>
        <w:rPr>
          <w:rFonts w:ascii="Times New Roman;Times;serif" w:hAnsi="Times New Roman;Times;serif"/>
          <w:sz w:val="24"/>
        </w:rPr>
        <w:t xml:space="preserve">.  Notwithstanding anything to the contrary herein or in any other Loan Document,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both"/>
        <w:rPr/>
      </w:pPr>
      <w:r>
        <w:rPr/>
        <w:t>●</w:t>
      </w:r>
      <w:r>
        <w:rPr>
          <w:rFonts w:ascii="Times New Roman;Times;serif" w:hAnsi="Times New Roman;Times;serif"/>
          <w:sz w:val="24"/>
          <w:u w:val="single"/>
        </w:rPr>
        <w:t>Benchmark Unavailability Period</w:t>
      </w:r>
      <w:r>
        <w:rPr>
          <w:rFonts w:ascii="Times New Roman;Times;serif" w:hAnsi="Times New Roman;Times;serif"/>
          <w:sz w:val="24"/>
        </w:rPr>
        <w:t>.  Upon the Borrower’s receipt of notice of the commencement of a Benchmark Unavailability Period, the Borrower may revoke any request for the applicable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Adjusted Term SOFR (or then-current Benchmark) will not be used in any determination of Base Rate.</w:t>
      </w:r>
    </w:p>
    <w:p>
      <w:pPr>
        <w:pStyle w:val="TextBody"/>
        <w:bidi w:val="0"/>
        <w:spacing w:before="0" w:after="240"/>
        <w:ind w:left="720" w:right="0" w:hanging="0"/>
        <w:jc w:val="both"/>
        <w:rPr/>
      </w:pPr>
      <w:r>
        <w:rPr>
          <w:caps/>
        </w:rPr>
        <w:t>●</w:t>
      </w:r>
      <w:bookmarkStart w:id="2264" w:name="_Toc184891553"/>
      <w:bookmarkEnd w:id="2264"/>
      <w:r>
        <w:rPr>
          <w:rFonts w:ascii="Times New Roman;Times;serif" w:hAnsi="Times New Roman;Times;serif"/>
          <w:caps/>
          <w:sz w:val="24"/>
        </w:rPr>
        <w:t>The Administrative Agent.</w:t>
      </w:r>
    </w:p>
    <w:p>
      <w:pPr>
        <w:pStyle w:val="TextBody"/>
        <w:bidi w:val="0"/>
        <w:spacing w:before="0" w:after="240"/>
        <w:ind w:left="0" w:right="0" w:hanging="0"/>
        <w:jc w:val="both"/>
        <w:rPr/>
      </w:pPr>
      <w:r>
        <w:rPr/>
        <w:t>●</w:t>
      </w:r>
      <w:bookmarkStart w:id="2265" w:name="_Toc184891554"/>
      <w:bookmarkEnd w:id="2265"/>
      <w:r>
        <w:rPr>
          <w:rFonts w:ascii="Times New Roman;Times;serif" w:hAnsi="Times New Roman;Times;serif"/>
          <w:sz w:val="24"/>
          <w:u w:val="single"/>
        </w:rPr>
        <w:t>Appointment and Authority</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Each of the Lenders hereby irrevocably appoints Truist 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0" w:right="0" w:hanging="0"/>
        <w:jc w:val="both"/>
        <w:rPr/>
      </w:pPr>
      <w:r>
        <w:rPr/>
        <w:t>●</w:t>
      </w:r>
      <w:bookmarkStart w:id="2266" w:name="_Toc184891555"/>
      <w:bookmarkEnd w:id="2266"/>
      <w:r>
        <w:rPr>
          <w:rFonts w:ascii="Times New Roman;Times;serif" w:hAnsi="Times New Roman;Times;serif"/>
          <w:sz w:val="24"/>
          <w:u w:val="single"/>
        </w:rPr>
        <w:t>Rights as a Lender</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xml:space="preserve">. </w:t>
      </w:r>
      <w:r>
        <w:rPr>
          <w:rFonts w:ascii="Times New Roman;Times;serif" w:hAnsi="Times New Roman;Times;serif"/>
          <w:sz w:val="24"/>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with, the Borrower or any Subsidiary or other Affiliate thereof as if such Person were not the Administrative Agent hereunder and without any duty to account therefor to the Lenders.</w:t>
      </w:r>
    </w:p>
    <w:p>
      <w:pPr>
        <w:pStyle w:val="TextBody"/>
        <w:bidi w:val="0"/>
        <w:spacing w:before="0" w:after="240"/>
        <w:ind w:left="0" w:right="0" w:hanging="0"/>
        <w:jc w:val="both"/>
        <w:rPr/>
      </w:pPr>
      <w:r>
        <w:rPr/>
        <w:t>●</w:t>
      </w:r>
      <w:bookmarkStart w:id="2267" w:name="_Toc184891556"/>
      <w:bookmarkEnd w:id="2267"/>
      <w:r>
        <w:rPr>
          <w:rFonts w:ascii="Times New Roman;Times;serif" w:hAnsi="Times New Roman;Times;serif"/>
          <w:sz w:val="24"/>
          <w:u w:val="single"/>
        </w:rPr>
        <w:t>Action by Administrative Agent; Exculpatory Provisions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pStyle w:val="TextBody"/>
        <w:bidi w:val="0"/>
        <w:spacing w:before="0" w:after="240"/>
        <w:ind w:left="720" w:right="0" w:hanging="0"/>
        <w:jc w:val="both"/>
        <w:rPr/>
      </w:pPr>
      <w:r>
        <w:rPr/>
        <w:t>●</w:t>
      </w:r>
      <w:r>
        <w:rPr>
          <w:rFonts w:ascii="Times New Roman;Times;serif" w:hAnsi="Times New Roman;Times;serif"/>
          <w:sz w:val="24"/>
        </w:rPr>
        <w:t>shall not be subject to any fiduciary or other implied duties, regardless of whether a Default has occurred and is continuing;</w:t>
      </w:r>
    </w:p>
    <w:p>
      <w:pPr>
        <w:pStyle w:val="TextBody"/>
        <w:bidi w:val="0"/>
        <w:spacing w:before="0" w:after="240"/>
        <w:ind w:left="720" w:right="0" w:hanging="0"/>
        <w:jc w:val="both"/>
        <w:rPr/>
      </w:pPr>
      <w:r>
        <w:rPr/>
        <w:t>●</w:t>
      </w:r>
      <w:r>
        <w:rPr>
          <w:rFonts w:ascii="Times New Roman;Times;serif" w:hAnsi="Times New Roman;Times;serif"/>
          <w:sz w:val="24"/>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i/>
          <w:sz w:val="24"/>
        </w:rPr>
        <w:t>provided</w:t>
      </w:r>
      <w:r>
        <w:rPr>
          <w:rFonts w:ascii="Times New Roman;Times;serif" w:hAnsi="Times New Roman;Times;serif"/>
          <w:sz w:val="24"/>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pStyle w:val="TextBody"/>
        <w:bidi w:val="0"/>
        <w:spacing w:before="0" w:after="0"/>
        <w:ind w:left="720" w:right="0" w:hanging="0"/>
        <w:jc w:val="both"/>
        <w:rPr/>
      </w:pPr>
      <w:r>
        <w:rPr/>
        <w:t>●</w:t>
      </w:r>
      <w:r>
        <w:rPr>
          <w:rFonts w:ascii="Times New Roman;Times;serif" w:hAnsi="Times New Roman;Times;serif"/>
          <w:sz w:val="24"/>
        </w:rPr>
        <w:t>shall not, except as expressly set forth herein and in the other Loan Documents, have any duty or responsibility to disclose, and shall not be liable for the failure to disclose, any information relating to Borrower or any of its Affiliates or any Guarantor or any of their Affiliates that is communicated to or obtained by the Person serving as the Administrative Agent or any of its Affiliates in any capacity.</w:t>
      </w:r>
    </w:p>
    <w:p>
      <w:pPr>
        <w:pStyle w:val="TextBody"/>
        <w:bidi w:val="0"/>
        <w:spacing w:before="0" w:after="240"/>
        <w:ind w:left="0" w:right="0" w:hanging="0"/>
        <w:jc w:val="both"/>
        <w:rPr/>
      </w:pPr>
      <w:r>
        <w:rPr/>
        <w:t>●</w:t>
      </w:r>
      <w:r>
        <w:rPr>
          <w:rFonts w:ascii="Times New Roman;Times;serif" w:hAnsi="Times New Roman;Times;serif"/>
          <w:sz w:val="24"/>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9.5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a Lender.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4"/>
        </w:rPr>
        <w:t>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 elsewhere herein, other than to confirm receipt of items expressly required to be delivered to the Administrative Agent.</w:t>
      </w:r>
    </w:p>
    <w:p>
      <w:pPr>
        <w:pStyle w:val="TextBody"/>
        <w:bidi w:val="0"/>
        <w:spacing w:before="0" w:after="240"/>
        <w:ind w:left="0" w:right="0" w:hanging="0"/>
        <w:jc w:val="both"/>
        <w:rPr/>
      </w:pPr>
      <w:r>
        <w:rPr/>
        <w:t>●</w:t>
      </w:r>
      <w:bookmarkStart w:id="2268" w:name="_Toc184891557"/>
      <w:bookmarkEnd w:id="2268"/>
      <w:r>
        <w:rPr>
          <w:rFonts w:ascii="Times New Roman;Times;serif" w:hAnsi="Times New Roman;Times;serif"/>
          <w:sz w:val="24"/>
          <w:u w:val="single"/>
        </w:rPr>
        <w:t>Reliance by Administrative Agent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hanging="0"/>
        <w:jc w:val="both"/>
        <w:rPr/>
      </w:pPr>
      <w:r>
        <w:rPr/>
        <w:t>●</w:t>
      </w:r>
      <w:bookmarkStart w:id="2269" w:name="_Toc184891558"/>
      <w:bookmarkEnd w:id="2269"/>
      <w:r>
        <w:rPr>
          <w:rFonts w:ascii="Times New Roman;Times;serif" w:hAnsi="Times New Roman;Times;serif"/>
          <w:sz w:val="24"/>
          <w:u w:val="single"/>
        </w:rPr>
        <w:t>Delegation of Duties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240"/>
        <w:ind w:left="0" w:right="0" w:hanging="0"/>
        <w:jc w:val="both"/>
        <w:rPr/>
      </w:pPr>
      <w:r>
        <w:rPr/>
        <w:t>●</w:t>
      </w:r>
      <w:bookmarkStart w:id="2270" w:name="_Toc184891559"/>
      <w:bookmarkEnd w:id="2270"/>
      <w:r>
        <w:rPr>
          <w:rFonts w:ascii="Times New Roman;Times;serif" w:hAnsi="Times New Roman;Times;serif"/>
          <w:sz w:val="24"/>
          <w:u w:val="single"/>
        </w:rPr>
        <w:t>Resignation of Administrative Agent; Removal of Administrative Agent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w:t>
      </w:r>
    </w:p>
    <w:p>
      <w:pPr>
        <w:pStyle w:val="TextBody"/>
        <w:bidi w:val="0"/>
        <w:spacing w:before="0" w:after="240"/>
        <w:ind w:left="0" w:right="0" w:hanging="0"/>
        <w:jc w:val="both"/>
        <w:rPr/>
      </w:pPr>
      <w:r>
        <w:rPr/>
        <w:t>●</w:t>
      </w:r>
      <w:r>
        <w:rPr>
          <w:rFonts w:ascii="Times New Roman;Times;serif" w:hAnsi="Times New Roman;Times;serif"/>
          <w:sz w:val="24"/>
        </w:rPr>
        <w:t xml:space="preserve">The Administrative Agent may at any time give notice of its resignation to the Lenders,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Times;serif" w:hAnsi="Times New Roman;Times;serif"/>
          <w:i/>
          <w:sz w:val="24"/>
        </w:rPr>
        <w:t>Resignation Effective Date”</w:t>
      </w:r>
      <w:r>
        <w:rPr>
          <w:rFonts w:ascii="Times New Roman;Times;serif" w:hAnsi="Times New Roman;Times;serif"/>
          <w:sz w:val="24"/>
        </w:rPr>
        <w:t>), then the retiring Administrative Agent may (but shall not be obligated to), on behalf of the Lenders, appoint a successor Administrative Agent meeting the qualifications set forth above.  Whether or not a successor has been appointed, such resignation or removal shall become effective in accordance with such notice on the Resignation Effective Date.</w:t>
      </w:r>
    </w:p>
    <w:p>
      <w:pPr>
        <w:pStyle w:val="TextBody"/>
        <w:bidi w:val="0"/>
        <w:spacing w:before="0" w:after="0"/>
        <w:ind w:left="0" w:right="0" w:hanging="0"/>
        <w:jc w:val="both"/>
        <w:rPr/>
      </w:pPr>
      <w:r>
        <w:rPr/>
        <w:t>●</w:t>
      </w:r>
      <w:r>
        <w:rPr>
          <w:rFonts w:ascii="Times New Roman;Times;serif" w:hAnsi="Times New Roman;Times;serif"/>
          <w:sz w:val="24"/>
        </w:rPr>
        <w:t xml:space="preserve">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w:t>
      </w:r>
      <w:bookmarkStart w:id="2271" w:name="_cp_change_428"/>
      <w:bookmarkEnd w:id="2271"/>
      <w:r>
        <w:rPr>
          <w:rFonts w:ascii="Times New Roman;Times;serif" w:hAnsi="Times New Roman;Times;serif"/>
          <w:color w:val="0000FF"/>
          <w:sz w:val="24"/>
          <w:u w:val="single"/>
        </w:rPr>
        <w:t>If on the Resignation Effective Date no successor has been appointed and accepted such appointment, the Administrative Agent’s rights in the Collateral Documents shall be assigned without representation, recourse or warranty to the Lenders as their interests may appear.</w:t>
      </w:r>
      <w:r>
        <w:rPr>
          <w:rFonts w:ascii="Times New Roman;Times;serif" w:hAnsi="Times New Roman;Times;serif"/>
          <w:color w:val="0000FF"/>
          <w:sz w:val="24"/>
        </w:rPr>
        <w:t xml:space="preserve"> </w:t>
      </w:r>
      <w:r>
        <w:rPr>
          <w:rFonts w:ascii="Times New Roman;Times;serif" w:hAnsi="Times New Roman;Times;serif"/>
          <w:sz w:val="24"/>
        </w:rPr>
        <w:t>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240"/>
        <w:ind w:left="0" w:right="0" w:hanging="0"/>
        <w:jc w:val="both"/>
        <w:rPr/>
      </w:pPr>
      <w:r>
        <w:rPr/>
        <w:t>●</w:t>
      </w:r>
      <w:bookmarkStart w:id="2272" w:name="_Toc184891560"/>
      <w:bookmarkEnd w:id="2272"/>
      <w:r>
        <w:rPr>
          <w:rFonts w:ascii="Times New Roman;Times;serif" w:hAnsi="Times New Roman;Times;serif"/>
          <w:sz w:val="24"/>
          <w:u w:val="single"/>
        </w:rPr>
        <w:t>Non-Reliance on Administrative Agent and Other Lenders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bookmarkStart w:id="2273" w:name="_DV_C555"/>
      <w:bookmarkEnd w:id="2273"/>
    </w:p>
    <w:p>
      <w:pPr>
        <w:pStyle w:val="TextBody"/>
        <w:bidi w:val="0"/>
        <w:spacing w:before="0" w:after="0"/>
        <w:ind w:left="0" w:right="0" w:firstLine="720"/>
        <w:jc w:val="both"/>
        <w:rPr>
          <w:rFonts w:ascii="Times New Roman;Times;serif" w:hAnsi="Times New Roman;Times;serif"/>
          <w:sz w:val="24"/>
        </w:rPr>
      </w:pPr>
      <w:r>
        <w:rPr>
          <w:rFonts w:ascii="Times" w:hAnsi="Times"/>
          <w:sz w:val="24"/>
        </w:rPr>
        <w:t xml:space="preserve">Upon a Lender’s written request, the Administrative Agent agrees to forward to such Lender, when complete, copies of any field audit, examination, or appraisal report prepared by or for the Administrative Agent with respect to the Borrower or any Material Subsidiary (herein, </w:t>
      </w:r>
      <w:r>
        <w:rPr>
          <w:rFonts w:ascii="Times New Roman;Times;serif" w:hAnsi="Times New Roman;Times;serif"/>
          <w:sz w:val="24"/>
        </w:rPr>
        <w:t>“</w:t>
      </w:r>
      <w:r>
        <w:rPr>
          <w:rFonts w:ascii="Times" w:hAnsi="Times"/>
          <w:i/>
          <w:sz w:val="24"/>
        </w:rPr>
        <w:t>Reports”</w:t>
      </w:r>
      <w:r>
        <w:rPr>
          <w:rFonts w:ascii="Times" w:hAnsi="Times"/>
          <w:sz w:val="24"/>
        </w:rPr>
        <w:t xml:space="preserve">).  Each Lender hereby agrees that (a) it has requested a copy of each Report prepared by or on behalf of the Administrative Agent; (b) the Administrative Agent (i) makes no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w:hAnsi="Times"/>
          <w:sz w:val="24"/>
        </w:rPr>
        <w:t>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 (e) without limiting the generality of</w:t>
      </w:r>
      <w:r>
        <w:rPr>
          <w:rFonts w:ascii="Times New Roman;Times;serif" w:hAnsi="Times New Roman;Times;serif"/>
          <w:sz w:val="24"/>
        </w:rPr>
        <w:t xml:space="preserve"> </w:t>
      </w:r>
      <w:bookmarkStart w:id="2274" w:name="_Toc336040891"/>
      <w:bookmarkStart w:id="2275" w:name="_DV_C556"/>
      <w:bookmarkEnd w:id="2274"/>
      <w:bookmarkEnd w:id="2275"/>
      <w:r>
        <w:rPr>
          <w:rFonts w:ascii="Times" w:hAnsi="Times"/>
          <w:sz w:val="24"/>
        </w:rPr>
        <w:t>any other indemnification provision contained in this Agreement,</w:t>
      </w:r>
      <w:bookmarkStart w:id="2276" w:name="_Toc336037321"/>
      <w:bookmarkStart w:id="2277" w:name="_DV_C557"/>
      <w:bookmarkEnd w:id="2276"/>
      <w:bookmarkEnd w:id="2277"/>
      <w:r>
        <w:rPr>
          <w:rFonts w:ascii="Times New Roman;Times;serif" w:hAnsi="Times New Roman;Times;serif"/>
          <w:sz w:val="24"/>
        </w:rPr>
        <w:t xml:space="preserve"> </w:t>
      </w:r>
      <w:r>
        <w:rPr>
          <w:rFonts w:ascii="Times" w:hAnsi="Times"/>
          <w:sz w:val="24"/>
        </w:rPr>
        <w:t>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pStyle w:val="TextBody"/>
        <w:bidi w:val="0"/>
        <w:spacing w:before="0" w:after="240"/>
        <w:ind w:left="0" w:right="0" w:hanging="0"/>
        <w:jc w:val="both"/>
        <w:rPr/>
      </w:pPr>
      <w:r>
        <w:rPr/>
        <w:t>●</w:t>
      </w:r>
      <w:bookmarkStart w:id="2278" w:name="_Toc184891561"/>
      <w:bookmarkEnd w:id="2278"/>
      <w:r>
        <w:rPr>
          <w:rFonts w:ascii="Times New Roman;Times;serif" w:hAnsi="Times New Roman;Times;serif"/>
          <w:sz w:val="24"/>
          <w:u w:val="single"/>
        </w:rPr>
        <w:t>Reserved</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bookmarkStart w:id="2279" w:name="_Toc184891562"/>
      <w:bookmarkEnd w:id="2279"/>
      <w:r>
        <w:rPr>
          <w:rFonts w:ascii="Times New Roman;Times;serif" w:hAnsi="Times New Roman;Times;serif"/>
          <w:sz w:val="24"/>
          <w:u w:val="single"/>
        </w:rPr>
        <w:t>Hedging Liability and Funds Transfer and Deposit Account Liability</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By virtue of a Lender’s execution of this Agreement or an assignment agreement pursuant to Section 12.10, as the case may be, any Affiliate of such Lender (including any Qualifying 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w:t>
      </w:r>
      <w:bookmarkStart w:id="2280" w:name="_cp_change_429"/>
      <w:bookmarkEnd w:id="2280"/>
      <w:r>
        <w:rPr>
          <w:rFonts w:ascii="Times New Roman;Times;serif" w:hAnsi="Times New Roman;Times;serif"/>
          <w:color w:val="FF0000"/>
          <w:sz w:val="24"/>
        </w:rPr>
        <w:t>10.5</w:t>
      </w:r>
      <w:bookmarkStart w:id="2281" w:name="_cp_change_430"/>
      <w:bookmarkEnd w:id="2281"/>
      <w:r>
        <w:rPr>
          <w:rFonts w:ascii="Times New Roman;Times;serif" w:hAnsi="Times New Roman;Times;serif"/>
          <w:color w:val="0000FF"/>
          <w:sz w:val="24"/>
          <w:u w:val="single"/>
        </w:rPr>
        <w:t>3.1</w:t>
      </w:r>
      <w:r>
        <w:rPr>
          <w:rFonts w:ascii="Times New Roman;Times;serif" w:hAnsi="Times New Roman;Times;serif"/>
          <w:sz w:val="24"/>
        </w:rPr>
        <w:t>.  In connection with any such distribution of payments and collections, or any request for the release of the Guaranties and the Administrative Agent’s Liens in connection with the termination of the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w:t>
      </w:r>
      <w:bookmarkStart w:id="2282" w:name="_cp_change_4311"/>
      <w:bookmarkEnd w:id="2282"/>
      <w:r>
        <w:rPr>
          <w:rFonts w:ascii="Times New Roman;Times;serif" w:hAnsi="Times New Roman;Times;serif"/>
          <w:color w:val="0000FF"/>
          <w:sz w:val="24"/>
          <w:u w:val="single"/>
        </w:rPr>
        <w:t xml:space="preserve">  For the avoidance of doubt, all references in this Section 11.9 to any Lender or Affiliate of a Lender shall include or be deemed to include each Qualifying Counterparty, even if such Qualifying Counterparty shall cease to be a Lender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color w:val="0000FF"/>
          <w:sz w:val="24"/>
          <w:u w:val="single"/>
        </w:rPr>
      </w:pPr>
      <w:r>
        <w:rPr>
          <w:rFonts w:ascii="Times New Roman;Times;serif" w:hAnsi="Times New Roman;Times;serif"/>
          <w:b w:val="false"/>
          <w:i w:val="false"/>
          <w:caps w:val="false"/>
          <w:smallCaps w:val="false"/>
          <w:color w:val="0000FF"/>
          <w:sz w:val="24"/>
          <w:u w:val="single"/>
        </w:rPr>
        <w:t>hereunder, such that any such Qualifying Counterparty shal continue to be entitled to all of the rights and benefits otherwise afforded to such Qualifying Counterparty hereunder (including, without limitation, the Guaranties provided under Section 13).</w:t>
      </w:r>
    </w:p>
    <w:p>
      <w:pPr>
        <w:pStyle w:val="TextBody"/>
        <w:bidi w:val="0"/>
        <w:spacing w:before="0" w:after="240"/>
        <w:ind w:left="0" w:right="0" w:hanging="0"/>
        <w:jc w:val="both"/>
        <w:rPr/>
      </w:pPr>
      <w:r>
        <w:rPr/>
        <w:t>●</w:t>
      </w:r>
      <w:bookmarkStart w:id="2283" w:name="_Toc184891563"/>
      <w:bookmarkEnd w:id="2283"/>
      <w:r>
        <w:rPr>
          <w:rFonts w:ascii="Times New Roman;Times;serif" w:hAnsi="Times New Roman;Times;serif"/>
          <w:sz w:val="24"/>
          <w:u w:val="single"/>
        </w:rPr>
        <w:t>Designation of Additional Agents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pStyle w:val="TextBody"/>
        <w:bidi w:val="0"/>
        <w:spacing w:before="0" w:after="240"/>
        <w:ind w:left="0" w:right="0" w:hanging="0"/>
        <w:jc w:val="both"/>
        <w:rPr/>
      </w:pPr>
      <w:r>
        <w:rPr/>
        <w:t>●</w:t>
      </w:r>
      <w:bookmarkStart w:id="2284" w:name="_Toc184891564"/>
      <w:bookmarkEnd w:id="2284"/>
      <w:r>
        <w:rPr>
          <w:rFonts w:ascii="Times New Roman;Times;serif" w:hAnsi="Times New Roman;Times;serif"/>
          <w:sz w:val="24"/>
          <w:u w:val="single"/>
        </w:rPr>
        <w:t>Reserved</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w:t>
      </w:r>
    </w:p>
    <w:p>
      <w:pPr>
        <w:pStyle w:val="TextBody"/>
        <w:bidi w:val="0"/>
        <w:spacing w:before="0" w:after="240"/>
        <w:ind w:left="0" w:right="0" w:hanging="0"/>
        <w:jc w:val="both"/>
        <w:rPr/>
      </w:pPr>
      <w:r>
        <w:rPr/>
        <w:t>●</w:t>
      </w:r>
      <w:bookmarkStart w:id="2285" w:name="_Toc184891565"/>
      <w:bookmarkEnd w:id="2285"/>
      <w:r>
        <w:rPr>
          <w:rFonts w:ascii="Times New Roman;Times;serif" w:hAnsi="Times New Roman;Times;serif"/>
          <w:sz w:val="24"/>
          <w:u w:val="single"/>
        </w:rPr>
        <w:t>Authorization to Release Guaranties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The Administrative Agent is hereby 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pStyle w:val="TextBody"/>
        <w:bidi w:val="0"/>
        <w:spacing w:before="0" w:after="240"/>
        <w:ind w:left="0" w:right="0" w:hanging="0"/>
        <w:jc w:val="both"/>
        <w:rPr/>
      </w:pPr>
      <w:r>
        <w:rPr/>
        <w:t>●</w:t>
      </w:r>
      <w:bookmarkStart w:id="2286" w:name="_Toc184891566"/>
      <w:bookmarkEnd w:id="2286"/>
      <w:r>
        <w:rPr>
          <w:rFonts w:ascii="Times New Roman;Times;serif" w:hAnsi="Times New Roman;Times;serif"/>
          <w:sz w:val="24"/>
          <w:u w:val="single"/>
        </w:rPr>
        <w:t>Authorization of Administrative Agent to File Proofs of Claim</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In case of the pendency of any proceeding under any Debtor Relief Law or any other judicial proceeding relative to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bookmarkStart w:id="2287" w:name="_DV_M830"/>
      <w:bookmarkStart w:id="2288" w:name="_DV_M829"/>
      <w:bookmarkEnd w:id="2287"/>
      <w:bookmarkEnd w:id="2288"/>
    </w:p>
    <w:p>
      <w:pPr>
        <w:pStyle w:val="TextBody"/>
        <w:bidi w:val="0"/>
        <w:spacing w:before="0" w:after="240"/>
        <w:ind w:left="0" w:right="0" w:hanging="0"/>
        <w:jc w:val="both"/>
        <w:rPr/>
      </w:pPr>
      <w:r>
        <w:rPr/>
        <w:t>●</w:t>
      </w:r>
      <w:r>
        <w:rPr>
          <w:rFonts w:ascii="Times New Roman;Times;serif" w:hAnsi="Times New Roman;Times;serif"/>
          <w:sz w:val="24"/>
        </w:rPr>
        <w:t>to file and prove a claim for the whole amount of the principal and interest owing and unpaid in respect of the Loans and all other Obligations that are owing and unpaid and to file such other documents as may be necessary or advisable in order to have the claims of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the Loan Documents including, but not limited to, Sections 1.1, 10.3, 1.11, and 12.15) allowed in such judicial proceeding; and</w:t>
      </w:r>
      <w:bookmarkStart w:id="2289" w:name="_DV_M831"/>
      <w:bookmarkEnd w:id="2289"/>
    </w:p>
    <w:p>
      <w:pPr>
        <w:pStyle w:val="TextBody"/>
        <w:bidi w:val="0"/>
        <w:ind w:left="0" w:right="0" w:hanging="0"/>
        <w:jc w:val="both"/>
        <w:rPr/>
      </w:pPr>
      <w:r>
        <w:rPr/>
        <w:t>●</w:t>
      </w:r>
      <w:r>
        <w:rPr>
          <w:rFonts w:ascii="Times New Roman;Times;serif" w:hAnsi="Times New Roman;Times;serif"/>
          <w:sz w:val="24"/>
        </w:rPr>
        <w:t>to collect and receive any monies or other property payable or deliverable on any such claims and to distribute the same;</w:t>
      </w:r>
      <w:bookmarkStart w:id="2290" w:name="_DV_M832"/>
      <w:bookmarkEnd w:id="2290"/>
    </w:p>
    <w:p>
      <w:pPr>
        <w:pStyle w:val="TextBody"/>
        <w:bidi w:val="0"/>
        <w:spacing w:before="200" w:after="0"/>
        <w:ind w:left="0" w:right="0" w:hanging="0"/>
        <w:jc w:val="both"/>
        <w:rPr>
          <w:rFonts w:ascii="Times New Roman;Times;serif" w:hAnsi="Times New Roman;Times;serif"/>
          <w:sz w:val="24"/>
        </w:rPr>
      </w:pPr>
      <w:r>
        <w:rPr>
          <w:rFonts w:ascii="Times" w:hAnsi="Times"/>
          <w:sz w:val="24"/>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2.1 and 12.15.</w:t>
      </w:r>
      <w:bookmarkStart w:id="2291" w:name="_DV_M833"/>
      <w:bookmarkEnd w:id="2291"/>
      <w:r>
        <w:rPr>
          <w:rFonts w:ascii="Times New Roman;Times;serif" w:hAnsi="Times New Roman;Times;serif"/>
          <w:sz w:val="24"/>
        </w:rPr>
        <w:t xml:space="preserve">  </w:t>
      </w:r>
      <w:r>
        <w:rPr>
          <w:rFonts w:ascii="Times" w:hAnsi="Times"/>
          <w:sz w:val="24"/>
        </w:rPr>
        <w:t xml:space="preserve">Nothing contained herein shall be deemed to authorize the Administrative Agent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before="0" w:after="240"/>
        <w:ind w:left="720" w:right="0" w:hanging="0"/>
        <w:jc w:val="both"/>
        <w:rPr/>
      </w:pPr>
      <w:r>
        <w:rPr>
          <w:caps/>
        </w:rPr>
        <w:t>●</w:t>
      </w:r>
      <w:bookmarkStart w:id="2292" w:name="_Toc184891567"/>
      <w:bookmarkEnd w:id="2292"/>
      <w:r>
        <w:rPr>
          <w:rFonts w:ascii="Times New Roman;Times;serif" w:hAnsi="Times New Roman;Times;serif"/>
          <w:caps/>
          <w:sz w:val="24"/>
        </w:rPr>
        <w:t>Miscellaneous.</w:t>
      </w:r>
    </w:p>
    <w:p>
      <w:pPr>
        <w:pStyle w:val="TextBody"/>
        <w:bidi w:val="0"/>
        <w:spacing w:before="0" w:after="240"/>
        <w:ind w:left="0" w:right="0" w:hanging="0"/>
        <w:jc w:val="both"/>
        <w:rPr/>
      </w:pPr>
      <w:r>
        <w:rPr/>
        <w:t>●</w:t>
      </w:r>
      <w:bookmarkStart w:id="2293" w:name="_Toc184891568"/>
      <w:bookmarkEnd w:id="2293"/>
      <w:r>
        <w:rPr>
          <w:rFonts w:ascii="Times New Roman;Times;serif" w:hAnsi="Times New Roman;Times;serif"/>
          <w:sz w:val="24"/>
          <w:u w:val="single"/>
        </w:rPr>
        <w:t>Withholding Taxes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u w:val="single"/>
        </w:rPr>
        <w:t>Payments Free of Withholding</w:t>
      </w:r>
      <w:r>
        <w:rPr>
          <w:rFonts w:ascii="Times New Roman;Times;serif" w:hAnsi="Times New Roman;Times;serif"/>
          <w:sz w:val="24"/>
        </w:rPr>
        <w:t>.  Except as otherwise 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and the Administrative Agent free and clear of such taxes (including such taxes on such additional amount) is equal to the amount which that Lender or the Administrative Agent (as the case may be) would have received had such withholding not been made.  If the Administrative Agent, or any Lender pays any amount in respect of any such taxes, penalties or interest, the Borrower or such Guarantor shall reimburse the Administrative Agent or such Lender for that payment on demand in the currency in which such payment was made.  </w:t>
      </w:r>
    </w:p>
    <w:p>
      <w:pPr>
        <w:pStyle w:val="TextBody"/>
        <w:bidi w:val="0"/>
        <w:spacing w:before="0" w:after="240"/>
        <w:ind w:left="0" w:right="0" w:hanging="0"/>
        <w:jc w:val="both"/>
        <w:rPr/>
      </w:pPr>
      <w:r>
        <w:rPr/>
        <w:t>●</w:t>
      </w:r>
      <w:r>
        <w:rPr>
          <w:rFonts w:ascii="Times New Roman;Times;serif" w:hAnsi="Times New Roman;Times;serif"/>
          <w:sz w:val="24"/>
          <w:u w:val="single"/>
        </w:rPr>
        <w:t>U.S. Withholding Tax Exemptions</w:t>
      </w:r>
      <w:r>
        <w:rPr>
          <w:rFonts w:ascii="Times New Roman;Times;serif" w:hAnsi="Times New Roman;Times;serif"/>
          <w:sz w:val="24"/>
        </w:rPr>
        <w:t xml:space="preserve">.  Each Lender that is not a United States person (as such term is defined in Section 7701(a)(30) of the Code) shall submit to the Borrower and the Administrative Agent on or before the date, if later, the date such financial institution becomes a Lender hereunder, two duly completed and signed copies of (i) either Form W-8 BEN-E (relating to such Lender and entitling it to a complete exemption from withholding under the Code on all amounts to be received by such Lender, including fees, pursuant to the Loan Documents and the Obligations) or Form W-8 ECI (relating to all amounts to be received by such Lender,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W-8 BEN-E, or any successor form prescribed by the Internal Revenue Service, and a certificate representing that such Lender is not a bank for purposes of Section 881(c) of the Code, is not a ten (10)-percent shareholder (within the meaning of Section 871(h)(3)(B) of the Code) of the Borrower and is not a controlled foreign corporation related to the Borrower (within the meaning of Section 864(d)(4) of the Code).  Thereafter and from time to time, each Lender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and (ii) required under then-current United States law or regulations to avoid or reduce United States withholding taxes on payments in respect of all amounts to be received by such Lender, including fees, pursuant to the Loan Documents or the Obligations.  Upon the request of the Borrower or the Administrative Agent, each Lender that is a United States person (as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term is defined in Section 7701(a)(30) of the Code) shall submit to the Borrower and the Administrative Agent a certificate to the effect that it is such a United States person.</w:t>
      </w:r>
    </w:p>
    <w:p>
      <w:pPr>
        <w:pStyle w:val="TextBody"/>
        <w:bidi w:val="0"/>
        <w:spacing w:before="0" w:after="240"/>
        <w:ind w:left="0" w:right="0" w:hanging="0"/>
        <w:jc w:val="both"/>
        <w:rPr/>
      </w:pPr>
      <w:r>
        <w:rPr/>
        <w:t>●</w:t>
      </w:r>
      <w:r>
        <w:rPr>
          <w:rFonts w:ascii="Times New Roman;Times;serif" w:hAnsi="Times New Roman;Times;serif"/>
          <w:sz w:val="24"/>
          <w:u w:val="single"/>
        </w:rPr>
        <w:t>Inability of Lender to Submit Forms</w:t>
      </w:r>
      <w:r>
        <w:rPr>
          <w:rFonts w:ascii="Times New Roman;Times;serif" w:hAnsi="Times New Roman;Times;serif"/>
          <w:sz w:val="24"/>
        </w:rPr>
        <w:t>.  If any Lender determines, as a result of any change in applicable law, regulation or treaty, or in any official application or interpretation thereof, that it is unable to submit to the Borrower or the Administrative Agent any form or certificate that such Lender is obligated to submit pursuant to subsection (b) of this Section 12.1 or that such Lender is required to withdraw or cancel any such form or certificate previously submitted or any such form or certificate otherwise becomes ineffective or inaccurate, such Lender shall promptly notify the Borrower and Administrative Agent of such fact and the Lender shall to that extent not be obligated to provide any such form or certificate and will be entitled to withdraw or cancel any affected form or certificate, as applicable.</w:t>
      </w:r>
    </w:p>
    <w:p>
      <w:pPr>
        <w:pStyle w:val="TextBody"/>
        <w:bidi w:val="0"/>
        <w:spacing w:before="0" w:after="240"/>
        <w:ind w:left="0" w:right="0" w:hanging="0"/>
        <w:jc w:val="both"/>
        <w:rPr/>
      </w:pPr>
      <w:r>
        <w:rPr/>
        <w:t>●</w:t>
      </w:r>
      <w:r>
        <w:rPr>
          <w:rFonts w:ascii="Times New Roman;Times;serif" w:hAnsi="Times New Roman;Times;serif"/>
          <w:sz w:val="24"/>
          <w:u w:val="single"/>
        </w:rPr>
        <w:t>Compliance with FATCA</w:t>
      </w:r>
      <w:r>
        <w:rPr>
          <w:rFonts w:ascii="Times New Roman;Times;serif" w:hAnsi="Times New Roman;Times;serif"/>
          <w:i/>
          <w:sz w:val="24"/>
        </w:rPr>
        <w:t>.</w:t>
      </w:r>
      <w:r>
        <w:rPr>
          <w:rFonts w:ascii="Times New Roman;Times;serif" w:hAnsi="Times New Roman;Times;serif"/>
          <w:sz w:val="24"/>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Times;serif" w:hAnsi="Times New Roman;Times;serif"/>
          <w:i/>
          <w:sz w:val="24"/>
        </w:rPr>
        <w:t>FATCA”</w:t>
      </w:r>
      <w:r>
        <w:rPr>
          <w:rFonts w:ascii="Times New Roman;Times;serif" w:hAnsi="Times New Roman;Times;serif"/>
          <w:sz w:val="24"/>
        </w:rPr>
        <w:t xml:space="preserve"> shall include any amendments made to FATCA after the date of this Agreement.</w:t>
      </w:r>
    </w:p>
    <w:p>
      <w:pPr>
        <w:pStyle w:val="TextBody"/>
        <w:bidi w:val="0"/>
        <w:spacing w:before="0" w:after="240"/>
        <w:ind w:left="0" w:right="0" w:hanging="0"/>
        <w:jc w:val="both"/>
        <w:rPr/>
      </w:pPr>
      <w:r>
        <w:rPr/>
        <w:t>●</w:t>
      </w:r>
      <w:r>
        <w:rPr>
          <w:rFonts w:ascii="Times New Roman;Times;serif" w:hAnsi="Times New Roman;Times;serif"/>
          <w:sz w:val="24"/>
          <w:u w:val="single"/>
        </w:rPr>
        <w:t>Indemnification by the Lenders</w:t>
      </w:r>
      <w:r>
        <w:rPr>
          <w:rFonts w:ascii="Times New Roman;Times;serif" w:hAnsi="Times New Roman;Times;serif"/>
          <w:sz w:val="24"/>
        </w:rPr>
        <w:t>.  Each Lender shall severally indemnify the 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pStyle w:val="TextBody"/>
        <w:bidi w:val="0"/>
        <w:spacing w:before="0" w:after="240"/>
        <w:ind w:left="0" w:right="0" w:hanging="0"/>
        <w:jc w:val="both"/>
        <w:rPr/>
      </w:pPr>
      <w:r>
        <w:rPr/>
        <w:t>●</w:t>
      </w:r>
      <w:r>
        <w:rPr>
          <w:rFonts w:ascii="Times New Roman;Times;serif" w:hAnsi="Times New Roman;Times;serif"/>
          <w:sz w:val="24"/>
          <w:u w:val="single"/>
        </w:rPr>
        <w:t>Treatment of Certain Refunds</w:t>
      </w:r>
      <w:r>
        <w:rPr>
          <w:rFonts w:ascii="Times New Roman;Times;serif" w:hAnsi="Times New Roman;Times;serif"/>
          <w:sz w:val="24"/>
        </w:rPr>
        <w:t xml:space="preserve">.  If any Lender determines, in its sole discretion exercised in good faith, that it has received a refund in respect of any taxes as to which indemnification or additional amounts have been paid to it by the Borrower or a Guarantor pursuant to this Section 12.1, it shall pay to the indemnifying party an amount equal to such refund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(but only to the extent of indemnity payments made under this Section with respect to the taxes giving rise to such refund), net of all out-of-pocket expenses of such Lender and without interest (other than any interest paid by the relevant Governmental Authority with respect to such refund); </w:t>
      </w:r>
      <w:r>
        <w:rPr>
          <w:rFonts w:ascii="Times New Roman;Times;serif" w:hAnsi="Times New Roman;Times;serif"/>
          <w:i/>
          <w:sz w:val="24"/>
        </w:rPr>
        <w:t>provided</w:t>
      </w:r>
      <w:r>
        <w:rPr>
          <w:rFonts w:ascii="Times New Roman;Times;serif" w:hAnsi="Times New Roman;Times;serif"/>
          <w:sz w:val="24"/>
        </w:rPr>
        <w:t xml:space="preserve"> that the Borrower or such Guarantor, upon the request of such Lender, agrees to promptly repay the amount paid over with respect to such refund (plus any penalties, interest or other charges imposed by the relevant Governmental Authority) to such Lender in the event such Lender is required to repay such refund to the relevant Governmental Authority.  Nothing herein contained shall interfere with the right of a Lender arrange its tax affairs in whatever manner it thinks fit nor oblige any Lender to claim any tax refund or to make available its tax returns or disclose any information relating to its tax affairs or any computations in respect thereof or any other confidential information or require any Lender to do anything that would prejudice its ability to benefit from any other refunds, credits, reliefs, remissions or repayments to which it may be entitled.</w:t>
      </w:r>
    </w:p>
    <w:p>
      <w:pPr>
        <w:pStyle w:val="TextBody"/>
        <w:bidi w:val="0"/>
        <w:spacing w:before="0" w:after="0"/>
        <w:ind w:left="0" w:right="0" w:hanging="0"/>
        <w:jc w:val="both"/>
        <w:rPr/>
      </w:pPr>
      <w:r>
        <w:rPr/>
        <w:t>●</w:t>
      </w:r>
      <w:r>
        <w:rPr>
          <w:rFonts w:ascii="Times New Roman;Times;serif" w:hAnsi="Times New Roman;Times;serif"/>
          <w:sz w:val="24"/>
          <w:u w:val="single"/>
        </w:rPr>
        <w:t>Evidence of Payments</w:t>
      </w:r>
      <w:r>
        <w:rPr>
          <w:rFonts w:ascii="Times New Roman;Times;serif" w:hAnsi="Times New Roman;Times;serif"/>
          <w:i/>
          <w:sz w:val="24"/>
        </w:rPr>
        <w:t>.</w:t>
      </w:r>
      <w:r>
        <w:rPr>
          <w:rFonts w:ascii="Times New Roman;Times;serif" w:hAnsi="Times New Roman;Times;serif"/>
          <w:sz w:val="24"/>
        </w:rPr>
        <w:t xml:space="preserve">  As soon as practicable after any payment of Taxes by the Borrower or a Guarantor to a Governmental Authority pursuant to this Section, </w:t>
      </w:r>
      <w:r>
        <w:rPr>
          <w:rFonts w:ascii="Cambria" w:hAnsi="Cambria"/>
          <w:sz w:val="24"/>
        </w:rPr>
        <w:t xml:space="preserve">the Borrower or such Guarantor </w:t>
      </w:r>
      <w:r>
        <w:rPr>
          <w:rFonts w:ascii="Times New Roman;Times;serif" w:hAnsi="Times New Roman;Times;serif"/>
          <w:sz w:val="24"/>
        </w:rPr>
        <w:t>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0" w:right="0" w:hanging="0"/>
        <w:jc w:val="both"/>
        <w:rPr/>
      </w:pPr>
      <w:r>
        <w:rPr/>
        <w:t>●</w:t>
      </w:r>
      <w:bookmarkStart w:id="2294" w:name="_Toc184891569"/>
      <w:bookmarkEnd w:id="2294"/>
      <w:r>
        <w:rPr>
          <w:rFonts w:ascii="Times New Roman;Times;serif" w:hAnsi="Times New Roman;Times;serif"/>
          <w:sz w:val="24"/>
          <w:u w:val="single"/>
        </w:rPr>
        <w:t>No Waiver, Cumulative Remedies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pStyle w:val="TextBody"/>
        <w:bidi w:val="0"/>
        <w:spacing w:before="0" w:after="240"/>
        <w:ind w:left="0" w:right="0" w:hanging="0"/>
        <w:jc w:val="both"/>
        <w:rPr/>
      </w:pPr>
      <w:r>
        <w:rPr/>
        <w:t>●</w:t>
      </w:r>
      <w:bookmarkStart w:id="2295" w:name="_Toc184891570"/>
      <w:bookmarkEnd w:id="2295"/>
      <w:r>
        <w:rPr>
          <w:rFonts w:ascii="Times New Roman;Times;serif" w:hAnsi="Times New Roman;Times;serif"/>
          <w:sz w:val="24"/>
          <w:u w:val="single"/>
        </w:rPr>
        <w:t>Non-Business Days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pStyle w:val="TextBody"/>
        <w:bidi w:val="0"/>
        <w:spacing w:before="0" w:after="240"/>
        <w:ind w:left="0" w:right="0" w:hanging="0"/>
        <w:jc w:val="both"/>
        <w:rPr/>
      </w:pPr>
      <w:r>
        <w:rPr/>
        <w:t>●</w:t>
      </w:r>
      <w:bookmarkStart w:id="2296" w:name="_Toc184891571"/>
      <w:bookmarkEnd w:id="2296"/>
      <w:r>
        <w:rPr>
          <w:rFonts w:ascii="Times New Roman;Times;serif" w:hAnsi="Times New Roman;Times;serif"/>
          <w:sz w:val="24"/>
          <w:u w:val="single"/>
        </w:rPr>
        <w:t>Documentary Taxes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The Borrower agrees to pay on demand any U.S.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240"/>
        <w:ind w:left="0" w:right="0" w:hanging="0"/>
        <w:jc w:val="both"/>
        <w:rPr/>
      </w:pPr>
      <w:r>
        <w:rPr/>
        <w:t>●</w:t>
      </w:r>
      <w:bookmarkStart w:id="2297" w:name="_Toc184891572"/>
      <w:bookmarkEnd w:id="2297"/>
      <w:r>
        <w:rPr>
          <w:rFonts w:ascii="Times New Roman;Times;serif" w:hAnsi="Times New Roman;Times;serif"/>
          <w:sz w:val="24"/>
          <w:u w:val="single"/>
        </w:rPr>
        <w:t>Survival of Representations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xml:space="preserve">. </w:t>
      </w:r>
      <w:r>
        <w:rPr>
          <w:rFonts w:ascii="Times New Roman;Times;serif" w:hAnsi="Times New Roman;Times;serif"/>
          <w:sz w:val="24"/>
        </w:rPr>
        <w:t xml:space="preserve">All representations and warranties made herein or in any other Loan Document or in certificates given pursuant hereto or thereto shall survive the execution and delivery of this Agreement and the other Loan Documents, and shall continue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full force and effect with respect to the date as of which they were made as long as any credit is in use or available hereunder.</w:t>
      </w:r>
    </w:p>
    <w:p>
      <w:pPr>
        <w:pStyle w:val="TextBody"/>
        <w:bidi w:val="0"/>
        <w:spacing w:before="0" w:after="240"/>
        <w:ind w:left="0" w:right="0" w:hanging="0"/>
        <w:jc w:val="both"/>
        <w:rPr/>
      </w:pPr>
      <w:r>
        <w:rPr/>
        <w:t>●</w:t>
      </w:r>
      <w:bookmarkStart w:id="2298" w:name="_Toc184891573"/>
      <w:bookmarkEnd w:id="2298"/>
      <w:r>
        <w:rPr>
          <w:rFonts w:ascii="Times New Roman;Times;serif" w:hAnsi="Times New Roman;Times;serif"/>
          <w:sz w:val="24"/>
          <w:u w:val="single"/>
        </w:rPr>
        <w:t>Survival of Indemnities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All indemnities and other provisions relative to reimbursement to the Lenders of amounts sufficient to protect the yield of the Lenders with respect to the Loans, including, but not limited to, Sections 1.11, 10.3, and 12.15 hereof, shall (subject to Section 10.3(c) hereof) survive the termination of this Agreement and the other Loan Documents and the payment of the Obligations.</w:t>
      </w:r>
    </w:p>
    <w:p>
      <w:pPr>
        <w:pStyle w:val="TextBody"/>
        <w:bidi w:val="0"/>
        <w:spacing w:before="0" w:after="240"/>
        <w:ind w:left="0" w:right="0" w:hanging="0"/>
        <w:jc w:val="both"/>
        <w:rPr/>
      </w:pPr>
      <w:r>
        <w:rPr/>
        <w:t>●</w:t>
      </w:r>
      <w:bookmarkStart w:id="2299" w:name="_Toc184891574"/>
      <w:bookmarkEnd w:id="2299"/>
      <w:r>
        <w:rPr>
          <w:rFonts w:ascii="Times New Roman;Times;serif" w:hAnsi="Times New Roman;Times;serif"/>
          <w:sz w:val="24"/>
          <w:u w:val="single"/>
        </w:rPr>
        <w:t>Sharing of Set-Off</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xml:space="preserve">. </w:t>
      </w:r>
      <w:r>
        <w:rPr>
          <w:rFonts w:ascii="Times New Roman;Times;serif" w:hAnsi="Times New Roman;Times;serif"/>
          <w:sz w:val="24"/>
        </w:rPr>
        <w:t xml:space="preserve">Each Lender agrees with each other Lender a party hereto that if such Lender shall receive and retain any payment, whether by set-off or application of deposit balances or otherwise, on any of the Loans in excess of its ratable share of payments on all such Obligations then outstanding to the Lenders, then such Lender shall purchase for cash at face value, but without recourse, ratably from each of the other Lenders such amount of the Loans held by each such other Lenders (or interest therein) as shall be necessary to cause such Lender to share such excess payment ratably with all the other Lenders; </w:t>
      </w:r>
      <w:r>
        <w:rPr>
          <w:rFonts w:ascii="Times New Roman;Times;serif" w:hAnsi="Times New Roman;Times;serif"/>
          <w:i/>
          <w:sz w:val="24"/>
        </w:rPr>
        <w:t>provided, however,</w:t>
      </w:r>
      <w:r>
        <w:rPr>
          <w:rFonts w:ascii="Times New Roman;Times;serif" w:hAnsi="Times New Roman;Times;serif"/>
          <w:sz w:val="24"/>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w:t>
      </w:r>
    </w:p>
    <w:p>
      <w:pPr>
        <w:pStyle w:val="TextBody"/>
        <w:bidi w:val="0"/>
        <w:spacing w:before="0" w:after="240"/>
        <w:ind w:left="0" w:right="0" w:hanging="0"/>
        <w:jc w:val="both"/>
        <w:rPr/>
      </w:pPr>
      <w:r>
        <w:rPr/>
        <w:t>●</w:t>
      </w:r>
      <w:bookmarkStart w:id="2300" w:name="_Toc184891575"/>
      <w:bookmarkEnd w:id="2300"/>
      <w:r>
        <w:rPr>
          <w:rFonts w:ascii="Times New Roman;Times;serif" w:hAnsi="Times New Roman;Times;serif"/>
          <w:sz w:val="24"/>
          <w:u w:val="single"/>
        </w:rPr>
        <w:t>Notices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shall be addressed to its respective address or telecopier number set forth below:</w:t>
      </w:r>
    </w:p>
    <w:p>
      <w:pPr>
        <w:pStyle w:val="TextBody"/>
        <w:bidi w:val="0"/>
        <w:spacing w:before="0" w:after="240"/>
        <w:ind w:left="0" w:right="0" w:firstLine="720"/>
        <w:jc w:val="both"/>
        <w:rPr>
          <w:color w:val="0000FF"/>
        </w:rPr>
      </w:pPr>
      <w:bookmarkStart w:id="2301" w:name="_cp_change_433"/>
      <w:bookmarkStart w:id="2302" w:name="_cp_change_432"/>
      <w:bookmarkEnd w:id="2301"/>
      <w:bookmarkEnd w:id="2302"/>
      <w:r>
        <w:rPr>
          <w:color w:val="0000FF"/>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622" w:type="dxa"/>
        <w:jc w:val="center"/>
        <w:tblInd w:w="0" w:type="dxa"/>
        <w:tblLayout w:type="fixed"/>
        <w:tblCellMar>
          <w:top w:w="0" w:type="dxa"/>
          <w:left w:w="0" w:type="dxa"/>
          <w:bottom w:w="0" w:type="dxa"/>
          <w:right w:w="0" w:type="dxa"/>
        </w:tblCellMar>
      </w:tblPr>
      <w:tblGrid>
        <w:gridCol w:w="4951"/>
        <w:gridCol w:w="5671"/>
      </w:tblGrid>
      <w:tr>
        <w:trPr/>
        <w:tc>
          <w:tcPr>
            <w:tcW w:w="4951" w:type="dxa"/>
            <w:tcBorders/>
            <w:vAlign w:val="center"/>
          </w:tcPr>
          <w:p>
            <w:pPr>
              <w:pStyle w:val="TableContents"/>
              <w:bidi w:val="0"/>
              <w:spacing w:before="28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Matthew Partridge</w:t>
            </w:r>
            <w:r>
              <w:rPr>
                <w:rFonts w:ascii="Times New Roman;Times;serif" w:hAnsi="Times New Roman;Times;serif"/>
                <w:color w:val="0000FF"/>
                <w:sz w:val="24"/>
                <w:u w:val="single"/>
              </w:rPr>
              <w:t>Phillip Mays</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386-944-5643</w:t>
            </w:r>
            <w:r>
              <w:rPr>
                <w:rFonts w:ascii="Times New Roman;Times;serif" w:hAnsi="Times New Roman;Times;serif"/>
                <w:color w:val="0000FF"/>
                <w:sz w:val="24"/>
                <w:u w:val="single"/>
              </w:rPr>
              <w:t>407-904-3324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mpartridge@alpinereit.com</w:t>
            </w:r>
            <w:r>
              <w:rPr>
                <w:rFonts w:ascii="Times New Roman;Times;serif" w:hAnsi="Times New Roman;Times;serif"/>
                <w:sz w:val="24"/>
                <w:u w:val="single"/>
              </w:rPr>
              <w:t>pmays@ctoreit.com</w:t>
            </w:r>
            <w:r>
              <w:rPr>
                <w:rFonts w:ascii="Times New Roman;Times;serif" w:hAnsi="Times New Roman;Times;serif"/>
                <w:sz w:val="24"/>
              </w:rPr>
              <w:t xml:space="preserve"> </w:t>
            </w:r>
          </w:p>
          <w:p>
            <w:pPr>
              <w:pStyle w:val="TableContents"/>
              <w:bidi w:val="0"/>
              <w:spacing w:before="280" w:after="0"/>
              <w:ind w:left="0" w:right="0" w:hanging="0"/>
              <w:jc w:val="left"/>
              <w:rPr/>
            </w:pPr>
            <w:r>
              <w:rPr/>
              <w:t>​</w:t>
            </w:r>
          </w:p>
          <w:p>
            <w:pPr>
              <w:pStyle w:val="TableContents"/>
              <w:bidi w:val="0"/>
              <w:spacing w:before="0" w:after="0"/>
              <w:ind w:left="0" w:right="0" w:hanging="0"/>
              <w:jc w:val="left"/>
              <w:rPr>
                <w:color w:val="FF0000"/>
              </w:rPr>
            </w:pPr>
            <w:r>
              <w:rPr>
                <w:color w:val="FF0000"/>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Suite 140</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Lisa Vorkoun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386-944-5641</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color w:val="FF0000"/>
                <w:sz w:val="24"/>
              </w:rPr>
              <w:t>lvorkoun@alpinereit.com</w:t>
            </w:r>
            <w:r>
              <w:rPr>
                <w:rFonts w:ascii="Times New Roman;Times;serif" w:hAnsi="Times New Roman;Times;serif"/>
                <w:sz w:val="24"/>
                <w:u w:val="single"/>
              </w:rPr>
              <w:t>lvorkoun@alpinereit.com</w:t>
            </w:r>
            <w:r>
              <w:rPr>
                <w:rFonts w:ascii="Times New Roman;Times;serif" w:hAnsi="Times New Roman;Times;serif"/>
                <w:sz w:val="24"/>
              </w:rPr>
              <w:t xml:space="preserve"> </w:t>
            </w:r>
          </w:p>
          <w:p>
            <w:pPr>
              <w:pStyle w:val="TableContents"/>
              <w:bidi w:val="0"/>
              <w:spacing w:before="0" w:after="24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color w:val="FF0000"/>
                <w:sz w:val="24"/>
              </w:rPr>
            </w:pPr>
            <w:r>
              <w:rPr>
                <w:rFonts w:ascii="Times New Roman;Times;serif" w:hAnsi="Times New Roman;Times;serif"/>
                <w:color w:val="FF0000"/>
                <w:sz w:val="24"/>
              </w:rPr>
              <w:t>nalix@velaw.com</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HYPERLINK "mailto:nalix@velaw.com"</w:t>
            </w:r>
            <w:r>
              <w:rPr>
                <w:rFonts w:ascii="Times New Roman;Times;serif" w:hAnsi="Times New Roman;Times;serif"/>
                <w:color w:val="0000FF"/>
                <w:sz w:val="24"/>
                <w:u w:val="single"/>
              </w:rPr>
              <w:t xml:space="preserve">nalix@velaw.com </w:t>
            </w:r>
          </w:p>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24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color w:val="FF0000"/>
                <w:sz w:val="24"/>
              </w:rPr>
              <w:t>Agency.Services@truist.com</w:t>
            </w:r>
            <w:r>
              <w:rPr>
                <w:rFonts w:ascii="Times New Roman;Times;serif" w:hAnsi="Times New Roman;Times;serif"/>
                <w:sz w:val="24"/>
                <w:u w:val="single"/>
              </w:rPr>
              <w:t>Agency.Services@truist.com</w:t>
            </w:r>
            <w:r>
              <w:rPr>
                <w:rFonts w:ascii="Times New Roman;Times;serif" w:hAnsi="Times New Roman;Times;serif"/>
                <w:sz w:val="24"/>
              </w:rPr>
              <w:t xml:space="preserve"> </w:t>
            </w:r>
          </w:p>
          <w:p>
            <w:pPr>
              <w:pStyle w:val="TableContents"/>
              <w:bidi w:val="0"/>
              <w:spacing w:before="0" w:after="24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0000FF"/>
                <w:sz w:val="24"/>
                <w:u w:val="single"/>
              </w:rPr>
              <w:t>, 22</w:t>
            </w:r>
            <w:r>
              <w:rPr>
                <w:rFonts w:ascii="Times New Roman;Times;serif" w:hAnsi="Times New Roman;Times;serif"/>
                <w:color w:val="0000FF"/>
                <w:sz w:val="18"/>
              </w:rPr>
              <w:t>nd</w:t>
            </w:r>
            <w:r>
              <w:rPr>
                <w:rFonts w:ascii="Times New Roman;Times;serif" w:hAnsi="Times New Roman;Times;serif"/>
                <w:color w:val="0000FF"/>
                <w:sz w:val="24"/>
                <w:u w:val="single"/>
              </w:rPr>
              <w:t xml:space="preserve"> Floor</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Kevin J. Lyons</w:t>
            </w:r>
            <w:r>
              <w:rPr>
                <w:rFonts w:ascii="Times New Roman;Times;serif" w:hAnsi="Times New Roman;Times;serif"/>
                <w:color w:val="0000FF"/>
                <w:sz w:val="24"/>
                <w:u w:val="single"/>
              </w:rPr>
              <w:t>Saúl De La Guardia</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olor w:val="FF0000"/>
                <w:sz w:val="24"/>
              </w:rPr>
              <w:t>klyons@riemerlaw.com</w:t>
            </w:r>
            <w:r>
              <w:rPr>
                <w:rFonts w:ascii="Times New Roman;Times;serif" w:hAnsi="Times New Roman;Times;serif"/>
                <w:sz w:val="24"/>
                <w:u w:val="single"/>
              </w:rPr>
              <w:t>sdelaguardia@riemerlaw.com</w:t>
            </w:r>
            <w:r>
              <w:rPr>
                <w:rFonts w:ascii="Times New Roman;Times;serif" w:hAnsi="Times New Roman;Times;serif"/>
                <w:sz w:val="24"/>
              </w:rPr>
              <w:t xml:space="preserve"> </w:t>
            </w:r>
          </w:p>
          <w:p>
            <w:pPr>
              <w:pStyle w:val="TableContents"/>
              <w:bidi w:val="0"/>
              <w:spacing w:before="0" w:after="0"/>
              <w:ind w:left="0" w:right="0" w:hanging="0"/>
              <w:jc w:val="left"/>
              <w:rPr>
                <w:rFonts w:ascii="Times New Roman;Times;serif" w:hAnsi="Times New Roman;Times;serif"/>
                <w:color w:val="FF0000"/>
                <w:sz w:val="24"/>
              </w:rPr>
            </w:pPr>
            <w:r>
              <w:rPr>
                <w:rFonts w:ascii="Times New Roman;Times;serif" w:hAnsi="Times New Roman;Times;serif"/>
                <w:color w:val="FF0000"/>
                <w:sz w:val="24"/>
              </w:rPr>
              <w:t>617-880-3433</w:t>
            </w:r>
          </w:p>
          <w:p>
            <w:pPr>
              <w:pStyle w:val="TableContents"/>
              <w:bidi w:val="0"/>
              <w:spacing w:before="0" w:after="0"/>
              <w:ind w:left="0" w:right="0" w:hanging="0"/>
              <w:jc w:val="left"/>
              <w:rPr>
                <w:rFonts w:ascii="Times New Roman;Times;serif" w:hAnsi="Times New Roman;Times;serif"/>
                <w:color w:val="FF0000"/>
                <w:sz w:val="24"/>
              </w:rPr>
            </w:pPr>
            <w:r>
              <w:rPr>
                <w:rFonts w:ascii="Times New Roman;Times;serif" w:hAnsi="Times New Roman;Times;serif"/>
                <w:color w:val="FF0000"/>
                <w:sz w:val="24"/>
              </w:rPr>
              <w:t>Attention: Kristen J. Fallon</w:t>
            </w:r>
          </w:p>
          <w:p>
            <w:pPr>
              <w:pStyle w:val="TableContents"/>
              <w:bidi w:val="0"/>
              <w:spacing w:before="0" w:after="0"/>
              <w:ind w:left="0" w:right="0" w:hanging="0"/>
              <w:jc w:val="left"/>
              <w:rPr>
                <w:rFonts w:ascii="Times New Roman;Times;serif" w:hAnsi="Times New Roman;Times;serif"/>
                <w:color w:val="FF0000"/>
                <w:sz w:val="24"/>
              </w:rPr>
            </w:pPr>
            <w:r>
              <w:rPr>
                <w:rFonts w:ascii="Times New Roman;Times;serif" w:hAnsi="Times New Roman;Times;serif"/>
                <w:color w:val="FF0000"/>
                <w:sz w:val="24"/>
              </w:rPr>
              <w:t>kfallon@riemerlaw.com</w:t>
            </w:r>
          </w:p>
          <w:p>
            <w:pPr>
              <w:pStyle w:val="TableContents"/>
              <w:bidi w:val="0"/>
              <w:spacing w:before="0" w:after="0"/>
              <w:ind w:left="0" w:right="0" w:hanging="0"/>
              <w:jc w:val="left"/>
              <w:rPr>
                <w:color w:val="FF0000"/>
              </w:rPr>
            </w:pPr>
            <w:r>
              <w:rPr>
                <w:color w:val="FF0000"/>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to the Borrower:</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369 N. New York Ave. Suite 201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Winter Park, Florida 32789</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bookmarkStart w:id="2303" w:name="_cp_change_434"/>
            <w:bookmarkEnd w:id="2303"/>
            <w:r>
              <w:rPr>
                <w:rFonts w:ascii="Times New Roman;Times;serif" w:hAnsi="Times New Roman;Times;serif"/>
                <w:color w:val="FF0000"/>
                <w:sz w:val="24"/>
              </w:rPr>
              <w:t>Matthew Partridge</w:t>
            </w:r>
            <w:bookmarkStart w:id="2304" w:name="_cp_change_435"/>
            <w:bookmarkEnd w:id="2304"/>
            <w:r>
              <w:rPr>
                <w:rFonts w:ascii="Times New Roman;Times;serif" w:hAnsi="Times New Roman;Times;serif"/>
                <w:color w:val="0000FF"/>
                <w:sz w:val="24"/>
                <w:u w:val="single"/>
              </w:rPr>
              <w:t>Phillip Mays</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bookmarkStart w:id="2305" w:name="_cp_change_436"/>
            <w:bookmarkEnd w:id="2305"/>
            <w:r>
              <w:rPr>
                <w:rFonts w:ascii="Times New Roman;Times;serif" w:hAnsi="Times New Roman;Times;serif"/>
                <w:color w:val="FF0000"/>
                <w:sz w:val="24"/>
              </w:rPr>
              <w:t>386-944-5643</w:t>
            </w:r>
            <w:bookmarkStart w:id="2306" w:name="_Hlk184978032"/>
            <w:bookmarkStart w:id="2307" w:name="_cp_change_437"/>
            <w:bookmarkEnd w:id="2306"/>
            <w:bookmarkEnd w:id="2307"/>
            <w:r>
              <w:rPr>
                <w:rFonts w:ascii="Times New Roman;Times;serif" w:hAnsi="Times New Roman;Times;serif"/>
                <w:color w:val="0000FF"/>
                <w:sz w:val="24"/>
                <w:u w:val="single"/>
              </w:rPr>
              <w:t>407-904-3324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Email: </w:t>
            </w:r>
            <w:bookmarkStart w:id="2308" w:name="_cp_change_438"/>
            <w:bookmarkEnd w:id="2308"/>
            <w:r>
              <w:rPr>
                <w:rFonts w:ascii="Times New Roman;Times;serif" w:hAnsi="Times New Roman;Times;serif"/>
                <w:color w:val="FF0000"/>
                <w:sz w:val="24"/>
              </w:rPr>
              <w:t>mpartridge@alpinereit.com</w:t>
            </w:r>
            <w:bookmarkStart w:id="2309" w:name="_Hlk184978043"/>
            <w:bookmarkStart w:id="2310" w:name="_cp_change_439"/>
            <w:bookmarkEnd w:id="2309"/>
            <w:bookmarkEnd w:id="2310"/>
            <w:r>
              <w:rPr>
                <w:rFonts w:ascii="Times New Roman;Times;serif" w:hAnsi="Times New Roman;Times;serif"/>
                <w:sz w:val="24"/>
                <w:u w:val="single"/>
              </w:rPr>
              <w:t>pmays@ctoreit.com</w:t>
            </w:r>
            <w:r>
              <w:rPr>
                <w:rFonts w:ascii="Times New Roman;Times;serif" w:hAnsi="Times New Roman;Times;serif"/>
                <w:sz w:val="24"/>
              </w:rPr>
              <w:t xml:space="preserve"> </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1140 Williamson Boulevard</w:t>
            </w:r>
            <w:bookmarkStart w:id="2311" w:name="_cp_change_440"/>
            <w:bookmarkEnd w:id="2311"/>
          </w:p>
          <w:p>
            <w:pPr>
              <w:pStyle w:val="TableContents"/>
              <w:bidi w:val="0"/>
              <w:spacing w:before="0" w:after="0"/>
              <w:ind w:left="0" w:right="0" w:hanging="0"/>
              <w:jc w:val="left"/>
              <w:rPr>
                <w:rFonts w:ascii="Times New Roman;Times;serif" w:hAnsi="Times New Roman;Times;serif"/>
                <w:sz w:val="24"/>
              </w:rPr>
            </w:pPr>
            <w:bookmarkStart w:id="2312" w:name="_cp_change_441"/>
            <w:bookmarkEnd w:id="2312"/>
            <w:r>
              <w:rPr>
                <w:rFonts w:ascii="Times New Roman;Times;serif" w:hAnsi="Times New Roman;Times;serif"/>
                <w:color w:val="0000FF"/>
                <w:sz w:val="24"/>
                <w:u w:val="single"/>
              </w:rPr>
              <w:t xml:space="preserve">, </w:t>
            </w:r>
            <w:r>
              <w:rPr>
                <w:rFonts w:ascii="Times New Roman;Times;serif" w:hAnsi="Times New Roman;Times;serif"/>
                <w:sz w:val="24"/>
              </w:rPr>
              <w:t>Suite 140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Daytona Beach, Florida 32114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Lisa Vorkoun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386-944-5641</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Email: </w:t>
            </w:r>
            <w:bookmarkStart w:id="2313" w:name="_cp_change_442"/>
            <w:bookmarkEnd w:id="2313"/>
            <w:r>
              <w:rPr>
                <w:rFonts w:ascii="Times New Roman;Times;serif" w:hAnsi="Times New Roman;Times;serif"/>
                <w:color w:val="FF0000"/>
                <w:sz w:val="24"/>
              </w:rPr>
              <w:t>lvorkoun@alpinereit.com</w:t>
            </w:r>
            <w:bookmarkStart w:id="2314" w:name="_cp_change_443"/>
            <w:bookmarkEnd w:id="2314"/>
            <w:r>
              <w:rPr>
                <w:rFonts w:ascii="Times New Roman;Times;serif" w:hAnsi="Times New Roman;Times;serif"/>
                <w:sz w:val="24"/>
                <w:u w:val="single"/>
              </w:rPr>
              <w:t>lvorkoun@alpinereit.com</w:t>
            </w:r>
            <w:r>
              <w:rPr>
                <w:rFonts w:ascii="Times New Roman;Times;serif" w:hAnsi="Times New Roman;Times;serif"/>
                <w:sz w:val="24"/>
              </w:rPr>
              <w:t xml:space="preserve"> </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With copy to:</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Vinson &amp; Elkins LLP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845 Texas Avenue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Suite 4700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Houston, TX 77002</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Noelle C. Alix</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713-758-1124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Email: </w:t>
            </w:r>
            <w:bookmarkStart w:id="2315" w:name="_cp_change_445"/>
            <w:bookmarkEnd w:id="2315"/>
            <w:r>
              <w:rPr>
                <w:rFonts w:ascii="Times New Roman;Times;serif" w:hAnsi="Times New Roman;Times;serif"/>
                <w:color w:val="FF0000"/>
                <w:sz w:val="24"/>
              </w:rPr>
              <w:t>nalix@velaw.com</w:t>
            </w:r>
            <w:bookmarkStart w:id="2316" w:name="_cp_change_444"/>
            <w:bookmarkEnd w:id="2316"/>
          </w:p>
          <w:p>
            <w:pPr>
              <w:pStyle w:val="TableContents"/>
              <w:bidi w:val="0"/>
              <w:spacing w:before="0" w:after="240"/>
              <w:ind w:left="0" w:right="0" w:hanging="0"/>
              <w:jc w:val="left"/>
              <w:rPr>
                <w:rFonts w:ascii="Times New Roman;Times;serif" w:hAnsi="Times New Roman;Times;serif"/>
                <w:sz w:val="24"/>
              </w:rPr>
            </w:pPr>
            <w:bookmarkStart w:id="2317" w:name="_cp_change_446"/>
            <w:bookmarkEnd w:id="2317"/>
            <w:r>
              <w:rPr>
                <w:rFonts w:ascii="Times New Roman;Times;serif" w:hAnsi="Times New Roman;Times;serif"/>
                <w:sz w:val="24"/>
                <w:u w:val="single"/>
              </w:rPr>
              <w:t>nalix@velaw.com</w:t>
            </w:r>
            <w:r>
              <w:rPr>
                <w:rFonts w:ascii="Times New Roman;Times;serif" w:hAnsi="Times New Roman;Times;serif"/>
                <w:color w:val="0000FF"/>
                <w:sz w:val="24"/>
                <w:u w:val="single"/>
              </w:rPr>
              <w:t xml:space="preserve"> </w:t>
            </w:r>
          </w:p>
        </w:tc>
        <w:tc>
          <w:tcPr>
            <w:tcW w:w="5671" w:type="dxa"/>
            <w:tcBorders/>
            <w:vAlign w:val="center"/>
          </w:tcPr>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to the Administrative Agent: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Truist Bank</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CRE Loan Admin Charlotte Office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Loan Servicing</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4777 Sharon Road, Suite 300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Mail Code: NC-Charlotte-0300</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Charlotte, NC 28210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Truist Bank</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303 Peachtree Street, 25th Floor</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Mail Code 7662</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Atlanta, Georgia 30308</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Agency Services</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Email: </w:t>
            </w:r>
            <w:bookmarkStart w:id="2318" w:name="_cp_change_447"/>
            <w:bookmarkEnd w:id="2318"/>
            <w:r>
              <w:rPr>
                <w:rFonts w:ascii="Times New Roman;Times;serif" w:hAnsi="Times New Roman;Times;serif"/>
                <w:color w:val="FF0000"/>
                <w:sz w:val="24"/>
              </w:rPr>
              <w:t>Agency.Services@truist.com</w:t>
            </w:r>
            <w:bookmarkStart w:id="2319" w:name="_cp_change_448"/>
            <w:bookmarkEnd w:id="2319"/>
            <w:r>
              <w:rPr>
                <w:rFonts w:ascii="Times New Roman;Times;serif" w:hAnsi="Times New Roman;Times;serif"/>
                <w:sz w:val="24"/>
                <w:u w:val="single"/>
              </w:rPr>
              <w:t>Agency.Services@truist.com</w:t>
            </w:r>
            <w:r>
              <w:rPr>
                <w:rFonts w:ascii="Times New Roman;Times;serif" w:hAnsi="Times New Roman;Times;serif"/>
                <w:sz w:val="24"/>
              </w:rPr>
              <w:t xml:space="preserve"> </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With a copy to:</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Riemer &amp; Braunstein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100 Cambridge Street</w:t>
            </w:r>
            <w:bookmarkStart w:id="2320" w:name="_cp_change_449"/>
            <w:bookmarkEnd w:id="2320"/>
            <w:r>
              <w:rPr>
                <w:rFonts w:ascii="Times New Roman;Times;serif" w:hAnsi="Times New Roman;Times;serif"/>
                <w:color w:val="0000FF"/>
                <w:sz w:val="24"/>
                <w:u w:val="single"/>
              </w:rPr>
              <w:t>, 22</w:t>
            </w:r>
            <w:r>
              <w:rPr>
                <w:rFonts w:ascii="Times New Roman;Times;serif" w:hAnsi="Times New Roman;Times;serif"/>
                <w:color w:val="0000FF"/>
                <w:sz w:val="18"/>
              </w:rPr>
              <w:t>nd</w:t>
            </w:r>
            <w:r>
              <w:rPr>
                <w:rFonts w:ascii="Times New Roman;Times;serif" w:hAnsi="Times New Roman;Times;serif"/>
                <w:color w:val="0000FF"/>
                <w:sz w:val="24"/>
                <w:u w:val="single"/>
              </w:rPr>
              <w:t xml:space="preserve"> Floor</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Boston, MA 02114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Attention: </w:t>
            </w:r>
            <w:bookmarkStart w:id="2321" w:name="_cp_change_450"/>
            <w:bookmarkEnd w:id="2321"/>
            <w:r>
              <w:rPr>
                <w:rFonts w:ascii="Times New Roman;Times;serif" w:hAnsi="Times New Roman;Times;serif"/>
                <w:color w:val="FF0000"/>
                <w:sz w:val="24"/>
              </w:rPr>
              <w:t>Kevin J. Lyons</w:t>
            </w:r>
            <w:bookmarkStart w:id="2322" w:name="_cp_change_451"/>
            <w:bookmarkEnd w:id="2322"/>
            <w:r>
              <w:rPr>
                <w:rFonts w:ascii="Times New Roman;Times;serif" w:hAnsi="Times New Roman;Times;serif"/>
                <w:color w:val="0000FF"/>
                <w:sz w:val="24"/>
                <w:u w:val="single"/>
              </w:rPr>
              <w:t>Saúl De La Guardia</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Email: </w:t>
            </w:r>
            <w:bookmarkStart w:id="2323" w:name="_cp_change_452"/>
            <w:bookmarkEnd w:id="2323"/>
            <w:r>
              <w:rPr>
                <w:rFonts w:ascii="Times New Roman;Times;serif" w:hAnsi="Times New Roman;Times;serif"/>
                <w:color w:val="FF0000"/>
                <w:sz w:val="24"/>
              </w:rPr>
              <w:t>klyons@riemerlaw.com</w:t>
            </w:r>
            <w:bookmarkStart w:id="2324" w:name="_cp_change_453"/>
            <w:bookmarkEnd w:id="2324"/>
            <w:r>
              <w:rPr>
                <w:rFonts w:ascii="Times New Roman;Times;serif" w:hAnsi="Times New Roman;Times;serif"/>
                <w:sz w:val="24"/>
                <w:u w:val="single"/>
              </w:rPr>
              <w:t>sdelaguardia@riemerlaw.com</w:t>
            </w:r>
            <w:r>
              <w:rPr>
                <w:rFonts w:ascii="Times New Roman;Times;serif" w:hAnsi="Times New Roman;Times;serif"/>
                <w:sz w:val="24"/>
              </w:rPr>
              <w:t xml:space="preserve">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Telephone: </w:t>
            </w:r>
            <w:bookmarkStart w:id="2325" w:name="_cp_change_455"/>
            <w:bookmarkEnd w:id="2325"/>
            <w:r>
              <w:rPr>
                <w:rFonts w:ascii="Times New Roman;Times;serif" w:hAnsi="Times New Roman;Times;serif"/>
                <w:color w:val="FF0000"/>
                <w:sz w:val="24"/>
              </w:rPr>
              <w:t>617-880-3433</w:t>
            </w:r>
            <w:bookmarkStart w:id="2326" w:name="_cp_change_454"/>
            <w:bookmarkEnd w:id="2326"/>
          </w:p>
          <w:p>
            <w:pPr>
              <w:pStyle w:val="TableContents"/>
              <w:bidi w:val="0"/>
              <w:spacing w:before="0" w:after="0"/>
              <w:ind w:left="0" w:right="0" w:hanging="0"/>
              <w:jc w:val="left"/>
              <w:rPr>
                <w:rFonts w:ascii="Times New Roman;Times;serif" w:hAnsi="Times New Roman;Times;serif"/>
                <w:sz w:val="24"/>
              </w:rPr>
            </w:pPr>
            <w:bookmarkStart w:id="2327" w:name="_cp_change_456"/>
            <w:bookmarkEnd w:id="2327"/>
            <w:r>
              <w:rPr>
                <w:rFonts w:ascii="Times New Roman;Times;serif" w:hAnsi="Times New Roman;Times;serif"/>
                <w:color w:val="0000FF"/>
                <w:sz w:val="24"/>
                <w:u w:val="single"/>
              </w:rPr>
              <w:t>617-880-3533</w:t>
            </w:r>
            <w:bookmarkStart w:id="2328" w:name="_cp_change_458"/>
            <w:bookmarkEnd w:id="2328"/>
            <w:r>
              <w:rPr>
                <w:rFonts w:ascii="Times New Roman;Times;serif" w:hAnsi="Times New Roman;Times;serif"/>
                <w:color w:val="FF0000"/>
                <w:sz w:val="24"/>
              </w:rPr>
              <w:t>Attention: Kristen J. Fallon</w:t>
            </w:r>
            <w:bookmarkStart w:id="2329" w:name="_cp_change_457"/>
            <w:bookmarkEnd w:id="2329"/>
          </w:p>
          <w:p>
            <w:pPr>
              <w:pStyle w:val="TableContents"/>
              <w:bidi w:val="0"/>
              <w:spacing w:before="0" w:after="0"/>
              <w:ind w:left="0" w:right="0" w:hanging="0"/>
              <w:jc w:val="left"/>
              <w:rPr>
                <w:rFonts w:ascii="Times New Roman;Times;serif" w:hAnsi="Times New Roman;Times;serif"/>
                <w:sz w:val="24"/>
              </w:rPr>
            </w:pPr>
            <w:bookmarkStart w:id="2330" w:name="_cp_change_459"/>
            <w:bookmarkEnd w:id="2330"/>
            <w:r>
              <w:rPr>
                <w:rFonts w:ascii="Times New Roman;Times;serif" w:hAnsi="Times New Roman;Times;serif"/>
                <w:color w:val="FF0000"/>
                <w:sz w:val="24"/>
              </w:rPr>
              <w:t xml:space="preserve">Email: </w:t>
            </w:r>
            <w:bookmarkStart w:id="2331" w:name="_cp_change_460"/>
            <w:bookmarkEnd w:id="2331"/>
            <w:r>
              <w:rPr>
                <w:rFonts w:ascii="Times New Roman;Times;serif" w:hAnsi="Times New Roman;Times;serif"/>
                <w:color w:val="FF0000"/>
                <w:sz w:val="24"/>
              </w:rPr>
              <w:t>kfallon@riemerlaw.com</w:t>
            </w:r>
            <w:bookmarkStart w:id="2332" w:name="_cp_change_461"/>
            <w:bookmarkEnd w:id="2332"/>
          </w:p>
          <w:p>
            <w:pPr>
              <w:pStyle w:val="TableContents"/>
              <w:bidi w:val="0"/>
              <w:spacing w:before="0" w:after="0"/>
              <w:ind w:left="0" w:right="0" w:hanging="0"/>
              <w:jc w:val="left"/>
              <w:rPr>
                <w:rFonts w:ascii="Times New Roman;Times;serif" w:hAnsi="Times New Roman;Times;serif"/>
                <w:color w:val="FF0000"/>
                <w:sz w:val="24"/>
              </w:rPr>
            </w:pPr>
            <w:bookmarkStart w:id="2333" w:name="_cp_change_463"/>
            <w:bookmarkEnd w:id="2333"/>
            <w:r>
              <w:rPr>
                <w:rFonts w:ascii="Times New Roman;Times;serif" w:hAnsi="Times New Roman;Times;serif"/>
                <w:color w:val="FF0000"/>
                <w:sz w:val="24"/>
              </w:rPr>
              <w:t>Telephone: 617-880-3425</w:t>
            </w:r>
            <w:bookmarkStart w:id="2334" w:name="_cp_change_462"/>
            <w:bookmarkEnd w:id="2334"/>
          </w:p>
          <w:p>
            <w:pPr>
              <w:pStyle w:val="TableContents"/>
              <w:bidi w:val="0"/>
              <w:spacing w:before="0" w:after="0"/>
              <w:ind w:left="0" w:right="0" w:hanging="0"/>
              <w:jc w:val="left"/>
              <w:rPr/>
            </w:pPr>
            <w:r>
              <w:rPr/>
              <w:t>​</w:t>
            </w:r>
          </w:p>
        </w:tc>
      </w:tr>
      <w:tr>
        <w:trPr/>
        <w:tc>
          <w:tcPr>
            <w:tcW w:w="4951" w:type="dxa"/>
            <w:tcBorders/>
            <w:shd w:fill="FFDEAD" w:val="clear"/>
            <w:vAlign w:val="center"/>
          </w:tcPr>
          <w:p>
            <w:pPr>
              <w:pStyle w:val="TableContents"/>
              <w:bidi w:val="0"/>
              <w:spacing w:before="280" w:after="0"/>
              <w:ind w:left="0" w:right="0" w:hanging="0"/>
              <w:jc w:val="left"/>
              <w:rPr>
                <w:color w:val="FF0000"/>
              </w:rPr>
            </w:pPr>
            <w:bookmarkStart w:id="2335" w:name="_cp_change_464"/>
            <w:bookmarkEnd w:id="2335"/>
            <w:r>
              <w:rPr>
                <w:color w:val="FF0000"/>
              </w:rPr>
              <w:t>​</w:t>
            </w:r>
          </w:p>
        </w:tc>
        <w:tc>
          <w:tcPr>
            <w:tcW w:w="5671" w:type="dxa"/>
            <w:tcBorders/>
            <w:shd w:fill="FFDEAD" w:val="clear"/>
            <w:vAlign w:val="center"/>
          </w:tcPr>
          <w:p>
            <w:pPr>
              <w:pStyle w:val="TableContents"/>
              <w:bidi w:val="0"/>
              <w:spacing w:before="280" w:after="0"/>
              <w:ind w:left="0" w:right="0" w:hanging="0"/>
              <w:jc w:val="left"/>
              <w:rPr>
                <w:color w:val="FF0000"/>
              </w:rPr>
            </w:pPr>
            <w:r>
              <w:rPr>
                <w:color w:val="FF0000"/>
              </w:rPr>
              <w:t>​</w:t>
            </w:r>
          </w:p>
        </w:tc>
      </w:tr>
    </w:tbl>
    <w:p>
      <w:pPr>
        <w:pStyle w:val="TextBody"/>
        <w:bidi w:val="0"/>
        <w:spacing w:before="240" w:after="240"/>
        <w:ind w:left="0" w:right="0" w:hanging="0"/>
        <w:jc w:val="both"/>
        <w:rPr>
          <w:rFonts w:ascii="Times New Roman;Times;serif" w:hAnsi="Times New Roman;Times;serif"/>
          <w:sz w:val="24"/>
        </w:rPr>
      </w:pPr>
      <w:r>
        <w:rPr>
          <w:rFonts w:ascii="Times" w:hAnsi="Times"/>
          <w:sz w:val="24"/>
        </w:rPr>
        <w:t xml:space="preserve">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 (ii) if given by mail, upon receipt or first refusal of delivery or (iii) if given by any other means, when delivered at the addresses specified in this Section 12.8 or in the relevant Administrative Questionnaire; </w:t>
      </w:r>
      <w:r>
        <w:rPr>
          <w:rFonts w:ascii="Times" w:hAnsi="Times"/>
          <w:i/>
          <w:sz w:val="24"/>
        </w:rPr>
        <w:t xml:space="preserve">provided </w:t>
      </w:r>
      <w:r>
        <w:rPr>
          <w:rFonts w:ascii="Times" w:hAnsi="Times"/>
          <w:sz w:val="24"/>
        </w:rPr>
        <w:t>that</w:t>
      </w:r>
      <w:r>
        <w:rPr>
          <w:rFonts w:ascii="Times New Roman;Times;serif" w:hAnsi="Times New Roman;Times;serif"/>
          <w:sz w:val="24"/>
        </w:rPr>
        <w:t xml:space="preserve"> </w:t>
      </w:r>
      <w:r>
        <w:rPr>
          <w:rFonts w:ascii="Times" w:hAnsi="Times"/>
          <w:sz w:val="24"/>
        </w:rPr>
        <w:t>any notice given pursuant to Section 1 hereof shall be effective only upon receipt.</w:t>
      </w:r>
    </w:p>
    <w:p>
      <w:pPr>
        <w:pStyle w:val="TextBody"/>
        <w:bidi w:val="0"/>
        <w:ind w:left="0" w:right="0" w:hanging="0"/>
        <w:jc w:val="both"/>
        <w:rPr/>
      </w:pPr>
      <w:r>
        <w:rPr/>
        <w:t>●</w:t>
      </w:r>
      <w:bookmarkStart w:id="2336" w:name="_Toc184891576"/>
      <w:bookmarkEnd w:id="2336"/>
      <w:r>
        <w:rPr>
          <w:rFonts w:ascii="Times New Roman;Times;serif" w:hAnsi="Times New Roman;Times;serif"/>
          <w:sz w:val="24"/>
          <w:u w:val="single"/>
        </w:rPr>
        <w:t>Counterparts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This Agreement may be executed in any number of 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pStyle w:val="TextBody"/>
        <w:bidi w:val="0"/>
        <w:spacing w:before="0" w:after="240"/>
        <w:ind w:left="0" w:right="0" w:hanging="0"/>
        <w:jc w:val="both"/>
        <w:rPr/>
      </w:pPr>
      <w:r>
        <w:rPr/>
        <w:t>●</w:t>
      </w:r>
      <w:bookmarkStart w:id="2337" w:name="_Toc184891577"/>
      <w:bookmarkEnd w:id="2337"/>
      <w:r>
        <w:rPr>
          <w:rFonts w:ascii="Times New Roman;Times;serif" w:hAnsi="Times New Roman;Times;serif"/>
          <w:sz w:val="24"/>
          <w:u w:val="single"/>
        </w:rPr>
        <w:t>Successors and Assigns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This Agreement shall be binding upon the Borrower, the Guarantors and their respective successors and permitted assigns, and shall inure to the benefit of the Administrative Agent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w:t>
      </w:r>
    </w:p>
    <w:p>
      <w:pPr>
        <w:pStyle w:val="TextBody"/>
        <w:bidi w:val="0"/>
        <w:spacing w:before="0" w:after="240"/>
        <w:ind w:left="0" w:right="0" w:hanging="0"/>
        <w:jc w:val="both"/>
        <w:rPr/>
      </w:pPr>
      <w:r>
        <w:rPr/>
        <w:t>●</w:t>
      </w:r>
      <w:bookmarkStart w:id="2338" w:name="_Toc184891578"/>
      <w:bookmarkEnd w:id="2338"/>
      <w:r>
        <w:rPr>
          <w:rFonts w:ascii="Times New Roman;Times;serif" w:hAnsi="Times New Roman;Times;serif"/>
          <w:sz w:val="24"/>
          <w:u w:val="single"/>
        </w:rPr>
        <w:t>Participants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Each Lender shall have the right at its own cost to grant participations (to be evidenced by one or more agreements or certificates of participation) in the Loans made and/or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w:t>
      </w:r>
      <w:r>
        <w:rPr>
          <w:rFonts w:ascii="Times New Roman;Times;serif" w:hAnsi="Times New Roman;Times;serif"/>
          <w:i/>
          <w:sz w:val="24"/>
        </w:rPr>
        <w:t>provided</w:t>
      </w:r>
      <w:r>
        <w:rPr>
          <w:rFonts w:ascii="Times New Roman;Times;serif" w:hAnsi="Times New Roman;Times;serif"/>
          <w:sz w:val="24"/>
        </w:rPr>
        <w:t xml:space="preserve"> that prior to any such disclosure any such participant or prospective participant shall agree in writing to be subject to the confidentiality provisions contained herein.  No participation may be granted or sold to the Borrower, any Guarantor, any Affiliate or Subsidiary of Borrower or Guarantor, any Defaulting Lender or any natural person.</w:t>
      </w:r>
    </w:p>
    <w:p>
      <w:pPr>
        <w:pStyle w:val="TextBody"/>
        <w:bidi w:val="0"/>
        <w:ind w:left="0" w:right="0" w:hanging="0"/>
        <w:jc w:val="both"/>
        <w:rPr/>
      </w:pPr>
      <w:r>
        <w:rPr/>
        <w:t>●</w:t>
      </w:r>
      <w:bookmarkStart w:id="2339" w:name="_Ref703410091"/>
      <w:bookmarkStart w:id="2340" w:name="_Toc184891579"/>
      <w:bookmarkEnd w:id="2339"/>
      <w:bookmarkEnd w:id="2340"/>
      <w:r>
        <w:rPr>
          <w:rFonts w:ascii="Times New Roman;Times;serif" w:hAnsi="Times New Roman;Times;serif"/>
          <w:sz w:val="24"/>
          <w:u w:val="single"/>
        </w:rPr>
        <w:t>Assignments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 xml:space="preserve">Any Lender may at any time assign to one or more Eligible Assignees all or a portion of such Lender’s rights and obligations under this Agreement (including all or a portion of its Commitment and the Loans at the time owing to it); </w:t>
      </w:r>
      <w:r>
        <w:rPr>
          <w:rFonts w:ascii="Times New Roman;Times;serif" w:hAnsi="Times New Roman;Times;serif"/>
          <w:i/>
          <w:sz w:val="24"/>
        </w:rPr>
        <w:t>provided</w:t>
      </w:r>
      <w:r>
        <w:rPr>
          <w:rFonts w:ascii="Times New Roman;Times;serif" w:hAnsi="Times New Roman;Times;serif"/>
          <w:sz w:val="24"/>
        </w:rPr>
        <w:t xml:space="preserve"> that any such assignment shall be subject to the following conditions: </w:t>
      </w:r>
    </w:p>
    <w:p>
      <w:pPr>
        <w:pStyle w:val="TextBody"/>
        <w:bidi w:val="0"/>
        <w:spacing w:before="0" w:after="240"/>
        <w:ind w:left="720" w:right="0" w:hanging="0"/>
        <w:jc w:val="both"/>
        <w:rPr/>
      </w:pPr>
      <w:r>
        <w:rPr/>
        <w:t>●</w:t>
      </w:r>
      <w:r>
        <w:rPr>
          <w:rFonts w:ascii="Times New Roman;Times;serif" w:hAnsi="Times New Roman;Times;serif"/>
          <w:sz w:val="24"/>
          <w:u w:val="single"/>
        </w:rPr>
        <w:t>Minimum Amounts</w:t>
      </w:r>
      <w:r>
        <w:rPr>
          <w:rFonts w:ascii="Times New Roman;Times;serif" w:hAnsi="Times New Roman;Times;serif"/>
          <w:sz w:val="24"/>
        </w:rPr>
        <w:t>.  (A) In the case of an assignment of the entire remaining amount of the assigning Lender’s Commitment and the Loans at the time owing to it or in the case of an assignment to a Lender, an Affiliate of a Lender or an Approved Fund, no minimum amount need be assigned; and (B) in any case not described in subsection (a)(i)(A) of this Section 12.12, the aggregate amount of the Commitment or, if the Commitment is not then in effect, the principal outstanding balance of the Loans (determined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unless each of the Administrative Agent and, so long as no Event of Default has occurred and is continuing, the Borrower otherwise consents (each such consent not to be unreasonably withheld or delayed);</w:t>
      </w:r>
    </w:p>
    <w:p>
      <w:pPr>
        <w:pStyle w:val="TextBody"/>
        <w:bidi w:val="0"/>
        <w:spacing w:before="0" w:after="240"/>
        <w:ind w:left="720" w:right="0" w:hanging="0"/>
        <w:jc w:val="both"/>
        <w:rPr/>
      </w:pPr>
      <w:r>
        <w:rPr/>
        <w:t>●</w:t>
      </w:r>
      <w:r>
        <w:rPr>
          <w:rFonts w:ascii="Times New Roman;Times;serif" w:hAnsi="Times New Roman;Times;serif"/>
          <w:sz w:val="24"/>
          <w:u w:val="single"/>
        </w:rPr>
        <w:t>Proportionate Amounts</w:t>
      </w:r>
      <w:r>
        <w:rPr>
          <w:rFonts w:ascii="Times New Roman;Times;serif" w:hAnsi="Times New Roman;Times;serif"/>
          <w:sz w:val="24"/>
        </w:rPr>
        <w:t>.  Each partial assignment shall be made as an assignment of a proportionate part of all the assigning Lender’s rights and obligations under this Agreement with respect to the Term Loan, Incremental Term Loan or the Commitment.</w:t>
      </w:r>
    </w:p>
    <w:p>
      <w:pPr>
        <w:pStyle w:val="TextBody"/>
        <w:bidi w:val="0"/>
        <w:spacing w:before="0" w:after="240"/>
        <w:ind w:left="720" w:right="0" w:hanging="0"/>
        <w:jc w:val="both"/>
        <w:rPr/>
      </w:pPr>
      <w:r>
        <w:rPr/>
        <w:t>●</w:t>
      </w:r>
      <w:r>
        <w:rPr>
          <w:rFonts w:ascii="Times New Roman;Times;serif" w:hAnsi="Times New Roman;Times;serif"/>
          <w:sz w:val="24"/>
          <w:u w:val="single"/>
        </w:rPr>
        <w:t>Required Consents</w:t>
      </w:r>
      <w:r>
        <w:rPr>
          <w:rFonts w:ascii="Times New Roman;Times;serif" w:hAnsi="Times New Roman;Times;serif"/>
          <w:sz w:val="24"/>
        </w:rPr>
        <w:t>.  No consent shall be required for any assignment except to the extent required by Section 12.12(a)(i)(B) and, in addition:</w:t>
      </w:r>
    </w:p>
    <w:p>
      <w:pPr>
        <w:pStyle w:val="TextBody"/>
        <w:bidi w:val="0"/>
        <w:spacing w:before="0" w:after="240"/>
        <w:ind w:left="1440" w:right="0" w:hanging="0"/>
        <w:jc w:val="both"/>
        <w:rPr/>
      </w:pPr>
      <w:r>
        <w:rPr/>
        <w:t>●</w:t>
      </w:r>
      <w:r>
        <w:rPr>
          <w:rFonts w:ascii="Times New Roman;Times;serif" w:hAnsi="Times New Roman;Times;serif"/>
          <w:sz w:val="24"/>
        </w:rPr>
        <w:t>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 and</w:t>
      </w:r>
    </w:p>
    <w:p>
      <w:pPr>
        <w:pStyle w:val="TextBody"/>
        <w:bidi w:val="0"/>
        <w:spacing w:before="0" w:after="0"/>
        <w:ind w:left="1440" w:right="0" w:hanging="0"/>
        <w:jc w:val="both"/>
        <w:rPr/>
      </w:pPr>
      <w:r>
        <w:rPr/>
        <w:t>●</w:t>
      </w:r>
      <w:r>
        <w:rPr>
          <w:rFonts w:ascii="Times New Roman;Times;serif" w:hAnsi="Times New Roman;Times;serif"/>
          <w:sz w:val="24"/>
        </w:rPr>
        <w:t>the consent of the Administrative Agent (such consent not to be unreasonably withheld or delayed and to be given or denied within five (5) Business Days of written request therefor) shall be required if such assignment is to a Person that is not a Lender with a Commitment, an Affiliate of such Lender or an Approved Fund with respect to such Lender.</w:t>
      </w:r>
    </w:p>
    <w:p>
      <w:pPr>
        <w:pStyle w:val="TextBody"/>
        <w:bidi w:val="0"/>
        <w:spacing w:before="0" w:after="240"/>
        <w:ind w:left="720" w:right="0" w:hanging="0"/>
        <w:jc w:val="both"/>
        <w:rPr/>
      </w:pPr>
      <w:r>
        <w:rPr/>
        <w:t>●</w:t>
      </w:r>
      <w:r>
        <w:rPr>
          <w:rFonts w:ascii="Times New Roman;Times;serif" w:hAnsi="Times New Roman;Times;serif"/>
          <w:sz w:val="24"/>
          <w:u w:val="single"/>
        </w:rPr>
        <w:t>Assignment and Acceptance</w:t>
      </w:r>
      <w:r>
        <w:rPr>
          <w:rFonts w:ascii="Times New Roman;Times;serif" w:hAnsi="Times New Roman;Times;serif"/>
          <w:sz w:val="24"/>
        </w:rPr>
        <w:t>. The parties to each assignment shall execute and deliver to the Administrative Agent an Assignment and Acceptance, together with a processing and recordation fee of $3,500, and the assignee, if it is not a Lender, shall deliver to the Administrative Agent an Administrative Questionnaire.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r>
        <w:rPr>
          <w:rFonts w:ascii="Times New Roman;Times;serif" w:hAnsi="Times New Roman;Times;serif"/>
          <w:sz w:val="24"/>
          <w:u w:val="single"/>
        </w:rPr>
        <w:t>No Assignment to Borrower, Guarantors, Affiliates or Subsidiaries</w:t>
      </w:r>
      <w:r>
        <w:rPr>
          <w:rFonts w:ascii="Times New Roman;Times;serif" w:hAnsi="Times New Roman;Times;serif"/>
          <w:sz w:val="24"/>
        </w:rPr>
        <w:t>.  No such assignment shall be made to the Borrower, any Guarantor or any Affiliate or Subsidiary of the Borrower or any Guarantor.</w:t>
      </w:r>
    </w:p>
    <w:p>
      <w:pPr>
        <w:pStyle w:val="TextBody"/>
        <w:bidi w:val="0"/>
        <w:spacing w:before="0" w:after="240"/>
        <w:ind w:left="720" w:right="0" w:hanging="0"/>
        <w:jc w:val="both"/>
        <w:rPr/>
      </w:pPr>
      <w:r>
        <w:rPr/>
        <w:t>●</w:t>
      </w:r>
      <w:r>
        <w:rPr>
          <w:rFonts w:ascii="Times New Roman;Times;serif" w:hAnsi="Times New Roman;Times;serif"/>
          <w:sz w:val="24"/>
          <w:u w:val="single"/>
        </w:rPr>
        <w:t>No Assignment to Natural Persons.</w:t>
      </w:r>
      <w:r>
        <w:rPr>
          <w:rFonts w:ascii="Times New Roman;Times;serif" w:hAnsi="Times New Roman;Times;serif"/>
          <w:sz w:val="24"/>
        </w:rPr>
        <w:t xml:space="preserve">  No such assignment shall be made to a natural person</w:t>
      </w:r>
      <w:bookmarkStart w:id="2341" w:name="_cp_change_467"/>
      <w:bookmarkEnd w:id="2341"/>
      <w:r>
        <w:rPr>
          <w:rFonts w:ascii="Times New Roman;Times;serif" w:hAnsi="Times New Roman;Times;serif"/>
          <w:color w:val="0000FF"/>
          <w:sz w:val="24"/>
          <w:u w:val="single"/>
        </w:rPr>
        <w:t xml:space="preserve"> (or holding company, investment vehicle or trust for, or owned and operated for the primary benefit of a natural person)</w:t>
      </w:r>
      <w:r>
        <w:rPr>
          <w:rFonts w:ascii="Times New Roman;Times;serif" w:hAnsi="Times New Roman;Times;serif"/>
          <w:sz w:val="24"/>
        </w:rPr>
        <w:t>.</w:t>
      </w:r>
    </w:p>
    <w:p>
      <w:pPr>
        <w:pStyle w:val="TextBody"/>
        <w:bidi w:val="0"/>
        <w:ind w:left="720" w:right="0" w:hanging="0"/>
        <w:jc w:val="both"/>
        <w:rPr/>
      </w:pPr>
      <w:r>
        <w:rPr/>
        <w:t>●</w:t>
      </w:r>
      <w:r>
        <w:rPr>
          <w:rFonts w:ascii="Times New Roman;Times;serif" w:hAnsi="Times New Roman;Times;serif"/>
          <w:sz w:val="24"/>
          <w:u w:val="single"/>
        </w:rPr>
        <w:t>No Assignment to Defaulting Lender</w:t>
      </w:r>
      <w:r>
        <w:rPr>
          <w:rFonts w:ascii="Times New Roman;Times;serif" w:hAnsi="Times New Roman;Times;serif"/>
          <w:i/>
          <w:sz w:val="24"/>
        </w:rPr>
        <w:t>.</w:t>
      </w:r>
      <w:r>
        <w:rPr>
          <w:rFonts w:ascii="Times New Roman;Times;serif" w:hAnsi="Times New Roman;Times;serif"/>
          <w:sz w:val="24"/>
        </w:rPr>
        <w:t xml:space="preserve">  No such assignment shall be made to a Defaulting Lender.</w:t>
      </w:r>
    </w:p>
    <w:p>
      <w:pPr>
        <w:pStyle w:val="TextBody"/>
        <w:bidi w:val="0"/>
        <w:spacing w:before="0" w:after="240"/>
        <w:ind w:left="0" w:right="0" w:hanging="0"/>
        <w:jc w:val="both"/>
        <w:rPr>
          <w:rFonts w:ascii="Times" w:hAnsi="Times"/>
          <w:sz w:val="24"/>
        </w:rPr>
      </w:pPr>
      <w:r>
        <w:rPr>
          <w:rFonts w:ascii="Times" w:hAnsi="Times"/>
          <w:sz w:val="24"/>
        </w:rPr>
        <w:t>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pStyle w:val="TextBody"/>
        <w:bidi w:val="0"/>
        <w:spacing w:before="0" w:after="240"/>
        <w:ind w:left="0" w:right="0" w:hanging="0"/>
        <w:jc w:val="both"/>
        <w:rPr/>
      </w:pPr>
      <w:r>
        <w:rPr/>
        <w:t>●</w:t>
      </w:r>
      <w:r>
        <w:rPr>
          <w:rFonts w:ascii="Times New Roman;Times;serif" w:hAnsi="Times New Roman;Times;serif"/>
          <w:sz w:val="24"/>
          <w:u w:val="single"/>
        </w:rPr>
        <w:t>Register</w:t>
      </w:r>
      <w:r>
        <w:rPr>
          <w:rFonts w:ascii="Times New Roman;Times;serif" w:hAnsi="Times New Roman;Times;serif"/>
          <w:sz w:val="24"/>
        </w:rPr>
        <w:t>.  The Administrative Agent, acting solely for this purpose as an agent of the Borrower, shall maintain at one of its offices in New York, New York, a copy of each Assignment and Acceptance delivered to it and a register for the recordation of the names and addresses of the Lenders, and the Commitments of, and principal amounts of the Loans owing to, each Lender pursuant to the terms hereof from time to time (the “</w:t>
      </w:r>
      <w:r>
        <w:rPr>
          <w:rFonts w:ascii="Times New Roman;Times;serif" w:hAnsi="Times New Roman;Times;serif"/>
          <w:i/>
          <w:sz w:val="24"/>
        </w:rPr>
        <w:t>Register”</w:t>
      </w:r>
      <w:r>
        <w:rPr>
          <w:rFonts w:ascii="Times New Roman;Times;serif" w:hAnsi="Times New Roman;Times;serif"/>
          <w:sz w:val="24"/>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shall, acting solely for this purpose as an agent of the Borrower, maintain a register on which it enters the name and address of each participant and the principal amounts (and stated interest) of each participant's interest in the Loans made and Commitments or other obligations under this Agreement (the “</w:t>
      </w:r>
      <w:r>
        <w:rPr>
          <w:rFonts w:ascii="Times New Roman;Times;serif" w:hAnsi="Times New Roman;Times;serif"/>
          <w:i/>
          <w:sz w:val="24"/>
        </w:rPr>
        <w:t>Participant Register”</w:t>
      </w:r>
      <w:r>
        <w:rPr>
          <w:rFonts w:ascii="Times New Roman;Times;serif" w:hAnsi="Times New Roman;Times;serif"/>
          <w:sz w:val="24"/>
        </w:rPr>
        <w:t>); provided that no Lender shall have any obligation to disclose all or any portion of the Participant Register to any Person (including the identity of any participant or any information relating to a participant's interest in any Loans made and/or Commitments or other obligations under this Agreement) except to the extent that such disclosure is necessary to establish that such Obligation or Commitment is in registered form under Section 5f.103-1(c) of the Treasury Regulations or is otherwise required by this Agreement. The entries in the Participant Register shall be conclusive absent manifest error and such Lender shall treat which person whose name is recorded in the Participant Register as the owner of such participation for all purposes of this Agreement notwithstanding any notice to the contrary.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4"/>
        </w:rPr>
        <w:t xml:space="preserve">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w:t>
      </w:r>
      <w:r>
        <w:rPr>
          <w:rFonts w:ascii="Times New Roman;Times;serif" w:hAnsi="Times New Roman;Times;serif"/>
          <w:i/>
          <w:sz w:val="24"/>
        </w:rPr>
        <w:t>provided</w:t>
      </w:r>
      <w:r>
        <w:rPr>
          <w:rFonts w:ascii="Times New Roman;Times;serif" w:hAnsi="Times New Roman;Times;serif"/>
          <w:sz w:val="24"/>
        </w:rPr>
        <w:t xml:space="preserve"> that no such pledge or grant of a security interest shall release a Lender from any of its obligations hereunder or substitute any such pledgee or secured party for such Lender as a party hereto; </w:t>
      </w:r>
      <w:r>
        <w:rPr>
          <w:rFonts w:ascii="Times New Roman;Times;serif" w:hAnsi="Times New Roman;Times;serif"/>
          <w:i/>
          <w:sz w:val="24"/>
        </w:rPr>
        <w:t>provided further, however,</w:t>
      </w:r>
      <w:r>
        <w:rPr>
          <w:rFonts w:ascii="Times New Roman;Times;serif" w:hAnsi="Times New Roman;Times;serif"/>
          <w:sz w:val="24"/>
        </w:rPr>
        <w:t xml:space="preserve"> the right of any such pledgee or grantee (other than any Federal Reserve Bank) to further transfer all or any portion of the rights pledged or granted to it, whether by means of foreclosure or otherwise, shall be at all times subject to the terms of this Agreement.  </w:t>
      </w:r>
    </w:p>
    <w:p>
      <w:pPr>
        <w:pStyle w:val="TextBody"/>
        <w:bidi w:val="0"/>
        <w:spacing w:before="0" w:after="240"/>
        <w:ind w:left="0" w:right="0" w:hanging="0"/>
        <w:jc w:val="both"/>
        <w:rPr/>
      </w:pPr>
      <w:r>
        <w:rPr/>
        <w:t>●</w:t>
      </w:r>
      <w:bookmarkStart w:id="2342" w:name="_Toc184891580"/>
      <w:bookmarkEnd w:id="2342"/>
      <w:r>
        <w:rPr>
          <w:rFonts w:ascii="Times New Roman;Times;serif" w:hAnsi="Times New Roman;Times;serif"/>
          <w:sz w:val="24"/>
          <w:u w:val="single"/>
        </w:rPr>
        <w:t>Amendments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Any provision of this Agreement or the other Loan Documents may be amended or waived if, but only if, such amendment or waiver is in writing and is signed by (a) the Borrower, and (b) the Required Lenders (or Administrative Agent acting at the direction of the Required Lenders); provided that:</w:t>
      </w:r>
    </w:p>
    <w:p>
      <w:pPr>
        <w:pStyle w:val="TextBody"/>
        <w:bidi w:val="0"/>
        <w:spacing w:before="0" w:after="240"/>
        <w:ind w:left="720" w:right="0" w:hanging="0"/>
        <w:jc w:val="both"/>
        <w:rPr/>
      </w:pPr>
      <w:r>
        <w:rPr/>
        <w:t>●</w:t>
      </w:r>
      <w:r>
        <w:rPr>
          <w:rFonts w:ascii="Times New Roman;Times;serif" w:hAnsi="Times New Roman;Times;serif"/>
          <w:sz w:val="24"/>
        </w:rPr>
        <w:t>no amendment or waiver pursuant to this Section 12.13 shall (A) increase any Commitment of any Lender without the consent of such Lender or (B) reduce the amount of or postpone the date for any payment (including any mandatory prepayment) of any principal of or interest on any Loan or of any fee payable hereunder (including by way of a waiver of a Default or Event of Default under Section 9.1(a)) without the consent of the Lender to which such payment is owing or which has committed to make such Loan hereunder;</w:t>
      </w:r>
      <w:bookmarkStart w:id="2343" w:name="_cp_change_468"/>
      <w:bookmarkEnd w:id="2343"/>
      <w:r>
        <w:rPr>
          <w:rFonts w:ascii="Times New Roman;Times;serif" w:hAnsi="Times New Roman;Times;serif"/>
          <w:color w:val="0000FF"/>
          <w:sz w:val="24"/>
          <w:u w:val="single"/>
        </w:rPr>
        <w:t xml:space="preserve"> </w:t>
      </w:r>
      <w:r>
        <w:rPr>
          <w:rFonts w:ascii="Times New Roman;Times;serif" w:hAnsi="Times New Roman;Times;serif"/>
          <w:i/>
          <w:color w:val="0000FF"/>
          <w:sz w:val="24"/>
        </w:rPr>
        <w:t>provided</w:t>
      </w:r>
      <w:r>
        <w:rPr>
          <w:rFonts w:ascii="Times New Roman;Times;serif" w:hAnsi="Times New Roman;Times;serif"/>
          <w:color w:val="0000FF"/>
          <w:sz w:val="24"/>
          <w:u w:val="single"/>
        </w:rPr>
        <w:t xml:space="preserve"> that only the written consent of the Required Lenders shall be required for (x) the waiver or retraction of an imposition of interest payable under Section 1.9 or (y) any modification or waiver of the covenants set forth in Sections 8.20 or 8.21;</w:t>
      </w:r>
    </w:p>
    <w:p>
      <w:pPr>
        <w:pStyle w:val="TextBody"/>
        <w:bidi w:val="0"/>
        <w:spacing w:before="0" w:after="240"/>
        <w:ind w:left="720" w:right="0" w:hanging="0"/>
        <w:jc w:val="both"/>
        <w:rPr/>
      </w:pPr>
      <w:r>
        <w:rPr/>
        <w:t>●</w:t>
      </w:r>
      <w:r>
        <w:rPr>
          <w:rFonts w:ascii="Times New Roman;Times;serif" w:hAnsi="Times New Roman;Times;serif"/>
          <w:sz w:val="24"/>
        </w:rPr>
        <w:t xml:space="preserve">no amendment or waiver pursuant to this Section 12.13 shall, unless signed by each Lender, extend the Maturity Date, change the definitions of Required Lenders, </w:t>
      </w:r>
      <w:bookmarkStart w:id="2344" w:name="_cp_change_469"/>
      <w:bookmarkEnd w:id="2344"/>
      <w:r>
        <w:rPr>
          <w:rFonts w:ascii="Times New Roman;Times;serif" w:hAnsi="Times New Roman;Times;serif"/>
          <w:color w:val="FF0000"/>
          <w:sz w:val="24"/>
        </w:rPr>
        <w:t>Unencumbered Pool NOI, Unencumbered Pool Requirements, Unencumbered Asset Value or Adjusted Availability, change the provisions of Section 8.21, change</w:t>
      </w:r>
      <w:bookmarkStart w:id="2345" w:name="_cp_change_470"/>
      <w:bookmarkEnd w:id="2345"/>
      <w:r>
        <w:rPr>
          <w:rFonts w:ascii="Times New Roman;Times;serif" w:hAnsi="Times New Roman;Times;serif"/>
          <w:color w:val="0000FF"/>
          <w:sz w:val="24"/>
          <w:u w:val="single"/>
        </w:rPr>
        <w:t>change</w:t>
      </w:r>
      <w:r>
        <w:rPr>
          <w:rFonts w:ascii="Times New Roman;Times;serif" w:hAnsi="Times New Roman;Times;serif"/>
          <w:sz w:val="24"/>
        </w:rPr>
        <w:t xml:space="preserve"> the provisions of this Section 12.13, affect the number of Lenders required to take any action hereunder or under any other Loan Document, change the pro rata application of payments or order of application of payments and collections set forth in Section 3.1 or Section 12.7 of this Agreement or release any Guarantor (except as expressly contemplated in this Agreement); and</w:t>
      </w:r>
    </w:p>
    <w:p>
      <w:pPr>
        <w:pStyle w:val="TextBody"/>
        <w:bidi w:val="0"/>
        <w:spacing w:before="0" w:after="0"/>
        <w:ind w:left="720" w:right="0" w:hanging="0"/>
        <w:jc w:val="both"/>
        <w:rPr/>
      </w:pPr>
      <w:r>
        <w:rPr/>
        <w:t>●</w:t>
      </w:r>
      <w:r>
        <w:rPr>
          <w:rFonts w:ascii="Times New Roman;Times;serif" w:hAnsi="Times New Roman;Times;serif"/>
          <w:sz w:val="24"/>
        </w:rPr>
        <w:t>no amendment to Section 13 hereof shall be made without the consent of the Guarantors affected thereby.</w:t>
      </w:r>
    </w:p>
    <w:p>
      <w:pPr>
        <w:pStyle w:val="TextBody"/>
        <w:bidi w:val="0"/>
        <w:spacing w:before="0" w:after="240"/>
        <w:ind w:left="0" w:right="0" w:hanging="0"/>
        <w:jc w:val="both"/>
        <w:rPr/>
      </w:pPr>
      <w:r>
        <w:rPr/>
        <w:t>●</w:t>
      </w:r>
      <w:bookmarkStart w:id="2346" w:name="_Toc184891581"/>
      <w:bookmarkEnd w:id="2346"/>
      <w:r>
        <w:rPr>
          <w:rFonts w:ascii="Times New Roman;Times;serif" w:hAnsi="Times New Roman;Times;serif"/>
          <w:sz w:val="24"/>
          <w:u w:val="single"/>
        </w:rPr>
        <w:t>Headings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xml:space="preserve">. </w:t>
      </w:r>
      <w:r>
        <w:rPr>
          <w:rFonts w:ascii="Times New Roman;Times;serif" w:hAnsi="Times New Roman;Times;serif"/>
          <w:sz w:val="24"/>
        </w:rPr>
        <w:t>Section headings used in this Agreement are for reference only and shall not affect the construction of this Agreement.</w:t>
      </w:r>
    </w:p>
    <w:p>
      <w:pPr>
        <w:pStyle w:val="TextBody"/>
        <w:bidi w:val="0"/>
        <w:spacing w:before="0" w:after="240"/>
        <w:ind w:left="0" w:right="0" w:hanging="0"/>
        <w:jc w:val="both"/>
        <w:rPr/>
      </w:pPr>
      <w:r>
        <w:rPr/>
        <w:t>●</w:t>
      </w:r>
      <w:bookmarkStart w:id="2347" w:name="_Toc184891582"/>
      <w:bookmarkEnd w:id="2347"/>
      <w:r>
        <w:rPr>
          <w:rFonts w:ascii="Times New Roman;Times;serif" w:hAnsi="Times New Roman;Times;serif"/>
          <w:sz w:val="24"/>
          <w:u w:val="single"/>
        </w:rPr>
        <w:t>Costs and Expenses; Indemnification</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 xml:space="preserve">The Borrower agrees to pay all reasonable costs and expenses of the Administrative Agent in connection with the preparation, negotiation, syndication, and administration of the Loan Documents, including, without limitation, the reasonable fees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disbursements of counsel to the Administrative Agent, in connection with the preparation and execution of the Loan Documents, and any amendment, waiver or consent related thereto, whether or not the transactions contemplated herein are consummated.  The Borrower agrees to pay to the Administrative Agent and each Lender all costs and expenses reasonably incurred or paid by the Administrative Agent,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each Lender, and any security trustee therefor, and their respective directors, officers, employees, agents, financial advisors, and consultants (each such Person being called an “</w:t>
      </w:r>
      <w:r>
        <w:rPr>
          <w:rFonts w:ascii="Times New Roman;Times;serif" w:hAnsi="Times New Roman;Times;serif"/>
          <w:i/>
          <w:sz w:val="24"/>
        </w:rPr>
        <w:t>Indemnitee”</w:t>
      </w:r>
      <w:r>
        <w:rPr>
          <w:rFonts w:ascii="Times New Roman;Times;serif" w:hAnsi="Times New Roman;Times;serif"/>
          <w:sz w:val="24"/>
        </w:rPr>
        <w:t>)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other than those which arise from the gross negligence or willful misconduct of the party claiming indemnification.  The Borrower, upon demand by the Administrative Agent, or a Lender at any time, shall reimburse the Administrative Agent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parties under this Section 12.15 shall survive the termination of this Agreement.</w:t>
      </w:r>
    </w:p>
    <w:p>
      <w:pPr>
        <w:pStyle w:val="TextBody"/>
        <w:bidi w:val="0"/>
        <w:ind w:left="0" w:right="0" w:hanging="0"/>
        <w:jc w:val="both"/>
        <w:rPr/>
      </w:pPr>
      <w:r>
        <w:rPr/>
        <w:t>●</w:t>
      </w:r>
      <w:r>
        <w:rPr>
          <w:rFonts w:ascii="Times New Roman;Times;serif" w:hAnsi="Times New Roman;Times;serif"/>
          <w:sz w:val="24"/>
        </w:rPr>
        <w:t xml:space="preserve">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  (i) any presence, release, threatened release or disposal of any hazardous or toxic substance or petroleum by the Borrower or any Subsidiary or otherwise occurring on or with respect to its </w:t>
      </w:r>
      <w:bookmarkStart w:id="2348" w:name="_cp_change_471"/>
      <w:bookmarkEnd w:id="2348"/>
      <w:r>
        <w:rPr>
          <w:rFonts w:ascii="Times New Roman;Times;serif" w:hAnsi="Times New Roman;Times;serif"/>
          <w:color w:val="FF0000"/>
          <w:sz w:val="24"/>
        </w:rPr>
        <w:t>Property</w:t>
      </w:r>
      <w:bookmarkStart w:id="2349" w:name="_cp_change_472"/>
      <w:bookmarkEnd w:id="2349"/>
      <w:r>
        <w:rPr>
          <w:rFonts w:ascii="Times New Roman;Times;serif" w:hAnsi="Times New Roman;Times;serif"/>
          <w:color w:val="0000FF"/>
          <w:sz w:val="24"/>
          <w:u w:val="single"/>
        </w:rPr>
        <w:t>Properties</w:t>
      </w:r>
      <w:r>
        <w:rPr>
          <w:rFonts w:ascii="Times New Roman;Times;serif" w:hAnsi="Times New Roman;Times;serif"/>
          <w:sz w:val="24"/>
        </w:rPr>
        <w:t xml:space="preserve"> (whether owned or leased), (ii) the operation or violation of any environmental law, whether federal, state, or local, and any regulations promulgated thereunder, by the Borrower or any Subsidiary or otherwise occurring on or with respect to its </w:t>
      </w:r>
      <w:bookmarkStart w:id="2350" w:name="_cp_change_473"/>
      <w:bookmarkEnd w:id="2350"/>
      <w:r>
        <w:rPr>
          <w:rFonts w:ascii="Times New Roman;Times;serif" w:hAnsi="Times New Roman;Times;serif"/>
          <w:color w:val="FF0000"/>
          <w:sz w:val="24"/>
        </w:rPr>
        <w:t>Property</w:t>
      </w:r>
      <w:bookmarkStart w:id="2351" w:name="_cp_change_474"/>
      <w:bookmarkEnd w:id="2351"/>
      <w:r>
        <w:rPr>
          <w:rFonts w:ascii="Times New Roman;Times;serif" w:hAnsi="Times New Roman;Times;serif"/>
          <w:color w:val="0000FF"/>
          <w:sz w:val="24"/>
          <w:u w:val="single"/>
        </w:rPr>
        <w:t>Properties</w:t>
      </w:r>
      <w:r>
        <w:rPr>
          <w:rFonts w:ascii="Times New Roman;Times;serif" w:hAnsi="Times New Roman;Times;serif"/>
          <w:sz w:val="24"/>
        </w:rPr>
        <w:t xml:space="preserve"> (whether owned or leased), (iii) any claim for personal injury or property damage in connection with the Borrower or any Subsidiary or otherwise occurring on or with respect to its </w:t>
      </w:r>
      <w:bookmarkStart w:id="2352" w:name="_cp_change_475"/>
      <w:bookmarkEnd w:id="2352"/>
      <w:r>
        <w:rPr>
          <w:rFonts w:ascii="Times New Roman;Times;serif" w:hAnsi="Times New Roman;Times;serif"/>
          <w:color w:val="FF0000"/>
          <w:sz w:val="24"/>
        </w:rPr>
        <w:t>Property</w:t>
      </w:r>
      <w:bookmarkStart w:id="2353" w:name="_cp_change_476"/>
      <w:bookmarkEnd w:id="2353"/>
      <w:r>
        <w:rPr>
          <w:rFonts w:ascii="Times New Roman;Times;serif" w:hAnsi="Times New Roman;Times;serif"/>
          <w:color w:val="0000FF"/>
          <w:sz w:val="24"/>
          <w:u w:val="single"/>
        </w:rPr>
        <w:t>Properties</w:t>
      </w:r>
      <w:r>
        <w:rPr>
          <w:rFonts w:ascii="Times New Roman;Times;serif" w:hAnsi="Times New Roman;Times;serif"/>
          <w:sz w:val="24"/>
        </w:rPr>
        <w:t xml:space="preserve">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pStyle w:val="TextBody"/>
        <w:bidi w:val="0"/>
        <w:spacing w:before="0" w:after="240"/>
        <w:ind w:left="0" w:right="0" w:hanging="0"/>
        <w:jc w:val="both"/>
        <w:rPr/>
      </w:pPr>
      <w:r>
        <w:rPr/>
        <w:t>●</w:t>
      </w:r>
      <w:bookmarkStart w:id="2354" w:name="_Toc184891583"/>
      <w:bookmarkEnd w:id="2354"/>
      <w:r>
        <w:rPr>
          <w:rFonts w:ascii="Times New Roman;Times;serif" w:hAnsi="Times New Roman;Times;serif"/>
          <w:sz w:val="24"/>
          <w:u w:val="single"/>
        </w:rPr>
        <w:t>Set-off</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In addition to any rights now or hereafter granted under the Loan Documents or applicable law and not by way of limitation of any such rights, during the continuance of any Event of Default, with the prior written consent of the Administrative Agent, each Lender,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subsequent holder, or affiliate, to or for the credit or the account of the Borrower or such Guarantor, whether or not matured, against and on account of the Obligations then due of the Borrower or such Guarantor to that Lender, or subsequent holder under the Loan Documents, including, but not limited to, all claims of any nature or description arising out of or connected with the Loan Documents, irrespective of whether or not that Lender or subsequent holder shall have made any demand hereunder.</w:t>
      </w:r>
    </w:p>
    <w:p>
      <w:pPr>
        <w:pStyle w:val="TextBody"/>
        <w:bidi w:val="0"/>
        <w:spacing w:before="0" w:after="240"/>
        <w:ind w:left="0" w:right="0" w:hanging="0"/>
        <w:jc w:val="both"/>
        <w:rPr/>
      </w:pPr>
      <w:r>
        <w:rPr/>
        <w:t>●</w:t>
      </w:r>
      <w:bookmarkStart w:id="2355" w:name="_Toc184891584"/>
      <w:bookmarkEnd w:id="2355"/>
      <w:r>
        <w:rPr>
          <w:rFonts w:ascii="Times New Roman;Times;serif" w:hAnsi="Times New Roman;Times;serif"/>
          <w:sz w:val="24"/>
          <w:u w:val="single"/>
        </w:rPr>
        <w:t>Entire Agreement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Loan Documents constitute the entire understanding of the parties thereto with respect to the subject matter thereof and any prior agreements, whether written or oral, with respect thereto are superseded hereby.</w:t>
      </w:r>
    </w:p>
    <w:p>
      <w:pPr>
        <w:pStyle w:val="TextBody"/>
        <w:bidi w:val="0"/>
        <w:spacing w:before="0" w:after="240"/>
        <w:ind w:left="0" w:right="0" w:hanging="0"/>
        <w:jc w:val="both"/>
        <w:rPr/>
      </w:pPr>
      <w:r>
        <w:rPr/>
        <w:t>●</w:t>
      </w:r>
      <w:bookmarkStart w:id="2356" w:name="_Toc184891585"/>
      <w:bookmarkEnd w:id="2356"/>
      <w:r>
        <w:rPr>
          <w:rFonts w:ascii="Times New Roman;Times;serif" w:hAnsi="Times New Roman;Times;serif"/>
          <w:sz w:val="24"/>
          <w:u w:val="single"/>
        </w:rPr>
        <w:t>Governing Law</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This Agreement and the other Loan Documents (except as otherwise specified therein), and the rights and duties of the parties hereto, shall be construed and determined in accordance with the internal laws of the State of New York.</w:t>
      </w:r>
    </w:p>
    <w:p>
      <w:pPr>
        <w:pStyle w:val="TextBody"/>
        <w:bidi w:val="0"/>
        <w:spacing w:before="0" w:after="240"/>
        <w:ind w:left="0" w:right="0" w:hanging="0"/>
        <w:jc w:val="both"/>
        <w:rPr/>
      </w:pPr>
      <w:r>
        <w:rPr/>
        <w:t>●</w:t>
      </w:r>
      <w:bookmarkStart w:id="2357" w:name="_Toc184891586"/>
      <w:bookmarkEnd w:id="2357"/>
      <w:r>
        <w:rPr>
          <w:rFonts w:ascii="Times New Roman;Times;serif" w:hAnsi="Times New Roman;Times;serif"/>
          <w:sz w:val="24"/>
          <w:u w:val="single"/>
        </w:rPr>
        <w:t>Severability of Provisions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pStyle w:val="TextBody"/>
        <w:bidi w:val="0"/>
        <w:spacing w:before="0" w:after="240"/>
        <w:ind w:left="0" w:right="0" w:hanging="0"/>
        <w:jc w:val="both"/>
        <w:rPr/>
      </w:pPr>
      <w:r>
        <w:rPr/>
        <w:t>●</w:t>
      </w:r>
      <w:bookmarkStart w:id="2358" w:name="_Toc184891587"/>
      <w:bookmarkEnd w:id="2358"/>
      <w:r>
        <w:rPr>
          <w:rFonts w:ascii="Times New Roman;Times;serif" w:hAnsi="Times New Roman;Times;serif"/>
          <w:sz w:val="24"/>
          <w:u w:val="single"/>
        </w:rPr>
        <w:t>Excess Interest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Times;serif" w:hAnsi="Times New Roman;Times;serif"/>
          <w:i/>
          <w:sz w:val="24"/>
        </w:rPr>
        <w:t>Excess Interest”</w:t>
      </w:r>
      <w:r>
        <w:rPr>
          <w:rFonts w:ascii="Times New Roman;Times;serif" w:hAnsi="Times New Roman;Times;serif"/>
          <w:sz w:val="24"/>
        </w:rPr>
        <w:t xml:space="preserve">).  If any Excess Interest is provided for, or is adjudicated to be provided for,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sz w:val="24"/>
        </w:rPr>
      </w:pPr>
      <w:r>
        <w:rPr>
          <w:rFonts w:ascii="Times New Roman;Times;serif" w:hAnsi="Times New Roman;Times;serif"/>
          <w:b w:val="false"/>
          <w:i w:val="false"/>
          <w:caps w:val="false"/>
          <w:smallCaps w:val="false"/>
          <w:sz w:val="24"/>
        </w:rPr>
        <w:t xml:space="preserve">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sz w:val="24"/>
        </w:rPr>
        <w:t>“</w:t>
      </w:r>
      <w:r>
        <w:rPr>
          <w:rFonts w:ascii="Times New Roman;Times;serif" w:hAnsi="Times New Roman;Times;serif"/>
          <w:b w:val="false"/>
          <w:i/>
          <w:sz w:val="24"/>
        </w:rPr>
        <w:t>Maximum Rate”</w:t>
      </w:r>
      <w:r>
        <w:rPr>
          <w:rFonts w:ascii="Times New Roman;Times;serif" w:hAnsi="Times New Roman;Times;serif"/>
          <w:b w:val="false"/>
          <w:i w:val="false"/>
          <w:caps w:val="false"/>
          <w:smallCaps w:val="false"/>
          <w:sz w:val="24"/>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pStyle w:val="TextBody"/>
        <w:bidi w:val="0"/>
        <w:spacing w:before="0" w:after="240"/>
        <w:ind w:left="0" w:right="0" w:hanging="0"/>
        <w:jc w:val="both"/>
        <w:rPr/>
      </w:pPr>
      <w:r>
        <w:rPr/>
        <w:t>●</w:t>
      </w:r>
      <w:bookmarkStart w:id="2359" w:name="_Toc184891588"/>
      <w:bookmarkEnd w:id="2359"/>
      <w:r>
        <w:rPr>
          <w:rFonts w:ascii="Times New Roman;Times;serif" w:hAnsi="Times New Roman;Times;serif"/>
          <w:sz w:val="24"/>
          <w:u w:val="single"/>
        </w:rPr>
        <w:t>Construction</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r>
        <w:rPr>
          <w:rFonts w:ascii="Times New Roman;Times;serif" w:hAnsi="Times New Roman;Times;serif"/>
          <w:smallCaps/>
          <w:sz w:val="24"/>
        </w:rPr>
        <w:t>.</w:t>
      </w:r>
    </w:p>
    <w:p>
      <w:pPr>
        <w:pStyle w:val="TextBody"/>
        <w:bidi w:val="0"/>
        <w:spacing w:before="0" w:after="240"/>
        <w:ind w:left="0" w:right="0" w:hanging="0"/>
        <w:jc w:val="both"/>
        <w:rPr/>
      </w:pPr>
      <w:r>
        <w:rPr/>
        <w:t>●</w:t>
      </w:r>
      <w:bookmarkStart w:id="2360" w:name="_Toc184891589"/>
      <w:bookmarkEnd w:id="2360"/>
      <w:r>
        <w:rPr>
          <w:rFonts w:ascii="Times New Roman;Times;serif" w:hAnsi="Times New Roman;Times;serif"/>
          <w:sz w:val="24"/>
          <w:u w:val="single"/>
        </w:rPr>
        <w:t>Lender’s Obligations Several</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obligations of the Lenders hereunder are several and not joint.  Nothing contained in this Agreement and no action taken by the Lenders pursuant hereto shall be deemed to constitute the Lenders a partnership, association, joint venture or other entity.</w:t>
      </w:r>
    </w:p>
    <w:p>
      <w:pPr>
        <w:pStyle w:val="TextBody"/>
        <w:bidi w:val="0"/>
        <w:spacing w:before="0" w:after="240"/>
        <w:ind w:left="0" w:right="0" w:hanging="0"/>
        <w:jc w:val="both"/>
        <w:rPr/>
      </w:pPr>
      <w:r>
        <w:rPr/>
        <w:t>●</w:t>
      </w:r>
      <w:bookmarkStart w:id="2361" w:name="_Toc184891590"/>
      <w:bookmarkEnd w:id="2361"/>
      <w:r>
        <w:rPr>
          <w:rFonts w:ascii="Times New Roman;Times;serif" w:hAnsi="Times New Roman;Times;serif"/>
          <w:sz w:val="24"/>
          <w:u w:val="single"/>
        </w:rPr>
        <w:t>Submission to Jurisdiction; Waiver of Jury Trial</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Borrower and each Guarantor 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w:t>
      </w:r>
      <w:r>
        <w:rPr>
          <w:rFonts w:ascii="Times New Roman;Times;serif" w:hAnsi="Times New Roman;Times;serif"/>
          <w:smallCaps/>
          <w:sz w:val="24"/>
        </w:rPr>
        <w:t>The Borrower, each Guarantor, the Administrative Agent and the Lenders hereby irrevocably waive any and all right to trial by jury in any legal proceeding arising out of or relating to any Loan Document or the transactions contemplated thereby.</w:t>
      </w:r>
    </w:p>
    <w:p>
      <w:pPr>
        <w:pStyle w:val="TextBody"/>
        <w:bidi w:val="0"/>
        <w:spacing w:before="0" w:after="240"/>
        <w:ind w:left="0" w:right="0" w:hanging="0"/>
        <w:jc w:val="both"/>
        <w:rPr/>
      </w:pPr>
      <w:r>
        <w:rPr/>
        <w:t>●</w:t>
      </w:r>
      <w:bookmarkStart w:id="2362" w:name="_Toc184891591"/>
      <w:bookmarkEnd w:id="2362"/>
      <w:r>
        <w:rPr>
          <w:rFonts w:ascii="Times New Roman;Times;serif" w:hAnsi="Times New Roman;Times;serif"/>
          <w:sz w:val="24"/>
          <w:u w:val="single"/>
        </w:rPr>
        <w:t>USA Patriot Act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Each Lender that is subject to the requirements of the Patriot Act hereby notifies the Borrower that pursuant to the requirements of the Patriot Act, it is required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obtain, verify, and record information that identifies the Borrower, which information includes the name and address of the Borrower and other information that will allow such Lender to identify the Borrower in accordance with the Patriot Act.</w:t>
      </w:r>
    </w:p>
    <w:p>
      <w:pPr>
        <w:pStyle w:val="TextBody"/>
        <w:bidi w:val="0"/>
        <w:spacing w:before="0" w:after="240"/>
        <w:ind w:left="0" w:right="0" w:hanging="0"/>
        <w:jc w:val="both"/>
        <w:rPr/>
      </w:pPr>
      <w:r>
        <w:rPr/>
        <w:t>●</w:t>
      </w:r>
      <w:bookmarkStart w:id="2363" w:name="_Toc184891592"/>
      <w:bookmarkEnd w:id="2363"/>
      <w:r>
        <w:rPr>
          <w:rFonts w:ascii="Times New Roman;Times;serif" w:hAnsi="Times New Roman;Times;serif"/>
          <w:sz w:val="24"/>
          <w:u w:val="single"/>
        </w:rPr>
        <w:t>Confidentiality</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Each of the Administrative Agent and the Lenders, 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w:t>
      </w:r>
      <w:r>
        <w:rPr>
          <w:rFonts w:ascii="Times New Roman;Times;serif" w:hAnsi="Times New Roman;Times;serif"/>
          <w:i/>
          <w:sz w:val="24"/>
        </w:rPr>
        <w:t>provided</w:t>
      </w:r>
      <w:r>
        <w:rPr>
          <w:rFonts w:ascii="Times New Roman;Times;serif" w:hAnsi="Times New Roman;Times;serif"/>
          <w:sz w:val="24"/>
        </w:rPr>
        <w:t xml:space="preserve">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w:t>
      </w:r>
      <w:r>
        <w:rPr>
          <w:rFonts w:ascii="Times New Roman;Times;serif" w:hAnsi="Times New Roman;Times;serif"/>
          <w:i/>
          <w:sz w:val="24"/>
        </w:rPr>
        <w:t>provided</w:t>
      </w:r>
      <w:r>
        <w:rPr>
          <w:rFonts w:ascii="Times New Roman;Times;serif" w:hAnsi="Times New Roman;Times;serif"/>
          <w:sz w:val="24"/>
        </w:rPr>
        <w:t xml:space="preserve">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on a non-confidential basis from a source other than the Borrower or any Subsidiary or any of their directors, officers, employees or agents, including accountants, legal counsel and other advisors; </w:t>
      </w:r>
      <w:r>
        <w:rPr>
          <w:rFonts w:ascii="Times New Roman;Times;serif" w:hAnsi="Times New Roman;Times;serif"/>
          <w:i/>
          <w:sz w:val="24"/>
        </w:rPr>
        <w:t>provided</w:t>
      </w:r>
      <w:r>
        <w:rPr>
          <w:rFonts w:ascii="Times New Roman;Times;serif" w:hAnsi="Times New Roman;Times;serif"/>
          <w:sz w:val="24"/>
        </w:rPr>
        <w:t xml:space="preserve"> that the Administrative Agent, any Lender may use such Information as permitted by clause (a) above, but the Administrative Agent, any Lender shall not otherwise disclose such Information except as permitted by clauses (b) - (g), (i), (j) or (k) of this Section 12.25, (i) to rating agencies if requested or required by such agencies in connection with a rating relating to the Loans or the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w:t>
      </w:r>
      <w:r>
        <w:rPr>
          <w:rFonts w:ascii="Times New Roman;Times;serif" w:hAnsi="Times New Roman;Times;serif"/>
          <w:i/>
          <w:sz w:val="24"/>
        </w:rPr>
        <w:t>provided</w:t>
      </w:r>
      <w:r>
        <w:rPr>
          <w:rFonts w:ascii="Times New Roman;Times;serif" w:hAnsi="Times New Roman;Times;serif"/>
          <w:sz w:val="24"/>
        </w:rPr>
        <w:t xml:space="preserve"> that only basic information about the pricing and structure of the transaction evidenced hereby may be disclosed pursuant to this subsection (j).</w:t>
      </w:r>
      <w:r>
        <w:rPr>
          <w:rFonts w:ascii="Times New Roman;Times;serif" w:hAnsi="Times New Roman;Times;serif"/>
          <w:smallCaps/>
          <w:sz w:val="24"/>
        </w:rPr>
        <w:t xml:space="preserve">  </w:t>
      </w:r>
      <w:r>
        <w:rPr>
          <w:rFonts w:ascii="Times New Roman;Times;serif" w:hAnsi="Times New Roman;Times;serif"/>
          <w:sz w:val="24"/>
        </w:rPr>
        <w:t>For purposes of this Section 12.25, “</w:t>
      </w:r>
      <w:r>
        <w:rPr>
          <w:rFonts w:ascii="Times New Roman;Times;serif" w:hAnsi="Times New Roman;Times;serif"/>
          <w:i/>
          <w:sz w:val="24"/>
        </w:rPr>
        <w:t>Information”</w:t>
      </w:r>
      <w:r>
        <w:rPr>
          <w:rFonts w:ascii="Times New Roman;Times;serif" w:hAnsi="Times New Roman;Times;serif"/>
          <w:sz w:val="24"/>
        </w:rPr>
        <w:t xml:space="preserve">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on a non-confidential basis prior to disclosure by the Borrower or any of its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Subsidiaries or from any other Person on behalf of the Borrower or any of the Subsidiaries.  Each of the Administrative Agent, the Lenders specifically acknowledges that the common stock of Parent is traded on the New York Stock Exchange under the trading symbol “PINE.”  Each of the Administrative Agent, the Lenders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non-public information concerning the issuer of such securities or, subject to certain limited exceptions, from communicating such information to any other Person. </w:t>
      </w:r>
    </w:p>
    <w:p>
      <w:pPr>
        <w:pStyle w:val="TextBody"/>
        <w:bidi w:val="0"/>
        <w:spacing w:before="0" w:after="240"/>
        <w:ind w:left="0" w:right="0" w:hanging="0"/>
        <w:jc w:val="both"/>
        <w:rPr/>
      </w:pPr>
      <w:r>
        <w:rPr/>
        <w:t>●</w:t>
      </w:r>
      <w:bookmarkStart w:id="2364" w:name="_Toc184891593"/>
      <w:bookmarkEnd w:id="2364"/>
      <w:r>
        <w:rPr>
          <w:rFonts w:ascii="Times New Roman;Times;serif" w:hAnsi="Times New Roman;Times;serif"/>
          <w:sz w:val="24"/>
          <w:u w:val="single"/>
        </w:rPr>
        <w:t>Limitation of Recourse</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There shall be full recourse to the Borrower and the 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pStyle w:val="TextBody"/>
        <w:bidi w:val="0"/>
        <w:spacing w:before="0" w:after="240"/>
        <w:ind w:left="0" w:right="0" w:hanging="0"/>
        <w:jc w:val="both"/>
        <w:rPr/>
      </w:pPr>
      <w:r>
        <w:rPr/>
        <w:t>●</w:t>
      </w:r>
      <w:bookmarkStart w:id="2365" w:name="_Toc184891594"/>
      <w:bookmarkEnd w:id="2365"/>
      <w:r>
        <w:rPr>
          <w:rFonts w:ascii="Times New Roman;Times;serif" w:hAnsi="Times New Roman;Times;serif"/>
          <w:sz w:val="24"/>
          <w:u w:val="single"/>
        </w:rPr>
        <w:t>Other Taxes</w:t>
      </w:r>
      <w:r>
        <w:rPr>
          <w:rFonts w:ascii="Times New Roman;Times;serif" w:hAnsi="Times New Roman;Times;serif"/>
          <w:sz w:val="24"/>
        </w:rPr>
        <w: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The Borrower agrees to pay on demand, and indemnify and hold the Administrative Agent and the Lenders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240"/>
        <w:ind w:left="0" w:right="0" w:hanging="0"/>
        <w:jc w:val="both"/>
        <w:rPr/>
      </w:pPr>
      <w:r>
        <w:rPr/>
        <w:t>●</w:t>
      </w:r>
      <w:bookmarkStart w:id="2366" w:name="_Toc184891595"/>
      <w:bookmarkEnd w:id="2366"/>
      <w:r>
        <w:rPr>
          <w:rFonts w:ascii="Times New Roman;Times;serif" w:hAnsi="Times New Roman;Times;serif"/>
          <w:sz w:val="24"/>
          <w:u w:val="single"/>
        </w:rPr>
        <w:t>Acknowledgement and Consent to Bail-In of Affected Financial Institutions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ind w:left="0" w:right="0" w:hanging="0"/>
        <w:jc w:val="both"/>
        <w:rPr/>
      </w:pPr>
      <w:r>
        <w:rPr/>
        <w:t>●</w:t>
      </w:r>
      <w:r>
        <w:rPr>
          <w:rFonts w:ascii="Times New Roman;Times;serif" w:hAnsi="Times New Roman;Times;serif"/>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0" w:right="0" w:hanging="0"/>
        <w:jc w:val="both"/>
        <w:rPr/>
      </w:pPr>
      <w:r>
        <w:rPr/>
        <w:t>●</w:t>
      </w:r>
      <w:r>
        <w:rPr>
          <w:rFonts w:ascii="Times New Roman;Times;serif" w:hAnsi="Times New Roman;Times;serif"/>
          <w:sz w:val="24"/>
        </w:rPr>
        <w:t>the effects of any Bail-In Action on any such liability, including, if applicable:</w:t>
      </w:r>
    </w:p>
    <w:p>
      <w:pPr>
        <w:pStyle w:val="TextBody"/>
        <w:bidi w:val="0"/>
        <w:spacing w:before="0" w:after="240"/>
        <w:ind w:left="720" w:right="0" w:hanging="0"/>
        <w:jc w:val="both"/>
        <w:rPr/>
      </w:pPr>
      <w:r>
        <w:rPr/>
        <w:t>●</w:t>
      </w:r>
      <w:r>
        <w:rPr>
          <w:rFonts w:ascii="Times New Roman;Times;serif" w:hAnsi="Times New Roman;Times;serif"/>
          <w:sz w:val="24"/>
        </w:rPr>
        <w:t>a reduction in full or in part or cancellation of any such liability;</w:t>
      </w:r>
    </w:p>
    <w:p>
      <w:pPr>
        <w:pStyle w:val="TextBody"/>
        <w:bidi w:val="0"/>
        <w:spacing w:before="0" w:after="240"/>
        <w:ind w:left="720" w:right="0" w:hanging="0"/>
        <w:jc w:val="both"/>
        <w:rPr/>
      </w:pPr>
      <w:r>
        <w:rPr/>
        <w:t>●</w:t>
      </w:r>
      <w:r>
        <w:rPr>
          <w:rFonts w:ascii="Times New Roman;Times;serif" w:hAnsi="Times New Roman;Times;serif"/>
          <w:sz w:val="24"/>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pPr>
      <w:r>
        <w:rPr/>
        <w:t>●</w:t>
      </w:r>
      <w:r>
        <w:rPr>
          <w:rFonts w:ascii="Times New Roman;Times;serif" w:hAnsi="Times New Roman;Times;serif"/>
          <w:sz w:val="24"/>
        </w:rPr>
        <w:t>the variation of the terms of such liability in connection with the exercise of the write-down and conversion powers of any Affected Resolution Authority.</w:t>
      </w:r>
    </w:p>
    <w:p>
      <w:pPr>
        <w:pStyle w:val="TextBody"/>
        <w:bidi w:val="0"/>
        <w:spacing w:before="0" w:after="240"/>
        <w:ind w:left="0" w:right="0" w:hanging="0"/>
        <w:jc w:val="both"/>
        <w:rPr/>
      </w:pPr>
      <w:r>
        <w:rPr/>
        <w:t>●</w:t>
      </w:r>
      <w:bookmarkStart w:id="2367" w:name="_Toc184891596"/>
      <w:bookmarkEnd w:id="2367"/>
      <w:r>
        <w:rPr>
          <w:rFonts w:ascii="Times New Roman;Times;serif" w:hAnsi="Times New Roman;Times;serif"/>
          <w:sz w:val="24"/>
          <w:u w:val="single"/>
        </w:rPr>
        <w:t>Acknowledgement Regarding Any Supported QFCs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w:t>
      </w:r>
      <w:r>
        <w:rPr>
          <w:rFonts w:ascii="Times New Roman;Times;serif" w:hAnsi="Times New Roman;Times;serif"/>
          <w:sz w:val="24"/>
        </w:rPr>
        <w:t>To the extent that the  Loan Documents provide support, through a guarantee or otherwise, for Hedging Agreements or any other agreement or instrument that is a QFC (such support, “</w:t>
      </w:r>
      <w:r>
        <w:rPr>
          <w:rFonts w:ascii="Times New Roman;Times;serif" w:hAnsi="Times New Roman;Times;serif"/>
          <w:i/>
          <w:sz w:val="24"/>
        </w:rPr>
        <w:t>QFC Credit Support”</w:t>
      </w:r>
      <w:r>
        <w:rPr>
          <w:rFonts w:ascii="Times New Roman;Times;serif" w:hAnsi="Times New Roman;Times;serif"/>
          <w:sz w:val="24"/>
        </w:rPr>
        <w:t xml:space="preserve"> and each such QFC a “</w:t>
      </w:r>
      <w:r>
        <w:rPr>
          <w:rFonts w:ascii="Times New Roman;Times;serif" w:hAnsi="Times New Roman;Times;serif"/>
          <w:i/>
          <w:sz w:val="24"/>
        </w:rPr>
        <w:t>Supported QFC”</w:t>
      </w:r>
      <w:r>
        <w:rPr>
          <w:rFonts w:ascii="Times New Roman;Times;serif" w:hAnsi="Times New Roman;Times;serif"/>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i/>
          <w:sz w:val="24"/>
        </w:rPr>
        <w:t>U.S. Special Resolution Regimes”</w:t>
      </w:r>
      <w:r>
        <w:rPr>
          <w:rFonts w:ascii="Times New Roman;Times;serif" w:hAnsi="Times New Roman;Times;serif"/>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0" w:right="0" w:hanging="0"/>
        <w:jc w:val="both"/>
        <w:rPr/>
      </w:pPr>
      <w:r>
        <w:rPr/>
        <w:t>●</w:t>
      </w:r>
      <w:r>
        <w:rPr>
          <w:rFonts w:ascii="Times New Roman;Times;serif" w:hAnsi="Times New Roman;Times;serif"/>
          <w:sz w:val="24"/>
        </w:rPr>
        <w:t>In the event a Covered Entity that is party to a Supported QFC (each, a “</w:t>
      </w:r>
      <w:r>
        <w:rPr>
          <w:rFonts w:ascii="Times New Roman;Times;serif" w:hAnsi="Times New Roman;Times;serif"/>
          <w:i/>
          <w:sz w:val="24"/>
        </w:rPr>
        <w:t>Covered Party”</w:t>
      </w:r>
      <w:r>
        <w:rPr>
          <w:rFonts w:ascii="Times New Roman;Times;serif" w:hAnsi="Times New Roman;Times;serif"/>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ind w:left="0" w:right="0" w:hanging="0"/>
        <w:jc w:val="both"/>
        <w:rPr/>
      </w:pPr>
      <w:r>
        <w:rPr/>
        <w:t>●</w:t>
      </w:r>
      <w:r>
        <w:rPr>
          <w:rFonts w:ascii="Times New Roman;Times;serif" w:hAnsi="Times New Roman;Times;serif"/>
          <w:sz w:val="24"/>
        </w:rPr>
        <w:t>As used in this Section, the following terms have the following meanings:</w:t>
      </w:r>
    </w:p>
    <w:p>
      <w:pPr>
        <w:pStyle w:val="TextBody"/>
        <w:bidi w:val="0"/>
        <w:spacing w:before="0" w:after="240"/>
        <w:ind w:left="720" w:right="0" w:hanging="0"/>
        <w:jc w:val="both"/>
        <w:rPr/>
      </w:pPr>
      <w:r>
        <w:rPr/>
        <w:t>“</w:t>
      </w:r>
      <w:r>
        <w:rPr>
          <w:rFonts w:ascii="Times" w:hAnsi="Times"/>
          <w:i/>
          <w:sz w:val="24"/>
        </w:rPr>
        <w:t xml:space="preserve">BHC Act Affiliate” </w:t>
      </w:r>
      <w:r>
        <w:rPr>
          <w:rFonts w:ascii="Times" w:hAnsi="Times"/>
          <w:sz w:val="24"/>
        </w:rPr>
        <w:t>of a party means an “affiliate” (as such term is defined under, and interpreted in accordance with, 12 U.S.C. 1841(k)) of such party.</w:t>
      </w:r>
    </w:p>
    <w:p>
      <w:pPr>
        <w:pStyle w:val="TextBody"/>
        <w:bidi w:val="0"/>
        <w:spacing w:before="0" w:after="240"/>
        <w:ind w:left="720" w:right="0" w:hanging="0"/>
        <w:jc w:val="both"/>
        <w:rPr/>
      </w:pPr>
      <w:r>
        <w:rPr/>
        <w:t>“</w:t>
      </w:r>
      <w:r>
        <w:rPr>
          <w:rFonts w:ascii="Times" w:hAnsi="Times"/>
          <w:i/>
          <w:sz w:val="24"/>
        </w:rPr>
        <w:t>Covered Entity</w:t>
      </w:r>
      <w:r>
        <w:rPr>
          <w:rFonts w:ascii="Times New Roman;Times;serif" w:hAnsi="Times New Roman;Times;serif"/>
          <w:sz w:val="24"/>
        </w:rPr>
        <w:t xml:space="preserve">” </w:t>
      </w:r>
      <w:r>
        <w:rPr>
          <w:rFonts w:ascii="Times" w:hAnsi="Times"/>
          <w:sz w:val="24"/>
        </w:rPr>
        <w:t>means any of the following:</w:t>
      </w:r>
    </w:p>
    <w:p>
      <w:pPr>
        <w:pStyle w:val="TextBody"/>
        <w:bidi w:val="0"/>
        <w:spacing w:before="0" w:after="240"/>
        <w:ind w:left="720" w:right="0" w:hanging="0"/>
        <w:jc w:val="both"/>
        <w:rPr/>
      </w:pPr>
      <w:r>
        <w:rPr/>
        <w:t>●</w:t>
      </w:r>
      <w:r>
        <w:rPr>
          <w:rFonts w:ascii="Times New Roman;Times;serif" w:hAnsi="Times New Roman;Times;serif"/>
          <w:sz w:val="24"/>
        </w:rPr>
        <w:t>a “covered entity” as that term is defined in, and interpreted in accordance with, 12 C.F.R. §252.82(b);</w:t>
      </w:r>
    </w:p>
    <w:p>
      <w:pPr>
        <w:pStyle w:val="TextBody"/>
        <w:bidi w:val="0"/>
        <w:spacing w:before="0" w:after="240"/>
        <w:ind w:left="720" w:right="0" w:hanging="0"/>
        <w:jc w:val="both"/>
        <w:rPr/>
      </w:pPr>
      <w:r>
        <w:rPr/>
        <w:t>●</w:t>
      </w:r>
      <w:r>
        <w:rPr>
          <w:rFonts w:ascii="Times New Roman;Times;serif" w:hAnsi="Times New Roman;Times;serif"/>
          <w:sz w:val="24"/>
        </w:rPr>
        <w:t>a “covered bank” as that term is defined in, and interpreted in accordance with, 12 C.F.R. §47.3(b); 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720" w:right="0" w:hanging="0"/>
        <w:jc w:val="both"/>
        <w:rPr/>
      </w:pPr>
      <w:r>
        <w:rPr/>
        <w:t>●</w:t>
      </w:r>
      <w:r>
        <w:rPr>
          <w:rFonts w:ascii="Times New Roman;Times;serif" w:hAnsi="Times New Roman;Times;serif"/>
          <w:sz w:val="24"/>
        </w:rPr>
        <w:t>a “covered FSI” as that term is defined in, and interpreted in accordance with, 12 C.F.R. §382.2(b).</w:t>
      </w:r>
    </w:p>
    <w:p>
      <w:pPr>
        <w:pStyle w:val="TextBody"/>
        <w:bidi w:val="0"/>
        <w:spacing w:before="0" w:after="240"/>
        <w:ind w:left="720" w:right="0" w:hanging="0"/>
        <w:jc w:val="both"/>
        <w:rPr/>
      </w:pPr>
      <w:r>
        <w:rPr/>
        <w:t>“</w:t>
      </w:r>
      <w:r>
        <w:rPr>
          <w:rFonts w:ascii="Times" w:hAnsi="Times"/>
          <w:i/>
          <w:sz w:val="24"/>
        </w:rPr>
        <w:t>Default Rights”</w:t>
      </w:r>
      <w:r>
        <w:rPr>
          <w:rFonts w:ascii="Times New Roman;Times;serif" w:hAnsi="Times New Roman;Times;serif"/>
          <w:sz w:val="24"/>
        </w:rPr>
        <w:t xml:space="preserve"> </w:t>
      </w:r>
      <w:r>
        <w:rPr>
          <w:rFonts w:ascii="Times" w:hAnsi="Times"/>
          <w:sz w:val="24"/>
        </w:rPr>
        <w:t>has the meaning assigned to that term in, and shall be interpreted in accordance with, 12 C.F.R. §§252.81, 47.2 or 382.1, as applicable.</w:t>
      </w:r>
    </w:p>
    <w:p>
      <w:pPr>
        <w:pStyle w:val="TextBody"/>
        <w:bidi w:val="0"/>
        <w:spacing w:before="0" w:after="240"/>
        <w:ind w:left="720" w:right="0" w:hanging="0"/>
        <w:jc w:val="both"/>
        <w:rPr/>
      </w:pPr>
      <w:r>
        <w:rPr/>
        <w:t>“</w:t>
      </w:r>
      <w:r>
        <w:rPr>
          <w:rFonts w:ascii="Times" w:hAnsi="Times"/>
          <w:i/>
          <w:sz w:val="24"/>
        </w:rPr>
        <w:t>QFC”</w:t>
      </w:r>
      <w:r>
        <w:rPr>
          <w:rFonts w:ascii="Times New Roman;Times;serif" w:hAnsi="Times New Roman;Times;serif"/>
          <w:sz w:val="24"/>
        </w:rPr>
        <w:t xml:space="preserve"> </w:t>
      </w:r>
      <w:r>
        <w:rPr>
          <w:rFonts w:ascii="Times" w:hAnsi="Times"/>
          <w:sz w:val="24"/>
        </w:rPr>
        <w:t>has the meaning assigned to the term “qualified financial contract” in, and shall be interpreted in accordance with, 12 U.S.C. 5390(c)(8)(D).</w:t>
      </w:r>
    </w:p>
    <w:p>
      <w:pPr>
        <w:pStyle w:val="TextBody"/>
        <w:bidi w:val="0"/>
        <w:spacing w:before="0" w:after="240"/>
        <w:ind w:left="0" w:right="0" w:hanging="0"/>
        <w:jc w:val="both"/>
        <w:rPr/>
      </w:pPr>
      <w:r>
        <w:rPr/>
        <w:t>●</w:t>
      </w:r>
      <w:bookmarkStart w:id="2368" w:name="_Toc184891597"/>
      <w:bookmarkEnd w:id="2368"/>
      <w:r>
        <w:rPr>
          <w:rFonts w:ascii="Times New Roman;Times;serif" w:hAnsi="Times New Roman;Times;serif"/>
          <w:sz w:val="24"/>
          <w:u w:val="single"/>
        </w:rPr>
        <w:t>Erroneous Payment</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w:t>
      </w:r>
    </w:p>
    <w:p>
      <w:pPr>
        <w:pStyle w:val="TextBody"/>
        <w:bidi w:val="0"/>
        <w:spacing w:before="0" w:after="240"/>
        <w:ind w:left="0" w:right="0" w:hanging="0"/>
        <w:jc w:val="both"/>
        <w:rPr/>
      </w:pPr>
      <w:r>
        <w:rPr/>
        <w:t>●</w:t>
      </w:r>
      <w:r>
        <w:rPr>
          <w:rFonts w:ascii="Times New Roman;Times;serif" w:hAnsi="Times New Roman;Times;serif"/>
          <w:sz w:val="24"/>
        </w:rPr>
        <w:t>If Administrative Agent notifies a Lender or Secured Party, or any Person who has received funds on behalf of a Lender or Secured Party (any such Lender, Secured Party or other recipient, a “</w:t>
      </w:r>
      <w:r>
        <w:rPr>
          <w:rFonts w:ascii="Times New Roman;Times;serif" w:hAnsi="Times New Roman;Times;serif"/>
          <w:i/>
          <w:sz w:val="24"/>
        </w:rPr>
        <w:t>Payment Recipient</w:t>
      </w:r>
      <w:r>
        <w:rPr>
          <w:rFonts w:ascii="Times New Roman;Times;serif" w:hAnsi="Times New Roman;Times;serif"/>
          <w:sz w:val="24"/>
        </w:rPr>
        <w:t>”) that Administrative Agent has determined in its sole discretion (whether or not after receipt of any notice under Section 12.30(b)) that any funds received by such Payment Recipient from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i/>
          <w:sz w:val="24"/>
        </w:rPr>
        <w:t>Erroneous Payment</w:t>
      </w:r>
      <w:r>
        <w:rPr>
          <w:rFonts w:ascii="Times New Roman;Times;serif" w:hAnsi="Times New Roman;Times;serif"/>
          <w:sz w:val="24"/>
        </w:rPr>
        <w:t>”)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or Secured Party shall (or, with respect to any Payment Recipient who received such funds on its behalf, shall cause such Payment Recipient to) promptly, but in no event later than two (2) Business Days thereafter, return to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pStyle w:val="TextBody"/>
        <w:bidi w:val="0"/>
        <w:ind w:left="0" w:right="0" w:hanging="0"/>
        <w:jc w:val="both"/>
        <w:rPr/>
      </w:pPr>
      <w:r>
        <w:rPr/>
        <w:t>●</w:t>
      </w:r>
      <w:r>
        <w:rPr>
          <w:rFonts w:ascii="Times New Roman;Times;serif" w:hAnsi="Times New Roman;Times;serif"/>
          <w:sz w:val="24"/>
        </w:rPr>
        <w:t>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in the case of immediately preceding clauses (x) or (y), an error shall be presumed to have been made (absent written confirmation from Administrative Agent to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contrary) or (B) in the case of immediately preceding clause (z), an error has been made, in each case, with respect to such payment, prepayment or repayment;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(ii)</w:t>
      </w:r>
      <w:r>
        <w:rPr>
          <w:rFonts w:ascii="Times New Roman;Times;serif" w:hAnsi="Times New Roman;Times;serif"/>
          <w:sz w:val="24"/>
        </w:rPr>
        <w:t>such Lender or Secured Party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pStyle w:val="TextBody"/>
        <w:bidi w:val="0"/>
        <w:spacing w:before="0" w:after="240"/>
        <w:ind w:left="0" w:right="0" w:hanging="0"/>
        <w:jc w:val="both"/>
        <w:rPr/>
      </w:pPr>
      <w:r>
        <w:rPr/>
        <w:t>●</w:t>
      </w:r>
      <w:r>
        <w:rPr>
          <w:rFonts w:ascii="Times New Roman;Times;serif" w:hAnsi="Times New Roman;Times;serif"/>
          <w:sz w:val="24"/>
        </w:rPr>
        <w:t>Each Lender or Secured Party hereby authorizes Administrative Agent to set off, net and apply any and all amounts at any time owing to such Lender or Secured Party under any Loan Document, or otherwise payable or distributable by Administrative Agent to such Lender or Secured Party from any source, against any amount due to Administrative Agent under Section 12.30(a) or under the indemnification provisions of this Agreement.</w:t>
      </w:r>
    </w:p>
    <w:p>
      <w:pPr>
        <w:pStyle w:val="TextBody"/>
        <w:bidi w:val="0"/>
        <w:spacing w:before="0" w:after="240"/>
        <w:ind w:left="0" w:right="0" w:hanging="0"/>
        <w:jc w:val="both"/>
        <w:rPr/>
      </w:pPr>
      <w:r>
        <w:rPr/>
        <w:t>●</w:t>
      </w:r>
      <w:r>
        <w:rPr>
          <w:rFonts w:ascii="Times New Roman;Times;serif" w:hAnsi="Times New Roman;Times;serif"/>
          <w:sz w:val="24"/>
        </w:rPr>
        <w:t>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i/>
          <w:sz w:val="24"/>
        </w:rPr>
        <w:t>Erroneous Payment Return Deficiency</w:t>
      </w:r>
      <w:r>
        <w:rPr>
          <w:rFonts w:ascii="Times New Roman;Times;serif" w:hAnsi="Times New Roman;Times;serif"/>
          <w:sz w:val="24"/>
        </w:rPr>
        <w:t>”), upon Administrative Agent’s notice to such Lender at any time, (i) such Lender shall be deemed to have assigned its Loans (but not its Commitments) of the relevant Class with respect to which such Erroneous Payment was made (the “</w:t>
      </w:r>
      <w:r>
        <w:rPr>
          <w:rFonts w:ascii="Times New Roman;Times;serif" w:hAnsi="Times New Roman;Times;serif"/>
          <w:i/>
          <w:sz w:val="24"/>
        </w:rPr>
        <w:t>Erroneous Payment Impacted Class</w:t>
      </w:r>
      <w:r>
        <w:rPr>
          <w:rFonts w:ascii="Times New Roman;Times;serif" w:hAnsi="Times New Roman;Times;serif"/>
          <w:sz w:val="24"/>
        </w:rPr>
        <w:t>”) in an amount equal to the Erroneous Payment Return Deficiency (or such lesser amount as Administrative Agent may specify) (such assignment of the Loans (but not Commitments) of the Erroneous Payment Impacted Class, the “</w:t>
      </w:r>
      <w:r>
        <w:rPr>
          <w:rFonts w:ascii="Times New Roman;Times;serif" w:hAnsi="Times New Roman;Times;serif"/>
          <w:i/>
          <w:sz w:val="24"/>
        </w:rPr>
        <w:t>Erroneous Payment Deficiency Assignment</w:t>
      </w:r>
      <w:r>
        <w:rPr>
          <w:rFonts w:ascii="Times New Roman;Times;serif" w:hAnsi="Times New Roman;Times;serif"/>
          <w:sz w:val="24"/>
        </w:rPr>
        <w:t xml:space="preserve">”) at par plus any accrued and unpaid interest (with the assignment fee to be waived by Administrative Agent in such instance), and is hereby (together with Borrower) deemed to execute and deliver an Assignment and Acceptance with respect to such Erroneous Payment Deficiency Assignment, and such Lender shall deliver any Notes evidencing such Loans to Borrower Representative or Administrative Agent, (ii) Administrative Agent as the assignee Lender shall be deemed to acquire the Erroneous Payment Deficiency Assignment, (iii)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Administrative Agent may reflect in the Register its ownership interest in the Loans subject to the Erroneous Payment Deficiency Assignment.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Administrative Agent has sold a Loan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portion thereof) acquired pursuant to an Erroneous Payment Deficiency Assignment, and irrespective of whether Administrative Agent may be equitably subrogated, Administrative Agent shall be contractually subrogated to all the rights and interests of the applicable Lender or Secured Party under the Loan Documents with respect to each Erroneous Payment Return Deficiency (the “</w:t>
      </w:r>
      <w:r>
        <w:rPr>
          <w:rFonts w:ascii="Times New Roman;Times;serif" w:hAnsi="Times New Roman;Times;serif"/>
          <w:i/>
          <w:sz w:val="24"/>
        </w:rPr>
        <w:t>Erroneous Payment Subrogation Rights</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The parties hereto agree that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Administrative Agent from the Borrower for the purpose of making such Erroneous Payment.</w:t>
      </w:r>
    </w:p>
    <w:p>
      <w:pPr>
        <w:pStyle w:val="TextBody"/>
        <w:bidi w:val="0"/>
        <w:spacing w:before="0" w:after="240"/>
        <w:ind w:left="0" w:right="0" w:hanging="0"/>
        <w:jc w:val="both"/>
        <w:rPr/>
      </w:pPr>
      <w:r>
        <w:rPr/>
        <w:t>●</w:t>
      </w:r>
      <w:r>
        <w:rPr>
          <w:rFonts w:ascii="Times New Roman;Times;serif" w:hAnsi="Times New Roman;Times;serif"/>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both"/>
        <w:rPr/>
      </w:pPr>
      <w:r>
        <w:rPr/>
        <w:t>●</w:t>
      </w:r>
      <w:r>
        <w:rPr>
          <w:rFonts w:ascii="Times New Roman;Times;serif" w:hAnsi="Times New Roman;Times;serif"/>
          <w:sz w:val="24"/>
        </w:rPr>
        <w:t>Each party’s obligations, agreements and waivers under this Section 10.18 shall survive the resignation or replacement of Administrative Agent, any transfer of rights or obligations by, or the replacement of, a Lender, the termination of the Commitments and/or the repayment, satisfaction or discharge of all Obligations (or any portion thereof).</w:t>
      </w:r>
    </w:p>
    <w:p>
      <w:pPr>
        <w:pStyle w:val="TextBody"/>
        <w:bidi w:val="0"/>
        <w:spacing w:before="0" w:after="240"/>
        <w:ind w:left="720" w:right="0" w:hanging="0"/>
        <w:jc w:val="both"/>
        <w:rPr/>
      </w:pPr>
      <w:r>
        <w:rPr>
          <w:caps/>
        </w:rPr>
        <w:t>●</w:t>
      </w:r>
      <w:bookmarkStart w:id="2369" w:name="_Toc184891598"/>
      <w:bookmarkEnd w:id="2369"/>
      <w:r>
        <w:rPr>
          <w:rFonts w:ascii="Times New Roman;Times;serif" w:hAnsi="Times New Roman;Times;serif"/>
          <w:caps/>
          <w:sz w:val="24"/>
        </w:rPr>
        <w:t>The Guarantees.</w:t>
      </w:r>
    </w:p>
    <w:p>
      <w:pPr>
        <w:pStyle w:val="TextBody"/>
        <w:bidi w:val="0"/>
        <w:spacing w:before="0" w:after="240"/>
        <w:ind w:left="0" w:right="0" w:hanging="0"/>
        <w:jc w:val="both"/>
        <w:rPr/>
      </w:pPr>
      <w:r>
        <w:rPr/>
        <w:t>●</w:t>
      </w:r>
      <w:bookmarkStart w:id="2370" w:name="_Toc184891599"/>
      <w:bookmarkEnd w:id="2370"/>
      <w:r>
        <w:rPr>
          <w:rFonts w:ascii="Times New Roman;Times;serif" w:hAnsi="Times New Roman;Times;serif"/>
          <w:sz w:val="24"/>
          <w:u w:val="single"/>
        </w:rPr>
        <w:t>The Guarantees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To induce the Lenders to provide the credits described herein and in consideration of benefits expected to accrue to the Borrower by reason of the Commitments and for other good and valuable consideration, receipt of which is hereby acknowledged, Parent and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their Affiliates, the due and punctual payment of all present and future Obligations, including, but not limited to, the due and punctual payment of principal of and interest on the Loans,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bookmarkStart w:id="2371" w:name="_Toc184891600"/>
      <w:bookmarkEnd w:id="2371"/>
      <w:r>
        <w:rPr>
          <w:rFonts w:ascii="Times New Roman;Times;serif" w:hAnsi="Times New Roman;Times;serif"/>
          <w:sz w:val="24"/>
          <w:u w:val="single"/>
        </w:rPr>
        <w:t>Guarantee Unconditional</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obligations of each Guarantor under this Section 13 shall be unconditional and absolute and, without limiting the generality of the foregoing, shall not be released, discharged, or otherwise affected by:</w:t>
      </w:r>
    </w:p>
    <w:p>
      <w:pPr>
        <w:pStyle w:val="TextBody"/>
        <w:bidi w:val="0"/>
        <w:spacing w:before="0" w:after="240"/>
        <w:ind w:left="0" w:right="0" w:hanging="0"/>
        <w:jc w:val="both"/>
        <w:rPr/>
      </w:pPr>
      <w:r>
        <w:rPr/>
        <w:t>●</w:t>
      </w:r>
      <w:r>
        <w:rPr>
          <w:rFonts w:ascii="Times New Roman;Times;serif" w:hAnsi="Times New Roman;Times;serif"/>
          <w:sz w:val="24"/>
        </w:rPr>
        <w:t>any extension, renewal, settlement, compromise, waiver, or release in respect of any obligation of the Borrower or other obligor or of any other guarantor under this Agreement or any other Loan Document or by operation of law or otherwise;</w:t>
      </w:r>
    </w:p>
    <w:p>
      <w:pPr>
        <w:pStyle w:val="TextBody"/>
        <w:bidi w:val="0"/>
        <w:spacing w:before="0" w:after="240"/>
        <w:ind w:left="0" w:right="0" w:hanging="0"/>
        <w:jc w:val="both"/>
        <w:rPr/>
      </w:pPr>
      <w:r>
        <w:rPr/>
        <w:t>●</w:t>
      </w:r>
      <w:r>
        <w:rPr>
          <w:rFonts w:ascii="Times New Roman;Times;serif" w:hAnsi="Times New Roman;Times;serif"/>
          <w:sz w:val="24"/>
        </w:rPr>
        <w:t>any modification or amendment of or supplement to this Agreement or any other Loan Document;</w:t>
      </w:r>
    </w:p>
    <w:p>
      <w:pPr>
        <w:pStyle w:val="TextBody"/>
        <w:bidi w:val="0"/>
        <w:spacing w:before="0" w:after="240"/>
        <w:ind w:left="0" w:right="0" w:hanging="0"/>
        <w:jc w:val="both"/>
        <w:rPr/>
      </w:pPr>
      <w:r>
        <w:rPr/>
        <w:t>●</w:t>
      </w:r>
      <w:r>
        <w:rPr>
          <w:rFonts w:ascii="Times New Roman;Times;serif" w:hAnsi="Times New Roman;Times;serif"/>
          <w:sz w:val="24"/>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pStyle w:val="TextBody"/>
        <w:bidi w:val="0"/>
        <w:spacing w:before="0" w:after="240"/>
        <w:ind w:left="0" w:right="0" w:hanging="0"/>
        <w:jc w:val="both"/>
        <w:rPr/>
      </w:pPr>
      <w:r>
        <w:rPr/>
        <w:t>●</w:t>
      </w:r>
      <w:r>
        <w:rPr>
          <w:rFonts w:ascii="Times New Roman;Times;serif" w:hAnsi="Times New Roman;Times;serif"/>
          <w:sz w:val="24"/>
        </w:rPr>
        <w:t>the existence of any claim, set-off, or other rights which the Borrower or other obligor or any other guarantor may have at any time against the Administrative Agent, any Lender, or any other Person, whether or not arising in connection herewith;</w:t>
      </w:r>
    </w:p>
    <w:p>
      <w:pPr>
        <w:pStyle w:val="TextBody"/>
        <w:bidi w:val="0"/>
        <w:spacing w:before="0" w:after="240"/>
        <w:ind w:left="0" w:right="0" w:hanging="0"/>
        <w:jc w:val="both"/>
        <w:rPr/>
      </w:pPr>
      <w:r>
        <w:rPr/>
        <w:t>●</w:t>
      </w:r>
      <w:r>
        <w:rPr>
          <w:rFonts w:ascii="Times New Roman;Times;serif" w:hAnsi="Times New Roman;Times;serif"/>
          <w:sz w:val="24"/>
        </w:rPr>
        <w:t xml:space="preserve">any failure to assert, or any assertion of, any claim or demand or any exercise of, or failure to exercise, any rights or remedies against the Borrower or other obligor, any other guarantor, or any other Person or </w:t>
      </w:r>
      <w:bookmarkStart w:id="2372" w:name="_cp_change_477"/>
      <w:bookmarkEnd w:id="2372"/>
      <w:r>
        <w:rPr>
          <w:rFonts w:ascii="Times New Roman;Times;serif" w:hAnsi="Times New Roman;Times;serif"/>
          <w:color w:val="FF0000"/>
          <w:sz w:val="24"/>
        </w:rPr>
        <w:t>Property</w:t>
      </w:r>
      <w:bookmarkStart w:id="2373" w:name="_cp_change_478"/>
      <w:bookmarkEnd w:id="2373"/>
      <w:r>
        <w:rPr>
          <w:rFonts w:ascii="Times New Roman;Times;serif" w:hAnsi="Times New Roman;Times;serif"/>
          <w:color w:val="0000FF"/>
          <w:sz w:val="24"/>
          <w:u w:val="single"/>
        </w:rPr>
        <w:t>Properties or other assets</w:t>
      </w:r>
      <w:r>
        <w:rPr>
          <w:rFonts w:ascii="Times New Roman;Times;serif" w:hAnsi="Times New Roman;Times;serif"/>
          <w:sz w:val="24"/>
        </w:rPr>
        <w:t>;</w:t>
      </w:r>
    </w:p>
    <w:p>
      <w:pPr>
        <w:pStyle w:val="TextBody"/>
        <w:bidi w:val="0"/>
        <w:spacing w:before="0" w:after="240"/>
        <w:ind w:left="0" w:right="0" w:hanging="0"/>
        <w:jc w:val="both"/>
        <w:rPr/>
      </w:pPr>
      <w:r>
        <w:rPr/>
        <w:t>●</w:t>
      </w:r>
      <w:r>
        <w:rPr>
          <w:rFonts w:ascii="Times New Roman;Times;serif" w:hAnsi="Times New Roman;Times;serif"/>
          <w:sz w:val="24"/>
        </w:rPr>
        <w:t>any application of any sums by whomsoever paid or howsoever realized to any obligation of the Borrower or other obligor, regardless of what obligations of the Borrower or other obligor remain unpaid;</w:t>
      </w:r>
    </w:p>
    <w:p>
      <w:pPr>
        <w:pStyle w:val="TextBody"/>
        <w:bidi w:val="0"/>
        <w:spacing w:before="0" w:after="240"/>
        <w:ind w:left="0" w:right="0" w:hanging="0"/>
        <w:jc w:val="both"/>
        <w:rPr/>
      </w:pPr>
      <w:r>
        <w:rPr/>
        <w:t>●</w:t>
      </w:r>
      <w:r>
        <w:rPr>
          <w:rFonts w:ascii="Times New Roman;Times;serif" w:hAnsi="Times New Roman;Times;serif"/>
          <w:sz w:val="24"/>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Loan or any other amount payable under the Loan Documents; or</w:t>
      </w:r>
    </w:p>
    <w:p>
      <w:pPr>
        <w:pStyle w:val="TextBody"/>
        <w:bidi w:val="0"/>
        <w:spacing w:before="0" w:after="0"/>
        <w:ind w:left="0" w:right="0" w:hanging="0"/>
        <w:jc w:val="both"/>
        <w:rPr/>
      </w:pPr>
      <w:r>
        <w:rPr/>
        <w:t>●</w:t>
      </w:r>
      <w:r>
        <w:rPr>
          <w:rFonts w:ascii="Times New Roman;Times;serif" w:hAnsi="Times New Roman;Times;serif"/>
          <w:sz w:val="24"/>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pStyle w:val="TextBody"/>
        <w:bidi w:val="0"/>
        <w:spacing w:before="0" w:after="240"/>
        <w:ind w:left="0" w:right="0" w:hanging="0"/>
        <w:jc w:val="both"/>
        <w:rPr/>
      </w:pPr>
      <w:r>
        <w:rPr/>
        <w:t>●</w:t>
      </w:r>
      <w:bookmarkStart w:id="2374" w:name="_Toc184891601"/>
      <w:bookmarkEnd w:id="2374"/>
      <w:r>
        <w:rPr>
          <w:rFonts w:ascii="Times New Roman;Times;serif" w:hAnsi="Times New Roman;Times;serif"/>
          <w:sz w:val="24"/>
          <w:u w:val="single"/>
        </w:rPr>
        <w:t>Discharge Only upon Payment in Full; Reinstatement in Certain Circumstances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xml:space="preserve">.  Each Guarantor’s obligations under this Section 13 shall remain in full force and effect until the Commitments are terminated, and the principal of and interest on the Loans and all other amounts payable by the Borrower and the Guarantors under this Agreement and all other Loan Documents have been paid in full.  If at any time any payment of the principal of or interest on any Loan or any other amount payable by the Borrower or other obligor or any Guarantor under the Loan Documents is rescinded or must be otherwise restored or returned upon the insolvency,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pStyle w:val="TextBody"/>
        <w:bidi w:val="0"/>
        <w:spacing w:before="0" w:after="240"/>
        <w:ind w:left="0" w:right="0" w:hanging="0"/>
        <w:jc w:val="both"/>
        <w:rPr/>
      </w:pPr>
      <w:r>
        <w:rPr/>
        <w:t>●</w:t>
      </w:r>
      <w:bookmarkStart w:id="2375" w:name="_Toc184891602"/>
      <w:bookmarkEnd w:id="2375"/>
      <w:r>
        <w:rPr>
          <w:rFonts w:ascii="Times New Roman;Times;serif" w:hAnsi="Times New Roman;Times;serif"/>
          <w:sz w:val="24"/>
          <w:u w:val="single"/>
        </w:rPr>
        <w:t>Subrogation</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Each Guarantor agrees it will not exercise any rights which it may acquire by way of subrogation by any payment made hereunder, or otherwise, until all the obligations guaranteed hereby shall have been paid in full subsequent to the termination of all the Commitments.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Commitments,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pStyle w:val="TextBody"/>
        <w:bidi w:val="0"/>
        <w:spacing w:before="0" w:after="240"/>
        <w:ind w:left="0" w:right="0" w:hanging="0"/>
        <w:jc w:val="both"/>
        <w:rPr/>
      </w:pPr>
      <w:r>
        <w:rPr/>
        <w:t>●</w:t>
      </w:r>
      <w:bookmarkStart w:id="2376" w:name="_Toc184891603"/>
      <w:bookmarkEnd w:id="2376"/>
      <w:r>
        <w:rPr>
          <w:rFonts w:ascii="Times New Roman;Times;serif" w:hAnsi="Times New Roman;Times;serif"/>
          <w:sz w:val="24"/>
          <w:u w:val="single"/>
        </w:rPr>
        <w:t>Waivers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Each Guarantor irrevocably waives acceptance hereof, 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pStyle w:val="TextBody"/>
        <w:bidi w:val="0"/>
        <w:spacing w:before="0" w:after="240"/>
        <w:ind w:left="0" w:right="0" w:hanging="0"/>
        <w:jc w:val="both"/>
        <w:rPr/>
      </w:pPr>
      <w:r>
        <w:rPr/>
        <w:t>●</w:t>
      </w:r>
      <w:bookmarkStart w:id="2377" w:name="_Toc184891604"/>
      <w:bookmarkEnd w:id="2377"/>
      <w:r>
        <w:rPr>
          <w:rFonts w:ascii="Times New Roman;Times;serif" w:hAnsi="Times New Roman;Times;serif"/>
          <w:sz w:val="24"/>
          <w:u w:val="single"/>
        </w:rPr>
        <w:t>Limit on Recovery</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Notwithstanding any other provision hereof, the right of recovery against each Guarantor under this Section 13 shall not exceed $1.00 less than the lowest amount which would render such Guarantor’s obligations under this Section 13 void or voidable under applicable law, including, without limitation, fraudulent conveyance law.</w:t>
      </w:r>
    </w:p>
    <w:p>
      <w:pPr>
        <w:pStyle w:val="TextBody"/>
        <w:bidi w:val="0"/>
        <w:spacing w:before="0" w:after="240"/>
        <w:ind w:left="0" w:right="0" w:hanging="0"/>
        <w:jc w:val="both"/>
        <w:rPr/>
      </w:pPr>
      <w:r>
        <w:rPr/>
        <w:t>●</w:t>
      </w:r>
      <w:bookmarkStart w:id="2378" w:name="_Toc184891605"/>
      <w:bookmarkEnd w:id="2378"/>
      <w:r>
        <w:rPr>
          <w:rFonts w:ascii="Times New Roman;Times;serif" w:hAnsi="Times New Roman;Times;serif"/>
          <w:sz w:val="24"/>
          <w:u w:val="single"/>
        </w:rPr>
        <w:t>Stay of Acceleration</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pStyle w:val="TextBody"/>
        <w:bidi w:val="0"/>
        <w:spacing w:before="0" w:after="240"/>
        <w:ind w:left="0" w:right="0" w:hanging="0"/>
        <w:jc w:val="both"/>
        <w:rPr/>
      </w:pPr>
      <w:r>
        <w:rPr/>
        <w:t>●</w:t>
      </w:r>
      <w:bookmarkStart w:id="2379" w:name="_Toc184891606"/>
      <w:bookmarkEnd w:id="2379"/>
      <w:r>
        <w:rPr>
          <w:rFonts w:ascii="Times New Roman;Times;serif" w:hAnsi="Times New Roman;Times;serif"/>
          <w:sz w:val="24"/>
          <w:u w:val="single"/>
        </w:rPr>
        <w:t>Benefit to Guarantors</w:t>
      </w:r>
    </w:p>
    <w:p>
      <w:pPr>
        <w:pStyle w:val="TextBody"/>
        <w:bidi w:val="0"/>
        <w:spacing w:before="0" w:after="240"/>
        <w:jc w:val="both"/>
        <w:rPr>
          <w:rFonts w:ascii="Times New Roman;Times;serif" w:hAnsi="Times New Roman;Times;serif"/>
          <w:sz w:val="24"/>
        </w:rPr>
      </w:pPr>
      <w:r>
        <w:rPr>
          <w:rFonts w:ascii="Times New Roman;Times;serif" w:hAnsi="Times New Roman;Times;serif"/>
          <w:sz w:val="24"/>
        </w:rPr>
        <w:t>.  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pStyle w:val="TextBody"/>
        <w:bidi w:val="0"/>
        <w:spacing w:before="0" w:after="240"/>
        <w:ind w:left="0" w:right="0" w:hanging="0"/>
        <w:jc w:val="both"/>
        <w:rPr/>
      </w:pPr>
      <w:r>
        <w:rPr/>
        <w:t>●</w:t>
      </w:r>
      <w:bookmarkStart w:id="2380" w:name="_Toc184891607"/>
      <w:bookmarkEnd w:id="2380"/>
      <w:r>
        <w:rPr>
          <w:rFonts w:ascii="Times New Roman;Times;serif" w:hAnsi="Times New Roman;Times;serif"/>
          <w:sz w:val="24"/>
          <w:u w:val="single"/>
        </w:rPr>
        <w:t>Guarantor Covenants</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w:t>
      </w:r>
      <w:r>
        <w:rPr>
          <w:rFonts w:ascii="Times New Roman;Times;serif" w:hAnsi="Times New Roman;Times;serif"/>
          <w:sz w:val="24"/>
        </w:rPr>
        <w:t xml:space="preserve">  Each Guarantor shall take such action as the Borrower is required by this Agreement to cause such Guarantor to take, and shall refrain from taking such action as the Borrower is required by this Agreement to prohibit such Guarantor from taking.</w:t>
      </w:r>
    </w:p>
    <w:p>
      <w:pPr>
        <w:pStyle w:val="TextBody"/>
        <w:bidi w:val="0"/>
        <w:spacing w:before="0" w:after="240"/>
        <w:ind w:left="0" w:right="0" w:hanging="0"/>
        <w:jc w:val="both"/>
        <w:rPr/>
      </w:pPr>
      <w:r>
        <w:rPr/>
        <w:t>●</w:t>
      </w:r>
      <w:bookmarkStart w:id="2381" w:name="_Toc184891608"/>
      <w:bookmarkEnd w:id="2381"/>
      <w:r>
        <w:rPr>
          <w:rFonts w:ascii="Times New Roman;Times;serif" w:hAnsi="Times New Roman;Times;serif"/>
          <w:sz w:val="24"/>
          <w:u w:val="single"/>
        </w:rPr>
        <w:t>Keepwell</w:t>
      </w:r>
    </w:p>
    <w:p>
      <w:pPr>
        <w:pStyle w:val="TextBody"/>
        <w:bidi w:val="0"/>
        <w:spacing w:before="0" w:after="240"/>
        <w:jc w:val="both"/>
        <w:rPr>
          <w:rFonts w:ascii="Times New Roman;Times;serif" w:hAnsi="Times New Roman;Times;serif"/>
          <w:sz w:val="24"/>
        </w:rPr>
      </w:pPr>
      <w:r>
        <w:rPr>
          <w:rFonts w:ascii="Times New Roman;Times;serif" w:hAnsi="Times New Roman;Times;serif"/>
          <w:i/>
          <w:sz w:val="24"/>
        </w:rPr>
        <w:t xml:space="preserve">. </w:t>
      </w:r>
      <w:r>
        <w:rPr>
          <w:rFonts w:ascii="Times New Roman;Times;serif" w:hAnsi="Times New Roman;Times;serif"/>
          <w:sz w:val="24"/>
        </w:rPr>
        <w:t xml:space="preserve"> 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pStyle w:val="TextBody"/>
        <w:bidi w:val="0"/>
        <w:spacing w:before="0" w:after="240"/>
        <w:ind w:left="0" w:right="0" w:firstLine="240"/>
        <w:jc w:val="center"/>
        <w:rPr>
          <w:rFonts w:ascii="Times" w:hAnsi="Times"/>
          <w:smallCaps/>
          <w:sz w:val="24"/>
        </w:rPr>
      </w:pPr>
      <w:r>
        <w:rPr>
          <w:rFonts w:ascii="Times" w:hAnsi="Times"/>
          <w:smallCaps/>
          <w:sz w:val="24"/>
        </w:rPr>
        <w:t>[Signature Pages to Follow]</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This Credit Agreement is entered into between us for the uses and purposes hereinabove set forth as of the date first above written.</w:t>
      </w:r>
    </w:p>
    <w:tbl>
      <w:tblPr>
        <w:tblW w:w="10205" w:type="dxa"/>
        <w:jc w:val="left"/>
        <w:tblInd w:w="0" w:type="dxa"/>
        <w:tblLayout w:type="fixed"/>
        <w:tblCellMar>
          <w:top w:w="0" w:type="dxa"/>
          <w:left w:w="0" w:type="dxa"/>
          <w:bottom w:w="0" w:type="dxa"/>
          <w:right w:w="0" w:type="dxa"/>
        </w:tblCellMar>
      </w:tblPr>
      <w:tblGrid>
        <w:gridCol w:w="124"/>
        <w:gridCol w:w="720"/>
        <w:gridCol w:w="947"/>
        <w:gridCol w:w="4239"/>
        <w:gridCol w:w="584"/>
        <w:gridCol w:w="3591"/>
      </w:tblGrid>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4823" w:type="dxa"/>
            <w:gridSpan w:val="2"/>
            <w:tcBorders/>
            <w:vAlign w:val="center"/>
          </w:tcPr>
          <w:p>
            <w:pPr>
              <w:pStyle w:val="TableContents"/>
              <w:bidi w:val="0"/>
              <w:spacing w:before="0" w:after="0"/>
              <w:ind w:left="0" w:right="0" w:hanging="0"/>
              <w:jc w:val="left"/>
              <w:rPr/>
            </w:pPr>
            <w:r>
              <w:rPr/>
              <w:t>​</w:t>
            </w:r>
          </w:p>
        </w:tc>
        <w:tc>
          <w:tcPr>
            <w:tcW w:w="35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smallCaps/>
              </w:rPr>
              <w:t>“</w:t>
            </w:r>
            <w:r>
              <w:rPr>
                <w:rFonts w:ascii="Times New Roman;Times;serif" w:hAnsi="Times New Roman;Times;serif"/>
                <w:b/>
                <w:i/>
                <w:smallCaps/>
                <w:sz w:val="24"/>
              </w:rPr>
              <w:t>Borrower</w:t>
            </w:r>
            <w:r>
              <w:rPr>
                <w:rFonts w:ascii="Times New Roman;Times;serif" w:hAnsi="Times New Roman;Times;serif"/>
                <w:smallCaps/>
                <w:sz w:val="24"/>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Alpine Income Property OP, LP,</w:t>
              <w:br/>
            </w:r>
            <w:r>
              <w:rPr>
                <w:rFonts w:ascii="Times New Roman;Times;serif" w:hAnsi="Times New Roman;Times;serif"/>
                <w:sz w:val="24"/>
              </w:rPr>
              <w:t>a Delaware limited partnership</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4823" w:type="dxa"/>
            <w:gridSpan w:val="2"/>
            <w:tcBorders/>
            <w:vAlign w:val="center"/>
          </w:tcPr>
          <w:p>
            <w:pPr>
              <w:pStyle w:val="TableContents"/>
              <w:bidi w:val="0"/>
              <w:spacing w:before="0" w:after="0"/>
              <w:ind w:left="0" w:right="0" w:hanging="0"/>
              <w:jc w:val="left"/>
              <w:rPr/>
            </w:pPr>
            <w:r>
              <w:rPr/>
              <w:t>​</w:t>
            </w:r>
          </w:p>
        </w:tc>
        <w:tc>
          <w:tcPr>
            <w:tcW w:w="35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61"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w:t>
              <w:br/>
              <w:t>Delaware limited liability company, its</w:t>
              <w:br/>
              <w:t>General Partner</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4823" w:type="dxa"/>
            <w:gridSpan w:val="2"/>
            <w:tcBorders/>
            <w:vAlign w:val="center"/>
          </w:tcPr>
          <w:p>
            <w:pPr>
              <w:pStyle w:val="TableContents"/>
              <w:bidi w:val="0"/>
              <w:spacing w:before="0" w:after="0"/>
              <w:ind w:left="0" w:right="0" w:hanging="0"/>
              <w:jc w:val="left"/>
              <w:rPr/>
            </w:pPr>
            <w:r>
              <w:rPr/>
              <w:t>​</w:t>
            </w:r>
          </w:p>
        </w:tc>
        <w:tc>
          <w:tcPr>
            <w:tcW w:w="35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41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4823" w:type="dxa"/>
            <w:gridSpan w:val="2"/>
            <w:tcBorders/>
            <w:vAlign w:val="center"/>
          </w:tcPr>
          <w:p>
            <w:pPr>
              <w:pStyle w:val="TableContents"/>
              <w:bidi w:val="0"/>
              <w:spacing w:before="0" w:after="0"/>
              <w:ind w:left="0" w:right="0" w:hanging="0"/>
              <w:jc w:val="left"/>
              <w:rPr/>
            </w:pPr>
            <w:r>
              <w:rPr/>
              <w:t>​</w:t>
            </w:r>
          </w:p>
        </w:tc>
        <w:tc>
          <w:tcPr>
            <w:tcW w:w="35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4823" w:type="dxa"/>
            <w:gridSpan w:val="2"/>
            <w:tcBorders/>
            <w:vAlign w:val="center"/>
          </w:tcPr>
          <w:p>
            <w:pPr>
              <w:pStyle w:val="TableContents"/>
              <w:bidi w:val="0"/>
              <w:spacing w:before="0" w:after="0"/>
              <w:ind w:left="0" w:right="0" w:hanging="0"/>
              <w:jc w:val="left"/>
              <w:rPr/>
            </w:pPr>
            <w:r>
              <w:rPr/>
              <w:t>​</w:t>
            </w:r>
          </w:p>
        </w:tc>
        <w:tc>
          <w:tcPr>
            <w:tcW w:w="35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423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75" w:type="dxa"/>
            <w:gridSpan w:val="2"/>
            <w:tcBorders>
              <w:bottom w:val="single" w:sz="12" w:space="0" w:color="0000FF"/>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423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175" w:type="dxa"/>
            <w:gridSpan w:val="2"/>
            <w:tcBorders>
              <w:top w:val="single" w:sz="12" w:space="0" w:color="0000FF"/>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Matthew M. Partridge</w:t>
            </w:r>
          </w:p>
        </w:tc>
      </w:tr>
      <w:tr>
        <w:trPr/>
        <w:tc>
          <w:tcPr>
            <w:tcW w:w="124"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423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1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40" w:after="0"/>
        <w:ind w:left="432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793"/>
        <w:gridCol w:w="483"/>
        <w:gridCol w:w="794"/>
        <w:gridCol w:w="1402"/>
        <w:gridCol w:w="660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78740" cy="175260"/>
                      <wp:effectExtent l="0" t="0" r="0" b="0"/>
                      <wp:wrapNone/>
                      <wp:docPr id="557" name="Frame55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1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890270" cy="29210"/>
                      <wp:effectExtent l="0" t="0" r="0" b="0"/>
                      <wp:wrapNone/>
                      <wp:docPr id="558" name="Frame558"/>
                      <a:graphic xmlns:a="http://schemas.openxmlformats.org/drawingml/2006/main">
                        <a:graphicData uri="http://schemas.microsoft.com/office/word/2010/wordprocessingShape">
                          <wps:wsp>
                            <wps:cNvSpPr txBox="1"/>
                            <wps:spPr>
                              <a:xfrm>
                                <a:off x="0" y="0"/>
                                <a:ext cx="8902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196715" cy="175260"/>
                      <wp:effectExtent l="0" t="0" r="0" b="0"/>
                      <wp:wrapNone/>
                      <wp:docPr id="559" name="Frame559"/>
                      <a:graphic xmlns:a="http://schemas.openxmlformats.org/drawingml/2006/main">
                        <a:graphicData uri="http://schemas.microsoft.com/office/word/2010/wordprocessingShape">
                          <wps:wsp>
                            <wps:cNvSpPr txBox="1"/>
                            <wps:spPr>
                              <a:xfrm>
                                <a:off x="0" y="0"/>
                                <a:ext cx="419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Guarantors”</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Parent”</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10081" w:type="dxa"/>
            <w:gridSpan w:val="5"/>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Alpine Income Property Trust, Inc.</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Maryland corporation</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88" w:type="dxa"/>
            <w:gridSpan w:val="4"/>
            <w:tcBorders>
              <w:bottom w:val="single" w:sz="12" w:space="0" w:color="0000FF"/>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9288" w:type="dxa"/>
            <w:gridSpan w:val="4"/>
            <w:tcBorders>
              <w:top w:val="single" w:sz="12" w:space="0" w:color="0000FF"/>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Matthew M. Partridge</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288"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9288"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9288"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Material Subsidiaries”</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9288"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caps/>
                <w:sz w:val="24"/>
              </w:rPr>
              <w:t>Indigo Henry</w:t>
            </w:r>
            <w:r>
              <w:rPr>
                <w:rFonts w:ascii="Times New Roman;Times;serif" w:hAnsi="Times New Roman;Times;serif"/>
                <w:smallCaps/>
                <w:sz w:val="24"/>
              </w:rPr>
              <w:t xml:space="preserve"> LLC</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9288"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288"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br/>
              <w:t>a Delaware limited partnership, its member</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9288"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80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880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011"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8011"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8011"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140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66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140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660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Matthew M. Partridge</w:t>
            </w:r>
          </w:p>
        </w:tc>
      </w:tr>
      <w:tr>
        <w:trPr/>
        <w:tc>
          <w:tcPr>
            <w:tcW w:w="124"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140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66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br/>
              <w:t>Chief Financial Officer, and Treasurer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1" w:type="dxa"/>
        <w:jc w:val="left"/>
        <w:tblInd w:w="0" w:type="dxa"/>
        <w:tblLayout w:type="fixed"/>
        <w:tblCellMar>
          <w:top w:w="0" w:type="dxa"/>
          <w:left w:w="0" w:type="dxa"/>
          <w:bottom w:w="0" w:type="dxa"/>
          <w:right w:w="0" w:type="dxa"/>
        </w:tblCellMar>
      </w:tblPr>
      <w:tblGrid>
        <w:gridCol w:w="124"/>
        <w:gridCol w:w="451"/>
        <w:gridCol w:w="451"/>
        <w:gridCol w:w="560"/>
        <w:gridCol w:w="988"/>
        <w:gridCol w:w="73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78740" cy="175260"/>
                      <wp:effectExtent l="0" t="0" r="0" b="0"/>
                      <wp:wrapNone/>
                      <wp:docPr id="560" name="Frame56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27380" cy="29210"/>
                      <wp:effectExtent l="0" t="0" r="0" b="0"/>
                      <wp:wrapNone/>
                      <wp:docPr id="561" name="Frame561"/>
                      <a:graphic xmlns:a="http://schemas.openxmlformats.org/drawingml/2006/main">
                        <a:graphicData uri="http://schemas.microsoft.com/office/word/2010/wordprocessingShape">
                          <wps:wsp>
                            <wps:cNvSpPr txBox="1"/>
                            <wps:spPr>
                              <a:xfrm>
                                <a:off x="0" y="0"/>
                                <a:ext cx="627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684395" cy="175260"/>
                      <wp:effectExtent l="0" t="0" r="0" b="0"/>
                      <wp:wrapNone/>
                      <wp:docPr id="562" name="Frame562"/>
                      <a:graphic xmlns:a="http://schemas.openxmlformats.org/drawingml/2006/main">
                        <a:graphicData uri="http://schemas.microsoft.com/office/word/2010/wordprocessingShape">
                          <wps:wsp>
                            <wps:cNvSpPr txBox="1"/>
                            <wps:spPr>
                              <a:xfrm>
                                <a:off x="0" y="0"/>
                                <a:ext cx="468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CTO19 TROY WI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CTO17 BRANDON FL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CTO19 ALBANY GA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BLANDING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HURST TX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TULSA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HIGHLAND KY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TYN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ARDEN NC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BARKER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BINGHAM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PINE20 CHAZY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HAMMOND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HARRISVILLE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HEUVELTON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HOWELL MI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LIMESTONE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MILFORD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NEWTONSVILLE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PINE20 ODESSA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6"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3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Matthew M. Partridge</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3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51" w:type="dxa"/>
        <w:jc w:val="left"/>
        <w:tblInd w:w="0" w:type="dxa"/>
        <w:tblLayout w:type="fixed"/>
        <w:tblCellMar>
          <w:top w:w="0" w:type="dxa"/>
          <w:left w:w="0" w:type="dxa"/>
          <w:bottom w:w="0" w:type="dxa"/>
          <w:right w:w="0" w:type="dxa"/>
        </w:tblCellMar>
      </w:tblPr>
      <w:tblGrid>
        <w:gridCol w:w="124"/>
        <w:gridCol w:w="451"/>
        <w:gridCol w:w="451"/>
        <w:gridCol w:w="560"/>
        <w:gridCol w:w="988"/>
        <w:gridCol w:w="73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78740" cy="175260"/>
                      <wp:effectExtent l="0" t="0" r="0" b="0"/>
                      <wp:wrapNone/>
                      <wp:docPr id="563" name="Frame56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27380" cy="29210"/>
                      <wp:effectExtent l="0" t="0" r="0" b="0"/>
                      <wp:wrapNone/>
                      <wp:docPr id="564" name="Frame564"/>
                      <a:graphic xmlns:a="http://schemas.openxmlformats.org/drawingml/2006/main">
                        <a:graphicData uri="http://schemas.microsoft.com/office/word/2010/wordprocessingShape">
                          <wps:wsp>
                            <wps:cNvSpPr txBox="1"/>
                            <wps:spPr>
                              <a:xfrm>
                                <a:off x="0" y="0"/>
                                <a:ext cx="6273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4684395" cy="175260"/>
                      <wp:effectExtent l="0" t="0" r="0" b="0"/>
                      <wp:wrapNone/>
                      <wp:docPr id="565" name="Frame565"/>
                      <a:graphic xmlns:a="http://schemas.openxmlformats.org/drawingml/2006/main">
                        <a:graphicData uri="http://schemas.microsoft.com/office/word/2010/wordprocessingShape">
                          <wps:wsp>
                            <wps:cNvSpPr txBox="1"/>
                            <wps:spPr>
                              <a:xfrm>
                                <a:off x="0" y="0"/>
                                <a:ext cx="468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CTO16 RENO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CTLC18 LYNN MA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CTO19 BIRMINGHAM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PINE19 ALPHARETTA GA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SALEM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SEVERN LLC, </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SOMERVILLE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PINE20 WILLIS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PINE20 WINTHROP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PINE20 KERMIT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PINE20 TACOMA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PINE20 CUT &amp; SHOOT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PINE20 DEL RIO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PINE20 SEGUIN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PINE21 ACQUISITIONS II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PINE21 ACQUISITIONS III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PINE21 ACQUISITIONS IV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PINE21 ACQUISITIONS V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PINE21 ACQUISITIONS VI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PINE21 ACQUISITIONS VIII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 xml:space="preserve">PINE21 ACQUISITIONS X LLC, </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 MEX OH,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PINE MEX OH 2, LLC</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27"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6"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83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3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Matthew M. Partridge</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37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432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49" w:type="dxa"/>
        <w:jc w:val="left"/>
        <w:tblInd w:w="0" w:type="dxa"/>
        <w:tblLayout w:type="fixed"/>
        <w:tblCellMar>
          <w:top w:w="0" w:type="dxa"/>
          <w:left w:w="0" w:type="dxa"/>
          <w:bottom w:w="0" w:type="dxa"/>
          <w:right w:w="0" w:type="dxa"/>
        </w:tblCellMar>
      </w:tblPr>
      <w:tblGrid>
        <w:gridCol w:w="124"/>
        <w:gridCol w:w="451"/>
        <w:gridCol w:w="451"/>
        <w:gridCol w:w="526"/>
        <w:gridCol w:w="526"/>
        <w:gridCol w:w="930"/>
        <w:gridCol w:w="69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78740" cy="175260"/>
                      <wp:effectExtent l="0" t="0" r="0" b="0"/>
                      <wp:wrapNone/>
                      <wp:docPr id="566" name="Frame56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34010" cy="29210"/>
                      <wp:effectExtent l="0" t="0" r="0" b="0"/>
                      <wp:wrapNone/>
                      <wp:docPr id="567" name="Frame567"/>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7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4998085" cy="175260"/>
                      <wp:effectExtent l="0" t="0" r="0" b="0"/>
                      <wp:wrapNone/>
                      <wp:docPr id="568" name="Frame568"/>
                      <a:graphic xmlns:a="http://schemas.openxmlformats.org/drawingml/2006/main">
                        <a:graphicData uri="http://schemas.microsoft.com/office/word/2010/wordprocessingShape">
                          <wps:wsp>
                            <wps:cNvSpPr txBox="1"/>
                            <wps:spPr>
                              <a:xfrm>
                                <a:off x="0" y="0"/>
                                <a:ext cx="499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5"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9603 WESTHEIMER ROAD,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5"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VII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5"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HOUSTON EAST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5"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HOUSTON WEST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5"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SPORTS LLC,</w:t>
            </w:r>
          </w:p>
        </w:tc>
      </w:tr>
      <w:tr>
        <w:trPr/>
        <w:tc>
          <w:tcPr>
            <w:tcW w:w="124" w:type="dxa"/>
            <w:tcBorders/>
            <w:vAlign w:val="center"/>
          </w:tcPr>
          <w:p>
            <w:pPr>
              <w:pStyle w:val="TableContents"/>
              <w:bidi w:val="0"/>
              <w:spacing w:before="0" w:after="0"/>
              <w:ind w:left="0" w:right="0" w:hanging="0"/>
              <w:jc w:val="left"/>
              <w:rPr>
                <w:smallCaps/>
              </w:rPr>
            </w:pPr>
            <w:r>
              <w:rPr>
                <w:smallCaps/>
              </w:rPr>
              <w:t>​</w:t>
            </w:r>
          </w:p>
        </w:tc>
        <w:tc>
          <w:tcPr>
            <w:tcW w:w="9825"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CAESAR LLC,</w:t>
            </w:r>
          </w:p>
        </w:tc>
      </w:tr>
      <w:tr>
        <w:trPr/>
        <w:tc>
          <w:tcPr>
            <w:tcW w:w="124" w:type="dxa"/>
            <w:tcBorders/>
            <w:vAlign w:val="center"/>
          </w:tcPr>
          <w:p>
            <w:pPr>
              <w:pStyle w:val="TableContents"/>
              <w:bidi w:val="0"/>
              <w:spacing w:before="0" w:after="0"/>
              <w:ind w:left="0" w:right="0" w:hanging="0"/>
              <w:jc w:val="left"/>
              <w:rPr/>
            </w:pPr>
            <w:r>
              <w:rPr/>
              <w:t>​</w:t>
            </w:r>
          </w:p>
        </w:tc>
        <w:tc>
          <w:tcPr>
            <w:tcW w:w="9825"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MAPLE LLC,</w:t>
            </w:r>
          </w:p>
        </w:tc>
      </w:tr>
      <w:tr>
        <w:trPr/>
        <w:tc>
          <w:tcPr>
            <w:tcW w:w="124" w:type="dxa"/>
            <w:tcBorders/>
            <w:vAlign w:val="center"/>
          </w:tcPr>
          <w:p>
            <w:pPr>
              <w:pStyle w:val="TableContents"/>
              <w:bidi w:val="0"/>
              <w:spacing w:before="0" w:after="0"/>
              <w:ind w:left="0" w:right="0" w:hanging="0"/>
              <w:jc w:val="left"/>
              <w:rPr/>
            </w:pPr>
            <w:r>
              <w:rPr/>
              <w:t>​</w:t>
            </w:r>
          </w:p>
        </w:tc>
        <w:tc>
          <w:tcPr>
            <w:tcW w:w="9825" w:type="dxa"/>
            <w:gridSpan w:val="6"/>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WASH MO LLC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4"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9374"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9374"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92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8923"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397"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839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839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871"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9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69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Matthew M. Partridge</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93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694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left"/>
        <w:rPr>
          <w:smallCaps/>
        </w:rPr>
      </w:pPr>
      <w:r>
        <w:rPr>
          <w:smallCaps/>
        </w:rPr>
        <w:t>​</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40" w:after="0"/>
        <w:ind w:left="0" w:right="0" w:hanging="0"/>
        <w:jc w:val="center"/>
        <w:rPr/>
      </w:pPr>
      <w:r>
        <w:rPr/>
        <w:t>​</w:t>
      </w:r>
    </w:p>
    <w:p>
      <w:pPr>
        <w:pStyle w:val="TextBody"/>
        <w:bidi w:val="0"/>
        <w:spacing w:before="24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973" w:type="dxa"/>
        <w:jc w:val="left"/>
        <w:tblInd w:w="0" w:type="dxa"/>
        <w:tblLayout w:type="fixed"/>
        <w:tblCellMar>
          <w:top w:w="0" w:type="dxa"/>
          <w:left w:w="0" w:type="dxa"/>
          <w:bottom w:w="0" w:type="dxa"/>
          <w:right w:w="0" w:type="dxa"/>
        </w:tblCellMar>
      </w:tblPr>
      <w:tblGrid>
        <w:gridCol w:w="124"/>
        <w:gridCol w:w="2051"/>
        <w:gridCol w:w="329"/>
        <w:gridCol w:w="46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78740" cy="175260"/>
                      <wp:effectExtent l="0" t="0" r="0" b="0"/>
                      <wp:wrapNone/>
                      <wp:docPr id="569" name="Frame56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302385" cy="29210"/>
                      <wp:effectExtent l="0" t="0" r="0" b="0"/>
                      <wp:wrapNone/>
                      <wp:docPr id="570" name="Frame570"/>
                      <a:graphic xmlns:a="http://schemas.openxmlformats.org/drawingml/2006/main">
                        <a:graphicData uri="http://schemas.microsoft.com/office/word/2010/wordprocessingShape">
                          <wps:wsp>
                            <wps:cNvSpPr txBox="1"/>
                            <wps:spPr>
                              <a:xfrm>
                                <a:off x="0" y="0"/>
                                <a:ext cx="1302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506730" cy="175260"/>
                      <wp:effectExtent l="0" t="0" r="0" b="0"/>
                      <wp:wrapNone/>
                      <wp:docPr id="571" name="Frame571"/>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849" w:type="dxa"/>
            <w:gridSpan w:val="3"/>
            <w:tcBorders/>
            <w:vAlign w:val="center"/>
          </w:tcPr>
          <w:p>
            <w:pPr>
              <w:pStyle w:val="TableContents"/>
              <w:bidi w:val="0"/>
              <w:spacing w:before="0" w:after="0"/>
              <w:ind w:left="0" w:right="0" w:hanging="0"/>
              <w:jc w:val="left"/>
              <w:rPr>
                <w:smallCaps/>
              </w:rPr>
            </w:pPr>
            <w:r>
              <w:rPr>
                <w:smallCaps/>
              </w:rPr>
              <w:t>“</w:t>
            </w:r>
            <w:r>
              <w:rPr>
                <w:rFonts w:ascii="Times New Roman;Times;serif" w:hAnsi="Times New Roman;Times;serif"/>
                <w:b/>
                <w:i/>
                <w:smallCaps/>
                <w:sz w:val="24"/>
              </w:rPr>
              <w:t>Administrative Agent”</w:t>
            </w:r>
          </w:p>
        </w:tc>
      </w:tr>
      <w:tr>
        <w:trPr/>
        <w:tc>
          <w:tcPr>
            <w:tcW w:w="124" w:type="dxa"/>
            <w:tcBorders/>
            <w:vAlign w:val="center"/>
          </w:tcPr>
          <w:p>
            <w:pPr>
              <w:pStyle w:val="TableContents"/>
              <w:bidi w:val="0"/>
              <w:spacing w:before="0" w:after="0"/>
              <w:ind w:left="0" w:right="0" w:hanging="0"/>
              <w:jc w:val="left"/>
              <w:rPr/>
            </w:pPr>
            <w:r>
              <w:rPr/>
              <w:t>​</w:t>
            </w:r>
          </w:p>
        </w:tc>
        <w:tc>
          <w:tcPr>
            <w:tcW w:w="284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4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TRUIST BANK, N.A.,</w:t>
              <w:br/>
              <w:t>as Administrative Agent</w:t>
            </w:r>
          </w:p>
        </w:tc>
      </w:tr>
      <w:tr>
        <w:trPr/>
        <w:tc>
          <w:tcPr>
            <w:tcW w:w="124" w:type="dxa"/>
            <w:tcBorders/>
            <w:vAlign w:val="center"/>
          </w:tcPr>
          <w:p>
            <w:pPr>
              <w:pStyle w:val="TableContents"/>
              <w:bidi w:val="0"/>
              <w:spacing w:before="0" w:after="0"/>
              <w:ind w:left="0" w:right="0" w:hanging="0"/>
              <w:jc w:val="left"/>
              <w:rPr/>
            </w:pPr>
            <w:r>
              <w:rPr/>
              <w:t>​</w:t>
            </w:r>
          </w:p>
        </w:tc>
        <w:tc>
          <w:tcPr>
            <w:tcW w:w="284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4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798"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98"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pPr>
            <w:r>
              <w:rPr/>
              <w:t>​</w:t>
            </w:r>
          </w:p>
        </w:tc>
        <w:tc>
          <w:tcPr>
            <w:tcW w:w="798"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pPr>
            <w:r>
              <w:rPr/>
              <w:t>​</w:t>
            </w:r>
          </w:p>
        </w:tc>
        <w:tc>
          <w:tcPr>
            <w:tcW w:w="798"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49" w:type="dxa"/>
            <w:gridSpan w:val="3"/>
            <w:tcBorders/>
            <w:vAlign w:val="center"/>
          </w:tcPr>
          <w:p>
            <w:pPr>
              <w:pStyle w:val="TableContents"/>
              <w:bidi w:val="0"/>
              <w:spacing w:before="0" w:after="0"/>
              <w:ind w:left="0" w:right="0" w:hanging="0"/>
              <w:jc w:val="left"/>
              <w:rPr/>
            </w:pPr>
            <w:r>
              <w:rPr>
                <w:smallCaps/>
              </w:rPr>
              <w:t>“</w:t>
            </w:r>
            <w:r>
              <w:rPr>
                <w:rFonts w:ascii="Times New Roman;Times;serif" w:hAnsi="Times New Roman;Times;serif"/>
                <w:b/>
                <w:i/>
                <w:smallCaps/>
                <w:sz w:val="24"/>
              </w:rPr>
              <w:t>Lenders</w:t>
            </w:r>
            <w:r>
              <w:rPr>
                <w:rFonts w:ascii="Times New Roman;Times;serif" w:hAnsi="Times New Roman;Times;serif"/>
                <w:smallCaps/>
                <w:sz w:val="24"/>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pPr>
            <w:r>
              <w:rPr/>
              <w:t>​</w:t>
            </w:r>
          </w:p>
        </w:tc>
        <w:tc>
          <w:tcPr>
            <w:tcW w:w="798"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4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TRUIST BANK, N.A.,</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pPr>
            <w:r>
              <w:rPr/>
              <w:t>​</w:t>
            </w:r>
          </w:p>
        </w:tc>
        <w:tc>
          <w:tcPr>
            <w:tcW w:w="798"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pPr>
            <w:r>
              <w:rPr/>
              <w:t>​</w:t>
            </w:r>
          </w:p>
        </w:tc>
        <w:tc>
          <w:tcPr>
            <w:tcW w:w="798"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9" w:type="dxa"/>
            <w:tcBorders>
              <w:bottom w:val="double" w:sz="6" w:space="0" w:color="FF0000"/>
            </w:tcBorders>
            <w:tcMar>
              <w:bottom w:w="28" w:type="dxa"/>
            </w:tcMar>
            <w:vAlign w:val="center"/>
          </w:tcPr>
          <w:p>
            <w:pPr>
              <w:pStyle w:val="TableContents"/>
              <w:bidi w:val="0"/>
              <w:spacing w:before="0" w:after="0"/>
              <w:ind w:left="0" w:right="0" w:hanging="0"/>
              <w:jc w:val="left"/>
              <w:rPr/>
            </w:pPr>
            <w:r>
              <w:rPr/>
              <w:t>​</w:t>
            </w:r>
          </w:p>
        </w:tc>
        <w:tc>
          <w:tcPr>
            <w:tcW w:w="469" w:type="dxa"/>
            <w:tcBorders>
              <w:bottom w:val="single" w:sz="12" w:space="0" w:color="0000FF"/>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798" w:type="dxa"/>
            <w:gridSpan w:val="2"/>
            <w:tcBorders>
              <w:top w:val="single" w:sz="12" w:space="0" w:color="0000FF"/>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98"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280" w:after="0"/>
        <w:ind w:left="43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799" w:type="dxa"/>
        <w:jc w:val="left"/>
        <w:tblInd w:w="0" w:type="dxa"/>
        <w:tblLayout w:type="fixed"/>
        <w:tblCellMar>
          <w:top w:w="0" w:type="dxa"/>
          <w:left w:w="0" w:type="dxa"/>
          <w:bottom w:w="0" w:type="dxa"/>
          <w:right w:w="0" w:type="dxa"/>
        </w:tblCellMar>
      </w:tblPr>
      <w:tblGrid>
        <w:gridCol w:w="124"/>
        <w:gridCol w:w="2992"/>
        <w:gridCol w:w="683"/>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78740" cy="175260"/>
                      <wp:effectExtent l="0" t="0" r="0" b="0"/>
                      <wp:wrapNone/>
                      <wp:docPr id="572" name="Frame57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899920" cy="29210"/>
                      <wp:effectExtent l="0" t="0" r="0" b="0"/>
                      <wp:wrapNone/>
                      <wp:docPr id="573" name="Frame573"/>
                      <a:graphic xmlns:a="http://schemas.openxmlformats.org/drawingml/2006/main">
                        <a:graphicData uri="http://schemas.microsoft.com/office/word/2010/wordprocessingShape">
                          <wps:wsp>
                            <wps:cNvSpPr txBox="1"/>
                            <wps:spPr>
                              <a:xfrm>
                                <a:off x="0" y="0"/>
                                <a:ext cx="1899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433705" cy="175260"/>
                      <wp:effectExtent l="0" t="0" r="0" b="0"/>
                      <wp:wrapNone/>
                      <wp:docPr id="574" name="Frame574"/>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RAYMOND JAMES BANK, N.A.,</w:t>
              <w:br/>
              <w:t>as a Lender</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9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683" w:type="dxa"/>
            <w:tcBorders>
              <w:bottom w:val="single" w:sz="12" w:space="0" w:color="0000FF"/>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9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683" w:type="dxa"/>
            <w:tcBorders>
              <w:top w:val="single" w:sz="12" w:space="0" w:color="0000FF"/>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9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68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bidi w:val="0"/>
        <w:spacing w:before="280" w:after="0"/>
        <w:ind w:left="43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974" w:type="dxa"/>
        <w:jc w:val="left"/>
        <w:tblInd w:w="0" w:type="dxa"/>
        <w:tblLayout w:type="fixed"/>
        <w:tblCellMar>
          <w:top w:w="0" w:type="dxa"/>
          <w:left w:w="0" w:type="dxa"/>
          <w:bottom w:w="0" w:type="dxa"/>
          <w:right w:w="0" w:type="dxa"/>
        </w:tblCellMar>
      </w:tblPr>
      <w:tblGrid>
        <w:gridCol w:w="124"/>
        <w:gridCol w:w="2320"/>
        <w:gridCol w:w="53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78740" cy="175260"/>
                      <wp:effectExtent l="0" t="0" r="0" b="0"/>
                      <wp:wrapNone/>
                      <wp:docPr id="575" name="Frame57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473200" cy="29210"/>
                      <wp:effectExtent l="0" t="0" r="0" b="0"/>
                      <wp:wrapNone/>
                      <wp:docPr id="576" name="Frame576"/>
                      <a:graphic xmlns:a="http://schemas.openxmlformats.org/drawingml/2006/main">
                        <a:graphicData uri="http://schemas.microsoft.com/office/word/2010/wordprocessingShape">
                          <wps:wsp>
                            <wps:cNvSpPr txBox="1"/>
                            <wps:spPr>
                              <a:xfrm>
                                <a:off x="0" y="0"/>
                                <a:ext cx="14732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336550" cy="175260"/>
                      <wp:effectExtent l="0" t="0" r="0" b="0"/>
                      <wp:wrapNone/>
                      <wp:docPr id="577" name="Frame577"/>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8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STIFEL BANK &amp; TRUST,</w:t>
              <w:br/>
              <w:t>as a Lender</w:t>
            </w:r>
          </w:p>
        </w:tc>
      </w:tr>
      <w:tr>
        <w:trPr/>
        <w:tc>
          <w:tcPr>
            <w:tcW w:w="124" w:type="dxa"/>
            <w:tcBorders/>
            <w:vAlign w:val="center"/>
          </w:tcPr>
          <w:p>
            <w:pPr>
              <w:pStyle w:val="TableContents"/>
              <w:bidi w:val="0"/>
              <w:spacing w:before="0" w:after="0"/>
              <w:ind w:left="0" w:right="0" w:hanging="0"/>
              <w:jc w:val="left"/>
              <w:rPr/>
            </w:pPr>
            <w:r>
              <w:rPr/>
              <w:t>​</w:t>
            </w:r>
          </w:p>
        </w:tc>
        <w:tc>
          <w:tcPr>
            <w:tcW w:w="28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2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530" w:type="dxa"/>
            <w:tcBorders>
              <w:bottom w:val="single" w:sz="12" w:space="0" w:color="0000FF"/>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2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30" w:type="dxa"/>
            <w:tcBorders>
              <w:top w:val="single" w:sz="12" w:space="0" w:color="0000FF"/>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2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839" w:type="dxa"/>
        <w:jc w:val="left"/>
        <w:tblInd w:w="0" w:type="dxa"/>
        <w:tblLayout w:type="fixed"/>
        <w:tblCellMar>
          <w:top w:w="0" w:type="dxa"/>
          <w:left w:w="0" w:type="dxa"/>
          <w:bottom w:w="0" w:type="dxa"/>
          <w:right w:w="0" w:type="dxa"/>
        </w:tblCellMar>
      </w:tblPr>
      <w:tblGrid>
        <w:gridCol w:w="124"/>
        <w:gridCol w:w="2210"/>
        <w:gridCol w:w="50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78740" cy="175260"/>
                      <wp:effectExtent l="0" t="0" r="0" b="0"/>
                      <wp:wrapNone/>
                      <wp:docPr id="578" name="Frame57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403350" cy="29210"/>
                      <wp:effectExtent l="0" t="0" r="0" b="0"/>
                      <wp:wrapNone/>
                      <wp:docPr id="579" name="Frame579"/>
                      <a:graphic xmlns:a="http://schemas.openxmlformats.org/drawingml/2006/main">
                        <a:graphicData uri="http://schemas.microsoft.com/office/word/2010/wordprocessingShape">
                          <wps:wsp>
                            <wps:cNvSpPr txBox="1"/>
                            <wps:spPr>
                              <a:xfrm>
                                <a:off x="0" y="0"/>
                                <a:ext cx="14033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320675" cy="175260"/>
                      <wp:effectExtent l="0" t="0" r="0" b="0"/>
                      <wp:wrapNone/>
                      <wp:docPr id="580" name="Frame580"/>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7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BANK OF MONTREAL,</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a Lender</w:t>
            </w:r>
          </w:p>
        </w:tc>
      </w:tr>
      <w:tr>
        <w:trPr/>
        <w:tc>
          <w:tcPr>
            <w:tcW w:w="124" w:type="dxa"/>
            <w:tcBorders/>
            <w:vAlign w:val="center"/>
          </w:tcPr>
          <w:p>
            <w:pPr>
              <w:pStyle w:val="TableContents"/>
              <w:bidi w:val="0"/>
              <w:spacing w:before="0" w:after="0"/>
              <w:ind w:left="0" w:right="0" w:hanging="0"/>
              <w:jc w:val="left"/>
              <w:rPr/>
            </w:pPr>
            <w:r>
              <w:rPr/>
              <w:t>​</w:t>
            </w:r>
          </w:p>
        </w:tc>
        <w:tc>
          <w:tcPr>
            <w:tcW w:w="27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505" w:type="dxa"/>
            <w:tcBorders>
              <w:bottom w:val="single" w:sz="12" w:space="0" w:color="0000FF"/>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05" w:type="dxa"/>
            <w:tcBorders>
              <w:top w:val="single" w:sz="12" w:space="0" w:color="0000FF"/>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0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pBdr/>
        <w:bidi w:val="0"/>
        <w:spacing w:before="0" w:after="0"/>
        <w:ind w:left="4302" w:right="0" w:hanging="18"/>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w:t>
      </w:r>
    </w:p>
    <w:p>
      <w:pPr>
        <w:pStyle w:val="TextBody"/>
        <w:bidi w:val="0"/>
        <w:spacing w:before="20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Borrowing</w:t>
      </w:r>
    </w:p>
    <w:p>
      <w:pPr>
        <w:pStyle w:val="TextBody"/>
        <w:bidi w:val="0"/>
        <w:spacing w:before="0" w:after="240"/>
        <w:ind w:left="620" w:right="0" w:hanging="0"/>
        <w:jc w:val="both"/>
        <w:rPr>
          <w:rFonts w:ascii="Times New Roman;Times;serif" w:hAnsi="Times New Roman;Times;serif"/>
          <w:sz w:val="24"/>
        </w:rPr>
      </w:pPr>
      <w:r>
        <w:rPr>
          <w:rFonts w:ascii="Times New Roman;Times;serif" w:hAnsi="Times New Roman;Times;serif"/>
          <w:sz w:val="24"/>
          <w:shd w:fill="FFFFFF" w:val="clear"/>
        </w:rPr>
        <w:tab/>
      </w:r>
      <w:r>
        <w:rPr>
          <w:rFonts w:ascii="Times" w:hAnsi="Times"/>
          <w:b w:val="false"/>
          <w:i w:val="false"/>
          <w:caps w:val="false"/>
          <w:smallCaps w:val="false"/>
          <w:sz w:val="24"/>
          <w:shd w:fill="FFFFFF" w:val="clear"/>
        </w:rPr>
        <w:t>Date:</w:t>
      </w:r>
      <w:r>
        <w:rPr>
          <w:rFonts w:ascii="Times" w:hAnsi="Times"/>
          <w:b w:val="false"/>
          <w:i w:val="false"/>
          <w:caps w:val="false"/>
          <w:smallCaps w:val="false"/>
          <w:sz w:val="24"/>
          <w:shd w:fill="FFFFFF" w:val="clear"/>
        </w:rPr>
        <w:t>, ____</w:t>
      </w:r>
      <w:r>
        <mc:AlternateContent>
          <mc:Choice Requires="wps">
            <w:drawing>
              <wp:anchor behindDoc="0" distT="0" distB="0" distL="0" distR="0" simplePos="0" locked="0" layoutInCell="1" allowOverlap="1" relativeHeight="582">
                <wp:simplePos x="0" y="0"/>
                <wp:positionH relativeFrom="page">
                  <wp:posOffset>0</wp:posOffset>
                </wp:positionH>
                <wp:positionV relativeFrom="line">
                  <wp:posOffset>635</wp:posOffset>
                </wp:positionV>
                <wp:extent cx="6480175" cy="175895"/>
                <wp:effectExtent l="0" t="0" r="0" b="0"/>
                <wp:wrapNone/>
                <wp:docPr id="581" name="Frame5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240" w:after="240"/>
              <w:jc w:val="both"/>
              <w:rPr>
                <w:rFonts w:ascii="Times" w:hAnsi="Times"/>
                <w:sz w:val="24"/>
              </w:rPr>
            </w:pPr>
            <w:r>
              <w:rPr>
                <w:rFonts w:ascii="Times" w:hAnsi="Times"/>
                <w:sz w:val="24"/>
              </w:rPr>
              <w:t>To:</w:t>
            </w:r>
          </w:p>
        </w:tc>
        <w:tc>
          <w:tcPr>
            <w:tcW w:w="9902" w:type="dxa"/>
            <w:tcBorders/>
            <w:vAlign w:val="center"/>
          </w:tcPr>
          <w:p>
            <w:pPr>
              <w:pStyle w:val="TableContents"/>
              <w:bidi w:val="0"/>
              <w:spacing w:before="240" w:after="240"/>
              <w:jc w:val="both"/>
              <w:rPr>
                <w:rFonts w:ascii="Times New Roman;Times;serif" w:hAnsi="Times New Roman;Times;serif"/>
                <w:sz w:val="24"/>
              </w:rPr>
            </w:pPr>
            <w:r>
              <w:rPr>
                <w:rFonts w:ascii="Times" w:hAnsi="Times"/>
                <w:sz w:val="24"/>
              </w:rPr>
              <w:t xml:space="preserve">Truist Bank, N.A., as Administrative Agent for the Lenders from time to time parties to the Credit Agreement dated as of May 21, 2021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xml:space="preserve">), among </w:t>
            </w:r>
            <w:r>
              <w:rPr>
                <w:rFonts w:ascii="Times" w:hAnsi="Times"/>
                <w:smallCaps/>
                <w:sz w:val="24"/>
              </w:rPr>
              <w:t>Alpine Income Property OP, LP</w:t>
            </w:r>
            <w:r>
              <w:rPr>
                <w:rFonts w:ascii="Times" w:hAnsi="Times"/>
                <w:sz w:val="24"/>
              </w:rPr>
              <w:t>, certain Guarantors which are signatories thereto, certain Lenders which are from time to time parties thereto, and Truist Bank, N.A., as Administrative Agent</w:t>
            </w:r>
          </w:p>
        </w:tc>
      </w:tr>
    </w:tbl>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240" w:after="240"/>
        <w:ind w:left="0" w:right="0" w:firstLine="720"/>
        <w:jc w:val="both"/>
        <w:rPr>
          <w:rFonts w:ascii="Times New Roman;Times;serif" w:hAnsi="Times New Roman;Times;serif"/>
          <w:sz w:val="24"/>
        </w:rPr>
      </w:pPr>
      <w:r>
        <w:rPr>
          <w:rFonts w:ascii="Times" w:hAnsi="Times"/>
          <w:sz w:val="24"/>
        </w:rPr>
        <w:t xml:space="preserve">The undersigned, Alpine Income Property OP, LP (the </w:t>
      </w:r>
      <w:r>
        <w:rPr>
          <w:rFonts w:ascii="Times New Roman;Times;serif" w:hAnsi="Times New Roman;Times;serif"/>
          <w:sz w:val="24"/>
        </w:rPr>
        <w:t>“</w:t>
      </w:r>
      <w:r>
        <w:rPr>
          <w:rFonts w:ascii="Times" w:hAnsi="Times"/>
          <w:i/>
          <w:sz w:val="24"/>
        </w:rPr>
        <w:t>Borrower”</w:t>
      </w:r>
      <w:r>
        <w:rPr>
          <w:rFonts w:ascii="Times" w:hAnsi="Times"/>
          <w:sz w:val="24"/>
        </w:rPr>
        <w:t>), refers to the Credit Agreement, the terms defined therein being used herein as therein defined, and hereby gives you notice irrevocably, pursuant to Section 1.6 of the Credit Agreement, of the Borrowing specified below:</w:t>
      </w:r>
    </w:p>
    <w:p>
      <w:pPr>
        <w:pStyle w:val="TextBody"/>
        <w:bidi w:val="0"/>
        <w:spacing w:before="200" w:after="240"/>
        <w:ind w:left="1656" w:right="0" w:hanging="0"/>
        <w:jc w:val="left"/>
        <w:rPr>
          <w:rFonts w:ascii="Times New Roman;Times;serif" w:hAnsi="Times New Roman;Times;serif"/>
          <w:sz w:val="24"/>
        </w:rPr>
      </w:pPr>
      <w:r>
        <w:rPr>
          <w:rFonts w:ascii="Times" w:hAnsi="Times"/>
          <w:b w:val="false"/>
          <w:i w:val="false"/>
          <w:caps w:val="false"/>
          <w:smallCaps w:val="false"/>
          <w:sz w:val="24"/>
        </w:rPr>
        <w:t>1.</w:t>
      </w:r>
      <w:r>
        <w:rPr>
          <w:rFonts w:ascii="Times" w:hAnsi="Times"/>
          <w:sz w:val="24"/>
        </w:rPr>
        <w:t>The Business Day of the proposed Borrowing is ___________, ____.</w:t>
      </w:r>
    </w:p>
    <w:p>
      <w:pPr>
        <w:pStyle w:val="TextBody"/>
        <w:bidi w:val="0"/>
        <w:spacing w:before="240" w:after="240"/>
        <w:ind w:left="1656" w:right="0" w:hanging="0"/>
        <w:jc w:val="left"/>
        <w:rPr>
          <w:rFonts w:ascii="Times New Roman;Times;serif" w:hAnsi="Times New Roman;Times;serif"/>
          <w:sz w:val="24"/>
        </w:rPr>
      </w:pPr>
      <w:r>
        <w:rPr>
          <w:rFonts w:ascii="Times" w:hAnsi="Times"/>
          <w:b w:val="false"/>
          <w:i w:val="false"/>
          <w:caps w:val="false"/>
          <w:smallCaps w:val="false"/>
          <w:sz w:val="24"/>
        </w:rPr>
        <w:t>2.</w:t>
      </w:r>
      <w:r>
        <w:rPr>
          <w:rFonts w:ascii="Times" w:hAnsi="Times"/>
          <w:sz w:val="24"/>
        </w:rPr>
        <w:t>The aggregate amount of the proposed Borrowing is $______________.</w:t>
      </w:r>
    </w:p>
    <w:p>
      <w:pPr>
        <w:pStyle w:val="TextBody"/>
        <w:bidi w:val="0"/>
        <w:spacing w:before="240" w:after="240"/>
        <w:ind w:left="1656" w:right="0" w:hanging="0"/>
        <w:jc w:val="left"/>
        <w:rPr>
          <w:rFonts w:ascii="Times New Roman;Times;serif" w:hAnsi="Times New Roman;Times;serif"/>
          <w:sz w:val="24"/>
        </w:rPr>
      </w:pPr>
      <w:r>
        <w:rPr>
          <w:rFonts w:ascii="Times" w:hAnsi="Times"/>
          <w:b w:val="false"/>
          <w:i w:val="false"/>
          <w:caps w:val="false"/>
          <w:smallCaps w:val="false"/>
          <w:sz w:val="24"/>
        </w:rPr>
        <w:t>3.</w:t>
      </w:r>
      <w:r>
        <w:rPr>
          <w:rFonts w:ascii="Times" w:hAnsi="Times"/>
          <w:sz w:val="24"/>
        </w:rPr>
        <w:t>The Borrowing is being advanced as a Term Loan.</w:t>
      </w:r>
    </w:p>
    <w:p>
      <w:pPr>
        <w:pStyle w:val="TextBody"/>
        <w:bidi w:val="0"/>
        <w:spacing w:before="240" w:after="240"/>
        <w:ind w:left="1656" w:right="0" w:hanging="0"/>
        <w:jc w:val="left"/>
        <w:rPr>
          <w:rFonts w:ascii="Times New Roman;Times;serif" w:hAnsi="Times New Roman;Times;serif"/>
          <w:sz w:val="24"/>
        </w:rPr>
      </w:pPr>
      <w:r>
        <w:rPr>
          <w:rFonts w:ascii="Times" w:hAnsi="Times"/>
          <w:b w:val="false"/>
          <w:i w:val="false"/>
          <w:caps w:val="false"/>
          <w:smallCaps w:val="false"/>
          <w:sz w:val="24"/>
        </w:rPr>
        <w:t>4.</w:t>
      </w:r>
      <w:r>
        <w:rPr>
          <w:rFonts w:ascii="Times" w:hAnsi="Times"/>
          <w:sz w:val="24"/>
        </w:rPr>
        <w:t xml:space="preserve">The Borrowing is to be comprised of $___________ of </w:t>
      </w:r>
      <w:r>
        <w:rPr>
          <w:rFonts w:ascii="Times" w:hAnsi="Times"/>
          <w:b/>
          <w:sz w:val="24"/>
        </w:rPr>
        <w:t>[Base Rate] [Daily Simple SOFR] [Term SOFR]</w:t>
      </w:r>
      <w:r>
        <w:rPr>
          <w:rFonts w:ascii="Times New Roman;Times;serif" w:hAnsi="Times New Roman;Times;serif"/>
          <w:sz w:val="24"/>
        </w:rPr>
        <w:t xml:space="preserve"> </w:t>
      </w:r>
      <w:r>
        <w:rPr>
          <w:rFonts w:ascii="Times" w:hAnsi="Times"/>
          <w:sz w:val="24"/>
        </w:rPr>
        <w:t>Loans.</w:t>
      </w:r>
    </w:p>
    <w:p>
      <w:pPr>
        <w:pStyle w:val="TextBody"/>
        <w:bidi w:val="0"/>
        <w:spacing w:before="240" w:after="240"/>
        <w:ind w:left="1656" w:right="0" w:hanging="0"/>
        <w:jc w:val="left"/>
        <w:rPr>
          <w:rFonts w:ascii="Times New Roman;Times;serif" w:hAnsi="Times New Roman;Times;serif"/>
          <w:sz w:val="24"/>
        </w:rPr>
      </w:pPr>
      <w:r>
        <w:rPr>
          <w:rFonts w:ascii="Times" w:hAnsi="Times"/>
          <w:b/>
          <w:i w:val="false"/>
          <w:caps w:val="false"/>
          <w:smallCaps w:val="false"/>
          <w:sz w:val="24"/>
        </w:rPr>
        <w:t>[5.</w:t>
      </w:r>
      <w:r>
        <w:rPr>
          <w:rFonts w:ascii="Times" w:hAnsi="Times"/>
          <w:b/>
          <w:sz w:val="24"/>
        </w:rPr>
        <w:t>The duration of the Interest Period for the Term SOFR Loans included in the Borrowing shall be ____________ months.]</w:t>
      </w:r>
    </w:p>
    <w:p>
      <w:pPr>
        <w:pStyle w:val="TextBody"/>
        <w:bidi w:val="0"/>
        <w:spacing w:before="240" w:after="240"/>
        <w:ind w:left="0" w:right="0" w:firstLine="720"/>
        <w:jc w:val="both"/>
        <w:rPr>
          <w:rFonts w:ascii="Times" w:hAnsi="Times"/>
          <w:sz w:val="24"/>
        </w:rPr>
      </w:pPr>
      <w:r>
        <w:rPr>
          <w:rFonts w:ascii="Times" w:hAnsi="Times"/>
          <w:sz w:val="24"/>
        </w:rPr>
        <w:t>The undersigned hereby certifies that the following statements are true on the date hereof, and will be true on the date of the proposed Borrowing, before and after giving effect thereto and to the application of the proceeds therefrom:</w:t>
      </w:r>
    </w:p>
    <w:p>
      <w:pPr>
        <w:pStyle w:val="TextBody"/>
        <w:bidi w:val="0"/>
        <w:spacing w:before="240" w:after="240"/>
        <w:ind w:left="720" w:right="0" w:hanging="0"/>
        <w:jc w:val="both"/>
        <w:rPr>
          <w:rFonts w:ascii="Times" w:hAnsi="Times"/>
          <w:sz w:val="24"/>
        </w:rPr>
      </w:pPr>
      <w:r>
        <w:rPr>
          <w:rFonts w:ascii="Times" w:hAnsi="Times"/>
          <w:sz w:val="24"/>
        </w:rPr>
        <w:t>(a)the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pStyle w:val="TextBody"/>
        <w:bidi w:val="0"/>
        <w:spacing w:before="240" w:after="240"/>
        <w:ind w:left="720" w:right="0" w:hanging="0"/>
        <w:jc w:val="both"/>
        <w:rPr>
          <w:rFonts w:ascii="Times" w:hAnsi="Times"/>
          <w:sz w:val="24"/>
        </w:rPr>
      </w:pPr>
      <w:r>
        <w:rPr>
          <w:rFonts w:ascii="Times" w:hAnsi="Times"/>
          <w:sz w:val="24"/>
        </w:rPr>
        <w:t>(b)no Default or Event of Default has occurred and is continuing or would result from such proposed Borrowing.</w:t>
      </w:r>
    </w:p>
    <w:tbl>
      <w:tblPr>
        <w:tblW w:w="3694" w:type="dxa"/>
        <w:jc w:val="left"/>
        <w:tblInd w:w="0" w:type="dxa"/>
        <w:tblLayout w:type="fixed"/>
        <w:tblCellMar>
          <w:top w:w="0" w:type="dxa"/>
          <w:left w:w="0" w:type="dxa"/>
          <w:bottom w:w="0" w:type="dxa"/>
          <w:right w:w="0" w:type="dxa"/>
        </w:tblCellMar>
      </w:tblPr>
      <w:tblGrid>
        <w:gridCol w:w="124"/>
        <w:gridCol w:w="2360"/>
        <w:gridCol w:w="137"/>
        <w:gridCol w:w="137"/>
        <w:gridCol w:w="9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78740" cy="175260"/>
                      <wp:effectExtent l="0" t="0" r="0" b="0"/>
                      <wp:wrapNone/>
                      <wp:docPr id="582" name="Frame58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585595" cy="29210"/>
                      <wp:effectExtent l="0" t="0" r="0" b="0"/>
                      <wp:wrapNone/>
                      <wp:docPr id="583" name="Frame583"/>
                      <a:graphic xmlns:a="http://schemas.openxmlformats.org/drawingml/2006/main">
                        <a:graphicData uri="http://schemas.microsoft.com/office/word/2010/wordprocessingShape">
                          <wps:wsp>
                            <wps:cNvSpPr txBox="1"/>
                            <wps:spPr>
                              <a:xfrm>
                                <a:off x="0" y="0"/>
                                <a:ext cx="15855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7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81355" cy="175260"/>
                      <wp:effectExtent l="0" t="0" r="0" b="0"/>
                      <wp:wrapNone/>
                      <wp:docPr id="584" name="Frame584"/>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4"/>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210"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3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3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pBdr/>
        <w:bidi w:val="0"/>
        <w:spacing w:before="0" w:after="0"/>
        <w:ind w:left="4680" w:right="0" w:hanging="230"/>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B-1]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w:t>
      </w:r>
    </w:p>
    <w:p>
      <w:pPr>
        <w:pStyle w:val="TextBody"/>
        <w:bidi w:val="0"/>
        <w:spacing w:before="24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Continuation/Conversion</w:t>
      </w:r>
    </w:p>
    <w:p>
      <w:pPr>
        <w:pStyle w:val="TextBody"/>
        <w:bidi w:val="0"/>
        <w:spacing w:before="240" w:after="0"/>
        <w:ind w:left="0" w:right="0" w:hanging="0"/>
        <w:jc w:val="right"/>
        <w:rPr>
          <w:rFonts w:ascii="Times New Roman;Times;serif" w:hAnsi="Times New Roman;Times;serif"/>
          <w:sz w:val="24"/>
        </w:rPr>
      </w:pPr>
      <w:r>
        <w:rPr>
          <w:rFonts w:ascii="Times New Roman;Times;serif" w:hAnsi="Times New Roman;Times;serif"/>
          <w:sz w:val="24"/>
        </w:rPr>
        <w:t>Date: ____________, ____</w:t>
      </w:r>
    </w:p>
    <w:p>
      <w:pPr>
        <w:pStyle w:val="TextBody"/>
        <w:pBdr/>
        <w:bidi w:val="0"/>
        <w:spacing w:before="2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To:</w:t>
      </w:r>
      <w:r>
        <w:rPr>
          <w:rFonts w:ascii="Times New Roman;Times;serif" w:hAnsi="Times New Roman;Times;serif"/>
          <w:sz w:val="24"/>
        </w:rPr>
        <w:t>Truist Bank, N.A., as Administrative Agent for the Lenders from time to time parties to the Credit Agreement dated as of May 21, 2021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among Alpine Income Property OP, LP, certain Guarantors which are from time to time signatories thereto, certain Lenders which are from time to time parties thereto, and Truist Bank, N.A., as Administrative Agent</w:t>
      </w:r>
    </w:p>
    <w:p>
      <w:pPr>
        <w:pStyle w:val="TextBody"/>
        <w:bidi w:val="0"/>
        <w:spacing w:before="200" w:after="240"/>
        <w:ind w:left="0" w:right="0" w:hanging="0"/>
        <w:jc w:val="both"/>
        <w:rPr>
          <w:rFonts w:ascii="Times" w:hAnsi="Times"/>
          <w:sz w:val="24"/>
        </w:rPr>
      </w:pPr>
      <w:r>
        <w:rPr>
          <w:rFonts w:ascii="Times" w:hAnsi="Times"/>
          <w:sz w:val="24"/>
        </w:rPr>
        <w:t>Ladies and Gentlemen:</w:t>
      </w:r>
    </w:p>
    <w:p>
      <w:pPr>
        <w:pStyle w:val="TextBody"/>
        <w:bidi w:val="0"/>
        <w:spacing w:before="200" w:after="240"/>
        <w:ind w:left="0" w:right="0" w:firstLine="720"/>
        <w:jc w:val="both"/>
        <w:rPr>
          <w:rFonts w:ascii="Times New Roman;Times;serif" w:hAnsi="Times New Roman;Times;serif"/>
          <w:sz w:val="24"/>
        </w:rPr>
      </w:pPr>
      <w:r>
        <w:rPr>
          <w:rFonts w:ascii="Times" w:hAnsi="Times"/>
          <w:sz w:val="24"/>
        </w:rPr>
        <w:t xml:space="preserve">The undersigned, Alpine Income Property OP, LP (the </w:t>
      </w:r>
      <w:r>
        <w:rPr>
          <w:rFonts w:ascii="Times New Roman;Times;serif" w:hAnsi="Times New Roman;Times;serif"/>
          <w:sz w:val="24"/>
        </w:rPr>
        <w:t>“</w:t>
      </w:r>
      <w:r>
        <w:rPr>
          <w:rFonts w:ascii="Times" w:hAnsi="Times"/>
          <w:i/>
          <w:sz w:val="24"/>
        </w:rPr>
        <w:t>Borrower”</w:t>
      </w:r>
      <w:r>
        <w:rPr>
          <w:rFonts w:ascii="Times" w:hAnsi="Times"/>
          <w:sz w:val="24"/>
        </w:rPr>
        <w:t xml:space="preserve">), refers to the Credit Agreement, the terms defined therein being used herein as therein defined, and hereby gives you notice irrevocably, pursuant to Section 1.6 of the Credit Agreement, of the </w:t>
      </w:r>
      <w:r>
        <w:rPr>
          <w:rFonts w:ascii="Times" w:hAnsi="Times"/>
          <w:b/>
          <w:sz w:val="24"/>
        </w:rPr>
        <w:t>[conversion] [continuation]</w:t>
      </w:r>
      <w:r>
        <w:rPr>
          <w:rFonts w:ascii="Times New Roman;Times;serif" w:hAnsi="Times New Roman;Times;serif"/>
          <w:sz w:val="24"/>
        </w:rPr>
        <w:t xml:space="preserve"> </w:t>
      </w:r>
      <w:r>
        <w:rPr>
          <w:rFonts w:ascii="Times" w:hAnsi="Times"/>
          <w:sz w:val="24"/>
        </w:rPr>
        <w:t>of the Loans specified herein, that:</w:t>
      </w:r>
    </w:p>
    <w:p>
      <w:pPr>
        <w:pStyle w:val="TextBody"/>
        <w:bidi w:val="0"/>
        <w:spacing w:before="220" w:after="240"/>
        <w:ind w:left="1656" w:right="0" w:hanging="0"/>
        <w:jc w:val="left"/>
        <w:rPr>
          <w:rFonts w:ascii="Times New Roman;Times;serif" w:hAnsi="Times New Roman;Times;serif"/>
          <w:sz w:val="24"/>
        </w:rPr>
      </w:pPr>
      <w:r>
        <w:rPr>
          <w:rFonts w:ascii="Times" w:hAnsi="Times"/>
          <w:b w:val="false"/>
          <w:i w:val="false"/>
          <w:caps w:val="false"/>
          <w:smallCaps w:val="false"/>
          <w:sz w:val="24"/>
        </w:rPr>
        <w:t>1.</w:t>
      </w:r>
      <w:r>
        <w:rPr>
          <w:rFonts w:ascii="Times" w:hAnsi="Times"/>
          <w:sz w:val="24"/>
        </w:rPr>
        <w:t>The conversion/continuation Date is __________, ____.</w:t>
      </w:r>
    </w:p>
    <w:p>
      <w:pPr>
        <w:pStyle w:val="TextBody"/>
        <w:bidi w:val="0"/>
        <w:spacing w:before="220" w:after="240"/>
        <w:ind w:left="1656" w:right="0" w:hanging="0"/>
        <w:jc w:val="left"/>
        <w:rPr>
          <w:rFonts w:ascii="Times New Roman;Times;serif" w:hAnsi="Times New Roman;Times;serif"/>
          <w:sz w:val="24"/>
        </w:rPr>
      </w:pPr>
      <w:r>
        <w:rPr>
          <w:rFonts w:ascii="Times" w:hAnsi="Times"/>
          <w:b w:val="false"/>
          <w:i w:val="false"/>
          <w:caps w:val="false"/>
          <w:smallCaps w:val="false"/>
          <w:sz w:val="24"/>
        </w:rPr>
        <w:t>2.</w:t>
      </w:r>
      <w:r>
        <w:rPr>
          <w:rFonts w:ascii="Times" w:hAnsi="Times"/>
          <w:sz w:val="24"/>
        </w:rPr>
        <w:t xml:space="preserve">The aggregate amount of the Term Loans to be </w:t>
      </w:r>
      <w:r>
        <w:rPr>
          <w:rFonts w:ascii="Times" w:hAnsi="Times"/>
          <w:b/>
          <w:sz w:val="24"/>
        </w:rPr>
        <w:t>[converted] [continued]</w:t>
      </w:r>
      <w:r>
        <w:rPr>
          <w:rFonts w:ascii="Times New Roman;Times;serif" w:hAnsi="Times New Roman;Times;serif"/>
          <w:sz w:val="24"/>
        </w:rPr>
        <w:t xml:space="preserve"> </w:t>
      </w:r>
      <w:r>
        <w:rPr>
          <w:rFonts w:ascii="Times" w:hAnsi="Times"/>
          <w:sz w:val="24"/>
        </w:rPr>
        <w:t>is $______________.</w:t>
      </w:r>
    </w:p>
    <w:p>
      <w:pPr>
        <w:pStyle w:val="TextBody"/>
        <w:bidi w:val="0"/>
        <w:spacing w:before="220" w:after="240"/>
        <w:ind w:left="1656" w:right="0" w:hanging="0"/>
        <w:jc w:val="left"/>
        <w:rPr>
          <w:rFonts w:ascii="Times New Roman;Times;serif" w:hAnsi="Times New Roman;Times;serif"/>
          <w:sz w:val="24"/>
        </w:rPr>
      </w:pPr>
      <w:r>
        <w:rPr>
          <w:rFonts w:ascii="Times" w:hAnsi="Times"/>
          <w:b w:val="false"/>
          <w:i w:val="false"/>
          <w:caps w:val="false"/>
          <w:smallCaps w:val="false"/>
          <w:sz w:val="24"/>
        </w:rPr>
        <w:t>3.</w:t>
      </w:r>
      <w:r>
        <w:rPr>
          <w:rFonts w:ascii="Times" w:hAnsi="Times"/>
          <w:sz w:val="24"/>
        </w:rPr>
        <w:t xml:space="preserve">The Term Loans are to be </w:t>
      </w:r>
      <w:r>
        <w:rPr>
          <w:rFonts w:ascii="Times" w:hAnsi="Times"/>
          <w:b/>
          <w:sz w:val="24"/>
        </w:rPr>
        <w:t>[converted into]</w:t>
      </w:r>
      <w:r>
        <w:rPr>
          <w:rFonts w:ascii="Times New Roman;Times;serif" w:hAnsi="Times New Roman;Times;serif"/>
          <w:sz w:val="24"/>
        </w:rPr>
        <w:t xml:space="preserve"> </w:t>
      </w:r>
      <w:r>
        <w:rPr>
          <w:rFonts w:ascii="Times" w:hAnsi="Times"/>
          <w:b/>
          <w:sz w:val="24"/>
        </w:rPr>
        <w:t>[continued as]</w:t>
      </w:r>
      <w:r>
        <w:rPr>
          <w:rFonts w:ascii="Times New Roman;Times;serif" w:hAnsi="Times New Roman;Times;serif"/>
          <w:sz w:val="24"/>
        </w:rPr>
        <w:t xml:space="preserve"> </w:t>
      </w:r>
      <w:r>
        <w:rPr>
          <w:rFonts w:ascii="Times" w:hAnsi="Times"/>
          <w:b/>
          <w:sz w:val="24"/>
        </w:rPr>
        <w:t>[Term SOFR] [Daily Simple SOFR]</w:t>
      </w:r>
      <w:r>
        <w:rPr>
          <w:rFonts w:ascii="Times New Roman;Times;serif" w:hAnsi="Times New Roman;Times;serif"/>
          <w:sz w:val="24"/>
        </w:rPr>
        <w:t xml:space="preserve"> </w:t>
      </w:r>
      <w:r>
        <w:rPr>
          <w:rFonts w:ascii="Times" w:hAnsi="Times"/>
          <w:b/>
          <w:sz w:val="24"/>
        </w:rPr>
        <w:t>[Base Rate]</w:t>
      </w:r>
      <w:r>
        <w:rPr>
          <w:rFonts w:ascii="Times New Roman;Times;serif" w:hAnsi="Times New Roman;Times;serif"/>
          <w:sz w:val="24"/>
        </w:rPr>
        <w:t xml:space="preserve"> </w:t>
      </w:r>
      <w:r>
        <w:rPr>
          <w:rFonts w:ascii="Times" w:hAnsi="Times"/>
          <w:sz w:val="24"/>
        </w:rPr>
        <w:t>Loans.</w:t>
      </w:r>
    </w:p>
    <w:p>
      <w:pPr>
        <w:pStyle w:val="TextBody"/>
        <w:bidi w:val="0"/>
        <w:spacing w:before="220" w:after="240"/>
        <w:ind w:left="1656" w:right="0" w:hanging="0"/>
        <w:jc w:val="left"/>
        <w:rPr>
          <w:rFonts w:ascii="Times New Roman;Times;serif" w:hAnsi="Times New Roman;Times;serif"/>
          <w:sz w:val="24"/>
        </w:rPr>
      </w:pPr>
      <w:r>
        <w:rPr>
          <w:rFonts w:ascii="Times" w:hAnsi="Times"/>
          <w:b w:val="false"/>
          <w:i w:val="false"/>
          <w:caps w:val="false"/>
          <w:smallCaps w:val="false"/>
          <w:sz w:val="24"/>
        </w:rPr>
        <w:t>4.</w:t>
      </w:r>
      <w:r>
        <w:rPr>
          <w:rFonts w:ascii="Times" w:hAnsi="Times"/>
          <w:b/>
          <w:sz w:val="24"/>
        </w:rPr>
        <w:t>[If applicable:]</w:t>
      </w:r>
      <w:r>
        <w:rPr>
          <w:rFonts w:ascii="Times New Roman;Times;serif" w:hAnsi="Times New Roman;Times;serif"/>
          <w:sz w:val="24"/>
        </w:rPr>
        <w:t xml:space="preserve">  </w:t>
      </w:r>
      <w:r>
        <w:rPr>
          <w:rFonts w:ascii="Times" w:hAnsi="Times"/>
          <w:sz w:val="24"/>
        </w:rPr>
        <w:t xml:space="preserve">The duration of the Interest Period for the Term Loans included in the </w:t>
      </w:r>
      <w:r>
        <w:rPr>
          <w:rFonts w:ascii="Times" w:hAnsi="Times"/>
          <w:b/>
          <w:sz w:val="24"/>
        </w:rPr>
        <w:t>[conversion] [continuation]</w:t>
      </w:r>
      <w:r>
        <w:rPr>
          <w:rFonts w:ascii="Times New Roman;Times;serif" w:hAnsi="Times New Roman;Times;serif"/>
          <w:sz w:val="24"/>
        </w:rPr>
        <w:t xml:space="preserve"> </w:t>
      </w:r>
      <w:r>
        <w:rPr>
          <w:rFonts w:ascii="Times" w:hAnsi="Times"/>
          <w:sz w:val="24"/>
        </w:rPr>
        <w:t>shall be _________ months.</w:t>
      </w:r>
    </w:p>
    <w:p>
      <w:pPr>
        <w:pStyle w:val="TextBody"/>
        <w:bidi w:val="0"/>
        <w:spacing w:before="200" w:after="240"/>
        <w:ind w:left="0" w:right="0" w:firstLine="720"/>
        <w:jc w:val="both"/>
        <w:rPr>
          <w:rFonts w:ascii="Times" w:hAnsi="Times"/>
          <w:sz w:val="24"/>
        </w:rPr>
      </w:pPr>
      <w:r>
        <w:rPr>
          <w:rFonts w:ascii="Times" w:hAnsi="Times"/>
          <w:sz w:val="24"/>
        </w:rPr>
        <w:t>The undersigned hereby certifies that the following statements are true on the date hereof, and will be true on the proposed conversion/continuation date, before and after giving effect thereto and to the application of the proceeds therefrom:</w:t>
      </w:r>
    </w:p>
    <w:p>
      <w:pPr>
        <w:pStyle w:val="TextBody"/>
        <w:bidi w:val="0"/>
        <w:spacing w:before="220" w:after="240"/>
        <w:ind w:left="720" w:right="0" w:hanging="0"/>
        <w:jc w:val="both"/>
        <w:rPr>
          <w:rFonts w:ascii="Times New Roman;Times;serif" w:hAnsi="Times New Roman;Times;serif"/>
          <w:sz w:val="24"/>
        </w:rPr>
      </w:pPr>
      <w:r>
        <w:rPr>
          <w:rFonts w:ascii="Times" w:hAnsi="Times"/>
          <w:sz w:val="24"/>
        </w:rPr>
        <w:t xml:space="preserve">(a)the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w:t>
      </w:r>
      <w:r>
        <w:rPr>
          <w:rFonts w:ascii="Times" w:hAnsi="Times"/>
          <w:i/>
          <w:sz w:val="24"/>
        </w:rPr>
        <w:t>provided, however,</w:t>
      </w:r>
      <w:r>
        <w:rPr>
          <w:rFonts w:ascii="Times New Roman;Times;serif" w:hAnsi="Times New Roman;Times;serif"/>
          <w:sz w:val="24"/>
        </w:rPr>
        <w:t xml:space="preserve"> </w:t>
      </w:r>
      <w:r>
        <w:rPr>
          <w:rFonts w:ascii="Times" w:hAnsi="Times"/>
          <w:sz w:val="24"/>
        </w:rPr>
        <w:t>that this condition shall not apply to the conversion of an outstanding Term SOFR Loan to a Base Rate Loan; and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C-1]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w:hAnsi="Times"/>
          <w:sz w:val="24"/>
        </w:rPr>
        <w:t xml:space="preserve">(b)no Default or Event of Default has occurred and is continuing, or would result from such proposed </w:t>
      </w:r>
      <w:r>
        <w:rPr>
          <w:rFonts w:ascii="Times" w:hAnsi="Times"/>
          <w:b/>
          <w:sz w:val="24"/>
        </w:rPr>
        <w:t>[conversion] [continuation]</w:t>
      </w:r>
      <w:r>
        <w:rPr>
          <w:rFonts w:ascii="Times" w:hAnsi="Times"/>
          <w:sz w:val="24"/>
        </w:rPr>
        <w:t>.</w:t>
      </w:r>
    </w:p>
    <w:tbl>
      <w:tblPr>
        <w:tblW w:w="3693" w:type="dxa"/>
        <w:jc w:val="left"/>
        <w:tblInd w:w="0" w:type="dxa"/>
        <w:tblLayout w:type="fixed"/>
        <w:tblCellMar>
          <w:top w:w="0" w:type="dxa"/>
          <w:left w:w="0" w:type="dxa"/>
          <w:bottom w:w="0" w:type="dxa"/>
          <w:right w:w="0" w:type="dxa"/>
        </w:tblCellMar>
      </w:tblPr>
      <w:tblGrid>
        <w:gridCol w:w="124"/>
        <w:gridCol w:w="2457"/>
        <w:gridCol w:w="143"/>
        <w:gridCol w:w="96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78740" cy="175260"/>
                      <wp:effectExtent l="0" t="0" r="0" b="0"/>
                      <wp:wrapNone/>
                      <wp:docPr id="585" name="Frame58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651000" cy="29210"/>
                      <wp:effectExtent l="0" t="0" r="0" b="0"/>
                      <wp:wrapNone/>
                      <wp:docPr id="586" name="Frame586"/>
                      <a:graphic xmlns:a="http://schemas.openxmlformats.org/drawingml/2006/main">
                        <a:graphicData uri="http://schemas.microsoft.com/office/word/2010/wordprocessingShape">
                          <wps:wsp>
                            <wps:cNvSpPr txBox="1"/>
                            <wps:spPr>
                              <a:xfrm>
                                <a:off x="0" y="0"/>
                                <a:ext cx="1651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15315" cy="175260"/>
                      <wp:effectExtent l="0" t="0" r="0" b="0"/>
                      <wp:wrapNone/>
                      <wp:docPr id="587" name="Frame587"/>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96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6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bidi w:val="0"/>
        <w:spacing w:before="0" w:after="240"/>
        <w:ind w:left="72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C-2]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Term Note</w:t>
      </w:r>
    </w:p>
    <w:p>
      <w:pPr>
        <w:pStyle w:val="TextBody"/>
        <w:bidi w:val="0"/>
        <w:spacing w:before="0" w:after="240"/>
        <w:ind w:left="0" w:right="0" w:hanging="0"/>
        <w:jc w:val="both"/>
        <w:rPr>
          <w:rFonts w:ascii="Times New Roman;Times;serif" w:hAnsi="Times New Roman;Times;serif"/>
          <w:sz w:val="24"/>
        </w:rPr>
      </w:pPr>
      <w:r>
        <w:rPr>
          <w:rFonts w:ascii="Times" w:hAnsi="Times"/>
          <w:b w:val="false"/>
          <w:i w:val="false"/>
          <w:smallCaps/>
          <w:sz w:val="24"/>
          <w:shd w:fill="FFFFFF" w:val="clear"/>
        </w:rPr>
        <w:t>U.S. $_______________</w:t>
      </w:r>
      <w:r>
        <w:rPr>
          <w:rFonts w:ascii="Times" w:hAnsi="Times"/>
          <w:b w:val="false"/>
          <w:i w:val="false"/>
          <w:caps w:val="false"/>
          <w:smallCaps w:val="false"/>
          <w:sz w:val="24"/>
          <w:shd w:fill="FFFFFF" w:val="clear"/>
        </w:rPr>
        <w:t>_____________, 20___</w:t>
      </w:r>
      <w:r>
        <mc:AlternateContent>
          <mc:Choice Requires="wps">
            <w:drawing>
              <wp:anchor behindDoc="0" distT="0" distB="0" distL="0" distR="0" simplePos="0" locked="0" layoutInCell="1" allowOverlap="1" relativeHeight="589">
                <wp:simplePos x="0" y="0"/>
                <wp:positionH relativeFrom="page">
                  <wp:posOffset>0</wp:posOffset>
                </wp:positionH>
                <wp:positionV relativeFrom="line">
                  <wp:posOffset>635</wp:posOffset>
                </wp:positionV>
                <wp:extent cx="6480175" cy="175260"/>
                <wp:effectExtent l="0" t="0" r="0" b="0"/>
                <wp:wrapNone/>
                <wp:docPr id="588" name="Frame5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4"/>
        </w:rPr>
      </w:pPr>
      <w:r>
        <w:rPr>
          <w:rFonts w:ascii="Times" w:hAnsi="Times"/>
          <w:smallCaps/>
          <w:sz w:val="24"/>
        </w:rPr>
        <w:t>For</w:t>
      </w:r>
      <w:r>
        <w:rPr>
          <w:rFonts w:ascii="Times New Roman;Times;serif" w:hAnsi="Times New Roman;Times;serif"/>
          <w:sz w:val="24"/>
        </w:rPr>
        <w:t xml:space="preserve"> </w:t>
      </w:r>
      <w:r>
        <w:rPr>
          <w:rFonts w:ascii="Times" w:hAnsi="Times"/>
          <w:smallCaps/>
          <w:sz w:val="24"/>
        </w:rPr>
        <w:t>Value</w:t>
      </w:r>
      <w:r>
        <w:rPr>
          <w:rFonts w:ascii="Times New Roman;Times;serif" w:hAnsi="Times New Roman;Times;serif"/>
          <w:sz w:val="24"/>
        </w:rPr>
        <w:t xml:space="preserve"> </w:t>
      </w:r>
      <w:r>
        <w:rPr>
          <w:rFonts w:ascii="Times" w:hAnsi="Times"/>
          <w:smallCaps/>
          <w:sz w:val="24"/>
        </w:rPr>
        <w:t>Received</w:t>
      </w:r>
      <w:r>
        <w:rPr>
          <w:rFonts w:ascii="Times" w:hAnsi="Times"/>
          <w:sz w:val="24"/>
        </w:rPr>
        <w:t xml:space="preserve">, the undersigned, Alpine Income Property OP, LP, a Delaware limited partnership (the </w:t>
      </w:r>
      <w:r>
        <w:rPr>
          <w:rFonts w:ascii="Times New Roman;Times;serif" w:hAnsi="Times New Roman;Times;serif"/>
          <w:sz w:val="24"/>
        </w:rPr>
        <w:t>“</w:t>
      </w:r>
      <w:r>
        <w:rPr>
          <w:rFonts w:ascii="Times" w:hAnsi="Times"/>
          <w:i/>
          <w:sz w:val="24"/>
        </w:rPr>
        <w:t>Borrower”</w:t>
      </w:r>
      <w:r>
        <w:rPr>
          <w:rFonts w:ascii="Times" w:hAnsi="Times"/>
          <w:sz w:val="24"/>
        </w:rPr>
        <w:t xml:space="preserve">), hereby promises to pay to ____________________ (the </w:t>
      </w:r>
      <w:r>
        <w:rPr>
          <w:rFonts w:ascii="Times New Roman;Times;serif" w:hAnsi="Times New Roman;Times;serif"/>
          <w:sz w:val="24"/>
        </w:rPr>
        <w:t>“</w:t>
      </w:r>
      <w:r>
        <w:rPr>
          <w:rFonts w:ascii="Times" w:hAnsi="Times"/>
          <w:i/>
          <w:sz w:val="24"/>
        </w:rPr>
        <w:t>Lender”</w:t>
      </w:r>
      <w:r>
        <w:rPr>
          <w:rFonts w:ascii="Times" w:hAnsi="Times"/>
          <w:sz w:val="24"/>
        </w:rPr>
        <w:t>) or its permitted assigns on the Maturity Date of the hereinafter defined Credit Agreement, at the principal office of the Administrative Agent in New York, New York (or such other location as the Administrative Agent may designate to the Borrower), in immediately available funds, the principal sum of ___________________ Dollars ($__________) or, if less, the aggregate unpaid principal amount of all Term Loans made by the Lender to the Borrower pursuant to the Credit Agreement, together with interest on the principal amount of each Term Loan from time to time outstanding hereunder at the rates, and payable in the manner and on the dates, specified in the Credit Agreement.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This Note is one of the Term Notes referred to in the Credit Agreement dated as of May ___, 2021, among the Borrower, the Guarantors party thereto, the Lenders parties thereto, and Truist Bank, N.A., as Administrative Agent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0" w:after="240"/>
        <w:ind w:left="0" w:right="0" w:firstLine="720"/>
        <w:jc w:val="both"/>
        <w:rPr>
          <w:rFonts w:ascii="Times" w:hAnsi="Times"/>
          <w:sz w:val="24"/>
        </w:rPr>
      </w:pPr>
      <w:r>
        <w:rPr>
          <w:rFonts w:ascii="Times" w:hAnsi="Times"/>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240"/>
        <w:ind w:left="0" w:right="0" w:firstLine="720"/>
        <w:jc w:val="both"/>
        <w:rPr>
          <w:rFonts w:ascii="Times" w:hAnsi="Times"/>
          <w:sz w:val="24"/>
        </w:rPr>
      </w:pPr>
      <w:r>
        <w:rPr>
          <w:rFonts w:ascii="Times" w:hAnsi="Times"/>
          <w:sz w:val="24"/>
        </w:rPr>
        <w:t>The Borrower hereby waives demand, presentment, protest or notice of any kind hereunder.</w:t>
      </w:r>
    </w:p>
    <w:tbl>
      <w:tblPr>
        <w:tblW w:w="3694" w:type="dxa"/>
        <w:jc w:val="left"/>
        <w:tblInd w:w="0" w:type="dxa"/>
        <w:tblLayout w:type="fixed"/>
        <w:tblCellMar>
          <w:top w:w="0" w:type="dxa"/>
          <w:left w:w="0" w:type="dxa"/>
          <w:bottom w:w="0" w:type="dxa"/>
          <w:right w:w="0" w:type="dxa"/>
        </w:tblCellMar>
      </w:tblPr>
      <w:tblGrid>
        <w:gridCol w:w="124"/>
        <w:gridCol w:w="2360"/>
        <w:gridCol w:w="137"/>
        <w:gridCol w:w="137"/>
        <w:gridCol w:w="9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78740" cy="175260"/>
                      <wp:effectExtent l="0" t="0" r="0" b="0"/>
                      <wp:wrapNone/>
                      <wp:docPr id="589" name="Frame58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585595" cy="29210"/>
                      <wp:effectExtent l="0" t="0" r="0" b="0"/>
                      <wp:wrapNone/>
                      <wp:docPr id="590" name="Frame590"/>
                      <a:graphic xmlns:a="http://schemas.openxmlformats.org/drawingml/2006/main">
                        <a:graphicData uri="http://schemas.microsoft.com/office/word/2010/wordprocessingShape">
                          <wps:wsp>
                            <wps:cNvSpPr txBox="1"/>
                            <wps:spPr>
                              <a:xfrm>
                                <a:off x="0" y="0"/>
                                <a:ext cx="15855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7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81355" cy="175260"/>
                      <wp:effectExtent l="0" t="0" r="0" b="0"/>
                      <wp:wrapNone/>
                      <wp:docPr id="591" name="Frame591"/>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4"/>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70"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6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210"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3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3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bookmarkStart w:id="2382" w:name="_Hlk184976869"/>
      <w:bookmarkEnd w:id="2382"/>
      <w:r>
        <w:rPr>
          <w:rFonts w:ascii="Times New Roman;Times;serif" w:hAnsi="Times New Roman;Times;serif"/>
          <w:b/>
          <w:smallCaps/>
          <w:sz w:val="24"/>
        </w:rPr>
        <w:t>Exhibit 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Certificate</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To:</w:t>
            </w:r>
          </w:p>
        </w:tc>
        <w:tc>
          <w:tcPr>
            <w:tcW w:w="9862"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Truist Bank, N.A., as Administrative Agent under, and the Lenders party to, the Credit Agreement described below</w:t>
            </w:r>
          </w:p>
        </w:tc>
      </w:tr>
    </w:tbl>
    <w:p>
      <w:pPr>
        <w:pStyle w:val="TextBody"/>
        <w:pBdr/>
        <w:bidi w:val="0"/>
        <w:spacing w:before="560" w:after="0"/>
        <w:ind w:left="0" w:right="4680" w:hanging="72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This Compliance Certificate is furnished to the Administrative Agent and the Lenders pursuant to that certain Credit Agreement dated as of May 21, 2021, as amended, among Alpine Income Property OP, LP, as Borrower, the Guarantors signatory thereto, the Administrative Agent and the Lenders party thereto (the </w:t>
      </w:r>
      <w:r>
        <w:rPr>
          <w:rFonts w:ascii="Times New Roman;Times;serif" w:hAnsi="Times New Roman;Times;serif"/>
          <w:sz w:val="24"/>
        </w:rPr>
        <w:t>“</w:t>
      </w:r>
      <w:r>
        <w:rPr>
          <w:rFonts w:ascii="Times" w:hAnsi="Times"/>
          <w:i/>
          <w:sz w:val="24"/>
        </w:rPr>
        <w:t>Credit Agreement”</w:t>
      </w:r>
      <w:r>
        <w:rPr>
          <w:rFonts w:ascii="Times" w:hAnsi="Times"/>
          <w:sz w:val="24"/>
        </w:rPr>
        <w:t>).  Unless otherwise defined herein, the terms used in this Compliance Certificate have the meanings ascribed thereto in the Credit Agreement</w:t>
      </w:r>
    </w:p>
    <w:p>
      <w:pPr>
        <w:pStyle w:val="TextBody"/>
        <w:bidi w:val="0"/>
        <w:spacing w:before="0" w:after="240"/>
        <w:ind w:left="0" w:right="0" w:firstLine="720"/>
        <w:jc w:val="both"/>
        <w:rPr>
          <w:rFonts w:ascii="Times" w:hAnsi="Times"/>
          <w:smallCaps/>
          <w:sz w:val="24"/>
        </w:rPr>
      </w:pPr>
      <w:r>
        <w:rPr>
          <w:rFonts w:ascii="Times" w:hAnsi="Times"/>
          <w:smallCaps/>
          <w:sz w:val="24"/>
        </w:rPr>
        <w:t>The Undersigned hereby certifies that:</w:t>
      </w:r>
    </w:p>
    <w:p>
      <w:pPr>
        <w:pStyle w:val="TextBody"/>
        <w:bidi w:val="0"/>
        <w:spacing w:before="0" w:after="240"/>
        <w:ind w:left="0" w:right="0" w:hanging="0"/>
        <w:jc w:val="both"/>
        <w:rPr>
          <w:rFonts w:ascii="Times" w:hAnsi="Times"/>
          <w:sz w:val="24"/>
        </w:rPr>
      </w:pPr>
      <w:r>
        <w:rPr>
          <w:rFonts w:ascii="Times" w:hAnsi="Times"/>
          <w:sz w:val="24"/>
        </w:rPr>
        <w:t>1.I am the duly elected ____________ of Alpine Income Property OP, LP;</w:t>
      </w:r>
    </w:p>
    <w:p>
      <w:pPr>
        <w:pStyle w:val="TextBody"/>
        <w:bidi w:val="0"/>
        <w:spacing w:before="0" w:after="240"/>
        <w:ind w:left="0" w:right="0" w:hanging="0"/>
        <w:jc w:val="both"/>
        <w:rPr>
          <w:rFonts w:ascii="Times" w:hAnsi="Times"/>
          <w:sz w:val="24"/>
        </w:rPr>
      </w:pPr>
      <w:r>
        <w:rPr>
          <w:rFonts w:ascii="Times" w:hAnsi="Times"/>
          <w:sz w:val="24"/>
        </w:rPr>
        <w:t>2.I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pStyle w:val="TextBody"/>
        <w:bidi w:val="0"/>
        <w:spacing w:before="0" w:after="240"/>
        <w:ind w:left="0" w:right="0" w:hanging="0"/>
        <w:jc w:val="both"/>
        <w:rPr>
          <w:rFonts w:ascii="Times" w:hAnsi="Times"/>
          <w:sz w:val="24"/>
        </w:rPr>
      </w:pPr>
      <w:r>
        <w:rPr>
          <w:rFonts w:ascii="Times" w:hAnsi="Times"/>
          <w:sz w:val="24"/>
        </w:rPr>
        <w:t>3.The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pStyle w:val="TextBody"/>
        <w:bidi w:val="0"/>
        <w:spacing w:before="0" w:after="240"/>
        <w:ind w:left="0" w:right="0" w:hanging="0"/>
        <w:jc w:val="both"/>
        <w:rPr>
          <w:rFonts w:ascii="Times" w:hAnsi="Times"/>
          <w:sz w:val="24"/>
        </w:rPr>
      </w:pPr>
      <w:r>
        <w:rPr>
          <w:rFonts w:ascii="Times" w:hAnsi="Times"/>
          <w:sz w:val="24"/>
        </w:rPr>
        <w:t>4.The financial statements required by Section 8.5 of the Credit Agreement and being furnished to you concurrently with this Compliance Certificate are true, correct and complete as of the date and for the periods covered thereby; and</w:t>
      </w:r>
    </w:p>
    <w:p>
      <w:pPr>
        <w:pStyle w:val="TextBody"/>
        <w:bidi w:val="0"/>
        <w:ind w:left="0" w:right="0" w:hanging="0"/>
        <w:jc w:val="both"/>
        <w:rPr>
          <w:rFonts w:ascii="Times" w:hAnsi="Times"/>
          <w:sz w:val="24"/>
        </w:rPr>
      </w:pPr>
      <w:r>
        <w:rPr>
          <w:rFonts w:ascii="Times" w:hAnsi="Times"/>
          <w:sz w:val="24"/>
        </w:rPr>
        <w:t>5.The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pStyle w:val="TextBody"/>
        <w:bidi w:val="0"/>
        <w:spacing w:before="0" w:after="240"/>
        <w:ind w:left="0" w:right="0" w:firstLine="720"/>
        <w:jc w:val="both"/>
        <w:rPr>
          <w:rFonts w:ascii="Times" w:hAnsi="Times"/>
          <w:sz w:val="24"/>
        </w:rPr>
      </w:pPr>
      <w:r>
        <w:rPr>
          <w:rFonts w:ascii="Times" w:hAnsi="Times"/>
          <w:sz w:val="24"/>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907"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The foregoing certifications, together with the computations set forth in Schedule I hereto and the financial statements delivered with this Certificate in support hereof, are made and delivered this ______ day of __________________, 20___.</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78740" cy="175260"/>
                      <wp:effectExtent l="0" t="0" r="0" b="0"/>
                      <wp:wrapNone/>
                      <wp:docPr id="592" name="Frame59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367280" cy="29210"/>
                      <wp:effectExtent l="0" t="0" r="0" b="0"/>
                      <wp:wrapNone/>
                      <wp:docPr id="593" name="Frame593"/>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034155" cy="175260"/>
                      <wp:effectExtent l="0" t="0" r="0" b="0"/>
                      <wp:wrapNone/>
                      <wp:docPr id="594" name="Frame594"/>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bidi w:val="0"/>
        <w:spacing w:before="0" w:after="24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w:hAnsi="Times"/>
          <w:b/>
          <w:smallCaps/>
          <w:sz w:val="24"/>
        </w:rPr>
      </w:pPr>
      <w:r>
        <w:rPr>
          <w:rFonts w:ascii="Times" w:hAnsi="Times"/>
          <w:b/>
          <w:smallCaps/>
          <w:sz w:val="24"/>
        </w:rPr>
        <w:t>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_________________________________________________</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Calculations</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 xml:space="preserve">for Credit Agreement </w:t>
        <w:br/>
        <w:t>dated as of May 21, 2021, as amended</w:t>
      </w:r>
    </w:p>
    <w:p>
      <w:pPr>
        <w:pStyle w:val="TextBody"/>
        <w:bidi w:val="0"/>
        <w:spacing w:before="0" w:after="240"/>
        <w:ind w:left="0" w:right="0" w:firstLine="720"/>
        <w:jc w:val="center"/>
        <w:rPr>
          <w:rFonts w:ascii="Times" w:hAnsi="Times"/>
          <w:b/>
          <w:smallCaps/>
          <w:sz w:val="24"/>
        </w:rPr>
      </w:pPr>
      <w:r>
        <w:rPr>
          <w:rFonts w:ascii="Times" w:hAnsi="Times"/>
          <w:b/>
          <w:smallCaps/>
          <w:sz w:val="24"/>
        </w:rPr>
        <w:t>Calculations as of _____________, _______</w:t>
      </w:r>
    </w:p>
    <w:p>
      <w:pPr>
        <w:pStyle w:val="TextBody"/>
        <w:pBdr>
          <w:bottom w:val="double" w:sz="6" w:space="1" w:color="000000"/>
        </w:pBdr>
        <w:bidi w:val="0"/>
        <w:spacing w:before="0" w:after="28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09"/>
        <w:gridCol w:w="6296"/>
      </w:tblGrid>
      <w:tr>
        <w:trPr/>
        <w:tc>
          <w:tcPr>
            <w:tcW w:w="3909" w:type="dxa"/>
            <w:tcBorders/>
            <w:vAlign w:val="center"/>
          </w:tcPr>
          <w:p>
            <w:pPr>
              <w:pStyle w:val="TableContents"/>
              <w:bidi w:val="0"/>
              <w:spacing w:before="0" w:after="0"/>
              <w:ind w:left="0" w:right="0" w:hanging="0"/>
              <w:jc w:val="left"/>
              <w:rPr/>
            </w:pPr>
            <w:r>
              <w:rPr/>
              <w:t>​</w:t>
            </w:r>
          </w:p>
        </w:tc>
        <w:tc>
          <w:tcPr>
            <w:tcW w:w="6296" w:type="dxa"/>
            <w:tcBorders/>
            <w:vAlign w:val="center"/>
          </w:tcPr>
          <w:p>
            <w:pPr>
              <w:pStyle w:val="TableContents"/>
              <w:bidi w:val="0"/>
              <w:spacing w:before="0" w:after="0"/>
              <w:ind w:left="0" w:right="0" w:hanging="0"/>
              <w:jc w:val="left"/>
              <w:rPr/>
            </w:pPr>
            <w:r>
              <w:rPr/>
              <w:t>​</w:t>
            </w:r>
          </w:p>
        </w:tc>
      </w:tr>
      <w:tr>
        <w:trPr/>
        <w:tc>
          <w:tcPr>
            <w:tcW w:w="3909"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A.</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Total Indebtedness to Total Asset Value Ratio (Section 8.20(a))</w:t>
            </w:r>
          </w:p>
        </w:tc>
        <w:tc>
          <w:tcPr>
            <w:tcW w:w="6296" w:type="dxa"/>
            <w:tcBorders/>
            <w:vAlign w:val="center"/>
          </w:tcPr>
          <w:p>
            <w:pPr>
              <w:pStyle w:val="TableContents"/>
              <w:bidi w:val="0"/>
              <w:spacing w:before="0" w:after="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Indebtedness</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A1 to A2</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A3 must not exceed</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3909" w:type="dxa"/>
            <w:tcBorders/>
            <w:vAlign w:val="center"/>
          </w:tcPr>
          <w:p>
            <w:pPr>
              <w:pStyle w:val="TableContents"/>
              <w:pBdr/>
              <w:bidi w:val="0"/>
              <w:spacing w:before="0" w:after="0"/>
              <w:ind w:left="0" w:right="0" w:hanging="720"/>
              <w:jc w:val="left"/>
              <w:rPr/>
            </w:pPr>
            <w:r>
              <w:rPr/>
              <w:t>​</w:t>
            </w:r>
          </w:p>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Indebtedness to Total Asset Value Ratio (Section 8.20(b))</w:t>
            </w:r>
          </w:p>
        </w:tc>
        <w:tc>
          <w:tcPr>
            <w:tcW w:w="6296" w:type="dxa"/>
            <w:tcBorders/>
            <w:vAlign w:val="center"/>
          </w:tcPr>
          <w:p>
            <w:pPr>
              <w:pStyle w:val="TableContents"/>
              <w:bidi w:val="0"/>
              <w:spacing w:before="0" w:after="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Secured Indebtedness</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B1 to B2</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B3 must not exceed</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0.40:1.0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502" w:type="dxa"/>
        <w:jc w:val="left"/>
        <w:tblInd w:w="0" w:type="dxa"/>
        <w:tblLayout w:type="fixed"/>
        <w:tblCellMar>
          <w:top w:w="0" w:type="dxa"/>
          <w:left w:w="0" w:type="dxa"/>
          <w:bottom w:w="0" w:type="dxa"/>
          <w:right w:w="0" w:type="dxa"/>
        </w:tblCellMar>
      </w:tblPr>
      <w:tblGrid>
        <w:gridCol w:w="5911"/>
        <w:gridCol w:w="1591"/>
      </w:tblGrid>
      <w:tr>
        <w:trPr/>
        <w:tc>
          <w:tcPr>
            <w:tcW w:w="5911"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C.</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EBITDA to Fixed Charges Ratio (Section 8.20(c))</w:t>
            </w:r>
          </w:p>
        </w:tc>
        <w:tc>
          <w:tcPr>
            <w:tcW w:w="1591" w:type="dxa"/>
            <w:tcBorders/>
            <w:vAlign w:val="center"/>
          </w:tcPr>
          <w:p>
            <w:pPr>
              <w:pStyle w:val="TableContents"/>
              <w:bidi w:val="0"/>
              <w:spacing w:before="0" w:after="0"/>
              <w:ind w:left="0" w:right="0" w:hanging="0"/>
              <w:jc w:val="center"/>
              <w:rPr/>
            </w:pPr>
            <w:r>
              <w:rPr/>
              <w:t>​</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Depreciation and amortization expense</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losses</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Non-Cash Compensation Paid in Equity Securities</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gains</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benefits</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C2, C3, C4, C5 and C6</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C7 and C8</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Line C1 plus Line C9 minus Line C10 </w:t>
            </w:r>
            <w:r>
              <w:rPr>
                <w:rFonts w:ascii="Times New Roman;Times;serif" w:hAnsi="Times New Roman;Times;serif"/>
                <w:i/>
                <w:sz w:val="24"/>
              </w:rPr>
              <w:t>(“EBITDA”</w:t>
            </w:r>
            <w:r>
              <w:rPr>
                <w:rFonts w:ascii="Times New Roman;Times;serif" w:hAnsi="Times New Roman;Times;serif"/>
                <w:sz w:val="24"/>
              </w:rPr>
              <w:t>)</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Principal Amortization Payments</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Dividends on Preferred Stock</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Taxes Paid</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C12, C13, C14 and C15 (“</w:t>
            </w:r>
            <w:r>
              <w:rPr>
                <w:rFonts w:ascii="Times New Roman;Times;serif" w:hAnsi="Times New Roman;Times;serif"/>
                <w:i/>
                <w:sz w:val="24"/>
              </w:rPr>
              <w:t>Fixed Charges”</w:t>
            </w:r>
            <w:r>
              <w:rPr>
                <w:rFonts w:ascii="Times New Roman;Times;serif" w:hAnsi="Times New Roman;Times;serif"/>
                <w:sz w:val="24"/>
              </w:rPr>
              <w:t>)</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C11 to Line C16</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____:1.0</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C17 shall not be less than</w:t>
            </w:r>
          </w:p>
        </w:tc>
        <w:tc>
          <w:tcPr>
            <w:tcW w:w="1591" w:type="dxa"/>
            <w:tcBorders/>
            <w:vAlign w:val="center"/>
          </w:tcPr>
          <w:p>
            <w:pPr>
              <w:pStyle w:val="TableContents"/>
              <w:bidi w:val="0"/>
              <w:spacing w:before="0" w:after="0"/>
              <w:ind w:left="0" w:right="0" w:hanging="0"/>
              <w:jc w:val="center"/>
              <w:rPr>
                <w:rFonts w:ascii="Times" w:hAnsi="Times"/>
                <w:sz w:val="24"/>
              </w:rPr>
            </w:pPr>
            <w:r>
              <w:rPr>
                <w:rFonts w:ascii="Times" w:hAnsi="Times"/>
                <w:sz w:val="24"/>
              </w:rPr>
              <w:t>1.50:1.0</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59"/>
        <w:gridCol w:w="5646"/>
      </w:tblGrid>
      <w:tr>
        <w:trPr/>
        <w:tc>
          <w:tcPr>
            <w:tcW w:w="4559"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4559"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D.</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Recourse Indebtedness to Total Asset Value Ratio (Section 8.20(d))</w:t>
            </w:r>
          </w:p>
        </w:tc>
        <w:tc>
          <w:tcPr>
            <w:tcW w:w="5646" w:type="dxa"/>
            <w:tcBorders/>
            <w:vAlign w:val="center"/>
          </w:tcPr>
          <w:p>
            <w:pPr>
              <w:pStyle w:val="TableContents"/>
              <w:bidi w:val="0"/>
              <w:spacing w:before="0" w:after="0"/>
              <w:ind w:left="0" w:right="0" w:hanging="0"/>
              <w:jc w:val="center"/>
              <w:rPr/>
            </w:pPr>
            <w:r>
              <w:rPr/>
              <w:t>​</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Secured Recourse Indebtedness </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D1 to Line D2</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____:1.0</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D3 shall not exceed</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0.10:1.0</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E.</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Unsecured Indebtedness to Unencumbered Asset Value Ratio (Section 8.20(e))</w:t>
            </w:r>
          </w:p>
        </w:tc>
        <w:tc>
          <w:tcPr>
            <w:tcW w:w="5646" w:type="dxa"/>
            <w:tcBorders/>
            <w:vAlign w:val="center"/>
          </w:tcPr>
          <w:p>
            <w:pPr>
              <w:pStyle w:val="TableContents"/>
              <w:bidi w:val="0"/>
              <w:spacing w:before="0" w:after="0"/>
              <w:ind w:left="0" w:right="0" w:hanging="0"/>
              <w:jc w:val="center"/>
              <w:rPr/>
            </w:pPr>
            <w:r>
              <w:rPr/>
              <w:t>​</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Unsecured Indebtedness</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E1 to E2</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____:1.0</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E3 must not exceed</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F.</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u w:val="single"/>
              </w:rPr>
              <w:t xml:space="preserve">Minimum </w:t>
            </w:r>
            <w:bookmarkStart w:id="2383" w:name="_cp_change_486"/>
            <w:bookmarkEnd w:id="2383"/>
            <w:r>
              <w:rPr>
                <w:rFonts w:ascii="Times New Roman;Times;serif" w:hAnsi="Times New Roman;Times;serif"/>
                <w:color w:val="0000FF"/>
                <w:sz w:val="24"/>
                <w:u w:val="single"/>
              </w:rPr>
              <w:t xml:space="preserve">Income from </w:t>
            </w:r>
            <w:r>
              <w:rPr>
                <w:rFonts w:ascii="Times New Roman;Times;serif" w:hAnsi="Times New Roman;Times;serif"/>
                <w:sz w:val="24"/>
                <w:u w:val="single"/>
              </w:rPr>
              <w:t xml:space="preserve">Unencumbered </w:t>
            </w:r>
            <w:bookmarkStart w:id="2384" w:name="_cp_change_487"/>
            <w:bookmarkEnd w:id="2384"/>
            <w:r>
              <w:rPr>
                <w:rFonts w:ascii="Times New Roman;Times;serif" w:hAnsi="Times New Roman;Times;serif"/>
                <w:color w:val="FF0000"/>
                <w:sz w:val="24"/>
                <w:u w:val="single"/>
              </w:rPr>
              <w:t>Pool NOI</w:t>
            </w:r>
            <w:bookmarkStart w:id="2385" w:name="_cp_change_488"/>
            <w:bookmarkEnd w:id="2385"/>
            <w:r>
              <w:rPr>
                <w:rFonts w:ascii="Times New Roman;Times;serif" w:hAnsi="Times New Roman;Times;serif"/>
                <w:color w:val="0000FF"/>
                <w:sz w:val="24"/>
                <w:u w:val="single"/>
              </w:rPr>
              <w:t>Assets</w:t>
            </w:r>
            <w:r>
              <w:rPr>
                <w:rFonts w:ascii="Times New Roman;Times;serif" w:hAnsi="Times New Roman;Times;serif"/>
                <w:sz w:val="24"/>
                <w:u w:val="single"/>
              </w:rPr>
              <w:t xml:space="preserve"> to Unsecured Interest Expense (Section 8.20(f))</w:t>
            </w:r>
          </w:p>
        </w:tc>
        <w:tc>
          <w:tcPr>
            <w:tcW w:w="5646" w:type="dxa"/>
            <w:tcBorders/>
            <w:vAlign w:val="center"/>
          </w:tcPr>
          <w:p>
            <w:pPr>
              <w:pStyle w:val="TableContents"/>
              <w:bidi w:val="0"/>
              <w:spacing w:before="0" w:after="0"/>
              <w:ind w:left="0" w:right="0" w:hanging="0"/>
              <w:jc w:val="center"/>
              <w:rPr/>
            </w:pPr>
            <w:r>
              <w:rPr/>
              <w:t>​</w:t>
            </w:r>
          </w:p>
        </w:tc>
      </w:tr>
      <w:tr>
        <w:trPr/>
        <w:tc>
          <w:tcPr>
            <w:tcW w:w="455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Pool NOI as calculated on Exhibit B hereto</w:t>
            </w:r>
          </w:p>
        </w:tc>
        <w:tc>
          <w:tcPr>
            <w:tcW w:w="5646"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4559"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2386" w:name="_cp_change_493"/>
            <w:bookmarkEnd w:id="2386"/>
            <w:r>
              <w:rPr>
                <w:rFonts w:ascii="Times New Roman;Times;serif" w:hAnsi="Times New Roman;Times;serif"/>
                <w:color w:val="0000FF"/>
                <w:sz w:val="24"/>
                <w:u w:val="single"/>
              </w:rPr>
              <w:t>2.</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Cash interest income actually received from unemcumbered Mortgage Receivables</w:t>
            </w:r>
          </w:p>
        </w:tc>
        <w:tc>
          <w:tcPr>
            <w:tcW w:w="5646" w:type="dxa"/>
            <w:tcBorders/>
            <w:shd w:fill="E6E6FA" w:val="clear"/>
            <w:vAlign w:val="center"/>
          </w:tcPr>
          <w:p>
            <w:pPr>
              <w:pStyle w:val="TableContents"/>
              <w:bidi w:val="0"/>
              <w:spacing w:before="0" w:after="0"/>
              <w:ind w:left="0" w:right="0" w:hanging="0"/>
              <w:jc w:val="center"/>
              <w:rPr>
                <w:rFonts w:ascii="Times" w:hAnsi="Times"/>
                <w:color w:val="0000FF"/>
                <w:sz w:val="24"/>
                <w:u w:val="single"/>
              </w:rPr>
            </w:pPr>
            <w:r>
              <w:rPr>
                <w:rFonts w:ascii="Times" w:hAnsi="Times"/>
                <w:color w:val="0000FF"/>
                <w:sz w:val="24"/>
                <w:u w:val="single"/>
              </w:rPr>
              <w:t>$___________</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017"/>
        <w:gridCol w:w="1188"/>
      </w:tblGrid>
      <w:tr>
        <w:trPr/>
        <w:tc>
          <w:tcPr>
            <w:tcW w:w="9017" w:type="dxa"/>
            <w:tcBorders/>
            <w:vAlign w:val="center"/>
          </w:tcPr>
          <w:p>
            <w:pPr>
              <w:pStyle w:val="TableContents"/>
              <w:bidi w:val="0"/>
              <w:spacing w:before="140" w:after="0"/>
              <w:ind w:left="0" w:right="0" w:hanging="0"/>
              <w:jc w:val="left"/>
              <w:rPr>
                <w:rFonts w:ascii="Times New Roman;Times;serif" w:hAnsi="Times New Roman;Times;serif"/>
                <w:sz w:val="24"/>
              </w:rPr>
            </w:pPr>
            <w:bookmarkStart w:id="2387" w:name="_cp_change_494"/>
            <w:bookmarkEnd w:id="2387"/>
            <w:r>
              <w:rPr>
                <w:rFonts w:ascii="Times New Roman;Times;serif" w:hAnsi="Times New Roman;Times;serif"/>
                <w:color w:val="FF0000"/>
                <w:sz w:val="24"/>
              </w:rPr>
              <w:t>2</w:t>
            </w:r>
            <w:bookmarkStart w:id="2388" w:name="_cp_change_495"/>
            <w:bookmarkEnd w:id="2388"/>
            <w:r>
              <w:rPr>
                <w:rFonts w:ascii="Times New Roman;Times;serif" w:hAnsi="Times New Roman;Times;serif"/>
                <w:color w:val="0000FF"/>
                <w:sz w:val="24"/>
                <w:u w:val="single"/>
              </w:rPr>
              <w:t>3</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 on Unsecured Indebtedness assuming an interest rate equal to the higher of (i) the weighted average interest rate for such period on Unsecured Indebtedness, (ii) 5.75% and (iii) the 10-year treasury rate on the last day of such period plus 1.75%</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bookmarkStart w:id="2389" w:name="_cp_change_496"/>
            <w:bookmarkEnd w:id="2389"/>
            <w:r>
              <w:rPr>
                <w:rFonts w:ascii="Times New Roman;Times;serif" w:hAnsi="Times New Roman;Times;serif"/>
                <w:color w:val="FF0000"/>
                <w:sz w:val="24"/>
              </w:rPr>
              <w:t>3</w:t>
            </w:r>
            <w:bookmarkStart w:id="2390" w:name="_cp_change_497"/>
            <w:bookmarkEnd w:id="2390"/>
            <w:r>
              <w:rPr>
                <w:rFonts w:ascii="Times New Roman;Times;serif" w:hAnsi="Times New Roman;Times;serif"/>
                <w:color w:val="0000FF"/>
                <w:sz w:val="24"/>
                <w:u w:val="single"/>
              </w:rPr>
              <w:t>4</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Ratio of </w:t>
            </w:r>
            <w:bookmarkStart w:id="2391" w:name="_cp_change_498"/>
            <w:bookmarkEnd w:id="2391"/>
            <w:r>
              <w:rPr>
                <w:rFonts w:ascii="Times New Roman;Times;serif" w:hAnsi="Times New Roman;Times;serif"/>
                <w:color w:val="0000FF"/>
                <w:sz w:val="24"/>
                <w:u w:val="single"/>
              </w:rPr>
              <w:t xml:space="preserve">(i) </w:t>
            </w:r>
            <w:r>
              <w:rPr>
                <w:rFonts w:ascii="Times New Roman;Times;serif" w:hAnsi="Times New Roman;Times;serif"/>
                <w:sz w:val="24"/>
              </w:rPr>
              <w:t xml:space="preserve">Line F1 </w:t>
            </w:r>
            <w:bookmarkStart w:id="2392" w:name="_cp_change_499"/>
            <w:bookmarkEnd w:id="2392"/>
            <w:r>
              <w:rPr>
                <w:rFonts w:ascii="Times New Roman;Times;serif" w:hAnsi="Times New Roman;Times;serif"/>
                <w:color w:val="FF0000"/>
                <w:sz w:val="24"/>
              </w:rPr>
              <w:t>to the greater of Line</w:t>
            </w:r>
            <w:bookmarkStart w:id="2393" w:name="_cp_change_500"/>
            <w:bookmarkEnd w:id="2393"/>
            <w:r>
              <w:rPr>
                <w:rFonts w:ascii="Times New Roman;Times;serif" w:hAnsi="Times New Roman;Times;serif"/>
                <w:color w:val="0000FF"/>
                <w:sz w:val="24"/>
                <w:u w:val="single"/>
              </w:rPr>
              <w:t>plus</w:t>
            </w:r>
            <w:r>
              <w:rPr>
                <w:rFonts w:ascii="Times New Roman;Times;serif" w:hAnsi="Times New Roman;Times;serif"/>
                <w:sz w:val="24"/>
              </w:rPr>
              <w:t xml:space="preserve"> F2 </w:t>
            </w:r>
            <w:bookmarkStart w:id="2394" w:name="_cp_change_501"/>
            <w:bookmarkEnd w:id="2394"/>
            <w:r>
              <w:rPr>
                <w:rFonts w:ascii="Times New Roman;Times;serif" w:hAnsi="Times New Roman;Times;serif"/>
                <w:color w:val="FF0000"/>
                <w:sz w:val="24"/>
              </w:rPr>
              <w:t>and</w:t>
            </w:r>
            <w:bookmarkStart w:id="2395" w:name="_cp_change_502"/>
            <w:bookmarkEnd w:id="2395"/>
            <w:r>
              <w:rPr>
                <w:rFonts w:ascii="Times New Roman;Times;serif" w:hAnsi="Times New Roman;Times;serif"/>
                <w:color w:val="0000FF"/>
                <w:sz w:val="24"/>
                <w:u w:val="single"/>
              </w:rPr>
              <w:t>to (ii) Line</w:t>
            </w:r>
            <w:r>
              <w:rPr>
                <w:rFonts w:ascii="Times New Roman;Times;serif" w:hAnsi="Times New Roman;Times;serif"/>
                <w:sz w:val="24"/>
              </w:rPr>
              <w:t xml:space="preserve"> F3</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____:1.0</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bookmarkStart w:id="2396" w:name="_cp_change_503"/>
            <w:bookmarkEnd w:id="2396"/>
            <w:r>
              <w:rPr>
                <w:rFonts w:ascii="Times New Roman;Times;serif" w:hAnsi="Times New Roman;Times;serif"/>
                <w:color w:val="FF0000"/>
                <w:sz w:val="24"/>
              </w:rPr>
              <w:t>4</w:t>
            </w:r>
            <w:bookmarkStart w:id="2397" w:name="_cp_change_504"/>
            <w:bookmarkEnd w:id="2397"/>
            <w:r>
              <w:rPr>
                <w:rFonts w:ascii="Times New Roman;Times;serif" w:hAnsi="Times New Roman;Times;serif"/>
                <w:color w:val="0000FF"/>
                <w:sz w:val="24"/>
                <w:u w:val="single"/>
              </w:rPr>
              <w:t>5</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F4 shall not be less than</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1.75:1.0</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bookmarkStart w:id="2398" w:name="_cp_change_505"/>
            <w:bookmarkEnd w:id="2398"/>
            <w:r>
              <w:rPr>
                <w:rFonts w:ascii="Times New Roman;Times;serif" w:hAnsi="Times New Roman;Times;serif"/>
                <w:color w:val="FF0000"/>
                <w:sz w:val="24"/>
              </w:rPr>
              <w:t>5</w:t>
            </w:r>
            <w:bookmarkStart w:id="2399" w:name="_cp_change_506"/>
            <w:bookmarkEnd w:id="2399"/>
            <w:r>
              <w:rPr>
                <w:rFonts w:ascii="Times New Roman;Times;serif" w:hAnsi="Times New Roman;Times;serif"/>
                <w:color w:val="0000FF"/>
                <w:sz w:val="24"/>
                <w:u w:val="single"/>
              </w:rPr>
              <w:t>6</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9017"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G.</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Tangible Net Worth (Section 8.20(f))</w:t>
            </w:r>
          </w:p>
        </w:tc>
        <w:tc>
          <w:tcPr>
            <w:tcW w:w="1188" w:type="dxa"/>
            <w:tcBorders/>
            <w:vAlign w:val="center"/>
          </w:tcPr>
          <w:p>
            <w:pPr>
              <w:pStyle w:val="TableContents"/>
              <w:bidi w:val="0"/>
              <w:spacing w:before="0" w:after="0"/>
              <w:ind w:left="0" w:right="0" w:hanging="0"/>
              <w:jc w:val="center"/>
              <w:rPr/>
            </w:pPr>
            <w:r>
              <w:rPr/>
              <w:t>​</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Tangible Net Worth</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net proceeds of Stock and Stock Equivalent offerings after June 30, 2022</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75% of Line G2</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$212,500,000 plus Line G3 </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G1 shall not be less than Line G4</w:t>
            </w:r>
          </w:p>
        </w:tc>
        <w:tc>
          <w:tcPr>
            <w:tcW w:w="1188" w:type="dxa"/>
            <w:tcBorders/>
            <w:vAlign w:val="center"/>
          </w:tcPr>
          <w:p>
            <w:pPr>
              <w:pStyle w:val="TableContents"/>
              <w:bidi w:val="0"/>
              <w:spacing w:before="0" w:after="0"/>
              <w:ind w:left="0" w:right="0" w:hanging="0"/>
              <w:jc w:val="center"/>
              <w:rPr/>
            </w:pPr>
            <w:r>
              <w:rPr/>
              <w:t>​</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8"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9351"/>
        <w:gridCol w:w="854"/>
      </w:tblGrid>
      <w:tr>
        <w:trPr/>
        <w:tc>
          <w:tcPr>
            <w:tcW w:w="9351"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r>
      <w:tr>
        <w:trPr/>
        <w:tc>
          <w:tcPr>
            <w:tcW w:w="935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H.</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Restricted Payments (Section 8.25(a))</w:t>
            </w:r>
          </w:p>
        </w:tc>
        <w:tc>
          <w:tcPr>
            <w:tcW w:w="854" w:type="dxa"/>
            <w:tcBorders/>
            <w:vAlign w:val="center"/>
          </w:tcPr>
          <w:p>
            <w:pPr>
              <w:pStyle w:val="TableContents"/>
              <w:bidi w:val="0"/>
              <w:spacing w:before="0" w:after="0"/>
              <w:ind w:left="0" w:right="0" w:hanging="0"/>
              <w:jc w:val="center"/>
              <w:rPr/>
            </w:pPr>
            <w:r>
              <w:rPr/>
              <w:t>​</w:t>
            </w:r>
          </w:p>
        </w:tc>
      </w:tr>
      <w:tr>
        <w:trPr/>
        <w:tc>
          <w:tcPr>
            <w:tcW w:w="93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Aggregate amount of </w:t>
            </w:r>
            <w:bookmarkStart w:id="2400" w:name="_cp_change_507"/>
            <w:bookmarkEnd w:id="2400"/>
            <w:r>
              <w:rPr>
                <w:rFonts w:ascii="Times New Roman;Times;serif" w:hAnsi="Times New Roman;Times;serif"/>
                <w:color w:val="FF0000"/>
                <w:sz w:val="24"/>
              </w:rPr>
              <w:t>cash distributions made by the Parent to its equity holders</w:t>
            </w:r>
            <w:bookmarkStart w:id="2401" w:name="_cp_change_508"/>
            <w:bookmarkEnd w:id="2401"/>
            <w:r>
              <w:rPr>
                <w:rFonts w:ascii="Times New Roman;Times;serif" w:hAnsi="Times New Roman;Times;serif"/>
                <w:color w:val="0000FF"/>
                <w:sz w:val="24"/>
                <w:u w:val="single"/>
              </w:rPr>
              <w:t>Restricted Payments made in cash</w:t>
            </w:r>
            <w:r>
              <w:rPr>
                <w:rFonts w:ascii="Times New Roman;Times;serif" w:hAnsi="Times New Roman;Times;serif"/>
                <w:sz w:val="24"/>
              </w:rPr>
              <w:t xml:space="preserve"> during such period</w:t>
            </w:r>
          </w:p>
        </w:tc>
        <w:tc>
          <w:tcPr>
            <w:tcW w:w="854"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93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Parent’s Adjusted FFO for such period</w:t>
            </w:r>
            <w:bookmarkStart w:id="2402" w:name="_cp_change_509"/>
            <w:bookmarkEnd w:id="2402"/>
            <w:r>
              <w:rPr>
                <w:rFonts w:ascii="Times New Roman;Times;serif" w:hAnsi="Times New Roman;Times;serif"/>
                <w:color w:val="0000FF"/>
                <w:sz w:val="24"/>
                <w:u w:val="single"/>
              </w:rPr>
              <w:t xml:space="preserve"> (excluding any regular distributions to holders of preferred partnership units in Borrower and distributions necessary to pay holders of preferred stock of Parent) </w:t>
            </w:r>
          </w:p>
        </w:tc>
        <w:tc>
          <w:tcPr>
            <w:tcW w:w="854"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____________</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5"/>
        <w:gridCol w:w="840"/>
      </w:tblGrid>
      <w:tr>
        <w:trPr/>
        <w:tc>
          <w:tcPr>
            <w:tcW w:w="9365"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95% of Line H2</w:t>
            </w:r>
          </w:p>
        </w:tc>
        <w:tc>
          <w:tcPr>
            <w:tcW w:w="840"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Amount necessary for the Parent to be able to make </w:t>
            </w:r>
            <w:bookmarkStart w:id="2403" w:name="_cp_change_510"/>
            <w:bookmarkEnd w:id="2403"/>
            <w:r>
              <w:rPr>
                <w:rFonts w:ascii="Times New Roman;Times;serif" w:hAnsi="Times New Roman;Times;serif"/>
                <w:color w:val="FF0000"/>
                <w:sz w:val="24"/>
              </w:rPr>
              <w:t>distributions</w:t>
            </w:r>
            <w:bookmarkStart w:id="2404" w:name="_cp_change_511"/>
            <w:bookmarkEnd w:id="2404"/>
            <w:r>
              <w:rPr>
                <w:rFonts w:ascii="Times New Roman;Times;serif" w:hAnsi="Times New Roman;Times;serif"/>
                <w:color w:val="0000FF"/>
                <w:sz w:val="24"/>
                <w:u w:val="single"/>
              </w:rPr>
              <w:t>Restricted Payments</w:t>
            </w:r>
            <w:r>
              <w:rPr>
                <w:rFonts w:ascii="Times New Roman;Times;serif" w:hAnsi="Times New Roman;Times;serif"/>
                <w:sz w:val="24"/>
              </w:rPr>
              <w:t xml:space="preserve"> required to maintain its status as a REIT (i.e., to satisfy the distribution requirements set forth in Section 4981 of the Code)</w:t>
            </w:r>
          </w:p>
        </w:tc>
        <w:tc>
          <w:tcPr>
            <w:tcW w:w="840" w:type="dxa"/>
            <w:tcBorders/>
            <w:vAlign w:val="center"/>
          </w:tcPr>
          <w:p>
            <w:pPr>
              <w:pStyle w:val="TableContents"/>
              <w:bidi w:val="0"/>
              <w:spacing w:before="0" w:after="240"/>
              <w:ind w:left="0" w:right="0" w:hanging="0"/>
              <w:jc w:val="center"/>
              <w:rPr/>
            </w:pPr>
            <w:r>
              <w:rPr/>
              <w:t>​</w:t>
            </w:r>
          </w:p>
          <w:p>
            <w:pPr>
              <w:pStyle w:val="TableContents"/>
              <w:bidi w:val="0"/>
              <w:spacing w:before="140" w:after="240"/>
              <w:ind w:left="0" w:right="0" w:hanging="0"/>
              <w:jc w:val="center"/>
              <w:rPr/>
            </w:pPr>
            <w:r>
              <w:rPr/>
              <w:t>​</w:t>
            </w:r>
          </w:p>
          <w:p>
            <w:pPr>
              <w:pStyle w:val="TableContents"/>
              <w:bidi w:val="0"/>
              <w:spacing w:before="140" w:after="0"/>
              <w:ind w:left="0" w:right="0" w:hanging="0"/>
              <w:jc w:val="center"/>
              <w:rPr>
                <w:rFonts w:ascii="Times" w:hAnsi="Times"/>
                <w:sz w:val="24"/>
              </w:rPr>
            </w:pPr>
            <w:r>
              <w:rPr>
                <w:rFonts w:ascii="Times" w:hAnsi="Times"/>
                <w:sz w:val="24"/>
              </w:rPr>
              <w:t>____________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Greater of Line H3 and Line H4</w:t>
            </w:r>
          </w:p>
        </w:tc>
        <w:tc>
          <w:tcPr>
            <w:tcW w:w="840"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 xml:space="preserve">6. </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H1 shall not exceed Line H5</w:t>
            </w:r>
          </w:p>
        </w:tc>
        <w:tc>
          <w:tcPr>
            <w:tcW w:w="840" w:type="dxa"/>
            <w:tcBorders/>
            <w:vAlign w:val="center"/>
          </w:tcPr>
          <w:p>
            <w:pPr>
              <w:pStyle w:val="TableContents"/>
              <w:bidi w:val="0"/>
              <w:spacing w:before="0" w:after="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I.</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u w:val="single"/>
              </w:rPr>
              <w:t xml:space="preserve">Number of Unencumbered </w:t>
            </w:r>
            <w:bookmarkStart w:id="2405" w:name="_cp_change_512"/>
            <w:bookmarkEnd w:id="2405"/>
            <w:r>
              <w:rPr>
                <w:rFonts w:ascii="Times New Roman;Times;serif" w:hAnsi="Times New Roman;Times;serif"/>
                <w:color w:val="0000FF"/>
                <w:sz w:val="24"/>
                <w:u w:val="single"/>
              </w:rPr>
              <w:t xml:space="preserve">Real Property </w:t>
            </w:r>
            <w:r>
              <w:rPr>
                <w:rFonts w:ascii="Times New Roman;Times;serif" w:hAnsi="Times New Roman;Times;serif"/>
                <w:sz w:val="24"/>
                <w:u w:val="single"/>
              </w:rPr>
              <w:t>Assets</w:t>
            </w:r>
          </w:p>
        </w:tc>
        <w:tc>
          <w:tcPr>
            <w:tcW w:w="840" w:type="dxa"/>
            <w:tcBorders/>
            <w:vAlign w:val="center"/>
          </w:tcPr>
          <w:p>
            <w:pPr>
              <w:pStyle w:val="TableContents"/>
              <w:bidi w:val="0"/>
              <w:spacing w:before="0" w:after="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The number of Unencumbered </w:t>
            </w:r>
            <w:bookmarkStart w:id="2406" w:name="_cp_change_513"/>
            <w:bookmarkEnd w:id="2406"/>
            <w:r>
              <w:rPr>
                <w:rFonts w:ascii="Times New Roman;Times;serif" w:hAnsi="Times New Roman;Times;serif"/>
                <w:color w:val="0000FF"/>
                <w:sz w:val="24"/>
                <w:u w:val="single"/>
              </w:rPr>
              <w:t xml:space="preserve">Real Property </w:t>
            </w:r>
            <w:r>
              <w:rPr>
                <w:rFonts w:ascii="Times New Roman;Times;serif" w:hAnsi="Times New Roman;Times;serif"/>
                <w:sz w:val="24"/>
              </w:rPr>
              <w:t>Assets</w:t>
            </w:r>
          </w:p>
        </w:tc>
        <w:tc>
          <w:tcPr>
            <w:tcW w:w="840"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I1 shall not be less than 20</w:t>
            </w:r>
          </w:p>
        </w:tc>
        <w:tc>
          <w:tcPr>
            <w:tcW w:w="840" w:type="dxa"/>
            <w:tcBorders/>
            <w:vAlign w:val="center"/>
          </w:tcPr>
          <w:p>
            <w:pPr>
              <w:pStyle w:val="TableContents"/>
              <w:bidi w:val="0"/>
              <w:spacing w:before="0" w:after="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J.</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 Value</w:t>
            </w:r>
          </w:p>
        </w:tc>
        <w:tc>
          <w:tcPr>
            <w:tcW w:w="840" w:type="dxa"/>
            <w:tcBorders/>
            <w:vAlign w:val="center"/>
          </w:tcPr>
          <w:p>
            <w:pPr>
              <w:pStyle w:val="TableContents"/>
              <w:bidi w:val="0"/>
              <w:spacing w:before="0" w:after="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840"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J1 shall not be less than $200,000,000</w:t>
            </w:r>
          </w:p>
        </w:tc>
        <w:tc>
          <w:tcPr>
            <w:tcW w:w="840" w:type="dxa"/>
            <w:tcBorders/>
            <w:vAlign w:val="center"/>
          </w:tcPr>
          <w:p>
            <w:pPr>
              <w:pStyle w:val="TableContents"/>
              <w:bidi w:val="0"/>
              <w:spacing w:before="0" w:after="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K.</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Individual Unencumbered Asset Value</w:t>
            </w:r>
          </w:p>
        </w:tc>
        <w:tc>
          <w:tcPr>
            <w:tcW w:w="840" w:type="dxa"/>
            <w:tcBorders/>
            <w:vAlign w:val="center"/>
          </w:tcPr>
          <w:p>
            <w:pPr>
              <w:pStyle w:val="TableContents"/>
              <w:bidi w:val="0"/>
              <w:spacing w:before="0" w:after="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Percentage of Unencumbered Asset Value of each Unencumbered Asset is set forth [above or on the attached Schedule] and the largest Unencumbered Asset Value or any Unencumbered Asset is $___________ for the ___________ Unencumbered Asset.</w:t>
            </w:r>
          </w:p>
        </w:tc>
        <w:tc>
          <w:tcPr>
            <w:tcW w:w="840"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35"/>
        <w:gridCol w:w="670"/>
      </w:tblGrid>
      <w:tr>
        <w:trPr/>
        <w:tc>
          <w:tcPr>
            <w:tcW w:w="9535"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 Unencumbered Asset comprises more than 25% of Unencumbered Asset Value</w:t>
            </w:r>
          </w:p>
        </w:tc>
        <w:tc>
          <w:tcPr>
            <w:tcW w:w="670" w:type="dxa"/>
            <w:tcBorders/>
            <w:vAlign w:val="center"/>
          </w:tcPr>
          <w:p>
            <w:pPr>
              <w:pStyle w:val="TableContents"/>
              <w:bidi w:val="0"/>
              <w:spacing w:before="0" w:after="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70" w:type="dxa"/>
            <w:tcBorders/>
            <w:vAlign w:val="center"/>
          </w:tcPr>
          <w:p>
            <w:pPr>
              <w:pStyle w:val="TableContents"/>
              <w:bidi w:val="0"/>
              <w:spacing w:before="0" w:after="0"/>
              <w:ind w:left="0" w:right="0" w:hanging="0"/>
              <w:jc w:val="center"/>
              <w:rPr/>
            </w:pPr>
            <w:r>
              <w:rPr>
                <w:rFonts w:ascii="Times" w:hAnsi="Times"/>
                <w:sz w:val="24"/>
              </w:rPr>
              <w:t>yes/no</w:t>
            </w:r>
            <w:hyperlink w:anchor="footnote-2">
              <w:r>
                <w:rPr>
                  <w:rStyle w:val="InternetLink"/>
                  <w:rFonts w:ascii="Times" w:hAnsi="Times"/>
                  <w:sz w:val="20"/>
                </w:rPr>
                <w:t>1</w:t>
              </w:r>
            </w:hyperlink>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L.</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Single Tenant Unencumbered Asset Value</w:t>
            </w:r>
          </w:p>
        </w:tc>
        <w:tc>
          <w:tcPr>
            <w:tcW w:w="670" w:type="dxa"/>
            <w:tcBorders/>
            <w:vAlign w:val="center"/>
          </w:tcPr>
          <w:p>
            <w:pPr>
              <w:pStyle w:val="TableContents"/>
              <w:bidi w:val="0"/>
              <w:spacing w:before="0" w:after="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largest amount of Unencumbered Asset Value from a single Tenant that does not maintain a Rating of at least BBB-/Baa3 from S&amp;P or Moody’s, respectively, is $_____________ from _____________.</w:t>
            </w:r>
          </w:p>
        </w:tc>
        <w:tc>
          <w:tcPr>
            <w:tcW w:w="670" w:type="dxa"/>
            <w:tcBorders/>
            <w:vAlign w:val="center"/>
          </w:tcPr>
          <w:p>
            <w:pPr>
              <w:pStyle w:val="TableContents"/>
              <w:bidi w:val="0"/>
              <w:spacing w:before="0" w:after="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 single Tenant that does not maintain a Rating of at least BBB-/Baa3 from S&amp;P or Moody’s, respectively, comprises more than 20% of Unencumbered Asset Value</w:t>
            </w:r>
          </w:p>
        </w:tc>
        <w:tc>
          <w:tcPr>
            <w:tcW w:w="670" w:type="dxa"/>
            <w:tcBorders/>
            <w:vAlign w:val="center"/>
          </w:tcPr>
          <w:p>
            <w:pPr>
              <w:pStyle w:val="TableContents"/>
              <w:bidi w:val="0"/>
              <w:spacing w:before="0" w:after="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70" w:type="dxa"/>
            <w:tcBorders/>
            <w:vAlign w:val="center"/>
          </w:tcPr>
          <w:p>
            <w:pPr>
              <w:pStyle w:val="TableContents"/>
              <w:bidi w:val="0"/>
              <w:spacing w:before="0" w:after="0"/>
              <w:ind w:left="0" w:right="0" w:hanging="0"/>
              <w:jc w:val="center"/>
              <w:rPr/>
            </w:pPr>
            <w:r>
              <w:rPr>
                <w:rFonts w:ascii="Times" w:hAnsi="Times"/>
                <w:sz w:val="24"/>
              </w:rPr>
              <w:t>yes/no</w:t>
            </w:r>
            <w:hyperlink w:anchor="footnote-3">
              <w:r>
                <w:rPr>
                  <w:rStyle w:val="InternetLink"/>
                  <w:rFonts w:ascii="Times" w:hAnsi="Times"/>
                  <w:sz w:val="20"/>
                </w:rPr>
                <w:t>2</w:t>
              </w:r>
            </w:hyperlink>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M.</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Assets Subject to Acceptable Leasehold Interests</w:t>
            </w:r>
          </w:p>
        </w:tc>
        <w:tc>
          <w:tcPr>
            <w:tcW w:w="670" w:type="dxa"/>
            <w:tcBorders/>
            <w:vAlign w:val="center"/>
          </w:tcPr>
          <w:p>
            <w:pPr>
              <w:pStyle w:val="TableContents"/>
              <w:bidi w:val="0"/>
              <w:spacing w:before="0" w:after="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that are leased by Borrower or a Subsidiary pursuant to an Acceptable Leasehold Interest</w:t>
            </w:r>
          </w:p>
        </w:tc>
        <w:tc>
          <w:tcPr>
            <w:tcW w:w="670"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M1 shall not be greater than 15%</w:t>
            </w:r>
          </w:p>
        </w:tc>
        <w:tc>
          <w:tcPr>
            <w:tcW w:w="670" w:type="dxa"/>
            <w:tcBorders/>
            <w:vAlign w:val="center"/>
          </w:tcPr>
          <w:p>
            <w:pPr>
              <w:pStyle w:val="TableContents"/>
              <w:bidi w:val="0"/>
              <w:spacing w:before="0" w:after="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70" w:type="dxa"/>
            <w:tcBorders/>
            <w:vAlign w:val="center"/>
          </w:tcPr>
          <w:p>
            <w:pPr>
              <w:pStyle w:val="TableContents"/>
              <w:bidi w:val="0"/>
              <w:spacing w:before="0" w:after="0"/>
              <w:ind w:left="0" w:right="0" w:hanging="0"/>
              <w:jc w:val="center"/>
              <w:rPr/>
            </w:pPr>
            <w:r>
              <w:rPr>
                <w:rFonts w:ascii="Times" w:hAnsi="Times"/>
                <w:sz w:val="24"/>
              </w:rPr>
              <w:t>yes/no</w:t>
            </w:r>
            <w:hyperlink w:anchor="footnote-4">
              <w:r>
                <w:rPr>
                  <w:rStyle w:val="InternetLink"/>
                  <w:rFonts w:ascii="Times" w:hAnsi="Times"/>
                  <w:sz w:val="20"/>
                </w:rPr>
                <w:t>3</w:t>
              </w:r>
            </w:hyperlink>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N.</w:t>
            </w:r>
          </w:p>
          <w:p>
            <w:pPr>
              <w:pStyle w:val="TableContents"/>
              <w:bidi w:val="0"/>
              <w:spacing w:before="140" w:after="0"/>
              <w:ind w:left="0" w:right="0" w:hanging="0"/>
              <w:jc w:val="left"/>
              <w:rPr/>
            </w:pPr>
            <w:r>
              <w:rPr>
                <w:rFonts w:ascii="Times New Roman;Times;serif" w:hAnsi="Times New Roman;Times;serif"/>
                <w:sz w:val="24"/>
                <w:u w:val="single"/>
              </w:rPr>
              <w:t>MSA</w:t>
            </w:r>
            <w:hyperlink w:anchor="footnote-5">
              <w:r>
                <w:rPr>
                  <w:rStyle w:val="InternetLink"/>
                  <w:rFonts w:ascii="Times" w:hAnsi="Times"/>
                  <w:sz w:val="20"/>
                  <w:u w:val="single"/>
                </w:rPr>
                <w:t>4</w:t>
              </w:r>
            </w:hyperlink>
          </w:p>
        </w:tc>
        <w:tc>
          <w:tcPr>
            <w:tcW w:w="670"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rFonts w:ascii="Times New Roman;Times;serif" w:hAnsi="Times New Roman;Times;serif"/>
          <w:sz w:val="20"/>
        </w:rPr>
      </w:pPr>
      <w:bookmarkStart w:id="2407" w:name="footnote-21"/>
      <w:bookmarkEnd w:id="2407"/>
      <w:r>
        <w:rPr>
          <w:rFonts w:ascii="Times New Roman;Times;serif" w:hAnsi="Times New Roman;Times;serif"/>
          <w:sz w:val="15"/>
        </w:rPr>
        <w:t>1</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s attributable to any Unencumbered Assets to the extent it exceeds the 25% concentration limit.</w:t>
      </w:r>
    </w:p>
    <w:p>
      <w:pPr>
        <w:pStyle w:val="TextBody"/>
        <w:bidi w:val="0"/>
        <w:spacing w:before="0" w:after="0"/>
        <w:ind w:left="0" w:right="0" w:hanging="0"/>
        <w:jc w:val="left"/>
        <w:rPr>
          <w:rFonts w:ascii="Times New Roman;Times;serif" w:hAnsi="Times New Roman;Times;serif"/>
          <w:sz w:val="20"/>
        </w:rPr>
      </w:pPr>
      <w:bookmarkStart w:id="2408" w:name="footnote-31"/>
      <w:bookmarkEnd w:id="2408"/>
      <w:r>
        <w:rPr>
          <w:rFonts w:ascii="Times New Roman;Times;serif" w:hAnsi="Times New Roman;Times;serif"/>
          <w:sz w:val="15"/>
        </w:rPr>
        <w:t>2</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s attributable to any Unencumbered Assets to the extent it exceeds the 20% concentration limit.</w:t>
      </w:r>
    </w:p>
    <w:p>
      <w:pPr>
        <w:pStyle w:val="TextBody"/>
        <w:bidi w:val="0"/>
        <w:spacing w:before="0" w:after="0"/>
        <w:ind w:left="0" w:right="0" w:hanging="0"/>
        <w:jc w:val="left"/>
        <w:rPr>
          <w:rFonts w:ascii="Times New Roman;Times;serif" w:hAnsi="Times New Roman;Times;serif"/>
          <w:sz w:val="20"/>
        </w:rPr>
      </w:pPr>
      <w:bookmarkStart w:id="2409" w:name="footnote-41"/>
      <w:bookmarkEnd w:id="2409"/>
      <w:r>
        <w:rPr>
          <w:rFonts w:ascii="Times New Roman;Times;serif" w:hAnsi="Times New Roman;Times;serif"/>
          <w:sz w:val="15"/>
        </w:rPr>
        <w:t>3</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Assets leased by the Borrower or a Subsidiary pursuant to an Acceptable Leasehold Interest to the extent it exceeds the 15% concentration limit.</w:t>
      </w:r>
    </w:p>
    <w:p>
      <w:pPr>
        <w:pStyle w:val="TextBody"/>
        <w:bidi w:val="0"/>
        <w:spacing w:before="0" w:after="0"/>
        <w:ind w:left="0" w:right="0" w:hanging="0"/>
        <w:jc w:val="left"/>
        <w:rPr>
          <w:rFonts w:ascii="Times New Roman;Times;serif" w:hAnsi="Times New Roman;Times;serif"/>
          <w:sz w:val="20"/>
        </w:rPr>
      </w:pPr>
      <w:bookmarkStart w:id="2410" w:name="footnote-51"/>
      <w:bookmarkEnd w:id="2410"/>
      <w:r>
        <w:rPr>
          <w:rFonts w:ascii="Times New Roman;Times;serif" w:hAnsi="Times New Roman;Times;serif"/>
          <w:sz w:val="15"/>
        </w:rPr>
        <w:t>4</w:t>
      </w:r>
      <w:r>
        <w:rPr>
          <w:rFonts w:ascii="Times New Roman;Times;serif" w:hAnsi="Times New Roman;Times;serif"/>
          <w:sz w:val="20"/>
        </w:rPr>
        <w:t xml:space="preserve"> To be duplicated for each MSA with Unencumbered Assets.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82"/>
        <w:gridCol w:w="723"/>
      </w:tblGrid>
      <w:tr>
        <w:trPr/>
        <w:tc>
          <w:tcPr>
            <w:tcW w:w="9482"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in [________] MSA</w:t>
            </w:r>
          </w:p>
        </w:tc>
        <w:tc>
          <w:tcPr>
            <w:tcW w:w="723"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N1 shall not be greater than 25%</w:t>
            </w:r>
          </w:p>
        </w:tc>
        <w:tc>
          <w:tcPr>
            <w:tcW w:w="723" w:type="dxa"/>
            <w:tcBorders/>
            <w:vAlign w:val="center"/>
          </w:tcPr>
          <w:p>
            <w:pPr>
              <w:pStyle w:val="TableContents"/>
              <w:bidi w:val="0"/>
              <w:spacing w:before="0" w:after="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3"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2411" w:name="_cp_change_520"/>
            <w:bookmarkEnd w:id="2411"/>
            <w:r>
              <w:rPr>
                <w:rFonts w:ascii="Times New Roman;Times;serif" w:hAnsi="Times New Roman;Times;serif"/>
                <w:color w:val="0000FF"/>
                <w:sz w:val="24"/>
                <w:u w:val="single"/>
              </w:rPr>
              <w:t>O.</w:t>
            </w:r>
          </w:p>
          <w:p>
            <w:pPr>
              <w:pStyle w:val="TableContents"/>
              <w:bidi w:val="0"/>
              <w:spacing w:before="140" w:after="0"/>
              <w:ind w:left="0" w:right="0" w:hanging="0"/>
              <w:jc w:val="left"/>
              <w:rPr/>
            </w:pPr>
            <w:r>
              <w:rPr>
                <w:rFonts w:ascii="Times New Roman;Times;serif" w:hAnsi="Times New Roman;Times;serif"/>
                <w:color w:val="0000FF"/>
                <w:sz w:val="24"/>
                <w:u w:val="single"/>
              </w:rPr>
              <w:t>Mortgage Receivables Value</w:t>
            </w:r>
            <w:hyperlink w:anchor="footnote-6">
              <w:r>
                <w:rPr>
                  <w:rStyle w:val="InternetLink"/>
                  <w:rFonts w:ascii="Times" w:hAnsi="Times"/>
                  <w:color w:val="0000FF"/>
                  <w:sz w:val="20"/>
                  <w:u w:val="single"/>
                </w:rPr>
                <w:t>5</w:t>
              </w:r>
            </w:hyperlink>
            <w:r>
              <w:rPr>
                <w:rFonts w:ascii="Times New Roman;Times;serif" w:hAnsi="Times New Roman;Times;serif"/>
                <w:color w:val="0000FF"/>
                <w:sz w:val="24"/>
                <w:u w:val="single"/>
              </w:rPr>
              <w:t xml:space="preserve"> </w:t>
            </w:r>
          </w:p>
        </w:tc>
        <w:tc>
          <w:tcPr>
            <w:tcW w:w="723" w:type="dxa"/>
            <w:tcBorders/>
            <w:shd w:fill="E6E6FA" w:val="clear"/>
            <w:vAlign w:val="center"/>
          </w:tcPr>
          <w:p>
            <w:pPr>
              <w:pStyle w:val="TableContents"/>
              <w:bidi w:val="0"/>
              <w:spacing w:before="0" w:after="0"/>
              <w:ind w:left="0" w:right="0" w:hanging="0"/>
              <w:jc w:val="center"/>
              <w:rPr>
                <w:color w:val="0000FF"/>
              </w:rPr>
            </w:pPr>
            <w:r>
              <w:rPr>
                <w:color w:val="0000FF"/>
              </w:rPr>
              <w:t>​</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2412" w:name="_cp_change_525"/>
            <w:bookmarkEnd w:id="2412"/>
            <w:r>
              <w:rPr>
                <w:rFonts w:ascii="Times New Roman;Times;serif" w:hAnsi="Times New Roman;Times;serif"/>
                <w:color w:val="0000FF"/>
                <w:sz w:val="24"/>
                <w:u w:val="single"/>
              </w:rPr>
              <w:t>1.</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Percent of Unencumbered Asset Value attributable to Unencumbered Mortgage Receivables</w:t>
            </w:r>
          </w:p>
        </w:tc>
        <w:tc>
          <w:tcPr>
            <w:tcW w:w="723" w:type="dxa"/>
            <w:tcBorders/>
            <w:shd w:fill="E6E6FA" w:val="clear"/>
            <w:vAlign w:val="center"/>
          </w:tcPr>
          <w:p>
            <w:pPr>
              <w:pStyle w:val="TableContents"/>
              <w:bidi w:val="0"/>
              <w:spacing w:before="0" w:after="0"/>
              <w:ind w:left="0" w:right="0" w:hanging="0"/>
              <w:jc w:val="center"/>
              <w:rPr>
                <w:rFonts w:ascii="Times" w:hAnsi="Times"/>
                <w:color w:val="0000FF"/>
                <w:sz w:val="24"/>
                <w:u w:val="single"/>
              </w:rPr>
            </w:pPr>
            <w:r>
              <w:rPr>
                <w:rFonts w:ascii="Times" w:hAnsi="Times"/>
                <w:color w:val="0000FF"/>
                <w:sz w:val="24"/>
                <w:u w:val="single"/>
              </w:rPr>
              <w:t>__%</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2413" w:name="_cp_change_529"/>
            <w:bookmarkEnd w:id="2413"/>
            <w:r>
              <w:rPr>
                <w:rFonts w:ascii="Times New Roman;Times;serif" w:hAnsi="Times New Roman;Times;serif"/>
                <w:color w:val="0000FF"/>
                <w:sz w:val="24"/>
                <w:u w:val="single"/>
              </w:rPr>
              <w:t>2.</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Line O1 shall not be greater than 10%</w:t>
            </w:r>
          </w:p>
        </w:tc>
        <w:tc>
          <w:tcPr>
            <w:tcW w:w="723" w:type="dxa"/>
            <w:tcBorders/>
            <w:shd w:fill="E6E6FA" w:val="clear"/>
            <w:vAlign w:val="center"/>
          </w:tcPr>
          <w:p>
            <w:pPr>
              <w:pStyle w:val="TableContents"/>
              <w:bidi w:val="0"/>
              <w:spacing w:before="0" w:after="0"/>
              <w:ind w:left="0" w:right="0" w:hanging="0"/>
              <w:jc w:val="center"/>
              <w:rPr>
                <w:color w:val="0000FF"/>
              </w:rPr>
            </w:pPr>
            <w:r>
              <w:rPr>
                <w:color w:val="0000FF"/>
              </w:rPr>
              <w:t>​</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2414" w:name="_cp_change_535"/>
            <w:bookmarkEnd w:id="2414"/>
            <w:r>
              <w:rPr>
                <w:rFonts w:ascii="Times New Roman;Times;serif" w:hAnsi="Times New Roman;Times;serif"/>
                <w:color w:val="0000FF"/>
                <w:sz w:val="24"/>
                <w:u w:val="single"/>
              </w:rPr>
              <w:t>3.</w:t>
            </w:r>
          </w:p>
          <w:p>
            <w:pPr>
              <w:pStyle w:val="TableContents"/>
              <w:bidi w:val="0"/>
              <w:spacing w:before="140" w:after="0"/>
              <w:jc w:val="left"/>
              <w:rPr>
                <w:rFonts w:ascii="Times New Roman;Times;serif" w:hAnsi="Times New Roman;Times;serif"/>
                <w:color w:val="0000FF"/>
                <w:sz w:val="24"/>
                <w:u w:val="single"/>
              </w:rPr>
            </w:pPr>
            <w:r>
              <w:rPr>
                <w:rFonts w:ascii="Times New Roman;Times;serif" w:hAnsi="Times New Roman;Times;serif"/>
                <w:color w:val="0000FF"/>
                <w:sz w:val="24"/>
                <w:u w:val="single"/>
              </w:rPr>
              <w:t>The Borrower is in compliance (circle yes or no)</w:t>
            </w:r>
          </w:p>
          <w:p>
            <w:pPr>
              <w:pStyle w:val="TableContents"/>
              <w:bidi w:val="0"/>
              <w:spacing w:before="140" w:after="0"/>
              <w:ind w:left="0" w:right="0" w:hanging="0"/>
              <w:jc w:val="left"/>
              <w:rPr>
                <w:color w:val="0000FF"/>
              </w:rPr>
            </w:pPr>
            <w:r>
              <w:rPr>
                <w:color w:val="0000FF"/>
              </w:rPr>
              <w:t>​</w:t>
            </w:r>
          </w:p>
        </w:tc>
        <w:tc>
          <w:tcPr>
            <w:tcW w:w="723" w:type="dxa"/>
            <w:tcBorders/>
            <w:shd w:fill="E6E6FA" w:val="clear"/>
            <w:vAlign w:val="center"/>
          </w:tcPr>
          <w:p>
            <w:pPr>
              <w:pStyle w:val="TableContents"/>
              <w:bidi w:val="0"/>
              <w:spacing w:before="0" w:after="0"/>
              <w:ind w:left="0" w:right="0" w:hanging="0"/>
              <w:jc w:val="center"/>
              <w:rPr>
                <w:rFonts w:ascii="Times" w:hAnsi="Times"/>
                <w:color w:val="0000FF"/>
                <w:sz w:val="24"/>
                <w:u w:val="single"/>
              </w:rPr>
            </w:pPr>
            <w:r>
              <w:rPr>
                <w:rFonts w:ascii="Times" w:hAnsi="Times"/>
                <w:color w:val="0000FF"/>
                <w:sz w:val="24"/>
                <w:u w:val="single"/>
              </w:rPr>
              <w:t>yes/no</w:t>
            </w:r>
          </w:p>
        </w:tc>
      </w:tr>
      <w:tr>
        <w:trPr/>
        <w:tc>
          <w:tcPr>
            <w:tcW w:w="9482" w:type="dxa"/>
            <w:tcBorders/>
            <w:shd w:fill="E6E6FA" w:val="clear"/>
            <w:vAlign w:val="center"/>
          </w:tcPr>
          <w:p>
            <w:pPr>
              <w:pStyle w:val="TableContents"/>
              <w:bidi w:val="0"/>
              <w:spacing w:before="140" w:after="0"/>
              <w:ind w:left="0" w:right="0" w:hanging="0"/>
              <w:jc w:val="left"/>
              <w:rPr/>
            </w:pPr>
            <w:bookmarkStart w:id="2415" w:name="_cp_change_542"/>
            <w:bookmarkEnd w:id="2415"/>
            <w:r>
              <w:rPr>
                <w:rFonts w:ascii="Times New Roman;Times;serif" w:hAnsi="Times New Roman;Times;serif"/>
                <w:b w:val="false"/>
                <w:i w:val="false"/>
                <w:caps w:val="false"/>
                <w:smallCaps w:val="false"/>
                <w:color w:val="0000FF"/>
                <w:sz w:val="24"/>
                <w:u w:val="single"/>
              </w:rPr>
              <w:t>P.</w:t>
            </w:r>
            <w:r>
              <w:rPr>
                <w:rFonts w:ascii="Times New Roman;Times;serif" w:hAnsi="Times New Roman;Times;serif"/>
                <w:color w:val="0000FF"/>
                <w:sz w:val="24"/>
                <w:u w:val="single"/>
              </w:rPr>
              <w:t>Mortgage Receivables Income</w:t>
            </w:r>
            <w:hyperlink w:anchor="footnote-7">
              <w:r>
                <w:rPr>
                  <w:rStyle w:val="InternetLink"/>
                  <w:rFonts w:ascii="Times" w:hAnsi="Times"/>
                  <w:color w:val="0000FF"/>
                  <w:sz w:val="20"/>
                  <w:u w:val="single"/>
                </w:rPr>
                <w:t>6</w:t>
              </w:r>
            </w:hyperlink>
            <w:r>
              <w:rPr>
                <w:rFonts w:ascii="Times New Roman;Times;serif" w:hAnsi="Times New Roman;Times;serif"/>
                <w:color w:val="0000FF"/>
                <w:sz w:val="24"/>
                <w:u w:val="single"/>
              </w:rPr>
              <w:t xml:space="preserve"> </w:t>
            </w:r>
          </w:p>
        </w:tc>
        <w:tc>
          <w:tcPr>
            <w:tcW w:w="723" w:type="dxa"/>
            <w:tcBorders/>
            <w:shd w:fill="E6E6FA" w:val="clear"/>
            <w:vAlign w:val="center"/>
          </w:tcPr>
          <w:p>
            <w:pPr>
              <w:pStyle w:val="TableContents"/>
              <w:bidi w:val="0"/>
              <w:spacing w:before="0" w:after="0"/>
              <w:ind w:left="0" w:right="0" w:hanging="0"/>
              <w:jc w:val="center"/>
              <w:rPr>
                <w:color w:val="0000FF"/>
              </w:rPr>
            </w:pPr>
            <w:r>
              <w:rPr>
                <w:color w:val="0000FF"/>
              </w:rPr>
              <w:t>​</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2416" w:name="_cp_change_547"/>
            <w:bookmarkEnd w:id="2416"/>
            <w:r>
              <w:rPr>
                <w:rFonts w:ascii="Times New Roman;Times;serif" w:hAnsi="Times New Roman;Times;serif"/>
                <w:color w:val="0000FF"/>
                <w:sz w:val="24"/>
                <w:u w:val="single"/>
              </w:rPr>
              <w:t>1.</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Percent of Unencumbered Pool Total Income (Line F1 plus F2) attributable to Unencumbered Mortgage Receivables</w:t>
            </w:r>
          </w:p>
        </w:tc>
        <w:tc>
          <w:tcPr>
            <w:tcW w:w="723" w:type="dxa"/>
            <w:tcBorders/>
            <w:shd w:fill="E6E6FA" w:val="clear"/>
            <w:vAlign w:val="center"/>
          </w:tcPr>
          <w:p>
            <w:pPr>
              <w:pStyle w:val="TableContents"/>
              <w:bidi w:val="0"/>
              <w:spacing w:before="0" w:after="0"/>
              <w:ind w:left="0" w:right="0" w:hanging="0"/>
              <w:jc w:val="center"/>
              <w:rPr>
                <w:rFonts w:ascii="Times" w:hAnsi="Times"/>
                <w:color w:val="0000FF"/>
                <w:sz w:val="24"/>
                <w:u w:val="single"/>
              </w:rPr>
            </w:pPr>
            <w:r>
              <w:rPr>
                <w:rFonts w:ascii="Times" w:hAnsi="Times"/>
                <w:color w:val="0000FF"/>
                <w:sz w:val="24"/>
                <w:u w:val="single"/>
              </w:rPr>
              <w:t>__%</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2417" w:name="_cp_change_551"/>
            <w:bookmarkEnd w:id="2417"/>
            <w:r>
              <w:rPr>
                <w:rFonts w:ascii="Times New Roman;Times;serif" w:hAnsi="Times New Roman;Times;serif"/>
                <w:color w:val="0000FF"/>
                <w:sz w:val="24"/>
                <w:u w:val="single"/>
              </w:rPr>
              <w:t>2.</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Line P1 shall not be greater than 10%</w:t>
            </w:r>
          </w:p>
        </w:tc>
        <w:tc>
          <w:tcPr>
            <w:tcW w:w="723" w:type="dxa"/>
            <w:tcBorders/>
            <w:shd w:fill="E6E6FA" w:val="clear"/>
            <w:vAlign w:val="center"/>
          </w:tcPr>
          <w:p>
            <w:pPr>
              <w:pStyle w:val="TableContents"/>
              <w:bidi w:val="0"/>
              <w:spacing w:before="0" w:after="0"/>
              <w:ind w:left="0" w:right="0" w:hanging="0"/>
              <w:jc w:val="center"/>
              <w:rPr>
                <w:color w:val="0000FF"/>
              </w:rPr>
            </w:pPr>
            <w:r>
              <w:rPr>
                <w:color w:val="0000FF"/>
              </w:rPr>
              <w:t>​</w:t>
            </w:r>
          </w:p>
        </w:tc>
      </w:tr>
      <w:tr>
        <w:trPr/>
        <w:tc>
          <w:tcPr>
            <w:tcW w:w="9482" w:type="dxa"/>
            <w:tcBorders/>
            <w:shd w:fill="E6E6FA" w:val="clear"/>
            <w:vAlign w:val="center"/>
          </w:tcPr>
          <w:p>
            <w:pPr>
              <w:pStyle w:val="TableContents"/>
              <w:bidi w:val="0"/>
              <w:spacing w:before="140" w:after="0"/>
              <w:jc w:val="left"/>
              <w:rPr>
                <w:rFonts w:ascii="Times New Roman;Times;serif" w:hAnsi="Times New Roman;Times;serif"/>
                <w:color w:val="0000FF"/>
                <w:sz w:val="24"/>
                <w:u w:val="single"/>
              </w:rPr>
            </w:pPr>
            <w:bookmarkStart w:id="2418" w:name="_cp_change_556"/>
            <w:bookmarkEnd w:id="2418"/>
            <w:r>
              <w:rPr>
                <w:rFonts w:ascii="Times New Roman;Times;serif" w:hAnsi="Times New Roman;Times;serif"/>
                <w:color w:val="0000FF"/>
                <w:sz w:val="24"/>
                <w:u w:val="single"/>
              </w:rPr>
              <w:t>3.</w:t>
            </w:r>
          </w:p>
          <w:p>
            <w:pPr>
              <w:pStyle w:val="TableContents"/>
              <w:bidi w:val="0"/>
              <w:spacing w:before="14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The Borrower is in compliance (circle yes or no)</w:t>
            </w:r>
          </w:p>
        </w:tc>
        <w:tc>
          <w:tcPr>
            <w:tcW w:w="723" w:type="dxa"/>
            <w:tcBorders/>
            <w:shd w:fill="E6E6FA" w:val="clear"/>
            <w:vAlign w:val="center"/>
          </w:tcPr>
          <w:p>
            <w:pPr>
              <w:pStyle w:val="TableContents"/>
              <w:bidi w:val="0"/>
              <w:spacing w:before="0" w:after="0"/>
              <w:ind w:left="0" w:right="0" w:hanging="0"/>
              <w:jc w:val="center"/>
              <w:rPr>
                <w:rFonts w:ascii="Times" w:hAnsi="Times"/>
                <w:color w:val="0000FF"/>
                <w:sz w:val="24"/>
                <w:u w:val="single"/>
              </w:rPr>
            </w:pPr>
            <w:r>
              <w:rPr>
                <w:rFonts w:ascii="Times" w:hAnsi="Times"/>
                <w:color w:val="0000FF"/>
                <w:sz w:val="24"/>
                <w:u w:val="single"/>
              </w:rPr>
              <w:t>yes/no</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bookmarkStart w:id="2419" w:name="_cp_change_557"/>
            <w:bookmarkEnd w:id="2419"/>
            <w:r>
              <w:rPr>
                <w:rFonts w:ascii="Times New Roman;Times;serif" w:hAnsi="Times New Roman;Times;serif"/>
                <w:color w:val="FF0000"/>
                <w:sz w:val="24"/>
              </w:rPr>
              <w:t>O</w:t>
            </w:r>
            <w:bookmarkStart w:id="2420" w:name="_cp_change_558"/>
            <w:bookmarkEnd w:id="2420"/>
            <w:r>
              <w:rPr>
                <w:rFonts w:ascii="Times New Roman;Times;serif" w:hAnsi="Times New Roman;Times;serif"/>
                <w:color w:val="0000FF"/>
                <w:sz w:val="24"/>
                <w:u w:val="single"/>
              </w:rPr>
              <w:t>Q</w:t>
            </w:r>
            <w:r>
              <w:rPr>
                <w:rFonts w:ascii="Times New Roman;Times;serif" w:hAnsi="Times New Roman;Times;serif"/>
                <w:sz w:val="24"/>
              </w:rPr>
              <w:t>.</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Occupancy Rate</w:t>
            </w:r>
          </w:p>
        </w:tc>
        <w:tc>
          <w:tcPr>
            <w:tcW w:w="723" w:type="dxa"/>
            <w:tcBorders/>
            <w:vAlign w:val="center"/>
          </w:tcPr>
          <w:p>
            <w:pPr>
              <w:pStyle w:val="TableContents"/>
              <w:bidi w:val="0"/>
              <w:spacing w:before="0" w:after="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Occupancy Rate of Unencumbered Assets</w:t>
            </w:r>
          </w:p>
        </w:tc>
        <w:tc>
          <w:tcPr>
            <w:tcW w:w="723" w:type="dxa"/>
            <w:tcBorders/>
            <w:vAlign w:val="center"/>
          </w:tcPr>
          <w:p>
            <w:pPr>
              <w:pStyle w:val="TableContents"/>
              <w:bidi w:val="0"/>
              <w:spacing w:before="0" w:after="0"/>
              <w:ind w:left="0" w:right="0" w:hanging="0"/>
              <w:jc w:val="center"/>
              <w:rPr>
                <w:rFonts w:ascii="Times" w:hAnsi="Times"/>
                <w:sz w:val="24"/>
              </w:rPr>
            </w:pPr>
            <w:r>
              <w:rPr>
                <w:rFonts w:ascii="Times" w:hAnsi="Times"/>
                <w:sz w:val="24"/>
              </w:rPr>
              <w:t>__%</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Line </w:t>
            </w:r>
            <w:bookmarkStart w:id="2421" w:name="_cp_change_559"/>
            <w:bookmarkEnd w:id="2421"/>
            <w:r>
              <w:rPr>
                <w:rFonts w:ascii="Times New Roman;Times;serif" w:hAnsi="Times New Roman;Times;serif"/>
                <w:color w:val="FF0000"/>
                <w:sz w:val="24"/>
              </w:rPr>
              <w:t>O1</w:t>
            </w:r>
            <w:bookmarkStart w:id="2422" w:name="_cp_change_560"/>
            <w:bookmarkEnd w:id="2422"/>
            <w:r>
              <w:rPr>
                <w:rFonts w:ascii="Times New Roman;Times;serif" w:hAnsi="Times New Roman;Times;serif"/>
                <w:color w:val="0000FF"/>
                <w:sz w:val="24"/>
                <w:u w:val="single"/>
              </w:rPr>
              <w:t>Q1</w:t>
            </w:r>
            <w:r>
              <w:rPr>
                <w:rFonts w:ascii="Times New Roman;Times;serif" w:hAnsi="Times New Roman;Times;serif"/>
                <w:sz w:val="24"/>
              </w:rPr>
              <w:t xml:space="preserve"> shall not be less than 85%</w:t>
            </w:r>
          </w:p>
        </w:tc>
        <w:tc>
          <w:tcPr>
            <w:tcW w:w="723" w:type="dxa"/>
            <w:tcBorders/>
            <w:vAlign w:val="center"/>
          </w:tcPr>
          <w:p>
            <w:pPr>
              <w:pStyle w:val="TableContents"/>
              <w:bidi w:val="0"/>
              <w:spacing w:before="0" w:after="0"/>
              <w:ind w:left="0" w:right="0" w:hanging="0"/>
              <w:jc w:val="center"/>
              <w:rPr/>
            </w:pPr>
            <w:r>
              <w:rPr/>
              <w:t>​</w:t>
            </w:r>
          </w:p>
        </w:tc>
      </w:tr>
      <w:tr>
        <w:trPr/>
        <w:tc>
          <w:tcPr>
            <w:tcW w:w="948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3" w:type="dxa"/>
            <w:tcBorders/>
            <w:vAlign w:val="center"/>
          </w:tcPr>
          <w:p>
            <w:pPr>
              <w:pStyle w:val="TableContents"/>
              <w:bidi w:val="0"/>
              <w:spacing w:before="0" w:after="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rFonts w:ascii="Times New Roman;Times;serif" w:hAnsi="Times New Roman;Times;serif"/>
          <w:sz w:val="20"/>
        </w:rPr>
      </w:pPr>
      <w:bookmarkStart w:id="2423" w:name="_cp_change_516"/>
      <w:bookmarkStart w:id="2424" w:name="footnote-61"/>
      <w:bookmarkEnd w:id="2423"/>
      <w:bookmarkEnd w:id="2424"/>
      <w:r>
        <w:rPr>
          <w:rFonts w:ascii="Times New Roman;Times;serif" w:hAnsi="Times New Roman;Times;serif"/>
          <w:color w:val="0000FF"/>
          <w:sz w:val="15"/>
        </w:rPr>
        <w:t>5</w:t>
      </w:r>
      <w:r>
        <w:rPr>
          <w:rFonts w:ascii="Times New Roman;Times;serif" w:hAnsi="Times New Roman;Times;serif"/>
          <w:color w:val="0000FF"/>
          <w:sz w:val="20"/>
          <w:u w:val="single"/>
        </w:rPr>
        <w:t xml:space="preserve"> If applicable, the calculation of Unencumbered Asset Value includes an adjustment to exclude that portion of the book value of any Unencumbered Mortgage Receivables to the extent it exceeds the 10% concentration limit.</w:t>
      </w:r>
      <w:bookmarkStart w:id="2425" w:name="_cp_change_517"/>
      <w:bookmarkEnd w:id="2425"/>
    </w:p>
    <w:p>
      <w:pPr>
        <w:pStyle w:val="TextBody"/>
        <w:bidi w:val="0"/>
        <w:spacing w:before="0" w:after="0"/>
        <w:ind w:left="0" w:right="0" w:hanging="0"/>
        <w:jc w:val="left"/>
        <w:rPr>
          <w:rFonts w:ascii="Times New Roman;Times;serif" w:hAnsi="Times New Roman;Times;serif"/>
          <w:sz w:val="20"/>
        </w:rPr>
      </w:pPr>
      <w:bookmarkStart w:id="2426" w:name="footnote-71"/>
      <w:bookmarkStart w:id="2427" w:name="_cp_change_538"/>
      <w:bookmarkEnd w:id="2426"/>
      <w:bookmarkEnd w:id="2427"/>
      <w:r>
        <w:rPr>
          <w:rFonts w:ascii="Times New Roman;Times;serif" w:hAnsi="Times New Roman;Times;serif"/>
          <w:color w:val="0000FF"/>
          <w:sz w:val="15"/>
        </w:rPr>
        <w:t>6</w:t>
      </w:r>
      <w:r>
        <w:rPr>
          <w:rFonts w:ascii="Times New Roman;Times;serif" w:hAnsi="Times New Roman;Times;serif"/>
          <w:color w:val="0000FF"/>
          <w:sz w:val="20"/>
          <w:u w:val="single"/>
        </w:rPr>
        <w:t xml:space="preserve"> If applicable, the calculation of Unencumbered Pool Total Income includes an adjustment to exclude that portion of the cash interest income form any Unencumbered Mortgage Receivables to the extent it exceeds the 10% concentration limit.</w:t>
      </w:r>
      <w:bookmarkStart w:id="2428" w:name="_cp_change_539"/>
      <w:bookmarkEnd w:id="2428"/>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A, with a calculation date of __________,______, is attached to Schedule I to the Compliance Certificate of Alpine Income Property OP, LP dated ___________, 20__, as amended, and delivered to Truist Bank, N.A., as Administrative Agent, and the Lenders party to the Amended and Restated Credit Agreement, as amended, referred to therein.  The undersigned hereby certifies that the following is a true, correct and complete calculation of Total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78740" cy="175260"/>
                      <wp:effectExtent l="0" t="0" r="0" b="0"/>
                      <wp:wrapNone/>
                      <wp:docPr id="595" name="Frame59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367280" cy="29210"/>
                      <wp:effectExtent l="0" t="0" r="0" b="0"/>
                      <wp:wrapNone/>
                      <wp:docPr id="596" name="Frame596"/>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034155" cy="175260"/>
                      <wp:effectExtent l="0" t="0" r="0" b="0"/>
                      <wp:wrapNone/>
                      <wp:docPr id="597" name="Frame597"/>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B, with a calculation date of __________,______, is attached to Schedule I to the Compliance Certificate of Alpine Income Property OP, LP dated _________, 20__, as amended, and delivered to Truist Bank, N.A., as Administrative Agent, and the Lenders party to the Amended and Restated Credit Agreement, as amended, referred to therein.  The undersigned hereby certifies that the following is a true, correct and complete calculation of Property NOI for all Properties for Rolling Period most recently ended:</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28" w:type="dxa"/>
          <w:left w:w="103" w:type="dxa"/>
          <w:bottom w:w="28" w:type="dxa"/>
          <w:right w:w="103" w:type="dxa"/>
        </w:tblCellMar>
      </w:tblPr>
      <w:tblGrid>
        <w:gridCol w:w="796"/>
        <w:gridCol w:w="879"/>
        <w:gridCol w:w="556"/>
        <w:gridCol w:w="1747"/>
        <w:gridCol w:w="556"/>
        <w:gridCol w:w="1321"/>
        <w:gridCol w:w="556"/>
        <w:gridCol w:w="2305"/>
        <w:gridCol w:w="601"/>
        <w:gridCol w:w="888"/>
      </w:tblGrid>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Income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Expenses (without Cap. Ex. Reserve or Management Fees)</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Capital Expenditure Reserve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Greater of 1% (for retail net lease properties) or 3% of rents for other properties or actual management fees</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NOI</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Properties:$_____________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Unencumbered Assets:$_____________</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78740" cy="175260"/>
                      <wp:effectExtent l="0" t="0" r="0" b="0"/>
                      <wp:wrapNone/>
                      <wp:docPr id="598" name="Frame59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367280" cy="29210"/>
                      <wp:effectExtent l="0" t="0" r="0" b="0"/>
                      <wp:wrapNone/>
                      <wp:docPr id="599" name="Frame599"/>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034155" cy="175260"/>
                      <wp:effectExtent l="0" t="0" r="0" b="0"/>
                      <wp:wrapNone/>
                      <wp:docPr id="600" name="Frame600"/>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mallCaps/>
        </w:rPr>
      </w:pPr>
      <w:r>
        <w:rPr>
          <w:smallCaps/>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C, with a calculation date of __________,______, is attached to Schedule I to the Compliance Certificate of Alpine Income Property OP, LP dated ___________, 20__, as amended, and delivered to Truist Bank, N.A., as Administrative Agent, and the Lenders party to the Amended and Restated Credit Agreement, as amended, referred to therein.  The undersigned hereby certifies that the following is a true, correct and complete calculation of Unencumbered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78740" cy="175260"/>
                      <wp:effectExtent l="0" t="0" r="0" b="0"/>
                      <wp:wrapNone/>
                      <wp:docPr id="601" name="Frame60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367280" cy="29210"/>
                      <wp:effectExtent l="0" t="0" r="0" b="0"/>
                      <wp:wrapNone/>
                      <wp:docPr id="602" name="Frame602"/>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034155" cy="175260"/>
                      <wp:effectExtent l="0" t="0" r="0" b="0"/>
                      <wp:wrapNone/>
                      <wp:docPr id="603" name="Frame603"/>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mallCaps/>
        </w:rPr>
      </w:pPr>
      <w:r>
        <w:rPr>
          <w:smallCaps/>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F</w:t>
        <w:br/>
        <w:br/>
        <w:t>Assignment and Acceptance</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Dated _____________, _______</w:t>
      </w:r>
    </w:p>
    <w:p>
      <w:pPr>
        <w:pStyle w:val="TextBody"/>
        <w:bidi w:val="0"/>
        <w:spacing w:before="200" w:after="240"/>
        <w:ind w:left="0" w:right="0" w:firstLine="720"/>
        <w:jc w:val="both"/>
        <w:rPr>
          <w:rFonts w:ascii="Times New Roman;Times;serif" w:hAnsi="Times New Roman;Times;serif"/>
          <w:sz w:val="24"/>
        </w:rPr>
      </w:pPr>
      <w:r>
        <w:rPr>
          <w:rFonts w:ascii="Times" w:hAnsi="Times"/>
          <w:sz w:val="24"/>
        </w:rPr>
        <w:t xml:space="preserve">Reference is made to the Credit Agreement dated as of May 21, 2021,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xml:space="preserve">) among Alpine Income Property OP, LP, the Guarantors from time to time party thereto, the Lenders and Truist Bank, N.A., as Administrative Agent (the </w:t>
      </w:r>
      <w:r>
        <w:rPr>
          <w:rFonts w:ascii="Times New Roman;Times;serif" w:hAnsi="Times New Roman;Times;serif"/>
          <w:sz w:val="24"/>
        </w:rPr>
        <w:t>“</w:t>
      </w:r>
      <w:r>
        <w:rPr>
          <w:rFonts w:ascii="Times" w:hAnsi="Times"/>
          <w:i/>
          <w:sz w:val="24"/>
        </w:rPr>
        <w:t>Administrative Agent”</w:t>
      </w:r>
      <w:r>
        <w:rPr>
          <w:rFonts w:ascii="Times" w:hAnsi="Times"/>
          <w:sz w:val="24"/>
        </w:rPr>
        <w:t>).  Terms defined in the Credit Agreement are used herein with the same meaning.</w:t>
      </w:r>
    </w:p>
    <w:p>
      <w:pPr>
        <w:pStyle w:val="TextBody"/>
        <w:bidi w:val="0"/>
        <w:spacing w:before="200" w:after="240"/>
        <w:ind w:left="0" w:right="0" w:firstLine="720"/>
        <w:jc w:val="both"/>
        <w:rPr>
          <w:rFonts w:ascii="Times New Roman;Times;serif" w:hAnsi="Times New Roman;Times;serif"/>
          <w:sz w:val="24"/>
        </w:rPr>
      </w:pPr>
      <w:r>
        <w:rPr>
          <w:rFonts w:ascii="Times" w:hAnsi="Times"/>
          <w:sz w:val="24"/>
        </w:rPr>
        <w:t xml:space="preserve">______________________________________________________ (the </w:t>
      </w:r>
      <w:r>
        <w:rPr>
          <w:rFonts w:ascii="Times New Roman;Times;serif" w:hAnsi="Times New Roman;Times;serif"/>
          <w:sz w:val="24"/>
        </w:rPr>
        <w:t>“</w:t>
      </w:r>
      <w:r>
        <w:rPr>
          <w:rFonts w:ascii="Times" w:hAnsi="Times"/>
          <w:i/>
          <w:sz w:val="24"/>
        </w:rPr>
        <w:t>Assignor”</w:t>
      </w:r>
      <w:r>
        <w:rPr>
          <w:rFonts w:ascii="Times" w:hAnsi="Times"/>
          <w:sz w:val="24"/>
        </w:rPr>
        <w:t xml:space="preserve">) and _________________________ (the </w:t>
      </w:r>
      <w:r>
        <w:rPr>
          <w:rFonts w:ascii="Times New Roman;Times;serif" w:hAnsi="Times New Roman;Times;serif"/>
          <w:sz w:val="24"/>
        </w:rPr>
        <w:t>“</w:t>
      </w:r>
      <w:r>
        <w:rPr>
          <w:rFonts w:ascii="Times" w:hAnsi="Times"/>
          <w:i/>
          <w:sz w:val="24"/>
        </w:rPr>
        <w:t>Assignee”</w:t>
      </w:r>
      <w:r>
        <w:rPr>
          <w:rFonts w:ascii="Times" w:hAnsi="Times"/>
          <w:sz w:val="24"/>
        </w:rPr>
        <w:t>) agree as follows:</w:t>
      </w:r>
    </w:p>
    <w:p>
      <w:pPr>
        <w:pStyle w:val="TextBody"/>
        <w:bidi w:val="0"/>
        <w:spacing w:before="200" w:after="240"/>
        <w:ind w:left="720" w:right="0" w:hanging="0"/>
        <w:jc w:val="both"/>
        <w:rPr>
          <w:rFonts w:ascii="Times" w:hAnsi="Times"/>
          <w:sz w:val="24"/>
        </w:rPr>
      </w:pPr>
      <w:r>
        <w:rPr>
          <w:rFonts w:ascii="Times" w:hAnsi="Times"/>
          <w:sz w:val="24"/>
        </w:rPr>
        <w:t>1.The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Term Loan Commitments as in effect on the Effective Date and the Loans, if any, owing to the Assignor on the Effective Date</w:t>
      </w:r>
    </w:p>
    <w:p>
      <w:pPr>
        <w:pStyle w:val="TextBody"/>
        <w:bidi w:val="0"/>
        <w:spacing w:before="200" w:after="240"/>
        <w:ind w:left="720" w:right="0" w:hanging="0"/>
        <w:jc w:val="both"/>
        <w:rPr>
          <w:rFonts w:ascii="Times" w:hAnsi="Times"/>
          <w:sz w:val="24"/>
        </w:rPr>
      </w:pPr>
      <w:r>
        <w:rPr>
          <w:rFonts w:ascii="Times" w:hAnsi="Times"/>
          <w:sz w:val="24"/>
        </w:rPr>
        <w:t>2.The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pStyle w:val="TextBody"/>
        <w:bidi w:val="0"/>
        <w:spacing w:before="200" w:after="0"/>
        <w:ind w:left="720" w:right="0" w:hanging="0"/>
        <w:jc w:val="both"/>
        <w:rPr>
          <w:rFonts w:ascii="Times" w:hAnsi="Times"/>
          <w:sz w:val="24"/>
        </w:rPr>
      </w:pPr>
      <w:r>
        <w:rPr>
          <w:rFonts w:ascii="Times" w:hAnsi="Times"/>
          <w:sz w:val="24"/>
        </w:rPr>
        <w:t xml:space="preserve">3.The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Agent on its behalf and to exercise such powers under the Credit Agreement and the other Loan Documents as are delegated to the Administrative Agent by the terms thereof, together with such powers as are reasonably incidental thereto; (iv) agrees that it will perform in accordance with their terms all of the obligations which by the terms 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Credit Agreement are required to be performed by it as a Lender; and (v) specifies as its lending office (and address for notices) the offices set forth on its Administrative Questionnaire.</w:t>
      </w:r>
    </w:p>
    <w:p>
      <w:pPr>
        <w:pStyle w:val="TextBody"/>
        <w:bidi w:val="0"/>
        <w:spacing w:before="200" w:after="240"/>
        <w:ind w:left="720" w:right="0" w:hanging="0"/>
        <w:jc w:val="both"/>
        <w:rPr>
          <w:rFonts w:ascii="Times" w:hAnsi="Times"/>
          <w:sz w:val="24"/>
        </w:rPr>
      </w:pPr>
      <w:r>
        <w:rPr>
          <w:rFonts w:ascii="Times" w:hAnsi="Times"/>
          <w:sz w:val="24"/>
        </w:rPr>
        <w:t>4.As consideration for the assignment and sale contemplated in Annex I hereof, the Assignee shall pay to the Assignor on the Effective Date in Federal funds the amount agreed upon between them.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pStyle w:val="TextBody"/>
        <w:bidi w:val="0"/>
        <w:spacing w:before="200" w:after="240"/>
        <w:ind w:left="720" w:right="0" w:hanging="0"/>
        <w:jc w:val="both"/>
        <w:rPr>
          <w:rFonts w:ascii="Times New Roman;Times;serif" w:hAnsi="Times New Roman;Times;serif"/>
          <w:sz w:val="24"/>
        </w:rPr>
      </w:pPr>
      <w:r>
        <w:rPr>
          <w:rFonts w:ascii="Times" w:hAnsi="Times"/>
          <w:sz w:val="24"/>
        </w:rPr>
        <w:t xml:space="preserve">5.The effective date for this Assignment and Acceptance shall be </w:t>
      </w:r>
      <w:r>
        <w:rPr>
          <w:rFonts w:ascii="Times" w:hAnsi="Times"/>
          <w:sz w:val="24"/>
          <w:u w:val="single"/>
        </w:rPr>
        <w:t>___________</w:t>
      </w:r>
      <w:r>
        <w:rPr>
          <w:rFonts w:ascii="Times New Roman;Times;serif" w:hAnsi="Times New Roman;Times;serif"/>
          <w:sz w:val="24"/>
        </w:rPr>
        <w:t xml:space="preserve"> </w:t>
      </w:r>
      <w:r>
        <w:rPr>
          <w:rFonts w:ascii="Times" w:hAnsi="Times"/>
          <w:sz w:val="24"/>
        </w:rPr>
        <w:t xml:space="preserve">(the </w:t>
      </w:r>
      <w:r>
        <w:rPr>
          <w:rFonts w:ascii="Times New Roman;Times;serif" w:hAnsi="Times New Roman;Times;serif"/>
          <w:sz w:val="24"/>
        </w:rPr>
        <w:t>“</w:t>
      </w:r>
      <w:r>
        <w:rPr>
          <w:rFonts w:ascii="Times" w:hAnsi="Times"/>
          <w:i/>
          <w:sz w:val="24"/>
        </w:rPr>
        <w:t>Effective Date”</w:t>
      </w:r>
      <w:r>
        <w:rPr>
          <w:rFonts w:ascii="Times" w:hAnsi="Times"/>
          <w:sz w:val="24"/>
        </w:rPr>
        <w:t>).  Following the execution of this Assignment and Acceptance, it will be delivered to the Administrative Agent for acceptance and recording by the Administrative Agent and, if required, the Borrower.</w:t>
      </w:r>
    </w:p>
    <w:p>
      <w:pPr>
        <w:pStyle w:val="TextBody"/>
        <w:bidi w:val="0"/>
        <w:spacing w:before="200" w:after="240"/>
        <w:ind w:left="720" w:right="0" w:hanging="0"/>
        <w:jc w:val="both"/>
        <w:rPr>
          <w:rFonts w:ascii="Times" w:hAnsi="Times"/>
          <w:sz w:val="24"/>
        </w:rPr>
      </w:pPr>
      <w:r>
        <w:rPr>
          <w:rFonts w:ascii="Times" w:hAnsi="Times"/>
          <w:sz w:val="24"/>
        </w:rPr>
        <w:t>6.Upon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pStyle w:val="TextBody"/>
        <w:bidi w:val="0"/>
        <w:spacing w:before="200" w:after="240"/>
        <w:ind w:left="720" w:right="0" w:hanging="0"/>
        <w:jc w:val="both"/>
        <w:rPr>
          <w:rFonts w:ascii="Times" w:hAnsi="Times"/>
          <w:sz w:val="24"/>
        </w:rPr>
      </w:pPr>
      <w:r>
        <w:rPr>
          <w:rFonts w:ascii="Times" w:hAnsi="Times"/>
          <w:sz w:val="24"/>
        </w:rPr>
        <w:t>7.Upon such acceptance and recording, from and after the Effective Date, the Administrative Agent shall make all payments under the Credit Agreement in respect of the interest assigned hereby (including, without limitation, all payments of principal and interest with respect thereto) to the Assignee.  The Assignor and Assignee shall make all appropriate adjustments in payments under the Credit Agreement for periods prior to the Effective Date directly between themselves.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8.This Assignment and Acceptance shall be governed by, and construed in accordance with, the internal laws of the State of New York.</w:t>
      </w:r>
    </w:p>
    <w:tbl>
      <w:tblPr>
        <w:tblW w:w="2267" w:type="dxa"/>
        <w:jc w:val="left"/>
        <w:tblInd w:w="0" w:type="dxa"/>
        <w:tblLayout w:type="fixed"/>
        <w:tblCellMar>
          <w:top w:w="0" w:type="dxa"/>
          <w:left w:w="0" w:type="dxa"/>
          <w:bottom w:w="0" w:type="dxa"/>
          <w:right w:w="0" w:type="dxa"/>
        </w:tblCellMar>
      </w:tblPr>
      <w:tblGrid>
        <w:gridCol w:w="124"/>
        <w:gridCol w:w="1365"/>
        <w:gridCol w:w="79"/>
        <w:gridCol w:w="79"/>
        <w:gridCol w:w="79"/>
        <w:gridCol w:w="5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78740" cy="175260"/>
                      <wp:effectExtent l="0" t="0" r="0" b="0"/>
                      <wp:wrapNone/>
                      <wp:docPr id="604" name="Frame60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3"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967105" cy="29210"/>
                      <wp:effectExtent l="0" t="0" r="0" b="0"/>
                      <wp:wrapNone/>
                      <wp:docPr id="605" name="Frame605"/>
                      <a:graphic xmlns:a="http://schemas.openxmlformats.org/drawingml/2006/main">
                        <a:graphicData uri="http://schemas.microsoft.com/office/word/2010/wordprocessingShape">
                          <wps:wsp>
                            <wps:cNvSpPr txBox="1"/>
                            <wps:spPr>
                              <a:xfrm>
                                <a:off x="0" y="0"/>
                                <a:ext cx="9671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2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93700" cy="175260"/>
                      <wp:effectExtent l="0" t="0" r="0" b="0"/>
                      <wp:wrapNone/>
                      <wp:docPr id="606" name="Frame606"/>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[Assignor Lender]</w:t>
            </w:r>
          </w:p>
        </w:tc>
      </w:tr>
      <w:tr>
        <w:trPr/>
        <w:tc>
          <w:tcPr>
            <w:tcW w:w="124"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78" w:type="dxa"/>
            <w:gridSpan w:val="4"/>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4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699"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44"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699"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left"/>
              <w:rPr/>
            </w:pPr>
            <w:r>
              <w:rPr/>
              <w:t>​</w:t>
            </w:r>
          </w:p>
        </w:tc>
        <w:tc>
          <w:tcPr>
            <w:tcW w:w="778"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[Assignee Lender]</w:t>
            </w:r>
          </w:p>
        </w:tc>
      </w:tr>
      <w:tr>
        <w:trPr/>
        <w:tc>
          <w:tcPr>
            <w:tcW w:w="124"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left"/>
              <w:rPr/>
            </w:pPr>
            <w:r>
              <w:rPr/>
              <w:t>​</w:t>
            </w:r>
          </w:p>
        </w:tc>
        <w:tc>
          <w:tcPr>
            <w:tcW w:w="778"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left"/>
              <w:rPr/>
            </w:pPr>
            <w:r>
              <w:rPr/>
              <w:t>​</w:t>
            </w:r>
          </w:p>
        </w:tc>
        <w:tc>
          <w:tcPr>
            <w:tcW w:w="778"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78" w:type="dxa"/>
            <w:gridSpan w:val="4"/>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02"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02"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4954"/>
        <w:jc w:val="center"/>
        <w:rPr>
          <w:smallCaps/>
        </w:rPr>
      </w:pPr>
      <w:r>
        <w:rPr>
          <w:smallCaps/>
        </w:rPr>
        <w:t>​</w:t>
      </w:r>
    </w:p>
    <w:tbl>
      <w:tblPr>
        <w:tblW w:w="8059" w:type="dxa"/>
        <w:jc w:val="left"/>
        <w:tblInd w:w="0" w:type="dxa"/>
        <w:tblLayout w:type="fixed"/>
        <w:tblCellMar>
          <w:top w:w="0" w:type="dxa"/>
          <w:left w:w="0" w:type="dxa"/>
          <w:bottom w:w="0" w:type="dxa"/>
          <w:right w:w="0" w:type="dxa"/>
        </w:tblCellMar>
      </w:tblPr>
      <w:tblGrid>
        <w:gridCol w:w="5725"/>
        <w:gridCol w:w="315"/>
        <w:gridCol w:w="315"/>
        <w:gridCol w:w="1550"/>
        <w:gridCol w:w="154"/>
      </w:tblGrid>
      <w:tr>
        <w:trPr/>
        <w:tc>
          <w:tcPr>
            <w:tcW w:w="6355"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4035425" cy="29210"/>
                      <wp:effectExtent l="0" t="0" r="0" b="0"/>
                      <wp:wrapNone/>
                      <wp:docPr id="607" name="Frame607"/>
                      <a:graphic xmlns:a="http://schemas.openxmlformats.org/drawingml/2006/main">
                        <a:graphicData uri="http://schemas.microsoft.com/office/word/2010/wordprocessingShape">
                          <wps:wsp>
                            <wps:cNvSpPr txBox="1"/>
                            <wps:spPr>
                              <a:xfrm>
                                <a:off x="0" y="0"/>
                                <a:ext cx="4035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984250" cy="175260"/>
                      <wp:effectExtent l="0" t="0" r="0" b="0"/>
                      <wp:wrapNone/>
                      <wp:docPr id="608" name="Frame608"/>
                      <a:graphic xmlns:a="http://schemas.openxmlformats.org/drawingml/2006/main">
                        <a:graphicData uri="http://schemas.microsoft.com/office/word/2010/wordprocessingShape">
                          <wps:wsp>
                            <wps:cNvSpPr txBox="1"/>
                            <wps:spPr>
                              <a:xfrm>
                                <a:off x="0" y="0"/>
                                <a:ext cx="984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7905"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Accepted and consented this</w:t>
              <w:br/>
              <w:t>___ day of _____________</w:t>
            </w:r>
          </w:p>
        </w:tc>
        <w:tc>
          <w:tcPr>
            <w:tcW w:w="154" w:type="dxa"/>
            <w:tcBorders/>
            <w:vAlign w:val="center"/>
          </w:tcPr>
          <w:p>
            <w:pPr>
              <w:pStyle w:val="TableContents"/>
              <w:bidi w:val="0"/>
              <w:spacing w:before="0" w:after="0"/>
              <w:ind w:left="0" w:right="0" w:hanging="0"/>
              <w:jc w:val="left"/>
              <w:rPr>
                <w:smallCaps/>
              </w:rPr>
            </w:pPr>
            <w:r>
              <w:rPr>
                <w:smallCaps/>
              </w:rPr>
              <w:t>​</w:t>
            </w:r>
          </w:p>
        </w:tc>
      </w:tr>
      <w:tr>
        <w:trPr/>
        <w:tc>
          <w:tcPr>
            <w:tcW w:w="7905" w:type="dxa"/>
            <w:gridSpan w:val="4"/>
            <w:tcBorders/>
            <w:vAlign w:val="center"/>
          </w:tcPr>
          <w:p>
            <w:pPr>
              <w:pStyle w:val="TableContents"/>
              <w:bidi w:val="0"/>
              <w:spacing w:before="0" w:after="0"/>
              <w:ind w:left="0" w:right="0" w:hanging="0"/>
              <w:jc w:val="left"/>
              <w:rPr>
                <w:smallCaps/>
              </w:rPr>
            </w:pPr>
            <w:r>
              <w:rPr>
                <w:smallCaps/>
              </w:rPr>
              <w:t>​</w:t>
            </w:r>
          </w:p>
        </w:tc>
        <w:tc>
          <w:tcPr>
            <w:tcW w:w="154" w:type="dxa"/>
            <w:tcBorders/>
            <w:vAlign w:val="center"/>
          </w:tcPr>
          <w:p>
            <w:pPr>
              <w:pStyle w:val="TableContents"/>
              <w:bidi w:val="0"/>
              <w:spacing w:before="0" w:after="0"/>
              <w:ind w:left="0" w:right="0" w:hanging="0"/>
              <w:jc w:val="left"/>
              <w:rPr>
                <w:smallCaps/>
              </w:rPr>
            </w:pPr>
            <w:r>
              <w:rPr>
                <w:smallCaps/>
              </w:rPr>
              <w:t>​</w:t>
            </w:r>
          </w:p>
        </w:tc>
      </w:tr>
      <w:tr>
        <w:trPr/>
        <w:tc>
          <w:tcPr>
            <w:tcW w:w="7905" w:type="dxa"/>
            <w:gridSpan w:val="4"/>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c>
          <w:tcPr>
            <w:tcW w:w="154" w:type="dxa"/>
            <w:tcBorders/>
            <w:vAlign w:val="center"/>
          </w:tcPr>
          <w:p>
            <w:pPr>
              <w:pStyle w:val="TableContents"/>
              <w:bidi w:val="0"/>
              <w:spacing w:before="0" w:after="0"/>
              <w:ind w:left="0" w:right="0" w:hanging="0"/>
              <w:jc w:val="left"/>
              <w:rPr>
                <w:smallCaps/>
              </w:rPr>
            </w:pPr>
            <w:r>
              <w:rPr>
                <w:smallCaps/>
              </w:rPr>
              <w:t>​</w:t>
            </w:r>
          </w:p>
        </w:tc>
      </w:tr>
      <w:tr>
        <w:trPr/>
        <w:tc>
          <w:tcPr>
            <w:tcW w:w="7905" w:type="dxa"/>
            <w:gridSpan w:val="4"/>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905" w:type="dxa"/>
            <w:gridSpan w:val="4"/>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72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80"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04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86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04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86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725" w:type="dxa"/>
            <w:tcBorders/>
            <w:vAlign w:val="center"/>
          </w:tcPr>
          <w:p>
            <w:pPr>
              <w:pStyle w:val="TableContents"/>
              <w:bidi w:val="0"/>
              <w:spacing w:before="0" w:after="0"/>
              <w:ind w:left="0" w:right="0" w:hanging="0"/>
              <w:jc w:val="left"/>
              <w:rPr/>
            </w:pPr>
            <w:r>
              <w:rPr/>
              <w:t>​</w:t>
            </w:r>
          </w:p>
        </w:tc>
        <w:tc>
          <w:tcPr>
            <w:tcW w:w="2180"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905"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Accepted and consented to by the Administrative Agent this ___ day of ________</w:t>
            </w:r>
          </w:p>
        </w:tc>
        <w:tc>
          <w:tcPr>
            <w:tcW w:w="154" w:type="dxa"/>
            <w:tcBorders/>
            <w:vAlign w:val="center"/>
          </w:tcPr>
          <w:p>
            <w:pPr>
              <w:pStyle w:val="TableContents"/>
              <w:bidi w:val="0"/>
              <w:spacing w:before="0" w:after="0"/>
              <w:ind w:left="0" w:right="0" w:hanging="0"/>
              <w:jc w:val="left"/>
              <w:rPr>
                <w:smallCaps/>
              </w:rPr>
            </w:pPr>
            <w:r>
              <w:rPr>
                <w:smallCaps/>
              </w:rPr>
              <w:t>​</w:t>
            </w:r>
          </w:p>
        </w:tc>
      </w:tr>
      <w:tr>
        <w:trPr/>
        <w:tc>
          <w:tcPr>
            <w:tcW w:w="5725" w:type="dxa"/>
            <w:tcBorders/>
            <w:vAlign w:val="center"/>
          </w:tcPr>
          <w:p>
            <w:pPr>
              <w:pStyle w:val="TableContents"/>
              <w:bidi w:val="0"/>
              <w:spacing w:before="0" w:after="0"/>
              <w:ind w:left="0" w:right="0" w:hanging="0"/>
              <w:jc w:val="left"/>
              <w:rPr/>
            </w:pPr>
            <w:r>
              <w:rPr/>
              <w:t>​</w:t>
            </w:r>
          </w:p>
        </w:tc>
        <w:tc>
          <w:tcPr>
            <w:tcW w:w="2180"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905"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Truist Bank, N.A., </w:t>
            </w:r>
            <w:r>
              <w:rPr>
                <w:rFonts w:ascii="Times New Roman;Times;serif" w:hAnsi="Times New Roman;Times;serif"/>
                <w:sz w:val="24"/>
              </w:rPr>
              <w:t>as Administrative Agent</w:t>
            </w:r>
          </w:p>
        </w:tc>
        <w:tc>
          <w:tcPr>
            <w:tcW w:w="154" w:type="dxa"/>
            <w:tcBorders/>
            <w:vAlign w:val="center"/>
          </w:tcPr>
          <w:p>
            <w:pPr>
              <w:pStyle w:val="TableContents"/>
              <w:bidi w:val="0"/>
              <w:spacing w:before="0" w:after="0"/>
              <w:ind w:left="0" w:right="0" w:hanging="0"/>
              <w:jc w:val="left"/>
              <w:rPr/>
            </w:pPr>
            <w:r>
              <w:rPr/>
              <w:t>​</w:t>
            </w:r>
          </w:p>
        </w:tc>
      </w:tr>
      <w:tr>
        <w:trPr/>
        <w:tc>
          <w:tcPr>
            <w:tcW w:w="5725" w:type="dxa"/>
            <w:tcBorders/>
            <w:vAlign w:val="center"/>
          </w:tcPr>
          <w:p>
            <w:pPr>
              <w:pStyle w:val="TableContents"/>
              <w:bidi w:val="0"/>
              <w:spacing w:before="0" w:after="0"/>
              <w:ind w:left="0" w:right="0" w:hanging="0"/>
              <w:jc w:val="left"/>
              <w:rPr/>
            </w:pPr>
            <w:r>
              <w:rPr/>
              <w:t>​</w:t>
            </w:r>
          </w:p>
        </w:tc>
        <w:tc>
          <w:tcPr>
            <w:tcW w:w="2180"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725" w:type="dxa"/>
            <w:tcBorders/>
            <w:vAlign w:val="center"/>
          </w:tcPr>
          <w:p>
            <w:pPr>
              <w:pStyle w:val="TableContents"/>
              <w:bidi w:val="0"/>
              <w:spacing w:before="0" w:after="0"/>
              <w:ind w:left="0" w:right="0" w:hanging="0"/>
              <w:jc w:val="left"/>
              <w:rPr/>
            </w:pPr>
            <w:r>
              <w:rPr/>
              <w:t>​</w:t>
            </w:r>
          </w:p>
        </w:tc>
        <w:tc>
          <w:tcPr>
            <w:tcW w:w="2180"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72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80"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55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5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55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Annex I</w:t>
      </w:r>
    </w:p>
    <w:p>
      <w:pPr>
        <w:pStyle w:val="TextBody"/>
        <w:bidi w:val="0"/>
        <w:spacing w:before="0" w:after="400"/>
        <w:ind w:left="0" w:right="0" w:hanging="0"/>
        <w:jc w:val="center"/>
        <w:rPr>
          <w:rFonts w:ascii="Times New Roman;Times;serif" w:hAnsi="Times New Roman;Times;serif"/>
          <w:b/>
          <w:smallCaps/>
          <w:sz w:val="24"/>
        </w:rPr>
      </w:pPr>
      <w:r>
        <w:rPr>
          <w:rFonts w:ascii="Times New Roman;Times;serif" w:hAnsi="Times New Roman;Times;serif"/>
          <w:b/>
          <w:smallCaps/>
          <w:sz w:val="24"/>
        </w:rPr>
        <w:t>to Assignment and Acceptance</w:t>
      </w:r>
    </w:p>
    <w:p>
      <w:pPr>
        <w:pStyle w:val="TextBody"/>
        <w:bidi w:val="0"/>
        <w:spacing w:before="0" w:after="240"/>
        <w:ind w:left="0" w:right="0" w:firstLine="720"/>
        <w:jc w:val="both"/>
        <w:rPr>
          <w:rFonts w:ascii="Times" w:hAnsi="Times"/>
          <w:sz w:val="24"/>
        </w:rPr>
      </w:pPr>
      <w:r>
        <w:rPr>
          <w:rFonts w:ascii="Times" w:hAnsi="Times"/>
          <w:sz w:val="24"/>
        </w:rPr>
        <w:t>The assignee hereby purchases and assumes from the assignor the following interest in and to all of the Assignor’s rights and obligations under the Credit Agreement as of the effective date.</w:t>
      </w:r>
    </w:p>
    <w:tbl>
      <w:tblPr>
        <w:tblW w:w="9064" w:type="dxa"/>
        <w:jc w:val="left"/>
        <w:tblInd w:w="0" w:type="dxa"/>
        <w:tblLayout w:type="fixed"/>
        <w:tblCellMar>
          <w:top w:w="0" w:type="dxa"/>
          <w:left w:w="0" w:type="dxa"/>
          <w:bottom w:w="0" w:type="dxa"/>
          <w:right w:w="0" w:type="dxa"/>
        </w:tblCellMar>
      </w:tblPr>
      <w:tblGrid>
        <w:gridCol w:w="2056"/>
        <w:gridCol w:w="2221"/>
        <w:gridCol w:w="2221"/>
        <w:gridCol w:w="2566"/>
      </w:tblGrid>
      <w:tr>
        <w:trPr/>
        <w:tc>
          <w:tcPr>
            <w:tcW w:w="2056"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Facility Assigned</w:t>
            </w:r>
          </w:p>
        </w:tc>
        <w:tc>
          <w:tcPr>
            <w:tcW w:w="2221"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Aggregate</w:t>
              <w:br/>
              <w:t>Commitment/Loans</w:t>
              <w:br/>
              <w:t>for All Lenders</w:t>
            </w:r>
          </w:p>
        </w:tc>
        <w:tc>
          <w:tcPr>
            <w:tcW w:w="2221"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Amount of</w:t>
              <w:br/>
              <w:t>Commitment/Loans</w:t>
              <w:br/>
              <w:t>Assigned</w:t>
            </w:r>
          </w:p>
        </w:tc>
        <w:tc>
          <w:tcPr>
            <w:tcW w:w="2566"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Percentage Assigned</w:t>
              <w:br/>
              <w:t>of Commitment/Loans</w:t>
            </w:r>
          </w:p>
        </w:tc>
      </w:tr>
      <w:tr>
        <w:trPr/>
        <w:tc>
          <w:tcPr>
            <w:tcW w:w="205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Term Loan</w:t>
            </w:r>
          </w:p>
        </w:tc>
        <w:tc>
          <w:tcPr>
            <w:tcW w:w="2221"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$____________</w:t>
            </w:r>
          </w:p>
        </w:tc>
        <w:tc>
          <w:tcPr>
            <w:tcW w:w="2221"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$____________</w:t>
            </w:r>
          </w:p>
        </w:tc>
        <w:tc>
          <w:tcPr>
            <w:tcW w:w="2566"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G</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Additional Guarantor Supplement</w:t>
      </w:r>
    </w:p>
    <w:p>
      <w:pPr>
        <w:pStyle w:val="TextBody"/>
        <w:bidi w:val="0"/>
        <w:spacing w:before="0" w:after="240"/>
        <w:ind w:left="0" w:right="0" w:firstLine="720"/>
        <w:jc w:val="right"/>
        <w:rPr>
          <w:rFonts w:ascii="Times" w:hAnsi="Times"/>
          <w:sz w:val="24"/>
        </w:rPr>
      </w:pPr>
      <w:r>
        <w:rPr>
          <w:rFonts w:ascii="Times" w:hAnsi="Times"/>
          <w:sz w:val="24"/>
        </w:rPr>
        <w:t>______________, ___</w:t>
      </w:r>
    </w:p>
    <w:p>
      <w:pPr>
        <w:pStyle w:val="TextBody"/>
        <w:bidi w:val="0"/>
        <w:spacing w:before="140" w:after="240"/>
        <w:ind w:left="0" w:right="4320" w:hanging="0"/>
        <w:jc w:val="both"/>
        <w:rPr>
          <w:rFonts w:ascii="Times New Roman;Times;serif" w:hAnsi="Times New Roman;Times;serif"/>
          <w:sz w:val="24"/>
        </w:rPr>
      </w:pPr>
      <w:r>
        <w:rPr>
          <w:rFonts w:ascii="Times" w:hAnsi="Times"/>
          <w:sz w:val="24"/>
        </w:rPr>
        <w:t>Truist Bank, N.A.,</w:t>
      </w:r>
      <w:r>
        <w:rPr>
          <w:rFonts w:ascii="Times New Roman;Times;serif" w:hAnsi="Times New Roman;Times;serif"/>
          <w:smallCaps/>
          <w:sz w:val="24"/>
        </w:rPr>
        <w:t xml:space="preserve"> </w:t>
      </w:r>
      <w:r>
        <w:rPr>
          <w:rFonts w:ascii="Times" w:hAnsi="Times"/>
          <w:sz w:val="24"/>
        </w:rPr>
        <w:t xml:space="preserve">as Administrative Agent for the Lenders named in the Credit Agreement dated as of May 21, 2021, among Alpine Income Property OP, LP, as Borrower, the Guarantors signatories thereto, the Lenders from time to time party thereto, and the Administrative Agent (the </w:t>
      </w:r>
      <w:r>
        <w:rPr>
          <w:rFonts w:ascii="Times New Roman;Times;serif" w:hAnsi="Times New Roman;Times;serif"/>
          <w:sz w:val="24"/>
        </w:rPr>
        <w:t>“</w:t>
      </w:r>
      <w:r>
        <w:rPr>
          <w:rFonts w:ascii="Times" w:hAnsi="Times"/>
          <w:i/>
          <w:sz w:val="24"/>
        </w:rPr>
        <w:t>Credit Agreement”</w:t>
      </w:r>
      <w:r>
        <w:rPr>
          <w:rFonts w:ascii="Times" w:hAnsi="Times"/>
          <w:sz w:val="24"/>
        </w:rPr>
        <w:t>)</w:t>
      </w:r>
    </w:p>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0" w:after="240"/>
        <w:ind w:left="0" w:right="0" w:firstLine="720"/>
        <w:jc w:val="both"/>
        <w:rPr>
          <w:rFonts w:ascii="Times" w:hAnsi="Times"/>
          <w:sz w:val="24"/>
        </w:rPr>
      </w:pPr>
      <w:r>
        <w:rPr>
          <w:rFonts w:ascii="Times" w:hAnsi="Times"/>
          <w:sz w:val="24"/>
        </w:rPr>
        <w:t>Reference is made to the Credit Agreement described above.  Terms not defined herein which are defined in the Credit Agreement shall have for the purposes hereof the meaning provided therein.</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The undersigned, </w:t>
      </w:r>
      <w:r>
        <w:rPr>
          <w:rFonts w:ascii="Times" w:hAnsi="Times"/>
          <w:b/>
          <w:sz w:val="24"/>
        </w:rPr>
        <w:t>[name of Subsidiary Guarantor]</w:t>
      </w:r>
      <w:r>
        <w:rPr>
          <w:rFonts w:ascii="Times" w:hAnsi="Times"/>
          <w:sz w:val="24"/>
        </w:rPr>
        <w:t xml:space="preserve">, a </w:t>
      </w:r>
      <w:r>
        <w:rPr>
          <w:rFonts w:ascii="Times" w:hAnsi="Times"/>
          <w:b/>
          <w:sz w:val="24"/>
        </w:rPr>
        <w:t>[jurisdiction of incorporation or organization]</w:t>
      </w:r>
      <w:r>
        <w:rPr>
          <w:rFonts w:ascii="Times New Roman;Times;serif" w:hAnsi="Times New Roman;Times;serif"/>
          <w:sz w:val="24"/>
        </w:rPr>
        <w:t xml:space="preserve"> </w:t>
      </w:r>
      <w:r>
        <w:rPr>
          <w:rFonts w:ascii="Times" w:hAnsi="Times"/>
          <w:sz w:val="24"/>
        </w:rPr>
        <w:t xml:space="preserve">hereby elects to be a </w:t>
      </w:r>
      <w:r>
        <w:rPr>
          <w:rFonts w:ascii="Times New Roman;Times;serif" w:hAnsi="Times New Roman;Times;serif"/>
          <w:sz w:val="24"/>
        </w:rPr>
        <w:t>“</w:t>
      </w:r>
      <w:r>
        <w:rPr>
          <w:rFonts w:ascii="Times" w:hAnsi="Times"/>
          <w:i/>
          <w:sz w:val="24"/>
        </w:rPr>
        <w:t>Guarantor”</w:t>
      </w:r>
      <w:r>
        <w:rPr>
          <w:rFonts w:ascii="Times New Roman;Times;serif" w:hAnsi="Times New Roman;Times;serif"/>
          <w:sz w:val="24"/>
        </w:rPr>
        <w:t xml:space="preserve"> </w:t>
      </w:r>
      <w:r>
        <w:rPr>
          <w:rFonts w:ascii="Times" w:hAnsi="Times"/>
          <w:sz w:val="24"/>
        </w:rPr>
        <w:t>for all purposes of the Credit Agreement, effective from 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pStyle w:val="TextBody"/>
        <w:bidi w:val="0"/>
        <w:spacing w:before="0" w:after="240"/>
        <w:ind w:left="0" w:right="0" w:firstLine="720"/>
        <w:jc w:val="both"/>
        <w:rPr>
          <w:rFonts w:ascii="Times" w:hAnsi="Times"/>
          <w:sz w:val="24"/>
        </w:rPr>
      </w:pPr>
      <w:r>
        <w:rPr>
          <w:rFonts w:ascii="Times" w:hAnsi="Times"/>
          <w:sz w:val="24"/>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  </w:t>
      </w:r>
    </w:p>
    <w:p>
      <w:pPr>
        <w:pStyle w:val="TextBody"/>
        <w:bidi w:val="0"/>
        <w:spacing w:before="0" w:after="240"/>
        <w:ind w:left="0" w:right="0" w:firstLine="720"/>
        <w:jc w:val="both"/>
        <w:rPr>
          <w:rFonts w:ascii="Times" w:hAnsi="Times"/>
          <w:sz w:val="24"/>
        </w:rPr>
      </w:pPr>
      <w:r>
        <w:rPr>
          <w:rFonts w:ascii="Times" w:hAnsi="Times"/>
          <w:sz w:val="24"/>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tbl>
      <w:tblPr>
        <w:tblW w:w="3873" w:type="dxa"/>
        <w:jc w:val="left"/>
        <w:tblInd w:w="0" w:type="dxa"/>
        <w:tblLayout w:type="fixed"/>
        <w:tblCellMar>
          <w:top w:w="0" w:type="dxa"/>
          <w:left w:w="0" w:type="dxa"/>
          <w:bottom w:w="0" w:type="dxa"/>
          <w:right w:w="0" w:type="dxa"/>
        </w:tblCellMar>
      </w:tblPr>
      <w:tblGrid>
        <w:gridCol w:w="124"/>
        <w:gridCol w:w="2974"/>
        <w:gridCol w:w="99"/>
        <w:gridCol w:w="67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78740" cy="175260"/>
                      <wp:effectExtent l="0" t="0" r="0" b="0"/>
                      <wp:wrapNone/>
                      <wp:docPr id="609" name="Frame60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951355" cy="29210"/>
                      <wp:effectExtent l="0" t="0" r="0" b="0"/>
                      <wp:wrapNone/>
                      <wp:docPr id="610" name="Frame610"/>
                      <a:graphic xmlns:a="http://schemas.openxmlformats.org/drawingml/2006/main">
                        <a:graphicData uri="http://schemas.microsoft.com/office/word/2010/wordprocessingShape">
                          <wps:wsp>
                            <wps:cNvSpPr txBox="1"/>
                            <wps:spPr>
                              <a:xfrm>
                                <a:off x="0" y="0"/>
                                <a:ext cx="19513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429260" cy="175260"/>
                      <wp:effectExtent l="0" t="0" r="0" b="0"/>
                      <wp:wrapNone/>
                      <wp:docPr id="611" name="Frame6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smallCaps/>
              </w:rPr>
            </w:pPr>
            <w:r>
              <w:rPr>
                <w:smallCaps/>
              </w:rPr>
              <w:t>​</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[Name of Subsidiary Guarantor]</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4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7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7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7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504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H</w:t>
        <w:br/>
        <w:br/>
        <w:t>Commitment Amount Increase Request</w:t>
      </w:r>
    </w:p>
    <w:p>
      <w:pPr>
        <w:pStyle w:val="TextBody"/>
        <w:bidi w:val="0"/>
        <w:spacing w:before="360" w:after="640"/>
        <w:ind w:left="0" w:right="0" w:hanging="0"/>
        <w:jc w:val="center"/>
        <w:rPr>
          <w:rFonts w:ascii="Times New Roman;Times;serif" w:hAnsi="Times New Roman;Times;serif"/>
          <w:sz w:val="24"/>
        </w:rPr>
      </w:pPr>
      <w:r>
        <w:rPr>
          <w:rFonts w:ascii="Times New Roman;Times;serif" w:hAnsi="Times New Roman;Times;serif"/>
          <w:sz w:val="24"/>
        </w:rPr>
        <w:t>_______________, ____</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40"/>
              <w:jc w:val="both"/>
              <w:rPr>
                <w:rFonts w:ascii="Times" w:hAnsi="Times"/>
                <w:sz w:val="24"/>
              </w:rPr>
            </w:pPr>
            <w:r>
              <w:rPr>
                <w:rFonts w:ascii="Times" w:hAnsi="Times"/>
                <w:sz w:val="24"/>
              </w:rPr>
              <w:t>To:</w:t>
            </w:r>
          </w:p>
        </w:tc>
        <w:tc>
          <w:tcPr>
            <w:tcW w:w="9900" w:type="dxa"/>
            <w:tcBorders/>
            <w:vAlign w:val="center"/>
          </w:tcPr>
          <w:p>
            <w:pPr>
              <w:pStyle w:val="TableContents"/>
              <w:bidi w:val="0"/>
              <w:spacing w:before="0" w:after="240"/>
              <w:jc w:val="both"/>
              <w:rPr>
                <w:rFonts w:ascii="Times New Roman;Times;serif" w:hAnsi="Times New Roman;Times;serif"/>
                <w:sz w:val="24"/>
              </w:rPr>
            </w:pPr>
            <w:r>
              <w:rPr>
                <w:rFonts w:ascii="Times" w:hAnsi="Times"/>
                <w:sz w:val="24"/>
              </w:rPr>
              <w:t xml:space="preserve">Truist Bank, N.A., as Administrative Agent for the Lenders parties to the Credit Agreement dated as of May 21, 2021 (as extended, renewed, amended or restated from time to time, the </w:t>
            </w:r>
            <w:r>
              <w:rPr>
                <w:rFonts w:ascii="Times New Roman;Times;serif" w:hAnsi="Times New Roman;Times;serif"/>
                <w:sz w:val="24"/>
              </w:rPr>
              <w:t>“</w:t>
            </w:r>
            <w:r>
              <w:rPr>
                <w:rFonts w:ascii="Times" w:hAnsi="Times"/>
                <w:i/>
                <w:sz w:val="24"/>
              </w:rPr>
              <w:t>Credit Agreement”</w:t>
            </w:r>
            <w:r>
              <w:rPr>
                <w:rFonts w:ascii="Times" w:hAnsi="Times"/>
                <w:sz w:val="24"/>
              </w:rPr>
              <w:t>), among Alpine Income Property OP, LP, the Guarantors which are signatories thereto, certain Lenders parties thereto, and Truist Bank, N.A., as Administrative Agent</w:t>
            </w:r>
          </w:p>
        </w:tc>
      </w:tr>
    </w:tbl>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The undersigned, Alpine Income Property OP, LP (the </w:t>
      </w:r>
      <w:r>
        <w:rPr>
          <w:rFonts w:ascii="Times New Roman;Times;serif" w:hAnsi="Times New Roman;Times;serif"/>
          <w:sz w:val="24"/>
        </w:rPr>
        <w:t>“</w:t>
      </w:r>
      <w:r>
        <w:rPr>
          <w:rFonts w:ascii="Times" w:hAnsi="Times"/>
          <w:i/>
          <w:sz w:val="24"/>
        </w:rPr>
        <w:t>Borrower”</w:t>
      </w:r>
      <w:r>
        <w:rPr>
          <w:rFonts w:ascii="Times" w:hAnsi="Times"/>
          <w:sz w:val="24"/>
        </w:rPr>
        <w:t xml:space="preserve">) hereby refers to the Credit Agreement and requests that the Administrative Agent consent to an increase in the aggregate Commitments (the </w:t>
      </w:r>
      <w:r>
        <w:rPr>
          <w:rFonts w:ascii="Times New Roman;Times;serif" w:hAnsi="Times New Roman;Times;serif"/>
          <w:sz w:val="24"/>
        </w:rPr>
        <w:t>“</w:t>
      </w:r>
      <w:r>
        <w:rPr>
          <w:rFonts w:ascii="Times" w:hAnsi="Times"/>
          <w:i/>
          <w:sz w:val="24"/>
        </w:rPr>
        <w:t>Commitment Increase”</w:t>
      </w:r>
      <w:r>
        <w:rPr>
          <w:rFonts w:ascii="Times" w:hAnsi="Times"/>
          <w:sz w:val="24"/>
        </w:rPr>
        <w:t xml:space="preserve">), in accordance with Section 1.15 of the Credit Agreement, to be effected by </w:t>
      </w:r>
      <w:r>
        <w:rPr>
          <w:rFonts w:ascii="Times" w:hAnsi="Times"/>
          <w:b/>
          <w:sz w:val="24"/>
        </w:rPr>
        <w:t xml:space="preserve">[an increase in the Commitment of [name of existing Lender]] [the addition of [name of new Lender] (the </w:t>
      </w:r>
      <w:r>
        <w:rPr>
          <w:rFonts w:ascii="Times New Roman;Times;serif" w:hAnsi="Times New Roman;Times;serif"/>
          <w:sz w:val="24"/>
        </w:rPr>
        <w:t>“</w:t>
      </w:r>
      <w:r>
        <w:rPr>
          <w:rFonts w:ascii="Times" w:hAnsi="Times"/>
          <w:b/>
          <w:i/>
          <w:sz w:val="24"/>
        </w:rPr>
        <w:t>New Lender”</w:t>
      </w:r>
      <w:r>
        <w:rPr>
          <w:rFonts w:ascii="Times" w:hAnsi="Times"/>
          <w:b/>
          <w:sz w:val="24"/>
        </w:rPr>
        <w:t>) as a Lender under the terms of the Credit Agreement]</w:t>
      </w:r>
      <w:r>
        <w:rPr>
          <w:rFonts w:ascii="Times" w:hAnsi="Times"/>
          <w:sz w:val="24"/>
        </w:rPr>
        <w:t>.  Capitalized terms used herein without definition shall have the same meanings herein as such terms have in the Credit Agreement.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After giving effect to such Commitment Increase, the Commitment of the </w:t>
      </w:r>
      <w:r>
        <w:rPr>
          <w:rFonts w:ascii="Times" w:hAnsi="Times"/>
          <w:b/>
          <w:sz w:val="24"/>
        </w:rPr>
        <w:t xml:space="preserve">[Lender] [New Lender] </w:t>
      </w:r>
      <w:r>
        <w:rPr>
          <w:rFonts w:ascii="Times" w:hAnsi="Times"/>
          <w:sz w:val="24"/>
        </w:rPr>
        <w:t>shall be $_____________.</w:t>
      </w:r>
    </w:p>
    <w:p>
      <w:pPr>
        <w:pStyle w:val="TextBody"/>
        <w:bidi w:val="0"/>
        <w:spacing w:before="0" w:after="240"/>
        <w:ind w:left="0" w:right="0" w:firstLine="720"/>
        <w:jc w:val="center"/>
        <w:rPr>
          <w:rFonts w:ascii="Times" w:hAnsi="Times"/>
          <w:b/>
          <w:sz w:val="24"/>
        </w:rPr>
      </w:pPr>
      <w:r>
        <w:rPr>
          <w:rFonts w:ascii="Times" w:hAnsi="Times"/>
          <w:b/>
          <w:sz w:val="24"/>
        </w:rPr>
        <w:t>[Include paragraphs 1-4 for a New Lender]</w:t>
      </w:r>
    </w:p>
    <w:p>
      <w:pPr>
        <w:pStyle w:val="TextBody"/>
        <w:bidi w:val="0"/>
        <w:spacing w:before="0" w:after="240"/>
        <w:ind w:left="0" w:right="0" w:hanging="0"/>
        <w:jc w:val="both"/>
        <w:rPr>
          <w:rFonts w:ascii="Times" w:hAnsi="Times"/>
          <w:sz w:val="24"/>
        </w:rPr>
      </w:pPr>
      <w:r>
        <w:rPr>
          <w:rFonts w:ascii="Times" w:hAnsi="Times"/>
          <w:sz w:val="24"/>
        </w:rPr>
        <w:t>1.The New Lender hereby confirms that it has received a copy of the Loan Documents and the exhibits related thereto, together with copies of the documents which were required to be delivered under the Credit Agreement as a condition to the making of the Term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pStyle w:val="TextBody"/>
        <w:bidi w:val="0"/>
        <w:spacing w:before="0" w:after="240"/>
        <w:ind w:left="0" w:right="0" w:hanging="0"/>
        <w:jc w:val="both"/>
        <w:rPr>
          <w:rFonts w:ascii="Times New Roman;Times;serif" w:hAnsi="Times New Roman;Times;serif"/>
          <w:sz w:val="24"/>
        </w:rPr>
      </w:pPr>
      <w:r>
        <w:rPr>
          <w:rFonts w:ascii="Times" w:hAnsi="Times"/>
          <w:sz w:val="24"/>
        </w:rPr>
        <w:t xml:space="preserve">2.Except as otherwise provided in the Credit Agreement, effective as of the date of acceptance hereof by the Administrative Agent, the New Lender (i) shall be deemed automatically to have become a party to the Credit Agreement and have all the rights and obligations of a </w:t>
      </w:r>
      <w:r>
        <w:rPr>
          <w:rFonts w:ascii="Times New Roman;Times;serif" w:hAnsi="Times New Roman;Times;serif"/>
          <w:sz w:val="24"/>
        </w:rPr>
        <w:t>“</w:t>
      </w:r>
      <w:r>
        <w:rPr>
          <w:rFonts w:ascii="Times" w:hAnsi="Times"/>
          <w:i/>
          <w:sz w:val="24"/>
        </w:rPr>
        <w:t>Lender”</w:t>
      </w:r>
      <w:r>
        <w:rPr>
          <w:rFonts w:ascii="Times New Roman;Times;serif" w:hAnsi="Times New Roman;Times;serif"/>
          <w:sz w:val="24"/>
        </w:rPr>
        <w:t xml:space="preserve"> </w:t>
      </w:r>
      <w:r>
        <w:rPr>
          <w:rFonts w:ascii="Times" w:hAnsi="Times"/>
          <w:sz w:val="24"/>
        </w:rPr>
        <w:t>under the Credit Agreement as if it were an original signatory thereto and (ii) agrees to be bound by the terms and conditions set forth in the Credit Agreement as if it were an original signatory thereto.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3.The New Lender shall deliver to the Administrative Agent an Administrative Questionnaire and shall have executed an Incremental Term Loan Amendment.</w:t>
      </w:r>
    </w:p>
    <w:p>
      <w:pPr>
        <w:pStyle w:val="TextBody"/>
        <w:bidi w:val="0"/>
        <w:ind w:left="0" w:right="0" w:hanging="0"/>
        <w:jc w:val="both"/>
        <w:rPr/>
      </w:pPr>
      <w:r>
        <w:rPr>
          <w:rFonts w:ascii="Times" w:hAnsi="Times"/>
          <w:b/>
          <w:sz w:val="24"/>
        </w:rPr>
        <w:t>[4.The New Lender has delivered, if appropriate, to the Borrower and the Administrative Agent (or is delivering to the Borrower and the Administrative Agent concurrently herewith) the tax forms referred to in [Section 12.1] of the Credit Agreement.]</w:t>
      </w:r>
      <w:hyperlink w:anchor="footnote-8">
        <w:r>
          <w:rPr>
            <w:rStyle w:val="InternetLink"/>
            <w:rFonts w:ascii="Symbol" w:hAnsi="Symbol"/>
            <w:b w:val="false"/>
            <w:sz w:val="20"/>
          </w:rPr>
          <w:t>*</w:t>
        </w:r>
      </w:hyperlink>
    </w:p>
    <w:p>
      <w:pPr>
        <w:pStyle w:val="TextBody"/>
        <w:bidi w:val="0"/>
        <w:spacing w:before="160" w:after="240"/>
        <w:ind w:left="0" w:right="0" w:firstLine="720"/>
        <w:jc w:val="both"/>
        <w:rPr>
          <w:rFonts w:ascii="Times" w:hAnsi="Times"/>
          <w:smallCaps/>
          <w:sz w:val="24"/>
        </w:rPr>
      </w:pPr>
      <w:r>
        <w:rPr>
          <w:rFonts w:ascii="Times" w:hAnsi="Times"/>
          <w:smallCaps/>
          <w:sz w:val="24"/>
        </w:rPr>
        <w:t>This Agreement shall be deemed to be a contractual obligation under, and shall be governed by and construed in accordance with, the internal laws of the state of New York.</w:t>
      </w:r>
    </w:p>
    <w:p>
      <w:pPr>
        <w:pStyle w:val="TextBody"/>
        <w:bidi w:val="0"/>
        <w:spacing w:before="0" w:after="240"/>
        <w:ind w:left="0" w:right="0" w:firstLine="720"/>
        <w:jc w:val="both"/>
        <w:rPr>
          <w:rFonts w:ascii="Times" w:hAnsi="Times"/>
          <w:sz w:val="24"/>
        </w:rPr>
      </w:pPr>
      <w:r>
        <w:rPr>
          <w:rFonts w:ascii="Times" w:hAnsi="Times"/>
          <w:sz w:val="24"/>
        </w:rPr>
        <w:t>The Commitment Increase shall be effective when the executed (x) Incremental Term Loan Amendment, (y) consent of the Administrative Agent is received or otherwise in accordance with Section 1.15 of the Credit Agreement, but not in any case prior to ___________________, ____.  It shall be a condition to the effectiveness of the Commitment Increase that all expenses referred to in Section 1.15 of the Credit Agreement shall have been paid.</w:t>
      </w:r>
    </w:p>
    <w:p>
      <w:pPr>
        <w:pStyle w:val="TextBody"/>
        <w:bidi w:val="0"/>
        <w:spacing w:before="0" w:after="240"/>
        <w:ind w:left="0" w:right="0" w:firstLine="720"/>
        <w:jc w:val="both"/>
        <w:rPr>
          <w:rFonts w:ascii="Times" w:hAnsi="Times"/>
          <w:sz w:val="24"/>
        </w:rPr>
      </w:pPr>
      <w:r>
        <w:rPr>
          <w:rFonts w:ascii="Times" w:hAnsi="Times"/>
          <w:sz w:val="24"/>
        </w:rPr>
        <w:t>The Borrower hereby certifies that no Default or Event of Default has occurred and is continuing.</w:t>
      </w:r>
    </w:p>
    <w:p>
      <w:pPr>
        <w:pStyle w:val="TextBody"/>
        <w:pBdr/>
        <w:bidi w:val="0"/>
        <w:spacing w:before="0" w:after="0"/>
        <w:ind w:left="0" w:right="0" w:hanging="180"/>
        <w:jc w:val="left"/>
        <w:rPr>
          <w:rFonts w:ascii="Times New Roman;Times;serif" w:hAnsi="Times New Roman;Times;serif"/>
          <w:sz w:val="20"/>
        </w:rPr>
      </w:pPr>
      <w:bookmarkStart w:id="2429" w:name="footnote-81"/>
      <w:bookmarkEnd w:id="2429"/>
      <w:r>
        <w:rPr>
          <w:rFonts w:ascii="Symbol" w:hAnsi="Symbol"/>
          <w:sz w:val="15"/>
        </w:rPr>
        <w:t>*</w:t>
      </w:r>
      <w:r>
        <w:rPr>
          <w:rFonts w:ascii="Times New Roman;Times;serif" w:hAnsi="Times New Roman;Times;serif"/>
          <w:sz w:val="20"/>
        </w:rPr>
        <w:t xml:space="preserve"> Insert bracketed paragraph if New Lender is organized under the law of a jurisdiction other than the United States of America or a state thereof.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Please indicate the Administrative Agent’s consent to such Commitment Increase by signing the enclosed copy of this letter in the space provided below.</w:t>
      </w:r>
    </w:p>
    <w:tbl>
      <w:tblPr>
        <w:tblW w:w="6122" w:type="dxa"/>
        <w:jc w:val="left"/>
        <w:tblInd w:w="0" w:type="dxa"/>
        <w:tblLayout w:type="fixed"/>
        <w:tblCellMar>
          <w:top w:w="0" w:type="dxa"/>
          <w:left w:w="0" w:type="dxa"/>
          <w:bottom w:w="0" w:type="dxa"/>
          <w:right w:w="0" w:type="dxa"/>
        </w:tblCellMar>
      </w:tblPr>
      <w:tblGrid>
        <w:gridCol w:w="124"/>
        <w:gridCol w:w="3887"/>
        <w:gridCol w:w="213"/>
        <w:gridCol w:w="213"/>
        <w:gridCol w:w="213"/>
        <w:gridCol w:w="147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78740" cy="175260"/>
                      <wp:effectExtent l="0" t="0" r="0" b="0"/>
                      <wp:wrapNone/>
                      <wp:docPr id="612" name="Frame6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3"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738755" cy="29210"/>
                      <wp:effectExtent l="0" t="0" r="0" b="0"/>
                      <wp:wrapNone/>
                      <wp:docPr id="613" name="Frame613"/>
                      <a:graphic xmlns:a="http://schemas.openxmlformats.org/drawingml/2006/main">
                        <a:graphicData uri="http://schemas.microsoft.com/office/word/2010/wordprocessingShape">
                          <wps:wsp>
                            <wps:cNvSpPr txBox="1"/>
                            <wps:spPr>
                              <a:xfrm>
                                <a:off x="0" y="0"/>
                                <a:ext cx="27387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069975" cy="175260"/>
                      <wp:effectExtent l="0" t="0" r="0" b="0"/>
                      <wp:wrapNone/>
                      <wp:docPr id="614" name="Frame614"/>
                      <a:graphic xmlns:a="http://schemas.openxmlformats.org/drawingml/2006/main">
                        <a:graphicData uri="http://schemas.microsoft.com/office/word/2010/wordprocessingShape">
                          <wps:wsp>
                            <wps:cNvSpPr txBox="1"/>
                            <wps:spPr>
                              <a:xfrm>
                                <a:off x="0" y="0"/>
                                <a:ext cx="1069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11" w:type="dxa"/>
            <w:gridSpan w:val="4"/>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1898"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898" w:type="dxa"/>
            <w:gridSpan w:val="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pPr>
            <w:r>
              <w:rPr/>
              <w:t>​</w:t>
            </w:r>
          </w:p>
        </w:tc>
        <w:tc>
          <w:tcPr>
            <w:tcW w:w="211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8" w:type="dxa"/>
            <w:gridSpan w:val="5"/>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w:t>
            </w:r>
            <w:r>
              <w:rPr>
                <w:rFonts w:ascii="Times New Roman;Times;serif" w:hAnsi="Times New Roman;Times;serif"/>
                <w:b/>
                <w:smallCaps/>
                <w:sz w:val="24"/>
              </w:rPr>
              <w:t>New or existing Lender Increasing Commitments]</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pPr>
            <w:r>
              <w:rPr/>
              <w:t>​</w:t>
            </w:r>
          </w:p>
        </w:tc>
        <w:tc>
          <w:tcPr>
            <w:tcW w:w="211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pPr>
            <w:r>
              <w:rPr/>
              <w:t>​</w:t>
            </w:r>
          </w:p>
        </w:tc>
        <w:tc>
          <w:tcPr>
            <w:tcW w:w="2111"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11" w:type="dxa"/>
            <w:gridSpan w:val="4"/>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2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147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26"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47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undersigned hereby consents on this        day of _____________, _____ to the above-requested Commitment Amount Increase.</w:t>
      </w:r>
    </w:p>
    <w:tbl>
      <w:tblPr>
        <w:tblW w:w="4623" w:type="dxa"/>
        <w:jc w:val="left"/>
        <w:tblInd w:w="0" w:type="dxa"/>
        <w:tblLayout w:type="fixed"/>
        <w:tblCellMar>
          <w:top w:w="0" w:type="dxa"/>
          <w:left w:w="0" w:type="dxa"/>
          <w:bottom w:w="0" w:type="dxa"/>
          <w:right w:w="0" w:type="dxa"/>
        </w:tblCellMar>
      </w:tblPr>
      <w:tblGrid>
        <w:gridCol w:w="3373"/>
        <w:gridCol w:w="188"/>
        <w:gridCol w:w="908"/>
        <w:gridCol w:w="154"/>
      </w:tblGrid>
      <w:tr>
        <w:trPr/>
        <w:tc>
          <w:tcPr>
            <w:tcW w:w="356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261235" cy="29210"/>
                      <wp:effectExtent l="0" t="0" r="0" b="0"/>
                      <wp:wrapNone/>
                      <wp:docPr id="615" name="Frame615"/>
                      <a:graphic xmlns:a="http://schemas.openxmlformats.org/drawingml/2006/main">
                        <a:graphicData uri="http://schemas.microsoft.com/office/word/2010/wordprocessingShape">
                          <wps:wsp>
                            <wps:cNvSpPr txBox="1"/>
                            <wps:spPr>
                              <a:xfrm>
                                <a:off x="0" y="0"/>
                                <a:ext cx="2261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76580" cy="175260"/>
                      <wp:effectExtent l="0" t="0" r="0" b="0"/>
                      <wp:wrapNone/>
                      <wp:docPr id="616" name="Frame616"/>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46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mallCaps/>
                <w:sz w:val="24"/>
              </w:rPr>
              <w:t>Truist Bank, N.A., </w:t>
            </w:r>
            <w:r>
              <w:rPr>
                <w:rFonts w:ascii="Times New Roman;Times;serif" w:hAnsi="Times New Roman;Times;serif"/>
                <w:sz w:val="24"/>
              </w:rPr>
              <w:t>as Administrative Agent</w:t>
            </w:r>
          </w:p>
        </w:tc>
        <w:tc>
          <w:tcPr>
            <w:tcW w:w="154" w:type="dxa"/>
            <w:tcBorders/>
            <w:vAlign w:val="center"/>
          </w:tcPr>
          <w:p>
            <w:pPr>
              <w:pStyle w:val="TableContents"/>
              <w:bidi w:val="0"/>
              <w:spacing w:before="0" w:after="0"/>
              <w:ind w:left="0" w:right="0" w:hanging="0"/>
              <w:jc w:val="left"/>
              <w:rPr/>
            </w:pPr>
            <w:r>
              <w:rPr/>
              <w:t>​</w:t>
            </w:r>
          </w:p>
        </w:tc>
      </w:tr>
      <w:tr>
        <w:trPr/>
        <w:tc>
          <w:tcPr>
            <w:tcW w:w="3373"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73"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61"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90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61"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90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360"/>
        <w:jc w:val="left"/>
        <w:rPr/>
      </w:pPr>
      <w:r>
        <w:rPr/>
        <w:t>​</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I</w:t>
        <w:br/>
        <w:br/>
        <w:t>[Reserved]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I-1]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I</w:t>
        <w:br/>
        <w:br/>
        <w:t>Commitments</w:t>
      </w:r>
    </w:p>
    <w:p>
      <w:pPr>
        <w:pStyle w:val="TextBody"/>
        <w:bidi w:val="0"/>
        <w:spacing w:before="0" w:after="0"/>
        <w:ind w:left="0" w:right="0" w:hanging="0"/>
        <w:jc w:val="left"/>
        <w:rPr/>
      </w:pPr>
      <w:r>
        <w:rPr/>
        <w:t>​</w:t>
      </w:r>
    </w:p>
    <w:tbl>
      <w:tblPr>
        <w:tblW w:w="5882" w:type="dxa"/>
        <w:jc w:val="left"/>
        <w:tblInd w:w="0" w:type="dxa"/>
        <w:tblLayout w:type="fixed"/>
        <w:tblCellMar>
          <w:top w:w="0" w:type="dxa"/>
          <w:left w:w="0" w:type="dxa"/>
          <w:bottom w:w="0" w:type="dxa"/>
          <w:right w:w="0" w:type="dxa"/>
        </w:tblCellMar>
      </w:tblPr>
      <w:tblGrid>
        <w:gridCol w:w="3166"/>
        <w:gridCol w:w="2716"/>
      </w:tblGrid>
      <w:tr>
        <w:trPr/>
        <w:tc>
          <w:tcPr>
            <w:tcW w:w="3166"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left"/>
              <w:rPr/>
            </w:pPr>
            <w:r>
              <w:rPr/>
              <w:t>​</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Name of Lender</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Term Loan Commitment</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Truist Bank</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$22,500,000.00</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Bank of Montreal</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$13,750,000.00</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Raymond James Bank, N.A.</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$13,750,000.00</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Stifel Bank &amp; Trust</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$20,000,000.00</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The Huntington National Bank</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$5,000,000.00</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KeyBank National Association</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$5,000,000.00</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Regions Bank</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$5,000,000.00</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U.S. Bank National Association</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$5,000,000.00</w:t>
            </w:r>
          </w:p>
        </w:tc>
      </w:tr>
      <w:tr>
        <w:trPr/>
        <w:tc>
          <w:tcPr>
            <w:tcW w:w="31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Synovus Financial Corporation</w:t>
            </w:r>
          </w:p>
        </w:tc>
        <w:tc>
          <w:tcPr>
            <w:tcW w:w="2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$10,000,000.00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1.1</w:t>
      </w:r>
    </w:p>
    <w:p>
      <w:pPr>
        <w:pStyle w:val="TextBody"/>
        <w:bidi w:val="0"/>
        <w:spacing w:before="0" w:after="0"/>
        <w:ind w:left="0" w:right="0" w:hanging="0"/>
        <w:jc w:val="center"/>
        <w:rPr/>
      </w:pPr>
      <w:bookmarkStart w:id="2430" w:name="_cp_change_561"/>
      <w:bookmarkEnd w:id="2430"/>
      <w:r>
        <w:rPr>
          <w:smallCaps/>
          <w:color w:val="FF0000"/>
        </w:rPr>
        <w:t>​</w:t>
      </w:r>
      <w:r>
        <w:rPr>
          <w:rFonts w:ascii="Times New Roman;Times;serif" w:hAnsi="Times New Roman;Times;serif"/>
          <w:b/>
          <w:smallCaps/>
          <w:color w:val="FF0000"/>
          <w:sz w:val="24"/>
        </w:rPr>
        <w:br/>
      </w:r>
      <w:bookmarkStart w:id="2431" w:name="_cp_change_562"/>
      <w:bookmarkEnd w:id="2431"/>
      <w:r>
        <w:rPr>
          <w:rFonts w:ascii="Times New Roman;Times;serif" w:hAnsi="Times New Roman;Times;serif"/>
          <w:smallCaps/>
          <w:color w:val="FF0000"/>
          <w:sz w:val="24"/>
        </w:rPr>
        <w:t>​​</w:t>
      </w:r>
    </w:p>
    <w:p>
      <w:pPr>
        <w:pStyle w:val="TextBody"/>
        <w:bidi w:val="0"/>
        <w:spacing w:before="0" w:after="240"/>
        <w:ind w:left="0" w:right="0" w:hanging="0"/>
        <w:jc w:val="center"/>
        <w:rPr>
          <w:rFonts w:ascii="Times New Roman;Times;serif" w:hAnsi="Times New Roman;Times;serif"/>
          <w:b/>
          <w:smallCaps/>
          <w:color w:val="0000FF"/>
          <w:sz w:val="24"/>
        </w:rPr>
      </w:pPr>
      <w:bookmarkStart w:id="2432" w:name="_cp_change_563"/>
      <w:bookmarkEnd w:id="2432"/>
      <w:r>
        <w:rPr>
          <w:rFonts w:ascii="Times New Roman;Times;serif" w:hAnsi="Times New Roman;Times;serif"/>
          <w:b/>
          <w:smallCaps/>
          <w:color w:val="0000FF"/>
          <w:sz w:val="24"/>
        </w:rPr>
        <w:t>INITIAL UNEMCUMBERED ASSETS</w:t>
      </w:r>
    </w:p>
    <w:p>
      <w:pPr>
        <w:pStyle w:val="TextBody"/>
        <w:bidi w:val="0"/>
        <w:spacing w:before="0" w:after="240"/>
        <w:ind w:left="0" w:right="0" w:hanging="0"/>
        <w:jc w:val="both"/>
        <w:rPr>
          <w:rFonts w:ascii="Times" w:hAnsi="Times"/>
          <w:color w:val="0000FF"/>
          <w:sz w:val="24"/>
          <w:u w:val="single"/>
        </w:rPr>
      </w:pPr>
      <w:bookmarkStart w:id="2433" w:name="_cp_change_565"/>
      <w:bookmarkEnd w:id="2433"/>
      <w:r>
        <w:rPr>
          <w:rFonts w:ascii="Times" w:hAnsi="Times"/>
          <w:color w:val="0000FF"/>
          <w:sz w:val="24"/>
          <w:u w:val="single"/>
        </w:rPr>
        <w:t>Part I – Unemcumbered Real Property Assets</w:t>
      </w:r>
      <w:bookmarkStart w:id="2434" w:name="_cp_change_564"/>
      <w:bookmarkEnd w:id="2434"/>
    </w:p>
    <w:tbl>
      <w:tblPr>
        <w:tblW w:w="7113" w:type="dxa"/>
        <w:jc w:val="left"/>
        <w:tblInd w:w="0" w:type="dxa"/>
        <w:tblLayout w:type="fixed"/>
        <w:tblCellMar>
          <w:top w:w="0" w:type="dxa"/>
          <w:left w:w="0" w:type="dxa"/>
          <w:bottom w:w="0" w:type="dxa"/>
          <w:right w:w="0" w:type="dxa"/>
        </w:tblCellMar>
      </w:tblPr>
      <w:tblGrid>
        <w:gridCol w:w="2881"/>
        <w:gridCol w:w="2851"/>
        <w:gridCol w:w="1381"/>
      </w:tblGrid>
      <w:tr>
        <w:trPr/>
        <w:tc>
          <w:tcPr>
            <w:tcW w:w="2881" w:type="dxa"/>
            <w:tcBorders/>
            <w:vAlign w:val="center"/>
          </w:tcPr>
          <w:p>
            <w:pPr>
              <w:pStyle w:val="TableContents"/>
              <w:bidi w:val="0"/>
              <w:spacing w:before="0" w:after="0"/>
              <w:ind w:left="0" w:right="0" w:hanging="0"/>
              <w:jc w:val="left"/>
              <w:rPr/>
            </w:pPr>
            <w:bookmarkStart w:id="2435" w:name="_cp_change_567"/>
            <w:bookmarkEnd w:id="2435"/>
            <w:r>
              <w:rPr/>
              <w:t>​</w:t>
            </w:r>
          </w:p>
        </w:tc>
        <w:tc>
          <w:tcPr>
            <w:tcW w:w="2851" w:type="dxa"/>
            <w:tcBorders/>
            <w:vAlign w:val="center"/>
          </w:tcPr>
          <w:p>
            <w:pPr>
              <w:pStyle w:val="TableContents"/>
              <w:bidi w:val="0"/>
              <w:spacing w:lineRule="atLeast" w:line="260" w:before="1" w:after="0"/>
              <w:ind w:left="602" w:right="593" w:hanging="0"/>
              <w:jc w:val="center"/>
              <w:rPr/>
            </w:pPr>
            <w:r>
              <w:rPr/>
              <w:t>​</w:t>
            </w:r>
          </w:p>
          <w:p>
            <w:pPr>
              <w:pStyle w:val="TableContents"/>
              <w:bidi w:val="0"/>
              <w:spacing w:before="0" w:after="0"/>
              <w:ind w:left="0" w:right="0" w:hanging="0"/>
              <w:jc w:val="left"/>
              <w:rPr/>
            </w:pPr>
            <w:r>
              <w:rPr/>
              <w:t>​</w:t>
            </w:r>
          </w:p>
        </w:tc>
        <w:tc>
          <w:tcPr>
            <w:tcW w:w="1381" w:type="dxa"/>
            <w:tcBorders/>
            <w:vAlign w:val="center"/>
          </w:tcPr>
          <w:p>
            <w:pPr>
              <w:pStyle w:val="TableContents"/>
              <w:bidi w:val="0"/>
              <w:spacing w:lineRule="atLeast" w:line="260" w:before="1" w:after="0"/>
              <w:ind w:left="9" w:right="0" w:hanging="0"/>
              <w:jc w:val="center"/>
              <w:rPr/>
            </w:pPr>
            <w:r>
              <w:rPr/>
              <w:t>​</w:t>
            </w:r>
          </w:p>
          <w:p>
            <w:pPr>
              <w:pStyle w:val="TableContents"/>
              <w:bidi w:val="0"/>
              <w:spacing w:before="0" w:after="0"/>
              <w:ind w:left="0" w:right="0" w:hanging="0"/>
              <w:jc w:val="left"/>
              <w:rPr/>
            </w:pPr>
            <w:r>
              <w:rPr/>
              <w: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60" w:before="280" w:after="0"/>
              <w:ind w:left="0" w:right="0" w:hanging="0"/>
              <w:jc w:val="center"/>
              <w:rPr>
                <w:rFonts w:ascii="Times New Roman;Times;serif" w:hAnsi="Times New Roman;Times;serif"/>
                <w:b/>
                <w:sz w:val="24"/>
              </w:rPr>
            </w:pPr>
            <w:r>
              <w:rPr>
                <w:rFonts w:ascii="Times New Roman;Times;serif" w:hAnsi="Times New Roman;Times;serif"/>
                <w:b/>
                <w:sz w:val="24"/>
              </w:rPr>
              <w:t>Tenant (DBA)</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City, State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Square Feet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LA Fitness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Riverview, Florida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45,000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Century Theater</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Reno, Nevada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52,474</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Dick’s Sporting Goods, Inc.</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46,315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Best Buy Stores, L.P.</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30,038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Alpine Valley Music Theatre</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East Troy, Wisconsin</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93,322</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Family Dollar</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Lynn, Massachusetts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9,228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Birmingham, Alabama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14,516</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Albany,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14,770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Alpharetta,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15,120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Old Time Pottery</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Orange Park, Florida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84,180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Freddy’s Frozen Custard</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Orange Park, Florida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3,200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Conn’s HomePlus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Hurst, Texas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37,957</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Hobby Lobby</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Tulsa, Oklahoma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84,180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Long John Silvers</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Tulsa, Oklahoma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3,000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BP Convenience Store</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Highland Heights, Kentucky</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2,578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AMC Theatre</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Tynsborough, Massachusetts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39,474</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Hobby Lobby</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Arden, North Carolina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55,000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Barker,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9" w:right="0" w:hanging="0"/>
              <w:jc w:val="center"/>
              <w:rPr>
                <w:rFonts w:ascii="Times New Roman;Times;serif" w:hAnsi="Times New Roman;Times;serif"/>
                <w:sz w:val="24"/>
              </w:rPr>
            </w:pPr>
            <w:r>
              <w:rPr>
                <w:rFonts w:ascii="Times New Roman;Times;serif" w:hAnsi="Times New Roman;Times;serif"/>
                <w:sz w:val="24"/>
              </w:rPr>
              <w:t>9,275</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23" w:type="dxa"/>
        <w:jc w:val="left"/>
        <w:tblInd w:w="0" w:type="dxa"/>
        <w:tblLayout w:type="fixed"/>
        <w:tblCellMar>
          <w:top w:w="28" w:type="dxa"/>
          <w:left w:w="28" w:type="dxa"/>
          <w:bottom w:w="28" w:type="dxa"/>
          <w:right w:w="28" w:type="dxa"/>
        </w:tblCellMar>
      </w:tblPr>
      <w:tblGrid>
        <w:gridCol w:w="2041"/>
        <w:gridCol w:w="2251"/>
        <w:gridCol w:w="931"/>
      </w:tblGrid>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Bingham, Maine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9,345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Chazy,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9,277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Hammond,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9,219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Harrisville,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9,309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Heuvelton,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9,342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Howell, Michigan</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214,172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Limestone, Maine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9,167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Milford, Maine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9,128</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Newtonsville, Ohio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9,290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Odessa,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9,127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Salem,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9,199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Severn, Maryland</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6,876</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Somerville,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9,252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Willis,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9,138</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Winthrop, New York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9,167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Kermit,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10,920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Tacoma, Washington</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14,125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Cut &amp; Shoot,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9,096</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Del Rio,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9,219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Seguin, Texas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9,155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89,902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Pet Supplies Plus</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8,400</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943" w:type="dxa"/>
        <w:jc w:val="left"/>
        <w:tblInd w:w="0" w:type="dxa"/>
        <w:tblLayout w:type="fixed"/>
        <w:tblCellMar>
          <w:top w:w="28" w:type="dxa"/>
          <w:left w:w="28" w:type="dxa"/>
          <w:bottom w:w="28" w:type="dxa"/>
          <w:right w:w="28" w:type="dxa"/>
        </w:tblCellMar>
      </w:tblPr>
      <w:tblGrid>
        <w:gridCol w:w="2596"/>
        <w:gridCol w:w="2536"/>
        <w:gridCol w:w="811"/>
      </w:tblGrid>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Salon Lofts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2"/>
              </w:rPr>
            </w:pPr>
            <w:r>
              <w:rPr>
                <w:rFonts w:ascii="Times New Roman;Times;serif" w:hAnsi="Times New Roman;Times;serif"/>
                <w:sz w:val="22"/>
              </w:rPr>
              <w:t>North Canton,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4,000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Burlington</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Richland Hills,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70,891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Florence, SC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58,410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Orscheln Farm &amp; Home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Durant,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37,965</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Big Lots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Durant,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36,794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Circle K</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Indianapolis, IN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4,283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Burger King</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Plymouth,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3,142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Demopolis, AL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10,159</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Firestone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Pittsburgh, PA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10,629</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Ware, MA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6,889</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Grease Monkey</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Stockbridge,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1,846</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Hardee’s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Boaz, AL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3,542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Schlotzsky’s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Sweetwater,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2,431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Athens,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6,871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Burlington,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11,394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O’Reilly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Duluth,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11,182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Midland,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14,624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Ludington,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6,604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New Baltimore,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6,784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Camping World</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Hermantown,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66,033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Stilwell,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9,828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O’Reilly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Angels Camp, CA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7,066</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613" w:type="dxa"/>
        <w:jc w:val="left"/>
        <w:tblInd w:w="0" w:type="dxa"/>
        <w:tblLayout w:type="fixed"/>
        <w:tblCellMar>
          <w:top w:w="28" w:type="dxa"/>
          <w:left w:w="28" w:type="dxa"/>
          <w:bottom w:w="28" w:type="dxa"/>
          <w:right w:w="28" w:type="dxa"/>
        </w:tblCellMar>
      </w:tblPr>
      <w:tblGrid>
        <w:gridCol w:w="2776"/>
        <w:gridCol w:w="2026"/>
        <w:gridCol w:w="811"/>
      </w:tblGrid>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Hempstead,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52,190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Jackson,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1,920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Leland,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3,343</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Hobby Lobby</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Aberdeen, SD</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49,034</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 Paul,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7,201</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89,460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Boston Market</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2,627</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Verizon</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6,027</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Albuquerque, NM</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30,346</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Albuquerque, NM</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10,023</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7-Eleven</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Olathe,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4,165</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Columbia, SC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72,000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Snellville,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67,247</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Ashley HomeStore</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Dayton,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33,310</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AutoZone</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Winston-Salem,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8,008</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Dayton,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45,535</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Lafayette, LA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45,611</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Buffalo Wild Wings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Hattiesburg,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6,302</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Charles Schwab</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Webster,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5,556</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Crazy Alan's Swamp Shack</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9,356</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CVS</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Baton Rouge, LA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13,813</w:t>
            </w:r>
          </w:p>
        </w:tc>
      </w:tr>
      <w:tr>
        <w:trPr/>
        <w:tc>
          <w:tcPr>
            <w:tcW w:w="27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Darden Restaurants Inc</w:t>
            </w:r>
          </w:p>
        </w:tc>
        <w:tc>
          <w:tcPr>
            <w:tcW w:w="2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8,388</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68" w:type="dxa"/>
        <w:jc w:val="left"/>
        <w:tblInd w:w="0" w:type="dxa"/>
        <w:tblLayout w:type="fixed"/>
        <w:tblCellMar>
          <w:top w:w="28" w:type="dxa"/>
          <w:left w:w="28" w:type="dxa"/>
          <w:bottom w:w="28" w:type="dxa"/>
          <w:right w:w="28" w:type="dxa"/>
        </w:tblCellMar>
      </w:tblPr>
      <w:tblGrid>
        <w:gridCol w:w="2596"/>
        <w:gridCol w:w="1861"/>
        <w:gridCol w:w="811"/>
      </w:tblGrid>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Darden Restaurants Inc</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Webster,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Dansville,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9,174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Ellicottville,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9,144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Perry,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9,181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Warsaw,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14,495</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Sulphur,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Burlington,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Caneyville, KY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10,604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Dearing,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9,288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Gladewater,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10,111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Village, AR</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14,592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Madill,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9,682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McKenny, VA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10,531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Murfreesboro, AR</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Phillipsburg,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Plainville,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Sabetha,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Superior, NE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Tipton,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Van Buren,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Ethan Allen</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12,208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Amsterdam,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613" w:type="dxa"/>
        <w:jc w:val="left"/>
        <w:tblInd w:w="0" w:type="dxa"/>
        <w:tblLayout w:type="fixed"/>
        <w:tblCellMar>
          <w:top w:w="28" w:type="dxa"/>
          <w:left w:w="28" w:type="dxa"/>
          <w:bottom w:w="28" w:type="dxa"/>
          <w:right w:w="28" w:type="dxa"/>
        </w:tblCellMar>
      </w:tblPr>
      <w:tblGrid>
        <w:gridCol w:w="2581"/>
        <w:gridCol w:w="2101"/>
        <w:gridCol w:w="931"/>
      </w:tblGrid>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Medicine Lodge, KS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Town Creek,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Festival Foods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Portage, WI</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54,720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Washington,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23,466</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LA Fitness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Houston, TX</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45,208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Columbus, 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6,944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Eden, NC</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1,790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Greensboro, NC</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1,678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Kearney, 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2,253</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Little Caesars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Platte, NE</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1,529</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Logan, WV</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114,731</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Webster, TX</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163,300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Gadsden,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7,242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City, FL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Richmond, IN</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5,108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Depot/Office Max</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Gadsden,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23,638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Old Time Pottery</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West Chicago, IL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78,721</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Orscheln Farm and Home</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California,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23,042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Orscheln Farm and Home</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Owensville,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38,452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Party City</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Oceanside, NY</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Rib Crib BBQ</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Durant, OK</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Rooms to Go</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51,868</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063" w:type="dxa"/>
        <w:jc w:val="left"/>
        <w:tblInd w:w="0" w:type="dxa"/>
        <w:tblLayout w:type="fixed"/>
        <w:tblCellMar>
          <w:top w:w="28" w:type="dxa"/>
          <w:left w:w="28" w:type="dxa"/>
          <w:bottom w:w="28" w:type="dxa"/>
          <w:right w:w="28" w:type="dxa"/>
        </w:tblCellMar>
      </w:tblPr>
      <w:tblGrid>
        <w:gridCol w:w="2791"/>
        <w:gridCol w:w="2461"/>
        <w:gridCol w:w="811"/>
      </w:tblGrid>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Sportman’s Warehouse</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Morgantown, WV</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30,547</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The Burger Joint</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4,054</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Tractor Supply</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Washington Court,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39,984</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Cadiz,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1,292</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Cleveland,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2,554</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Lorain,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900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Massillon,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1,363</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Parma,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1,884</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Visionworks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Friendswood,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3,949</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Blackwood,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Brick,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14,550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Decatur, IL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Edgewater, MD</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Feasterville-Trevose, PA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Glen Burnie, MD</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14,490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Taylorville, IL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14,550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West Hartford, CT</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12,805</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SAFE Federal Credit Union</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Florence SC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0</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w:hAnsi="Times"/>
          <w:color w:val="0000FF"/>
          <w:sz w:val="24"/>
          <w:u w:val="single"/>
        </w:rPr>
      </w:pPr>
      <w:r>
        <w:rPr>
          <w:rFonts w:ascii="Times" w:hAnsi="Times"/>
          <w:color w:val="0000FF"/>
          <w:sz w:val="24"/>
          <w:u w:val="single"/>
        </w:rPr>
        <w:t>Part II – Unemcumbered Mortgage Receivables</w:t>
      </w:r>
      <w:bookmarkStart w:id="2436" w:name="_cp_change_566"/>
      <w:bookmarkEnd w:id="2436"/>
    </w:p>
    <w:p>
      <w:pPr>
        <w:pStyle w:val="TextBody"/>
        <w:bidi w:val="0"/>
        <w:spacing w:before="0" w:after="200"/>
        <w:ind w:left="0" w:right="0" w:hanging="0"/>
        <w:jc w:val="both"/>
        <w:rPr>
          <w:rFonts w:ascii="Times" w:hAnsi="Times"/>
          <w:color w:val="0000FF"/>
          <w:sz w:val="24"/>
          <w:u w:val="single"/>
        </w:rPr>
      </w:pPr>
      <w:bookmarkStart w:id="2437" w:name="_cp_change_569"/>
      <w:bookmarkEnd w:id="2437"/>
      <w:r>
        <w:rPr>
          <w:rFonts w:ascii="Times" w:hAnsi="Times"/>
          <w:color w:val="0000FF"/>
          <w:sz w:val="24"/>
          <w:u w:val="single"/>
        </w:rPr>
        <w:t>None.</w:t>
      </w:r>
      <w:bookmarkStart w:id="2438" w:name="_cp_change_568"/>
      <w:bookmarkEnd w:id="2438"/>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w:hAnsi="Times"/>
          <w:color w:val="0000FF"/>
          <w:sz w:val="24"/>
          <w:u w:val="single"/>
        </w:rPr>
      </w:pPr>
      <w:bookmarkStart w:id="2439" w:name="_cp_change_571"/>
      <w:bookmarkEnd w:id="2439"/>
      <w:r>
        <w:rPr>
          <w:rFonts w:ascii="Times" w:hAnsi="Times"/>
          <w:color w:val="0000FF"/>
          <w:sz w:val="24"/>
          <w:u w:val="single"/>
        </w:rPr>
        <w:t xml:space="preserve">Part III – Unemcumbered Equity Investments </w:t>
      </w:r>
      <w:bookmarkStart w:id="2440" w:name="_cp_change_570"/>
      <w:bookmarkEnd w:id="2440"/>
    </w:p>
    <w:p>
      <w:pPr>
        <w:pStyle w:val="TextBody"/>
        <w:bidi w:val="0"/>
        <w:spacing w:before="0" w:after="200"/>
        <w:ind w:left="0" w:right="0" w:hanging="0"/>
        <w:jc w:val="both"/>
        <w:rPr>
          <w:rFonts w:ascii="Times" w:hAnsi="Times"/>
          <w:color w:val="0000FF"/>
          <w:sz w:val="24"/>
          <w:u w:val="single"/>
        </w:rPr>
      </w:pPr>
      <w:bookmarkStart w:id="2441" w:name="_cp_change_573"/>
      <w:bookmarkEnd w:id="2441"/>
      <w:r>
        <w:rPr>
          <w:rFonts w:ascii="Times" w:hAnsi="Times"/>
          <w:color w:val="0000FF"/>
          <w:sz w:val="24"/>
          <w:u w:val="single"/>
        </w:rPr>
        <w:t>None.</w:t>
      </w:r>
      <w:bookmarkStart w:id="2442" w:name="_cp_change_572"/>
      <w:bookmarkEnd w:id="2442"/>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90" w:firstLine="72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6.2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SUBSIDIARIES </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02"/>
        <w:gridCol w:w="1815"/>
        <w:gridCol w:w="1803"/>
        <w:gridCol w:w="3585"/>
      </w:tblGrid>
      <w:tr>
        <w:trPr/>
        <w:tc>
          <w:tcPr>
            <w:tcW w:w="3002" w:type="dxa"/>
            <w:tcBorders/>
            <w:vAlign w:val="center"/>
          </w:tcPr>
          <w:p>
            <w:pPr>
              <w:pStyle w:val="TableContents"/>
              <w:bidi w:val="0"/>
              <w:spacing w:before="0" w:after="283"/>
              <w:ind w:left="0" w:right="0" w:hanging="0"/>
              <w:jc w:val="left"/>
              <w:rPr>
                <w:sz w:val="4"/>
                <w:szCs w:val="4"/>
              </w:rPr>
            </w:pPr>
            <w:r>
              <w:rPr>
                <w:sz w:val="4"/>
                <w:szCs w:val="4"/>
              </w:rPr>
            </w:r>
          </w:p>
        </w:tc>
        <w:tc>
          <w:tcPr>
            <w:tcW w:w="1815" w:type="dxa"/>
            <w:tcBorders/>
            <w:vAlign w:val="center"/>
          </w:tcPr>
          <w:p>
            <w:pPr>
              <w:pStyle w:val="TableContents"/>
              <w:bidi w:val="0"/>
              <w:spacing w:before="0" w:after="283"/>
              <w:ind w:left="0" w:right="0" w:hanging="0"/>
              <w:jc w:val="left"/>
              <w:rPr>
                <w:sz w:val="4"/>
                <w:szCs w:val="4"/>
              </w:rPr>
            </w:pPr>
            <w:r>
              <w:rPr>
                <w:sz w:val="4"/>
                <w:szCs w:val="4"/>
              </w:rPr>
            </w:r>
          </w:p>
        </w:tc>
        <w:tc>
          <w:tcPr>
            <w:tcW w:w="1803" w:type="dxa"/>
            <w:tcBorders/>
            <w:vAlign w:val="center"/>
          </w:tcPr>
          <w:p>
            <w:pPr>
              <w:pStyle w:val="TableContents"/>
              <w:bidi w:val="0"/>
              <w:spacing w:before="0" w:after="283"/>
              <w:ind w:left="0" w:right="0" w:hanging="0"/>
              <w:jc w:val="left"/>
              <w:rPr>
                <w:sz w:val="4"/>
                <w:szCs w:val="4"/>
              </w:rPr>
            </w:pPr>
            <w:r>
              <w:rPr>
                <w:sz w:val="4"/>
                <w:szCs w:val="4"/>
              </w:rPr>
            </w:r>
          </w:p>
        </w:tc>
        <w:tc>
          <w:tcPr>
            <w:tcW w:w="3585" w:type="dxa"/>
            <w:tcBorders/>
            <w:vAlign w:val="center"/>
          </w:tcPr>
          <w:p>
            <w:pPr>
              <w:pStyle w:val="TableContents"/>
              <w:bidi w:val="0"/>
              <w:spacing w:before="0" w:after="283"/>
              <w:ind w:left="0" w:right="0" w:hanging="0"/>
              <w:jc w:val="left"/>
              <w:rPr>
                <w:sz w:val="4"/>
                <w:szCs w:val="4"/>
              </w:rPr>
            </w:pPr>
            <w:r>
              <w:rPr>
                <w:sz w:val="4"/>
                <w:szCs w:val="4"/>
              </w:rPr>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Subsidiary</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Date of Formation</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State of Formation</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Member/General Partner (as applicable)</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PINE19 ALPHARETTA GA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October 1, 2019</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INDIGO HENRY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26, 2006</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Florida</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CTO17 BRANDON FL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March 27, 2017</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CTO19 BIRMINGHAM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8, 2019</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CTLC18 LYNN MA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28, 2019</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CTO19 ALBANY GA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June 6, 2019</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CTO19 TROY WI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20, 2019</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HURST TX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December 16, 2019</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HIGHLAND KY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January 16,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TYN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January 16,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TULSA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February 6,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BLANDING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February 6,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p>
            <w:pPr>
              <w:pStyle w:val="TableContents"/>
              <w:bidi w:val="0"/>
              <w:spacing w:before="0" w:after="0"/>
              <w:ind w:left="0" w:right="0" w:hanging="0"/>
              <w:jc w:val="left"/>
              <w:rPr/>
            </w:pPr>
            <w:r>
              <w:rPr/>
              <w:t>​</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ARDEN NC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28,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HOWELL MI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28,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BARKER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CHAZY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HAMMOND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HARRISVILLE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HEUVELTON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NEWTONSVILLE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00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SALEM LLC</w:t>
            </w:r>
          </w:p>
        </w:tc>
        <w:tc>
          <w:tcPr>
            <w:tcW w:w="18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2020</w:t>
            </w:r>
          </w:p>
        </w:tc>
        <w:tc>
          <w:tcPr>
            <w:tcW w:w="180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5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054" w:type="dxa"/>
        <w:jc w:val="left"/>
        <w:tblInd w:w="0" w:type="dxa"/>
        <w:tblLayout w:type="fixed"/>
        <w:tblCellMar>
          <w:top w:w="28" w:type="dxa"/>
          <w:left w:w="103" w:type="dxa"/>
          <w:bottom w:w="28" w:type="dxa"/>
          <w:right w:w="103" w:type="dxa"/>
        </w:tblCellMar>
      </w:tblPr>
      <w:tblGrid>
        <w:gridCol w:w="3781"/>
        <w:gridCol w:w="1996"/>
        <w:gridCol w:w="991"/>
        <w:gridCol w:w="3286"/>
      </w:tblGrid>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WINTHROP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19,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SEVERN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WILLIS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30,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SOMERVILLE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30,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BINGHAM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3,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LIMESTONE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3,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MILFORD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3,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ODESSA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30,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KERMIT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30,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TACOMA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November 16,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DEL RIO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30,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SEGUIN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30,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PINE20 CUT &amp; SHOOT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30, 2020</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20, 2019</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GP, LLC</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CTO16 RENO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November 1, 2016</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ACQUISITIONS IV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June 17,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9603 WESTHEIMER ROAD,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March 9, 2022</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 MEX OH 2,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November 5,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Ohio</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 MEX OH,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October 6,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Ohio</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ACQUISITIONS II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April 15,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ACQUISITIONS III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June 2,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ACQUISITIONS V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June 23,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ACQUISITIONS VI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23,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ACQUISITIONS VII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July 26,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7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ACQUISITIONS VIII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9,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304" w:type="dxa"/>
        <w:jc w:val="left"/>
        <w:tblInd w:w="0" w:type="dxa"/>
        <w:tblLayout w:type="fixed"/>
        <w:tblCellMar>
          <w:top w:w="28" w:type="dxa"/>
          <w:left w:w="103" w:type="dxa"/>
          <w:bottom w:w="28" w:type="dxa"/>
          <w:right w:w="103" w:type="dxa"/>
        </w:tblCellMar>
      </w:tblPr>
      <w:tblGrid>
        <w:gridCol w:w="3196"/>
        <w:gridCol w:w="1996"/>
        <w:gridCol w:w="991"/>
        <w:gridCol w:w="3121"/>
      </w:tblGrid>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ACQUISITIONS X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August 18,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1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HOUSTON EAST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November 29,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1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HOUSTON WEST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November 29,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1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PINE21 SPORTS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November 29, 2021</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1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PINE22 CAESAR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April 12, 2022</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1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PINE22 MAPLE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March 9, 2022</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1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PINE22 WASH MO LLC</w:t>
            </w:r>
          </w:p>
        </w:tc>
        <w:tc>
          <w:tcPr>
            <w:tcW w:w="19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April 7, 2022</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c>
          <w:tcPr>
            <w:tcW w:w="31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OP, LP</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6.6</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Material Adverse Change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6.11</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Litigation</w:t>
      </w:r>
    </w:p>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6.12</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Tax Returns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6.17</w:t>
        <w:br/>
        <w:br/>
        <w:t>Environmental Issues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left"/>
        <w:rPr/>
      </w:pPr>
      <w:r>
        <w:rPr/>
        <w:t>​</w:t>
      </w:r>
    </w:p>
    <w:p>
      <w:pPr>
        <w:pStyle w:val="TextBody"/>
        <w:bidi w:val="0"/>
        <w:spacing w:before="0" w:after="0"/>
        <w:ind w:left="576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6.23</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Maintenance and Condition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8.7</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Existing Liens</w:t>
      </w:r>
    </w:p>
    <w:p>
      <w:pPr>
        <w:pStyle w:val="TextBody"/>
        <w:bidi w:val="0"/>
        <w:spacing w:before="0" w:after="0"/>
        <w:ind w:left="0" w:right="0" w:hanging="0"/>
        <w:jc w:val="left"/>
        <w:rPr/>
      </w:pPr>
      <w:r>
        <w:rPr/>
        <w:t>​</w:t>
      </w:r>
    </w:p>
    <w:p>
      <w:pPr>
        <w:pStyle w:val="TextBody"/>
        <w:bidi w:val="0"/>
        <w:spacing w:before="360" w:after="0"/>
        <w:ind w:left="0" w:right="0" w:hanging="0"/>
        <w:jc w:val="left"/>
        <w:rPr>
          <w:rFonts w:ascii="Times New Roman;Times;serif" w:hAnsi="Times New Roman;Times;serif"/>
          <w:sz w:val="24"/>
        </w:rPr>
      </w:pPr>
      <w:r>
        <w:rPr>
          <w:rFonts w:ascii="Times New Roman;Times;serif" w:hAnsi="Times New Roman;Times;serif"/>
          <w:sz w:val="24"/>
        </w:rPr>
        <w:t xml:space="preserve">None. </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pPr>
      <w:bookmarkStart w:id="2443" w:name="bmEndOfDocument"/>
      <w:bookmarkEnd w:id="2443"/>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B</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Certificate</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To:</w:t>
            </w:r>
          </w:p>
        </w:tc>
        <w:tc>
          <w:tcPr>
            <w:tcW w:w="9862"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Truist Bank, N.A., as Administrative Agent under, and the Lenders party to, the Credit Agreement described below</w:t>
            </w:r>
          </w:p>
        </w:tc>
      </w:tr>
    </w:tbl>
    <w:p>
      <w:pPr>
        <w:pStyle w:val="TextBody"/>
        <w:pBdr/>
        <w:bidi w:val="0"/>
        <w:spacing w:before="560" w:after="0"/>
        <w:ind w:left="0" w:right="4680" w:hanging="72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w:hAnsi="Times"/>
          <w:sz w:val="24"/>
        </w:rPr>
        <w:t xml:space="preserve">This Compliance Certificate is furnished to the Administrative Agent and the Lenders pursuant to that certain Credit Agreement dated as of May 21, 2021, as amended, among Alpine Income Property OP, LP, as Borrower, the Guarantors signatory thereto, the Administrative Agent and the Lenders party thereto (the </w:t>
      </w:r>
      <w:r>
        <w:rPr>
          <w:rFonts w:ascii="Times New Roman;Times;serif" w:hAnsi="Times New Roman;Times;serif"/>
          <w:sz w:val="24"/>
        </w:rPr>
        <w:t>“</w:t>
      </w:r>
      <w:r>
        <w:rPr>
          <w:rFonts w:ascii="Times" w:hAnsi="Times"/>
          <w:i/>
          <w:sz w:val="24"/>
        </w:rPr>
        <w:t>Credit Agreement”</w:t>
      </w:r>
      <w:r>
        <w:rPr>
          <w:rFonts w:ascii="Times" w:hAnsi="Times"/>
          <w:sz w:val="24"/>
        </w:rPr>
        <w:t>).  Unless otherwise defined herein, the terms used in this Compliance Certificate have the meanings ascribed thereto in the Credit Agreement</w:t>
      </w:r>
    </w:p>
    <w:p>
      <w:pPr>
        <w:pStyle w:val="TextBody"/>
        <w:bidi w:val="0"/>
        <w:spacing w:before="0" w:after="240"/>
        <w:ind w:left="0" w:right="0" w:firstLine="720"/>
        <w:jc w:val="both"/>
        <w:rPr>
          <w:rFonts w:ascii="Times" w:hAnsi="Times"/>
          <w:smallCaps/>
          <w:sz w:val="24"/>
        </w:rPr>
      </w:pPr>
      <w:r>
        <w:rPr>
          <w:rFonts w:ascii="Times" w:hAnsi="Times"/>
          <w:smallCaps/>
          <w:sz w:val="24"/>
        </w:rPr>
        <w:t>The Undersigned hereby certifies that:</w:t>
      </w:r>
    </w:p>
    <w:p>
      <w:pPr>
        <w:pStyle w:val="TextBody"/>
        <w:bidi w:val="0"/>
        <w:spacing w:before="0" w:after="240"/>
        <w:ind w:left="0" w:right="0" w:hanging="0"/>
        <w:jc w:val="both"/>
        <w:rPr>
          <w:rFonts w:ascii="Times" w:hAnsi="Times"/>
          <w:sz w:val="24"/>
        </w:rPr>
      </w:pPr>
      <w:r>
        <w:rPr>
          <w:rFonts w:ascii="Times" w:hAnsi="Times"/>
          <w:sz w:val="24"/>
        </w:rPr>
        <w:t>1.I am the duly elected ____________ of Alpine Income Property OP, LP;</w:t>
      </w:r>
    </w:p>
    <w:p>
      <w:pPr>
        <w:pStyle w:val="TextBody"/>
        <w:bidi w:val="0"/>
        <w:spacing w:before="0" w:after="240"/>
        <w:ind w:left="0" w:right="0" w:hanging="0"/>
        <w:jc w:val="both"/>
        <w:rPr>
          <w:rFonts w:ascii="Times" w:hAnsi="Times"/>
          <w:sz w:val="24"/>
        </w:rPr>
      </w:pPr>
      <w:r>
        <w:rPr>
          <w:rFonts w:ascii="Times" w:hAnsi="Times"/>
          <w:sz w:val="24"/>
        </w:rPr>
        <w:t>2.I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pStyle w:val="TextBody"/>
        <w:bidi w:val="0"/>
        <w:spacing w:before="0" w:after="240"/>
        <w:ind w:left="0" w:right="0" w:hanging="0"/>
        <w:jc w:val="both"/>
        <w:rPr>
          <w:rFonts w:ascii="Times" w:hAnsi="Times"/>
          <w:sz w:val="24"/>
        </w:rPr>
      </w:pPr>
      <w:r>
        <w:rPr>
          <w:rFonts w:ascii="Times" w:hAnsi="Times"/>
          <w:sz w:val="24"/>
        </w:rPr>
        <w:t>3.The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pStyle w:val="TextBody"/>
        <w:bidi w:val="0"/>
        <w:spacing w:before="0" w:after="240"/>
        <w:ind w:left="0" w:right="0" w:hanging="0"/>
        <w:jc w:val="both"/>
        <w:rPr>
          <w:rFonts w:ascii="Times" w:hAnsi="Times"/>
          <w:sz w:val="24"/>
        </w:rPr>
      </w:pPr>
      <w:r>
        <w:rPr>
          <w:rFonts w:ascii="Times" w:hAnsi="Times"/>
          <w:sz w:val="24"/>
        </w:rPr>
        <w:t>4.The financial statements required by Section 8.5 of the Credit Agreement and being furnished to you concurrently with this Compliance Certificate are true, correct and complete as of the date and for the periods covered thereby; and</w:t>
      </w:r>
    </w:p>
    <w:p>
      <w:pPr>
        <w:pStyle w:val="TextBody"/>
        <w:bidi w:val="0"/>
        <w:spacing w:before="0" w:after="240"/>
        <w:ind w:left="0" w:right="0" w:hanging="0"/>
        <w:jc w:val="both"/>
        <w:rPr>
          <w:rFonts w:ascii="Times" w:hAnsi="Times"/>
          <w:sz w:val="24"/>
        </w:rPr>
      </w:pPr>
      <w:r>
        <w:rPr>
          <w:rFonts w:ascii="Times" w:hAnsi="Times"/>
          <w:sz w:val="24"/>
        </w:rPr>
        <w:t>5.The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pStyle w:val="TextBody"/>
        <w:bidi w:val="0"/>
        <w:spacing w:before="0" w:after="240"/>
        <w:ind w:left="0" w:right="0" w:firstLine="720"/>
        <w:jc w:val="both"/>
        <w:rPr>
          <w:rFonts w:ascii="Times" w:hAnsi="Times"/>
          <w:sz w:val="24"/>
        </w:rPr>
      </w:pPr>
      <w:r>
        <w:rPr>
          <w:rFonts w:ascii="Times" w:hAnsi="Times"/>
          <w:sz w:val="24"/>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907"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The foregoing certifications, together with the computations set forth in Schedule I hereto and the financial statements delivered with this Certificate in support hereof, are made and delivered this ______ day of __________________, 20___.</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78740" cy="175260"/>
                      <wp:effectExtent l="0" t="0" r="0" b="0"/>
                      <wp:wrapNone/>
                      <wp:docPr id="617" name="Frame61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367280" cy="29210"/>
                      <wp:effectExtent l="0" t="0" r="0" b="0"/>
                      <wp:wrapNone/>
                      <wp:docPr id="618" name="Frame618"/>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034155" cy="175260"/>
                      <wp:effectExtent l="0" t="0" r="0" b="0"/>
                      <wp:wrapNone/>
                      <wp:docPr id="619" name="Frame619"/>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smallCaps/>
        </w:rPr>
      </w:pPr>
      <w:r>
        <w:rPr>
          <w:smallCaps/>
        </w:rPr>
        <w:t>​</w:t>
      </w:r>
    </w:p>
    <w:p>
      <w:pPr>
        <w:pStyle w:val="TextBody"/>
        <w:pBdr/>
        <w:bidi w:val="0"/>
        <w:spacing w:before="0" w:after="0"/>
        <w:ind w:left="4680" w:right="0" w:hanging="230"/>
        <w:jc w:val="left"/>
        <w:rPr/>
      </w:pPr>
      <w:r>
        <w:rPr/>
        <w:t>​</w:t>
      </w:r>
    </w:p>
    <w:p>
      <w:pPr>
        <w:pStyle w:val="TextBody"/>
        <w:bidi w:val="0"/>
        <w:spacing w:before="0" w:after="24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w:hAnsi="Times"/>
          <w:b/>
          <w:smallCaps/>
          <w:sz w:val="24"/>
        </w:rPr>
      </w:pPr>
      <w:r>
        <w:rPr>
          <w:rFonts w:ascii="Times" w:hAnsi="Times"/>
          <w:b/>
          <w:smallCaps/>
          <w:sz w:val="24"/>
        </w:rPr>
        <w:t>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_________________________________________________</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Calculations</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 xml:space="preserve">for Credit Agreement </w:t>
        <w:br/>
        <w:t>dated as of May 21, 2021, as amended</w:t>
      </w:r>
    </w:p>
    <w:p>
      <w:pPr>
        <w:pStyle w:val="TextBody"/>
        <w:bidi w:val="0"/>
        <w:spacing w:before="0" w:after="240"/>
        <w:ind w:left="0" w:right="0" w:firstLine="720"/>
        <w:jc w:val="center"/>
        <w:rPr>
          <w:rFonts w:ascii="Times" w:hAnsi="Times"/>
          <w:b/>
          <w:smallCaps/>
          <w:sz w:val="24"/>
        </w:rPr>
      </w:pPr>
      <w:r>
        <w:rPr>
          <w:rFonts w:ascii="Times" w:hAnsi="Times"/>
          <w:b/>
          <w:smallCaps/>
          <w:sz w:val="24"/>
        </w:rPr>
        <w:t>Calculations as of _____________, _______</w:t>
      </w:r>
    </w:p>
    <w:p>
      <w:pPr>
        <w:pStyle w:val="TextBody"/>
        <w:pBdr>
          <w:bottom w:val="double" w:sz="6" w:space="1" w:color="000000"/>
        </w:pBdr>
        <w:bidi w:val="0"/>
        <w:spacing w:before="0" w:after="28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09"/>
        <w:gridCol w:w="6296"/>
      </w:tblGrid>
      <w:tr>
        <w:trPr/>
        <w:tc>
          <w:tcPr>
            <w:tcW w:w="3909" w:type="dxa"/>
            <w:tcBorders/>
            <w:vAlign w:val="center"/>
          </w:tcPr>
          <w:p>
            <w:pPr>
              <w:pStyle w:val="TableContents"/>
              <w:bidi w:val="0"/>
              <w:spacing w:before="0" w:after="0"/>
              <w:ind w:left="0" w:right="0" w:hanging="0"/>
              <w:jc w:val="left"/>
              <w:rPr/>
            </w:pPr>
            <w:r>
              <w:rPr/>
              <w:t>​</w:t>
            </w:r>
          </w:p>
        </w:tc>
        <w:tc>
          <w:tcPr>
            <w:tcW w:w="6296" w:type="dxa"/>
            <w:tcBorders/>
            <w:vAlign w:val="center"/>
          </w:tcPr>
          <w:p>
            <w:pPr>
              <w:pStyle w:val="TableContents"/>
              <w:bidi w:val="0"/>
              <w:spacing w:before="0" w:after="0"/>
              <w:ind w:left="0" w:right="0" w:hanging="0"/>
              <w:jc w:val="left"/>
              <w:rPr/>
            </w:pPr>
            <w:r>
              <w:rPr/>
              <w:t>​</w:t>
            </w:r>
          </w:p>
        </w:tc>
      </w:tr>
      <w:tr>
        <w:trPr/>
        <w:tc>
          <w:tcPr>
            <w:tcW w:w="3909"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A.</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Total Indebtedness to Total Asset Value Ratio (Section 8.20(a))</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A1 to A2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A3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3909" w:type="dxa"/>
            <w:tcBorders/>
            <w:vAlign w:val="center"/>
          </w:tcPr>
          <w:p>
            <w:pPr>
              <w:pStyle w:val="TableContents"/>
              <w:pBdr/>
              <w:bidi w:val="0"/>
              <w:spacing w:before="0" w:after="0"/>
              <w:ind w:left="0" w:right="0" w:hanging="720"/>
              <w:jc w:val="left"/>
              <w:rPr/>
            </w:pPr>
            <w:r>
              <w:rPr/>
              <w:t>​</w:t>
            </w:r>
          </w:p>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Indebtedness to Total Asset Value Ratio (Section 8.20(b))</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Secured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B1 to B2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B3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0.40:1.0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B</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502" w:type="dxa"/>
        <w:jc w:val="left"/>
        <w:tblInd w:w="0" w:type="dxa"/>
        <w:tblLayout w:type="fixed"/>
        <w:tblCellMar>
          <w:top w:w="0" w:type="dxa"/>
          <w:left w:w="0" w:type="dxa"/>
          <w:bottom w:w="0" w:type="dxa"/>
          <w:right w:w="0" w:type="dxa"/>
        </w:tblCellMar>
      </w:tblPr>
      <w:tblGrid>
        <w:gridCol w:w="5911"/>
        <w:gridCol w:w="1591"/>
      </w:tblGrid>
      <w:tr>
        <w:trPr/>
        <w:tc>
          <w:tcPr>
            <w:tcW w:w="5911"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C.</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EBITDA to Fixed Charges Ratio (Section 8.20(c))</w:t>
            </w:r>
          </w:p>
        </w:tc>
        <w:tc>
          <w:tcPr>
            <w:tcW w:w="1591" w:type="dxa"/>
            <w:tcBorders/>
            <w:vAlign w:val="center"/>
          </w:tcPr>
          <w:p>
            <w:pPr>
              <w:pStyle w:val="TableContents"/>
              <w:bidi w:val="0"/>
              <w:spacing w:before="0" w:after="240"/>
              <w:ind w:left="0" w:right="0" w:hanging="0"/>
              <w:jc w:val="center"/>
              <w:rPr/>
            </w:pPr>
            <w:r>
              <w:rPr/>
              <w:t>​</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Depreciation and amortization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losses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Non-Cash Compensation Paid in Equity Securities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gains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benefits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C2, C3, C4, C5 and C6</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C7 and C8</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Line C1 plus Line C9 minus Line C10 </w:t>
            </w:r>
            <w:r>
              <w:rPr>
                <w:rFonts w:ascii="Times New Roman;Times;serif" w:hAnsi="Times New Roman;Times;serif"/>
                <w:i/>
                <w:sz w:val="24"/>
              </w:rPr>
              <w:t>(“EBITDA”</w:t>
            </w:r>
            <w:r>
              <w:rPr>
                <w:rFonts w:ascii="Times New Roman;Times;serif" w:hAnsi="Times New Roman;Times;serif"/>
                <w:sz w:val="24"/>
              </w:rPr>
              <w:t>)</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Principal Amortization Payments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Dividends on Preferred Stock</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Taxes Paid</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C12, C13, C14 and C15 (“</w:t>
            </w:r>
            <w:r>
              <w:rPr>
                <w:rFonts w:ascii="Times New Roman;Times;serif" w:hAnsi="Times New Roman;Times;serif"/>
                <w:i/>
                <w:sz w:val="24"/>
              </w:rPr>
              <w:t>Fixed Charges”</w:t>
            </w:r>
            <w:r>
              <w:rPr>
                <w:rFonts w:ascii="Times New Roman;Times;serif" w:hAnsi="Times New Roman;Times;serif"/>
                <w:sz w:val="24"/>
              </w:rPr>
              <w:t>)</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C11 to Line C16</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C17 shall not be less than</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1.50:1.0</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58"/>
        <w:gridCol w:w="5847"/>
      </w:tblGrid>
      <w:tr>
        <w:trPr/>
        <w:tc>
          <w:tcPr>
            <w:tcW w:w="4358"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D.</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Recourse Indebtedness to Total Asset Value Ratio (Section 8.20(d))</w:t>
            </w:r>
          </w:p>
        </w:tc>
        <w:tc>
          <w:tcPr>
            <w:tcW w:w="5847" w:type="dxa"/>
            <w:tcBorders/>
            <w:vAlign w:val="center"/>
          </w:tcPr>
          <w:p>
            <w:pPr>
              <w:pStyle w:val="TableContents"/>
              <w:bidi w:val="0"/>
              <w:spacing w:before="0" w:after="240"/>
              <w:ind w:left="0" w:right="0" w:hanging="0"/>
              <w:jc w:val="center"/>
              <w:rPr/>
            </w:pPr>
            <w:r>
              <w:rPr/>
              <w:t>​</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Secured Recourse Indebtedness </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D1 to Line D2</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D3 shall not exceed</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0.10:1.0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E.</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Unsecured Indebtedness to Unencumbered Asset Value Ratio (Section 8.20(e))</w:t>
            </w:r>
          </w:p>
        </w:tc>
        <w:tc>
          <w:tcPr>
            <w:tcW w:w="5847" w:type="dxa"/>
            <w:tcBorders/>
            <w:vAlign w:val="center"/>
          </w:tcPr>
          <w:p>
            <w:pPr>
              <w:pStyle w:val="TableContents"/>
              <w:bidi w:val="0"/>
              <w:spacing w:before="140" w:after="240"/>
              <w:ind w:left="0" w:right="0" w:hanging="0"/>
              <w:jc w:val="center"/>
              <w:rPr/>
            </w:pPr>
            <w:r>
              <w:rPr/>
              <w:t>​</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Unsecured Indebtedness</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E1 to E2</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E3 must not exceed</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F.</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Income from Unencumbered Assets to Unsecured Interest Expense (Section 8.20(f))</w:t>
            </w:r>
          </w:p>
        </w:tc>
        <w:tc>
          <w:tcPr>
            <w:tcW w:w="5847" w:type="dxa"/>
            <w:tcBorders/>
            <w:vAlign w:val="center"/>
          </w:tcPr>
          <w:p>
            <w:pPr>
              <w:pStyle w:val="TableContents"/>
              <w:bidi w:val="0"/>
              <w:spacing w:before="140" w:after="240"/>
              <w:ind w:left="0" w:right="0" w:hanging="0"/>
              <w:jc w:val="center"/>
              <w:rPr/>
            </w:pPr>
            <w:r>
              <w:rPr/>
              <w:t>​</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Pool NOI as calculated on Exhibit B hereto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actually received from Unencumbered Mortgage Receivables</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017"/>
        <w:gridCol w:w="1188"/>
      </w:tblGrid>
      <w:tr>
        <w:trPr/>
        <w:tc>
          <w:tcPr>
            <w:tcW w:w="9017"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 on Unsecured Indebtedness assuming an interest rate equal to the higher of (i) the weighted average interest rate for such period on Unsecured Indebtedness, (ii) 5.75% and (iii) the 10-year treasury rate on the last day of such period plus 1.75%</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(i) Line F1 plus F2 to (ii) Line F3</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F4 shall not be less than</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1.75:1.0</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017"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G.</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Tangible Net Worth (Section 8.20(f))</w:t>
            </w:r>
          </w:p>
        </w:tc>
        <w:tc>
          <w:tcPr>
            <w:tcW w:w="1188" w:type="dxa"/>
            <w:tcBorders/>
            <w:vAlign w:val="center"/>
          </w:tcPr>
          <w:p>
            <w:pPr>
              <w:pStyle w:val="TableContents"/>
              <w:bidi w:val="0"/>
              <w:spacing w:before="140" w:after="240"/>
              <w:ind w:left="0" w:right="0" w:hanging="0"/>
              <w:jc w:val="center"/>
              <w:rPr/>
            </w:pPr>
            <w:r>
              <w:rPr/>
              <w:t>​</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Tangible Net Worth</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net proceeds of Stock and Stock Equivalent offerings after June 30, 2022</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75% of Line G2</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$212,500,000 plus Line G3 </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G1 shall not be less than Line G4</w:t>
            </w:r>
          </w:p>
        </w:tc>
        <w:tc>
          <w:tcPr>
            <w:tcW w:w="1188" w:type="dxa"/>
            <w:tcBorders/>
            <w:vAlign w:val="center"/>
          </w:tcPr>
          <w:p>
            <w:pPr>
              <w:pStyle w:val="TableContents"/>
              <w:bidi w:val="0"/>
              <w:spacing w:before="140" w:after="240"/>
              <w:ind w:left="0" w:right="0" w:hanging="0"/>
              <w:jc w:val="center"/>
              <w:rPr/>
            </w:pPr>
            <w:r>
              <w:rPr/>
              <w:t>​</w:t>
            </w:r>
          </w:p>
        </w:tc>
      </w:tr>
      <w:tr>
        <w:trPr/>
        <w:tc>
          <w:tcPr>
            <w:tcW w:w="901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9339"/>
        <w:gridCol w:w="866"/>
      </w:tblGrid>
      <w:tr>
        <w:trPr/>
        <w:tc>
          <w:tcPr>
            <w:tcW w:w="933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r>
      <w:tr>
        <w:trPr/>
        <w:tc>
          <w:tcPr>
            <w:tcW w:w="9339"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H.</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Restricted Payments (Section 8.25(a))</w:t>
            </w:r>
          </w:p>
        </w:tc>
        <w:tc>
          <w:tcPr>
            <w:tcW w:w="866" w:type="dxa"/>
            <w:tcBorders/>
            <w:vAlign w:val="center"/>
          </w:tcPr>
          <w:p>
            <w:pPr>
              <w:pStyle w:val="TableContents"/>
              <w:bidi w:val="0"/>
              <w:spacing w:before="0" w:after="240"/>
              <w:ind w:left="0" w:right="0" w:hanging="0"/>
              <w:jc w:val="center"/>
              <w:rPr/>
            </w:pPr>
            <w:r>
              <w:rPr/>
              <w:t>​</w:t>
            </w:r>
          </w:p>
        </w:tc>
      </w:tr>
      <w:tr>
        <w:trPr/>
        <w:tc>
          <w:tcPr>
            <w:tcW w:w="933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amount of Restricted Payments made in cash during such period</w:t>
            </w:r>
          </w:p>
        </w:tc>
        <w:tc>
          <w:tcPr>
            <w:tcW w:w="86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33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Parent’s Adjusted FFO for such period (excluding any regular distributions to holders of preferred partnership units in Borrower and distributions necessary to pay holders of preferred stock of Parent) </w:t>
            </w:r>
          </w:p>
        </w:tc>
        <w:tc>
          <w:tcPr>
            <w:tcW w:w="86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33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95% of Line H2</w:t>
            </w:r>
          </w:p>
        </w:tc>
        <w:tc>
          <w:tcPr>
            <w:tcW w:w="86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5"/>
        <w:gridCol w:w="840"/>
      </w:tblGrid>
      <w:tr>
        <w:trPr/>
        <w:tc>
          <w:tcPr>
            <w:tcW w:w="9365"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Amount necessary for the Parent to be able to make Restricted Payments required to maintain its status as a REIT (i.e., to satisfy the distribution requirements set forth in Section 4981 of the Code)</w:t>
            </w:r>
          </w:p>
        </w:tc>
        <w:tc>
          <w:tcPr>
            <w:tcW w:w="840" w:type="dxa"/>
            <w:tcBorders/>
            <w:vAlign w:val="center"/>
          </w:tcPr>
          <w:p>
            <w:pPr>
              <w:pStyle w:val="TableContents"/>
              <w:bidi w:val="0"/>
              <w:spacing w:before="140" w:after="240"/>
              <w:ind w:left="0" w:right="0" w:hanging="0"/>
              <w:jc w:val="center"/>
              <w:rPr/>
            </w:pPr>
            <w:r>
              <w:rPr/>
              <w:t>​</w:t>
            </w:r>
          </w:p>
          <w:p>
            <w:pPr>
              <w:pStyle w:val="TableContents"/>
              <w:bidi w:val="0"/>
              <w:spacing w:before="140" w:after="240"/>
              <w:ind w:left="0" w:right="0" w:hanging="0"/>
              <w:jc w:val="center"/>
              <w:rPr/>
            </w:pPr>
            <w:r>
              <w:rPr/>
              <w:t>​</w:t>
            </w:r>
          </w:p>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Greater of Line H3 and Line H4</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 xml:space="preserve">6. </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H1 shall not exceed Line H5</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I.</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Number of Unencumbered Real Property Assets</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number of Unencumbered Real Property Assets</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I1 shall not be less than 20</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J.</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 Value</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J1 shall not be less than $200,000,000</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K.</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Individual Unencumbered Asset Value</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Percentage of Unencumbered Asset Value of each Unencumbered Asset is set forth [above or on the attached Schedule] and the largest Unencumbered Asset Value or any Unencumbered Asset is $___________ for the ___________ Unencumbered Asset.</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 Unencumbered Asset comprises more than 25% of Unencumbered Asset Value</w:t>
            </w:r>
          </w:p>
        </w:tc>
        <w:tc>
          <w:tcPr>
            <w:tcW w:w="840" w:type="dxa"/>
            <w:tcBorders/>
            <w:vAlign w:val="center"/>
          </w:tcPr>
          <w:p>
            <w:pPr>
              <w:pStyle w:val="TableContents"/>
              <w:bidi w:val="0"/>
              <w:spacing w:before="140" w:after="24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35"/>
        <w:gridCol w:w="670"/>
      </w:tblGrid>
      <w:tr>
        <w:trPr/>
        <w:tc>
          <w:tcPr>
            <w:tcW w:w="9535"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70" w:type="dxa"/>
            <w:tcBorders/>
            <w:vAlign w:val="center"/>
          </w:tcPr>
          <w:p>
            <w:pPr>
              <w:pStyle w:val="TableContents"/>
              <w:bidi w:val="0"/>
              <w:spacing w:before="140" w:after="240"/>
              <w:ind w:left="0" w:right="0" w:hanging="0"/>
              <w:jc w:val="center"/>
              <w:rPr/>
            </w:pPr>
            <w:r>
              <w:rPr>
                <w:rFonts w:ascii="Times" w:hAnsi="Times"/>
                <w:sz w:val="24"/>
              </w:rPr>
              <w:t>yes/no</w:t>
            </w:r>
            <w:hyperlink w:anchor="footnote-9">
              <w:r>
                <w:rPr>
                  <w:rStyle w:val="InternetLink"/>
                  <w:rFonts w:ascii="Times" w:hAnsi="Times"/>
                  <w:sz w:val="20"/>
                </w:rPr>
                <w:t>7</w:t>
              </w:r>
            </w:hyperlink>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L.</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Single Tenant Unencumbered Asset Value</w:t>
            </w:r>
          </w:p>
        </w:tc>
        <w:tc>
          <w:tcPr>
            <w:tcW w:w="670" w:type="dxa"/>
            <w:tcBorders/>
            <w:vAlign w:val="center"/>
          </w:tcPr>
          <w:p>
            <w:pPr>
              <w:pStyle w:val="TableContents"/>
              <w:bidi w:val="0"/>
              <w:spacing w:before="140" w:after="24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largest amount of Unencumbered Asset Value from a single Tenant that does not maintain a Rating of at least BBB-/Baa3 from S&amp;P or Moody’s, respectively, is $_____________ from _____________.</w:t>
            </w:r>
          </w:p>
        </w:tc>
        <w:tc>
          <w:tcPr>
            <w:tcW w:w="670" w:type="dxa"/>
            <w:tcBorders/>
            <w:vAlign w:val="center"/>
          </w:tcPr>
          <w:p>
            <w:pPr>
              <w:pStyle w:val="TableContents"/>
              <w:bidi w:val="0"/>
              <w:spacing w:before="140" w:after="24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 single Tenant that does not maintain a Rating of at least BBB-/Baa3 from S&amp;P or Moody’s, respectively, comprises more than 20% of Unencumbered Asset Value</w:t>
            </w:r>
          </w:p>
        </w:tc>
        <w:tc>
          <w:tcPr>
            <w:tcW w:w="670" w:type="dxa"/>
            <w:tcBorders/>
            <w:vAlign w:val="center"/>
          </w:tcPr>
          <w:p>
            <w:pPr>
              <w:pStyle w:val="TableContents"/>
              <w:bidi w:val="0"/>
              <w:spacing w:before="140" w:after="24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70" w:type="dxa"/>
            <w:tcBorders/>
            <w:vAlign w:val="center"/>
          </w:tcPr>
          <w:p>
            <w:pPr>
              <w:pStyle w:val="TableContents"/>
              <w:bidi w:val="0"/>
              <w:spacing w:before="140" w:after="240"/>
              <w:ind w:left="0" w:right="0" w:hanging="0"/>
              <w:jc w:val="center"/>
              <w:rPr/>
            </w:pPr>
            <w:r>
              <w:rPr>
                <w:rFonts w:ascii="Times" w:hAnsi="Times"/>
                <w:sz w:val="24"/>
              </w:rPr>
              <w:t>yes/no</w:t>
            </w:r>
            <w:hyperlink w:anchor="footnote-10">
              <w:r>
                <w:rPr>
                  <w:rStyle w:val="InternetLink"/>
                  <w:rFonts w:ascii="Times" w:hAnsi="Times"/>
                  <w:sz w:val="20"/>
                </w:rPr>
                <w:t>8</w:t>
              </w:r>
            </w:hyperlink>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M.</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Assets Subject to Acceptable Leasehold Interests</w:t>
            </w:r>
          </w:p>
        </w:tc>
        <w:tc>
          <w:tcPr>
            <w:tcW w:w="670" w:type="dxa"/>
            <w:tcBorders/>
            <w:vAlign w:val="center"/>
          </w:tcPr>
          <w:p>
            <w:pPr>
              <w:pStyle w:val="TableContents"/>
              <w:bidi w:val="0"/>
              <w:spacing w:before="140" w:after="24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that are leased by Borrower or a Subsidiary pursuant to an Acceptable Leasehold Interest</w:t>
            </w:r>
          </w:p>
        </w:tc>
        <w:tc>
          <w:tcPr>
            <w:tcW w:w="67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M1 shall not be greater than 15%</w:t>
            </w:r>
          </w:p>
        </w:tc>
        <w:tc>
          <w:tcPr>
            <w:tcW w:w="670" w:type="dxa"/>
            <w:tcBorders/>
            <w:vAlign w:val="center"/>
          </w:tcPr>
          <w:p>
            <w:pPr>
              <w:pStyle w:val="TableContents"/>
              <w:bidi w:val="0"/>
              <w:spacing w:before="140" w:after="24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70" w:type="dxa"/>
            <w:tcBorders/>
            <w:vAlign w:val="center"/>
          </w:tcPr>
          <w:p>
            <w:pPr>
              <w:pStyle w:val="TableContents"/>
              <w:bidi w:val="0"/>
              <w:spacing w:before="140" w:after="240"/>
              <w:ind w:left="0" w:right="0" w:hanging="0"/>
              <w:jc w:val="center"/>
              <w:rPr/>
            </w:pPr>
            <w:r>
              <w:rPr>
                <w:rFonts w:ascii="Times" w:hAnsi="Times"/>
                <w:sz w:val="24"/>
              </w:rPr>
              <w:t>yes/no</w:t>
            </w:r>
            <w:hyperlink w:anchor="footnote-11">
              <w:r>
                <w:rPr>
                  <w:rStyle w:val="InternetLink"/>
                  <w:rFonts w:ascii="Times" w:hAnsi="Times"/>
                  <w:sz w:val="20"/>
                </w:rPr>
                <w:t>9</w:t>
              </w:r>
            </w:hyperlink>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N.</w:t>
            </w:r>
          </w:p>
          <w:p>
            <w:pPr>
              <w:pStyle w:val="TableContents"/>
              <w:bidi w:val="0"/>
              <w:spacing w:before="140" w:after="0"/>
              <w:ind w:left="0" w:right="0" w:hanging="0"/>
              <w:jc w:val="left"/>
              <w:rPr/>
            </w:pPr>
            <w:r>
              <w:rPr>
                <w:rFonts w:ascii="Times New Roman;Times;serif" w:hAnsi="Times New Roman;Times;serif"/>
                <w:sz w:val="24"/>
                <w:u w:val="single"/>
              </w:rPr>
              <w:t>MSA</w:t>
            </w:r>
            <w:hyperlink w:anchor="footnote-12">
              <w:r>
                <w:rPr>
                  <w:rStyle w:val="InternetLink"/>
                  <w:rFonts w:ascii="Times" w:hAnsi="Times"/>
                  <w:sz w:val="20"/>
                  <w:u w:val="single"/>
                </w:rPr>
                <w:t>10</w:t>
              </w:r>
            </w:hyperlink>
          </w:p>
        </w:tc>
        <w:tc>
          <w:tcPr>
            <w:tcW w:w="670" w:type="dxa"/>
            <w:tcBorders/>
            <w:vAlign w:val="center"/>
          </w:tcPr>
          <w:p>
            <w:pPr>
              <w:pStyle w:val="TableContents"/>
              <w:bidi w:val="0"/>
              <w:spacing w:before="140" w:after="240"/>
              <w:ind w:left="0" w:right="0" w:hanging="0"/>
              <w:jc w:val="center"/>
              <w:rPr/>
            </w:pPr>
            <w:r>
              <w:rPr/>
              <w:t>​</w:t>
            </w:r>
          </w:p>
        </w:tc>
      </w:tr>
      <w:tr>
        <w:trPr/>
        <w:tc>
          <w:tcPr>
            <w:tcW w:w="953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in [________] MSA</w:t>
            </w:r>
          </w:p>
        </w:tc>
        <w:tc>
          <w:tcPr>
            <w:tcW w:w="67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bl>
    <w:p>
      <w:pPr>
        <w:pStyle w:val="TextBody"/>
        <w:bidi w:val="0"/>
        <w:spacing w:before="0" w:after="0"/>
        <w:ind w:left="0" w:right="0" w:hanging="0"/>
        <w:jc w:val="left"/>
        <w:rPr>
          <w:rFonts w:ascii="Times New Roman;Times;serif" w:hAnsi="Times New Roman;Times;serif"/>
          <w:sz w:val="20"/>
        </w:rPr>
      </w:pPr>
      <w:bookmarkStart w:id="2444" w:name="footnote-91"/>
      <w:bookmarkEnd w:id="2444"/>
      <w:r>
        <w:rPr>
          <w:rFonts w:ascii="Times New Roman;Times;serif" w:hAnsi="Times New Roman;Times;serif"/>
          <w:sz w:val="15"/>
        </w:rPr>
        <w:t>7</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s attributable to any Unencumbered Assets to the extent it exceeds the 25% concentration limit.</w:t>
      </w:r>
    </w:p>
    <w:p>
      <w:pPr>
        <w:pStyle w:val="TextBody"/>
        <w:bidi w:val="0"/>
        <w:spacing w:before="0" w:after="0"/>
        <w:ind w:left="0" w:right="0" w:hanging="0"/>
        <w:jc w:val="left"/>
        <w:rPr>
          <w:rFonts w:ascii="Times New Roman;Times;serif" w:hAnsi="Times New Roman;Times;serif"/>
          <w:sz w:val="20"/>
        </w:rPr>
      </w:pPr>
      <w:bookmarkStart w:id="2445" w:name="footnote-101"/>
      <w:bookmarkEnd w:id="2445"/>
      <w:r>
        <w:rPr>
          <w:rFonts w:ascii="Times New Roman;Times;serif" w:hAnsi="Times New Roman;Times;serif"/>
          <w:sz w:val="15"/>
        </w:rPr>
        <w:t>8</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s attributable to any Unencumbered Assets to the extent it exceeds the 20% concentration limit.</w:t>
      </w:r>
    </w:p>
    <w:p>
      <w:pPr>
        <w:pStyle w:val="TextBody"/>
        <w:bidi w:val="0"/>
        <w:spacing w:before="0" w:after="0"/>
        <w:ind w:left="0" w:right="0" w:hanging="0"/>
        <w:jc w:val="left"/>
        <w:rPr>
          <w:rFonts w:ascii="Times New Roman;Times;serif" w:hAnsi="Times New Roman;Times;serif"/>
          <w:sz w:val="20"/>
        </w:rPr>
      </w:pPr>
      <w:bookmarkStart w:id="2446" w:name="footnote-111"/>
      <w:bookmarkEnd w:id="2446"/>
      <w:r>
        <w:rPr>
          <w:rFonts w:ascii="Times New Roman;Times;serif" w:hAnsi="Times New Roman;Times;serif"/>
          <w:sz w:val="15"/>
        </w:rPr>
        <w:t>9</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Assets leased by the Borrower or a Subsidiary pursuant to an Acceptable Leasehold Interest to the extent it exceeds the 15% concentration limit.</w:t>
      </w:r>
    </w:p>
    <w:p>
      <w:pPr>
        <w:pStyle w:val="TextBody"/>
        <w:bidi w:val="0"/>
        <w:spacing w:before="0" w:after="0"/>
        <w:ind w:left="0" w:right="0" w:hanging="0"/>
        <w:jc w:val="left"/>
        <w:rPr>
          <w:rFonts w:ascii="Times New Roman;Times;serif" w:hAnsi="Times New Roman;Times;serif"/>
          <w:sz w:val="20"/>
        </w:rPr>
      </w:pPr>
      <w:bookmarkStart w:id="2447" w:name="footnote-121"/>
      <w:bookmarkEnd w:id="2447"/>
      <w:r>
        <w:rPr>
          <w:rFonts w:ascii="Times New Roman;Times;serif" w:hAnsi="Times New Roman;Times;serif"/>
          <w:sz w:val="15"/>
        </w:rPr>
        <w:t>10</w:t>
      </w:r>
      <w:r>
        <w:rPr>
          <w:rFonts w:ascii="Times New Roman;Times;serif" w:hAnsi="Times New Roman;Times;serif"/>
          <w:sz w:val="20"/>
        </w:rPr>
        <w:t xml:space="preserve"> To be duplicated for each MSA with Unencumbered Assets.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81"/>
        <w:gridCol w:w="724"/>
      </w:tblGrid>
      <w:tr>
        <w:trPr/>
        <w:tc>
          <w:tcPr>
            <w:tcW w:w="9481"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N1 shall not be greater than 25%</w:t>
            </w:r>
          </w:p>
        </w:tc>
        <w:tc>
          <w:tcPr>
            <w:tcW w:w="724" w:type="dxa"/>
            <w:tcBorders/>
            <w:vAlign w:val="center"/>
          </w:tcPr>
          <w:p>
            <w:pPr>
              <w:pStyle w:val="TableContents"/>
              <w:bidi w:val="0"/>
              <w:spacing w:before="140" w:after="240"/>
              <w:ind w:left="0" w:right="0" w:hanging="0"/>
              <w:jc w:val="center"/>
              <w:rPr/>
            </w:pPr>
            <w:r>
              <w:rPr/>
              <w:t>​</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O.</w:t>
            </w:r>
          </w:p>
          <w:p>
            <w:pPr>
              <w:pStyle w:val="TableContents"/>
              <w:bidi w:val="0"/>
              <w:spacing w:before="140" w:after="0"/>
              <w:ind w:left="0" w:right="0" w:hanging="0"/>
              <w:jc w:val="left"/>
              <w:rPr/>
            </w:pPr>
            <w:r>
              <w:rPr>
                <w:rFonts w:ascii="Times New Roman;Times;serif" w:hAnsi="Times New Roman;Times;serif"/>
                <w:sz w:val="24"/>
                <w:u w:val="single"/>
              </w:rPr>
              <w:t>Mortgage Receivables Value</w:t>
            </w:r>
            <w:hyperlink w:anchor="footnote-13">
              <w:r>
                <w:rPr>
                  <w:rStyle w:val="InternetLink"/>
                  <w:rFonts w:ascii="Times New Roman;Times;serif" w:hAnsi="Times New Roman;Times;serif"/>
                  <w:sz w:val="18"/>
                </w:rPr>
                <w:t>11</w:t>
              </w:r>
            </w:hyperlink>
            <w:r>
              <w:rPr>
                <w:rFonts w:ascii="Times New Roman;Times;serif" w:hAnsi="Times New Roman;Times;serif"/>
                <w:sz w:val="24"/>
              </w:rPr>
              <w:t xml:space="preserve"> </w:t>
            </w:r>
          </w:p>
        </w:tc>
        <w:tc>
          <w:tcPr>
            <w:tcW w:w="724" w:type="dxa"/>
            <w:tcBorders/>
            <w:vAlign w:val="center"/>
          </w:tcPr>
          <w:p>
            <w:pPr>
              <w:pStyle w:val="TableContents"/>
              <w:bidi w:val="0"/>
              <w:spacing w:before="140" w:after="240"/>
              <w:ind w:left="0" w:right="0" w:hanging="0"/>
              <w:jc w:val="center"/>
              <w:rPr/>
            </w:pPr>
            <w:r>
              <w:rPr/>
              <w:t>​</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Mortgage Receivables</w:t>
            </w:r>
          </w:p>
        </w:tc>
        <w:tc>
          <w:tcPr>
            <w:tcW w:w="724" w:type="dxa"/>
            <w:tcBorders/>
            <w:vAlign w:val="center"/>
          </w:tcPr>
          <w:p>
            <w:pPr>
              <w:pStyle w:val="TableContents"/>
              <w:bidi w:val="0"/>
              <w:spacing w:before="140" w:after="24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O1 shall not be greater than 10%</w:t>
            </w:r>
          </w:p>
        </w:tc>
        <w:tc>
          <w:tcPr>
            <w:tcW w:w="724" w:type="dxa"/>
            <w:tcBorders/>
            <w:vAlign w:val="center"/>
          </w:tcPr>
          <w:p>
            <w:pPr>
              <w:pStyle w:val="TableContents"/>
              <w:bidi w:val="0"/>
              <w:spacing w:before="140" w:after="240"/>
              <w:ind w:left="0" w:right="0" w:hanging="0"/>
              <w:jc w:val="center"/>
              <w:rPr/>
            </w:pPr>
            <w:r>
              <w:rPr/>
              <w:t>​</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The Borrower is in compliance (circle yes or no)</w:t>
            </w:r>
          </w:p>
          <w:p>
            <w:pPr>
              <w:pStyle w:val="TableContents"/>
              <w:pBdr/>
              <w:bidi w:val="0"/>
              <w:spacing w:before="140" w:after="0"/>
              <w:ind w:left="0" w:right="0" w:hanging="0"/>
              <w:jc w:val="left"/>
              <w:rPr/>
            </w:pPr>
            <w:r>
              <w:rPr/>
              <w:t>​</w:t>
            </w:r>
          </w:p>
        </w:tc>
        <w:tc>
          <w:tcPr>
            <w:tcW w:w="724" w:type="dxa"/>
            <w:tcBorders/>
            <w:vAlign w:val="center"/>
          </w:tcPr>
          <w:p>
            <w:pPr>
              <w:pStyle w:val="TableContents"/>
              <w:bidi w:val="0"/>
              <w:spacing w:before="140" w:after="24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P.</w:t>
            </w:r>
          </w:p>
          <w:p>
            <w:pPr>
              <w:pStyle w:val="TableContents"/>
              <w:bidi w:val="0"/>
              <w:spacing w:before="140" w:after="0"/>
              <w:ind w:left="0" w:right="0" w:hanging="0"/>
              <w:jc w:val="left"/>
              <w:rPr/>
            </w:pPr>
            <w:r>
              <w:rPr>
                <w:rFonts w:ascii="Times New Roman;Times;serif" w:hAnsi="Times New Roman;Times;serif"/>
                <w:sz w:val="24"/>
                <w:u w:val="single"/>
              </w:rPr>
              <w:t>Mortgage Receivables Income</w:t>
            </w:r>
            <w:hyperlink w:anchor="footnote-14">
              <w:r>
                <w:rPr>
                  <w:rStyle w:val="InternetLink"/>
                  <w:rFonts w:ascii="Times New Roman;Times;serif" w:hAnsi="Times New Roman;Times;serif"/>
                  <w:sz w:val="18"/>
                </w:rPr>
                <w:t>12</w:t>
              </w:r>
            </w:hyperlink>
            <w:r>
              <w:rPr>
                <w:rFonts w:ascii="Times New Roman;Times;serif" w:hAnsi="Times New Roman;Times;serif"/>
                <w:sz w:val="24"/>
              </w:rPr>
              <w:t xml:space="preserve"> </w:t>
            </w:r>
          </w:p>
        </w:tc>
        <w:tc>
          <w:tcPr>
            <w:tcW w:w="724" w:type="dxa"/>
            <w:tcBorders/>
            <w:vAlign w:val="center"/>
          </w:tcPr>
          <w:p>
            <w:pPr>
              <w:pStyle w:val="TableContents"/>
              <w:bidi w:val="0"/>
              <w:spacing w:before="140" w:after="240"/>
              <w:ind w:left="0" w:right="0" w:hanging="0"/>
              <w:jc w:val="center"/>
              <w:rPr/>
            </w:pPr>
            <w:r>
              <w:rPr/>
              <w:t>​</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Pool Total Income (Line F1 plus F2) attributable to Unencumbered Mortgage Receivables</w:t>
            </w:r>
          </w:p>
        </w:tc>
        <w:tc>
          <w:tcPr>
            <w:tcW w:w="724" w:type="dxa"/>
            <w:tcBorders/>
            <w:vAlign w:val="center"/>
          </w:tcPr>
          <w:p>
            <w:pPr>
              <w:pStyle w:val="TableContents"/>
              <w:bidi w:val="0"/>
              <w:spacing w:before="140" w:after="24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P1 shall not be greater than 10%</w:t>
            </w:r>
          </w:p>
        </w:tc>
        <w:tc>
          <w:tcPr>
            <w:tcW w:w="724" w:type="dxa"/>
            <w:tcBorders/>
            <w:vAlign w:val="center"/>
          </w:tcPr>
          <w:p>
            <w:pPr>
              <w:pStyle w:val="TableContents"/>
              <w:bidi w:val="0"/>
              <w:spacing w:before="140" w:after="240"/>
              <w:ind w:left="0" w:right="0" w:hanging="0"/>
              <w:jc w:val="center"/>
              <w:rPr/>
            </w:pPr>
            <w:r>
              <w:rPr/>
              <w:t>​</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4" w:type="dxa"/>
            <w:tcBorders/>
            <w:vAlign w:val="center"/>
          </w:tcPr>
          <w:p>
            <w:pPr>
              <w:pStyle w:val="TableContents"/>
              <w:bidi w:val="0"/>
              <w:spacing w:before="140" w:after="24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Q.</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Occupancy Rate</w:t>
            </w:r>
          </w:p>
        </w:tc>
        <w:tc>
          <w:tcPr>
            <w:tcW w:w="724" w:type="dxa"/>
            <w:tcBorders/>
            <w:vAlign w:val="center"/>
          </w:tcPr>
          <w:p>
            <w:pPr>
              <w:pStyle w:val="TableContents"/>
              <w:bidi w:val="0"/>
              <w:spacing w:before="140" w:after="240"/>
              <w:ind w:left="0" w:right="0" w:hanging="0"/>
              <w:jc w:val="center"/>
              <w:rPr/>
            </w:pPr>
            <w:r>
              <w:rPr/>
              <w:t>​</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Occupancy Rate of Unencumbered Assets</w:t>
            </w:r>
          </w:p>
        </w:tc>
        <w:tc>
          <w:tcPr>
            <w:tcW w:w="724" w:type="dxa"/>
            <w:tcBorders/>
            <w:vAlign w:val="center"/>
          </w:tcPr>
          <w:p>
            <w:pPr>
              <w:pStyle w:val="TableContents"/>
              <w:bidi w:val="0"/>
              <w:spacing w:before="140" w:after="24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Q1 shall not be less than 85%</w:t>
            </w:r>
          </w:p>
        </w:tc>
        <w:tc>
          <w:tcPr>
            <w:tcW w:w="724" w:type="dxa"/>
            <w:tcBorders/>
            <w:vAlign w:val="center"/>
          </w:tcPr>
          <w:p>
            <w:pPr>
              <w:pStyle w:val="TableContents"/>
              <w:bidi w:val="0"/>
              <w:spacing w:before="140" w:after="240"/>
              <w:ind w:left="0" w:right="0" w:hanging="0"/>
              <w:jc w:val="center"/>
              <w:rPr/>
            </w:pPr>
            <w:r>
              <w:rPr/>
              <w:t>​</w:t>
            </w:r>
          </w:p>
        </w:tc>
      </w:tr>
      <w:tr>
        <w:trPr/>
        <w:tc>
          <w:tcPr>
            <w:tcW w:w="948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4" w:type="dxa"/>
            <w:tcBorders/>
            <w:vAlign w:val="center"/>
          </w:tcPr>
          <w:p>
            <w:pPr>
              <w:pStyle w:val="TableContents"/>
              <w:bidi w:val="0"/>
              <w:spacing w:before="140" w:after="240"/>
              <w:ind w:left="0" w:right="0" w:hanging="0"/>
              <w:jc w:val="center"/>
              <w:rPr>
                <w:rFonts w:ascii="Times New Roman;Times;serif" w:hAnsi="Times New Roman;Times;serif"/>
                <w:sz w:val="24"/>
              </w:rPr>
            </w:pPr>
            <w:r>
              <w:rPr>
                <w:rFonts w:ascii="Times New Roman;Times;serif" w:hAnsi="Times New Roman;Times;serif"/>
                <w:sz w:val="24"/>
              </w:rPr>
              <w:t>yes/no</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448" w:name="footnote-131"/>
      <w:bookmarkEnd w:id="2448"/>
      <w:r>
        <w:rPr>
          <w:rFonts w:ascii="Times New Roman;Times;serif" w:hAnsi="Times New Roman;Times;serif"/>
          <w:sz w:val="15"/>
        </w:rPr>
        <w:t>11</w:t>
      </w:r>
      <w:r>
        <w:rPr>
          <w:rFonts w:ascii="Times New Roman;Times;serif" w:hAnsi="Times New Roman;Times;serif"/>
          <w:sz w:val="20"/>
        </w:rPr>
        <w:t xml:space="preserve"> If applicable, the calculation of Unencumbered Asset Value includes an adjustment to exclude that portion of the book value of any Unencumbered Mortgage Receivables to the extent it exceeds the 10% concentration limit.</w:t>
      </w:r>
    </w:p>
    <w:p>
      <w:pPr>
        <w:pStyle w:val="TextBody"/>
        <w:bidi w:val="0"/>
        <w:spacing w:before="0" w:after="0"/>
        <w:ind w:left="0" w:right="0" w:hanging="0"/>
        <w:jc w:val="left"/>
        <w:rPr>
          <w:rFonts w:ascii="Times New Roman;Times;serif" w:hAnsi="Times New Roman;Times;serif"/>
          <w:sz w:val="20"/>
        </w:rPr>
      </w:pPr>
      <w:bookmarkStart w:id="2449" w:name="footnote-141"/>
      <w:bookmarkEnd w:id="2449"/>
      <w:r>
        <w:rPr>
          <w:rFonts w:ascii="Times New Roman;Times;serif" w:hAnsi="Times New Roman;Times;serif"/>
          <w:sz w:val="15"/>
        </w:rPr>
        <w:t>12</w:t>
      </w:r>
      <w:r>
        <w:rPr>
          <w:rFonts w:ascii="Times New Roman;Times;serif" w:hAnsi="Times New Roman;Times;serif"/>
          <w:sz w:val="20"/>
        </w:rPr>
        <w:t xml:space="preserve"> If applicable, the calculation of Unencumbered Pool Total Income includes an adjustment to exclude that portion of the cash interest income form any Unencumbered Mortgage Receivables to the extent it exceeds the 10% concentration limit.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A, with a calculation date of __________,______, is attached to Schedule I to the Compliance Certificate of Alpine Income Property OP, LP dated ___________, 20__, as amended, and delivered to Truist Bank, N.A., as Administrative Agent, and the Lenders party to the Amended and Restated Credit Agreement, as amended, referred to therein.  The undersigned hereby certifies that the following is a true, correct and complete calculation of Total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78740" cy="175260"/>
                      <wp:effectExtent l="0" t="0" r="0" b="0"/>
                      <wp:wrapNone/>
                      <wp:docPr id="620" name="Frame62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367280" cy="29210"/>
                      <wp:effectExtent l="0" t="0" r="0" b="0"/>
                      <wp:wrapNone/>
                      <wp:docPr id="621" name="Frame621"/>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4034155" cy="175260"/>
                      <wp:effectExtent l="0" t="0" r="0" b="0"/>
                      <wp:wrapNone/>
                      <wp:docPr id="622" name="Frame622"/>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B, with a calculation date of __________,______, is attached to Schedule I to the Compliance Certificate of Alpine Income Property OP, LP dated _________, 20__, as amended, and delivered to Truist Bank, N.A., as Administrative Agent, and the Lenders party to the Amended and Restated Credit Agreement, as amended, referred to therein.  The undersigned hereby certifies that the following is a true, correct and complete calculation of Property NOI for all Properties for Rolling Period most recently ended:</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28" w:type="dxa"/>
          <w:left w:w="103" w:type="dxa"/>
          <w:bottom w:w="28" w:type="dxa"/>
          <w:right w:w="103" w:type="dxa"/>
        </w:tblCellMar>
      </w:tblPr>
      <w:tblGrid>
        <w:gridCol w:w="796"/>
        <w:gridCol w:w="879"/>
        <w:gridCol w:w="556"/>
        <w:gridCol w:w="1747"/>
        <w:gridCol w:w="556"/>
        <w:gridCol w:w="1321"/>
        <w:gridCol w:w="556"/>
        <w:gridCol w:w="2305"/>
        <w:gridCol w:w="601"/>
        <w:gridCol w:w="888"/>
      </w:tblGrid>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Income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Expenses (without Cap. Ex. Reserve or Management Fees)</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Capital Expenditure Reserve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Greater of 1% (for retail net lease properties) or 3% of rents for other properties or actual management fees</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NOI</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Properties:$_____________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Unencumbered Assets:$_____________</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78740" cy="175260"/>
                      <wp:effectExtent l="0" t="0" r="0" b="0"/>
                      <wp:wrapNone/>
                      <wp:docPr id="623" name="Frame62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367280" cy="29210"/>
                      <wp:effectExtent l="0" t="0" r="0" b="0"/>
                      <wp:wrapNone/>
                      <wp:docPr id="624" name="Frame624"/>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034155" cy="175260"/>
                      <wp:effectExtent l="0" t="0" r="0" b="0"/>
                      <wp:wrapNone/>
                      <wp:docPr id="625" name="Frame625"/>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mallCaps/>
        </w:rPr>
      </w:pPr>
      <w:r>
        <w:rPr>
          <w:smallCaps/>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C, with a calculation date of __________,______, is attached to Schedule I to the Compliance Certificate of Alpine Income Property OP, LP dated ___________, 20__, as amended, and delivered to Truist Bank, N.A., as Administrative Agent, and the Lenders party to the Amended and Restated Credit Agreement, as amended, referred to therein.  The undersigned hereby certifies that the following is a true, correct and complete calculation of Unencumbered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094"/>
        <w:gridCol w:w="829"/>
        <w:gridCol w:w="805"/>
        <w:gridCol w:w="805"/>
        <w:gridCol w:w="554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78740" cy="175260"/>
                      <wp:effectExtent l="0" t="0" r="0" b="0"/>
                      <wp:wrapNone/>
                      <wp:docPr id="626" name="Frame62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367280" cy="29210"/>
                      <wp:effectExtent l="0" t="0" r="0" b="0"/>
                      <wp:wrapNone/>
                      <wp:docPr id="627" name="Frame627"/>
                      <a:graphic xmlns:a="http://schemas.openxmlformats.org/drawingml/2006/main">
                        <a:graphicData uri="http://schemas.microsoft.com/office/word/2010/wordprocessingShape">
                          <wps:wsp>
                            <wps:cNvSpPr txBox="1"/>
                            <wps:spPr>
                              <a:xfrm>
                                <a:off x="0" y="0"/>
                                <a:ext cx="2367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5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034155" cy="175260"/>
                      <wp:effectExtent l="0" t="0" r="0" b="0"/>
                      <wp:wrapNone/>
                      <wp:docPr id="628" name="Frame628"/>
                      <a:graphic xmlns:a="http://schemas.openxmlformats.org/drawingml/2006/main">
                        <a:graphicData uri="http://schemas.microsoft.com/office/word/2010/wordprocessingShape">
                          <wps:wsp>
                            <wps:cNvSpPr txBox="1"/>
                            <wps:spPr>
                              <a:xfrm>
                                <a:off x="0" y="0"/>
                                <a:ext cx="403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Alpine Income Property OP,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pPr>
            <w:r>
              <w:rPr/>
              <w:t>​</w:t>
            </w:r>
          </w:p>
        </w:tc>
        <w:tc>
          <w:tcPr>
            <w:tcW w:w="7987"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987"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5"/>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3"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7158"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33" w:type="dxa"/>
            <w:gridSpan w:val="4"/>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55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1.1</w:t>
      </w:r>
    </w:p>
    <w:p>
      <w:pPr>
        <w:pStyle w:val="TextBody"/>
        <w:bidi w:val="0"/>
        <w:spacing w:before="0" w:after="0"/>
        <w:ind w:left="0" w:right="0" w:hanging="0"/>
        <w:jc w:val="center"/>
        <w:rPr>
          <w:smallCaps/>
        </w:rPr>
      </w:pPr>
      <w:r>
        <w:rPr>
          <w:smallCaps/>
        </w:rPr>
        <w:t>​</w:t>
      </w:r>
      <w:r>
        <w:rPr>
          <w:rFonts w:ascii="Times New Roman;Times;serif" w:hAnsi="Times New Roman;Times;serif"/>
          <w:b/>
          <w:smallCaps/>
          <w:sz w:val="24"/>
        </w:rPr>
        <w:br/>
        <w:t xml:space="preserve">Initial Unencumbered Assets </w:t>
      </w:r>
    </w:p>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w:hAnsi="Times"/>
          <w:sz w:val="24"/>
        </w:rPr>
      </w:pPr>
      <w:r>
        <w:rPr>
          <w:rFonts w:ascii="Times" w:hAnsi="Times"/>
          <w:sz w:val="24"/>
        </w:rPr>
        <w:t>Part I – Unencumbered Real Property Assets</w:t>
      </w:r>
    </w:p>
    <w:tbl>
      <w:tblPr>
        <w:tblW w:w="7233" w:type="dxa"/>
        <w:jc w:val="left"/>
        <w:tblInd w:w="0" w:type="dxa"/>
        <w:tblLayout w:type="fixed"/>
        <w:tblCellMar>
          <w:top w:w="0" w:type="dxa"/>
          <w:left w:w="0" w:type="dxa"/>
          <w:bottom w:w="0" w:type="dxa"/>
          <w:right w:w="0" w:type="dxa"/>
        </w:tblCellMar>
      </w:tblPr>
      <w:tblGrid>
        <w:gridCol w:w="2881"/>
        <w:gridCol w:w="2971"/>
        <w:gridCol w:w="1381"/>
      </w:tblGrid>
      <w:tr>
        <w:trPr/>
        <w:tc>
          <w:tcPr>
            <w:tcW w:w="2881"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lineRule="atLeast" w:line="260" w:before="1" w:after="0"/>
              <w:ind w:left="602" w:right="593" w:hanging="0"/>
              <w:jc w:val="center"/>
              <w:rPr/>
            </w:pPr>
            <w:r>
              <w:rPr/>
              <w:t>​</w:t>
            </w:r>
          </w:p>
          <w:p>
            <w:pPr>
              <w:pStyle w:val="TableContents"/>
              <w:bidi w:val="0"/>
              <w:spacing w:before="0" w:after="0"/>
              <w:ind w:left="0" w:right="0" w:hanging="0"/>
              <w:jc w:val="left"/>
              <w:rPr/>
            </w:pPr>
            <w:r>
              <w:rPr/>
              <w:t>​</w:t>
            </w:r>
          </w:p>
        </w:tc>
        <w:tc>
          <w:tcPr>
            <w:tcW w:w="1381" w:type="dxa"/>
            <w:tcBorders/>
            <w:vAlign w:val="center"/>
          </w:tcPr>
          <w:p>
            <w:pPr>
              <w:pStyle w:val="TableContents"/>
              <w:bidi w:val="0"/>
              <w:spacing w:lineRule="atLeast" w:line="260" w:before="1" w:after="0"/>
              <w:ind w:left="9" w:right="0" w:hanging="0"/>
              <w:jc w:val="center"/>
              <w:rPr/>
            </w:pPr>
            <w:r>
              <w:rPr/>
              <w:t>​</w:t>
            </w:r>
          </w:p>
          <w:p>
            <w:pPr>
              <w:pStyle w:val="TableContents"/>
              <w:bidi w:val="0"/>
              <w:spacing w:before="0" w:after="0"/>
              <w:ind w:left="0" w:right="0" w:hanging="0"/>
              <w:jc w:val="left"/>
              <w:rPr/>
            </w:pPr>
            <w:r>
              <w:rPr/>
              <w: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tLeast" w:line="260" w:before="280" w:after="0"/>
              <w:ind w:left="0" w:right="0" w:hanging="0"/>
              <w:jc w:val="center"/>
              <w:rPr>
                <w:rFonts w:ascii="Times New Roman;Times;serif" w:hAnsi="Times New Roman;Times;serif"/>
                <w:b/>
                <w:sz w:val="24"/>
              </w:rPr>
            </w:pPr>
            <w:r>
              <w:rPr>
                <w:rFonts w:ascii="Times New Roman;Times;serif" w:hAnsi="Times New Roman;Times;serif"/>
                <w:b/>
                <w:sz w:val="24"/>
              </w:rPr>
              <w:t>Tenant (DBA)</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City, State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Square Feet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Century Theater</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Reno, Nevada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52,474</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Dick’s Sporting Goods, Inc.</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46,315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Best Buy Stores, L.P.</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30,038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Alpine Valley Music Theatre</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East Troy, Wisconsin</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93,322</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Family Dollar</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Lynn, Massachusetts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9,228</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Birmingham, Alabama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14,516</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Albany, Georgia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14,770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left"/>
              <w:rPr>
                <w:rFonts w:ascii="Times New Roman;Times;serif" w:hAnsi="Times New Roman;Times;serif"/>
                <w:sz w:val="24"/>
              </w:rPr>
            </w:pPr>
            <w:r>
              <w:rPr>
                <w:rFonts w:ascii="Times New Roman;Times;serif" w:hAnsi="Times New Roman;Times;serif"/>
                <w:sz w:val="24"/>
              </w:rPr>
              <w:t>Old Time Pottery</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Orange Park, Florida</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84,180</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AMC Theatre</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Tyngsborough, Massachusetts</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39,474</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Barker,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9,275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Bingham, Maine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9,345</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Chazy,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9,277</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Hammond,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9,219</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Harrisville,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9,309</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Heuvelton, New York</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9,342</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Howell, Michigan</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214,172</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Limestone, Maine</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3" w:after="0"/>
              <w:ind w:left="0" w:right="0" w:hanging="0"/>
              <w:jc w:val="left"/>
              <w:rPr/>
            </w:pPr>
            <w:r>
              <w:rPr/>
              <w:t>​</w:t>
            </w:r>
          </w:p>
          <w:p>
            <w:pPr>
              <w:pStyle w:val="TableContents"/>
              <w:bidi w:val="0"/>
              <w:spacing w:lineRule="atLeast" w:line="260" w:before="1" w:after="0"/>
              <w:ind w:left="9" w:right="0" w:hanging="0"/>
              <w:jc w:val="center"/>
              <w:rPr>
                <w:rFonts w:ascii="Times New Roman;Times;serif" w:hAnsi="Times New Roman;Times;serif"/>
                <w:sz w:val="24"/>
              </w:rPr>
            </w:pPr>
            <w:r>
              <w:rPr>
                <w:rFonts w:ascii="Times New Roman;Times;serif" w:hAnsi="Times New Roman;Times;serif"/>
                <w:sz w:val="24"/>
              </w:rPr>
              <w:t>9,167</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1.1 -1]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88" w:type="dxa"/>
        <w:jc w:val="left"/>
        <w:tblInd w:w="0" w:type="dxa"/>
        <w:tblLayout w:type="fixed"/>
        <w:tblCellMar>
          <w:top w:w="28" w:type="dxa"/>
          <w:left w:w="28" w:type="dxa"/>
          <w:bottom w:w="28" w:type="dxa"/>
          <w:right w:w="28" w:type="dxa"/>
        </w:tblCellMar>
      </w:tblPr>
      <w:tblGrid>
        <w:gridCol w:w="2041"/>
        <w:gridCol w:w="2536"/>
        <w:gridCol w:w="811"/>
      </w:tblGrid>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Milford, Maine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9,128</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Newtonsville,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9,290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Odessa,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9,127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Salem, New York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9,199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Severn, Maryland</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6,876</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Somerville,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9,252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Willis,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9,138</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Winthrop, New York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9,167</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Kermit,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10,920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Tacoma, Washington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14,125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Cut &amp; Shoot,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9,096</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Del Rio,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9,219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Seguin, Texas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9,155</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89,902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Pet Supplies Plus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8,400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Salon Lofts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Canton, Ohio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4,000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Burlington</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North Richland Hills,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70,891</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Florence, SC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58,410</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Circle K</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Indianapolis, IN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4,283</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Burger King</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Plymouth,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3,142</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Demopolis, AL</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10,159</w:t>
            </w:r>
          </w:p>
        </w:tc>
      </w:tr>
      <w:tr>
        <w:trPr/>
        <w:tc>
          <w:tcPr>
            <w:tcW w:w="20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Firestone</w:t>
            </w:r>
          </w:p>
        </w:tc>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Pittsburgh, PA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10,629</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1.1 -2]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73" w:type="dxa"/>
        <w:jc w:val="left"/>
        <w:tblInd w:w="0" w:type="dxa"/>
        <w:tblLayout w:type="fixed"/>
        <w:tblCellMar>
          <w:top w:w="28" w:type="dxa"/>
          <w:left w:w="28" w:type="dxa"/>
          <w:bottom w:w="28" w:type="dxa"/>
          <w:right w:w="28" w:type="dxa"/>
        </w:tblCellMar>
      </w:tblPr>
      <w:tblGrid>
        <w:gridCol w:w="2596"/>
        <w:gridCol w:w="1966"/>
        <w:gridCol w:w="811"/>
      </w:tblGrid>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Ware, MA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6,889</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Athens,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6,871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Burlington, NC</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11,394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O’Reilly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Duluth,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11,182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Midland,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14,624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Ludington,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6,604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New Baltimore, MI</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6,784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Camping World</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Hermantown,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66,033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Stilwell,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9,828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O’Reilly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Angels Camp, CA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7,066</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Hempstead,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52,190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Jackson,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1,920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Leland, MS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3,343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St. Paul, MN</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7,201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89,460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Boston Market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2,627</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Verizon</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Turnersville, NJ</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6,027</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Albuquerque, NM</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30,346</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Albuquerque, NM</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10,023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7-Eleven</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Olathe,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4,165</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Ashley HomeStore</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Dayton,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33,310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19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Dayton,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45,535</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1.1 -3]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68" w:type="dxa"/>
        <w:jc w:val="left"/>
        <w:tblInd w:w="0" w:type="dxa"/>
        <w:tblLayout w:type="fixed"/>
        <w:tblCellMar>
          <w:top w:w="28" w:type="dxa"/>
          <w:left w:w="28" w:type="dxa"/>
          <w:bottom w:w="28" w:type="dxa"/>
          <w:right w:w="28" w:type="dxa"/>
        </w:tblCellMar>
      </w:tblPr>
      <w:tblGrid>
        <w:gridCol w:w="2596"/>
        <w:gridCol w:w="1861"/>
        <w:gridCol w:w="811"/>
      </w:tblGrid>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Lafayette, LA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45,611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CVS</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Baton Rouge, LA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13,813</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Dansville,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9,174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Ellicottville,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9,144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Perry,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9,181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Warsaw, NY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14,495</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Sulphur,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Burlington,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Caneyville, KY</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10,604</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Dearing, GA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9,288</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Gladewater, TX</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10,111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Village, AR</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14,592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Madill, OK</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9,682</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McKenny, VA</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10,531</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Murfreesboro, AR</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Phillipsburg,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Plainville,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Sabetha, KS</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Superior, NE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Tipton,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Van Buren, MO</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18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Amsterdam, OH</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1.1 -4]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973" w:type="dxa"/>
        <w:jc w:val="left"/>
        <w:tblInd w:w="0" w:type="dxa"/>
        <w:tblLayout w:type="fixed"/>
        <w:tblCellMar>
          <w:top w:w="28" w:type="dxa"/>
          <w:left w:w="28" w:type="dxa"/>
          <w:bottom w:w="28" w:type="dxa"/>
          <w:right w:w="28" w:type="dxa"/>
        </w:tblCellMar>
      </w:tblPr>
      <w:tblGrid>
        <w:gridCol w:w="2581"/>
        <w:gridCol w:w="2461"/>
        <w:gridCol w:w="931"/>
      </w:tblGrid>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Medicine Lodge, KS</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Town Creek,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Washington,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23,466</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Logan, WV</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114,731</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Gadsden,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7,242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City, FL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Richmond, IN</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5,108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Depot/Office Max</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Gadsden, AL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23,638</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Old Time Pottery</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West Chicago, IL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78,721</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Orscheln Farm and Home</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Owensville, MO</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38,452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Party City</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Oceanside, NY</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15,500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Sportman’s Warehouse</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Morgantown, WV</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30,547</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Tractor Supply</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Washington Court,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39,984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Cadiz,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1,292</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Cleveland,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2,554</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Valero</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Lorain, OH</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900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Blackwood, NJ</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Brick, NJ</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14,550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Decatur, IL</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Edgewater, MD</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Feasterville-Trevose, PA</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r>
      <w:tr>
        <w:trPr/>
        <w:tc>
          <w:tcPr>
            <w:tcW w:w="2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4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Glen Burnie, MD</w:t>
            </w:r>
          </w:p>
        </w:tc>
        <w:tc>
          <w:tcPr>
            <w:tcW w:w="9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14,490</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1.1 -5]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688" w:type="dxa"/>
        <w:jc w:val="left"/>
        <w:tblInd w:w="0" w:type="dxa"/>
        <w:tblLayout w:type="fixed"/>
        <w:tblCellMar>
          <w:top w:w="28" w:type="dxa"/>
          <w:left w:w="28" w:type="dxa"/>
          <w:bottom w:w="28" w:type="dxa"/>
          <w:right w:w="28" w:type="dxa"/>
        </w:tblCellMar>
      </w:tblPr>
      <w:tblGrid>
        <w:gridCol w:w="5026"/>
        <w:gridCol w:w="2671"/>
        <w:gridCol w:w="991"/>
      </w:tblGrid>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Taylorville, IL</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14,550</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West Hartford, CT</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12,805</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SAFE Federal Credit Union</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Florence, SC</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0</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Houston, TX</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131,644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Chesterfield Township, MI</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49,979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Tecumseh, NE</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10,644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Home Depot</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Woodridge, IL</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110,626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Victor, NY</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120,908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Vacant</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Victor, NY</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20,055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Caney, KS</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10,555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Auburn, NE</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10,577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Anderson, AL</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10,607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Malden, MO</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48,081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Des Arc. AR</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10,555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Marshalls, Michaels, Home Goods, Starbucks, et al.</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84,922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Verizon</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6,034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20,460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50,000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Home Depot</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125,218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Red Robin</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Vineland, NJ</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4,575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Adrian, MI</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101,287 </w:t>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6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Fremont, OH</w:t>
            </w:r>
          </w:p>
        </w:tc>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125,357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1.1 -6]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48" w:type="dxa"/>
        <w:jc w:val="left"/>
        <w:tblInd w:w="0" w:type="dxa"/>
        <w:tblLayout w:type="fixed"/>
        <w:tblCellMar>
          <w:top w:w="28" w:type="dxa"/>
          <w:left w:w="28" w:type="dxa"/>
          <w:bottom w:w="28" w:type="dxa"/>
          <w:right w:w="28" w:type="dxa"/>
        </w:tblCellMar>
      </w:tblPr>
      <w:tblGrid>
        <w:gridCol w:w="2416"/>
        <w:gridCol w:w="2161"/>
        <w:gridCol w:w="871"/>
      </w:tblGrid>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Anthony, KS</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10,500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Crunch Fitness</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Buford, GA</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24,800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Kohl's</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Phoenix, AZ</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86,584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McGehee, AR</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10,993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Lake City, AR</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10,424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Downers Grove, IL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62,860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Golf Galaxy</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Downers Grove, IL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38,297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Golf Galaxy</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Glen Allen, VA</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23,635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 / Beach House</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Bradenton Beach, FL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22,131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 / Sand Bar</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Anna Maria, FL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10,600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 / Mar Vista</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3" w:after="0"/>
              <w:ind w:left="0" w:right="0" w:hanging="0"/>
              <w:jc w:val="center"/>
              <w:rPr>
                <w:rFonts w:ascii="Times New Roman;Times;serif" w:hAnsi="Times New Roman;Times;serif"/>
                <w:sz w:val="24"/>
              </w:rPr>
            </w:pPr>
            <w:r>
              <w:rPr>
                <w:rFonts w:ascii="Times New Roman;Times;serif" w:hAnsi="Times New Roman;Times;serif"/>
                <w:sz w:val="24"/>
              </w:rPr>
              <w:t>Longboat Key, FL</w:t>
            </w:r>
          </w:p>
        </w:tc>
        <w:tc>
          <w:tcPr>
            <w:tcW w:w="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6,520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1.1 -7]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Part II – Unencumbered Mortgage Receivables</w:t>
      </w:r>
    </w:p>
    <w:p>
      <w:pPr>
        <w:pStyle w:val="TextBody"/>
        <w:bidi w:val="0"/>
        <w:spacing w:before="0" w:after="240"/>
        <w:ind w:left="0" w:right="0" w:hanging="0"/>
        <w:jc w:val="both"/>
        <w:rPr>
          <w:rFonts w:ascii="Times" w:hAnsi="Times"/>
          <w:sz w:val="24"/>
        </w:rPr>
      </w:pPr>
      <w:r>
        <w:rPr>
          <w:rFonts w:ascii="Times" w:hAnsi="Times"/>
          <w:sz w:val="24"/>
        </w:rPr>
        <w:t>None.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1.1 -8]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6.2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SUBSIDIARIES </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144"/>
        <w:gridCol w:w="1779"/>
        <w:gridCol w:w="1801"/>
        <w:gridCol w:w="3481"/>
      </w:tblGrid>
      <w:tr>
        <w:trPr/>
        <w:tc>
          <w:tcPr>
            <w:tcW w:w="3144" w:type="dxa"/>
            <w:tcBorders/>
            <w:vAlign w:val="center"/>
          </w:tcPr>
          <w:p>
            <w:pPr>
              <w:pStyle w:val="TableContents"/>
              <w:bidi w:val="0"/>
              <w:spacing w:before="0" w:after="283"/>
              <w:ind w:left="0" w:right="0" w:hanging="0"/>
              <w:jc w:val="left"/>
              <w:rPr>
                <w:sz w:val="4"/>
                <w:szCs w:val="4"/>
              </w:rPr>
            </w:pPr>
            <w:r>
              <w:rPr>
                <w:sz w:val="4"/>
                <w:szCs w:val="4"/>
              </w:rPr>
            </w:r>
          </w:p>
        </w:tc>
        <w:tc>
          <w:tcPr>
            <w:tcW w:w="1779" w:type="dxa"/>
            <w:tcBorders/>
            <w:vAlign w:val="center"/>
          </w:tcPr>
          <w:p>
            <w:pPr>
              <w:pStyle w:val="TableContents"/>
              <w:bidi w:val="0"/>
              <w:spacing w:before="0" w:after="283"/>
              <w:ind w:left="0" w:right="0" w:hanging="0"/>
              <w:jc w:val="left"/>
              <w:rPr>
                <w:sz w:val="4"/>
                <w:szCs w:val="4"/>
              </w:rPr>
            </w:pPr>
            <w:r>
              <w:rPr>
                <w:sz w:val="4"/>
                <w:szCs w:val="4"/>
              </w:rPr>
            </w:r>
          </w:p>
        </w:tc>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Subsidiary</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Date of Formation</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State of Formation</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Member/General Partner (as applicable)</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PINE19 ALPHARETTA GA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1,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INDIGO HENRY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26, 2006</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Florida</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CTO17 BRANDON FL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27, 2017</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BIRMINGHAM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8,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CTLC18 LYNN MA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ALBANY GA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6,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TROY WI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20,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HURST TX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16, 2019</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HIGHLAND KY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January 16,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TYN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January 16,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BLANDING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6,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p>
            <w:pPr>
              <w:pStyle w:val="TableContents"/>
              <w:bidi w:val="0"/>
              <w:spacing w:before="0" w:after="0"/>
              <w:ind w:left="0" w:right="0" w:hanging="0"/>
              <w:jc w:val="left"/>
              <w:rPr/>
            </w:pPr>
            <w:r>
              <w:rPr/>
              <w:t>​</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ARDEN NC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HOWELL MI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BARKER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CHAZY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HAMMOND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HARRISVILLE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HEUVELTON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14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NEWTONSVILLE LLC</w:t>
            </w:r>
          </w:p>
        </w:tc>
        <w:tc>
          <w:tcPr>
            <w:tcW w:w="17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8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4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6.2 - 1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3977"/>
        <w:gridCol w:w="1958"/>
        <w:gridCol w:w="1021"/>
        <w:gridCol w:w="3249"/>
      </w:tblGrid>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SALEM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WINTHROP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19,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SEVERN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WILLIS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SOMERVILLE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BINGHAM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LIMESTONE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MILFORD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ODESSA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KERMIT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TACOMA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16,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DEL RIO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SEGUIN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PINE20 CUT &amp; SHOOT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20,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CTO16 RENO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1, 2016</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IV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17,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9603 WESTHEIMER ROAD,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9,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OH 2,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5,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Ohio</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 MEX OH,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6,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Ohio</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5,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II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15,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97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III LLC</w:t>
            </w:r>
          </w:p>
        </w:tc>
        <w:tc>
          <w:tcPr>
            <w:tcW w:w="19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2,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6.2 - 2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04" w:type="dxa"/>
        <w:jc w:val="left"/>
        <w:tblInd w:w="0" w:type="dxa"/>
        <w:tblLayout w:type="fixed"/>
        <w:tblCellMar>
          <w:top w:w="28" w:type="dxa"/>
          <w:left w:w="103" w:type="dxa"/>
          <w:bottom w:w="28" w:type="dxa"/>
          <w:right w:w="103" w:type="dxa"/>
        </w:tblCellMar>
      </w:tblPr>
      <w:tblGrid>
        <w:gridCol w:w="3661"/>
        <w:gridCol w:w="2011"/>
        <w:gridCol w:w="1021"/>
        <w:gridCol w:w="3211"/>
      </w:tblGrid>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23,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23,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VII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26,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VIII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IX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13,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X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HOUSTON EAST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HOUSTON WEST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SPORTS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ACQ 3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20,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CAESAR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12,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MAPLE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9,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MALDEN MO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15,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WASH MO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7,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PINE23 IN LENDER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20,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PINE23 MM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26,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PINE23 TN LENDER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21, 2023</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CLEAR CREEK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12,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COOLRAY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10,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DOWNERS GROVE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5,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KNOXVILLE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4,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MT CARMEL OH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7,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OCEANSIDE BH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11,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6.2 - 3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4178"/>
        <w:gridCol w:w="1927"/>
        <w:gridCol w:w="1021"/>
        <w:gridCol w:w="3079"/>
      </w:tblGrid>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OCEANSIDE SB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22,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SHORT PUMP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8,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PINE19 GEORGETOWN TX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10,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PINE19 SLAUGHTER AUSTIN TX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10,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41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CTO19 WINSTON-SALEM NC LLC</w:t>
            </w:r>
          </w:p>
        </w:tc>
        <w:tc>
          <w:tcPr>
            <w:tcW w:w="192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13,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0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6.2 - 4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PINE21 ACQUISITIONS VII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PINE21 ACQUISITIONS IX LLC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ACQ 3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PINE22 MALDEN MO LLC</w:t>
      </w:r>
    </w:p>
    <w:p>
      <w:pPr>
        <w:pStyle w:val="TextBody"/>
        <w:bidi w:val="0"/>
        <w:spacing w:before="0" w:after="0"/>
        <w:ind w:left="0" w:right="0" w:hanging="0"/>
        <w:jc w:val="left"/>
        <w:rPr>
          <w:rFonts w:ascii="Times New Roman;Times;serif" w:hAnsi="Times New Roman;Times;serif"/>
          <w:sz w:val="24"/>
        </w:rPr>
      </w:pPr>
      <w:bookmarkStart w:id="2450" w:name="_Hlk1855071971"/>
      <w:bookmarkEnd w:id="2450"/>
      <w:r>
        <w:rPr>
          <w:rFonts w:ascii="Times New Roman;Times;serif" w:hAnsi="Times New Roman;Times;serif"/>
          <w:sz w:val="24"/>
        </w:rPr>
        <w:t>PINE24 OCEANSIDE BH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OCEANSIDE SB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PINE24 SHORT PUMP LLC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Annex 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451" w:name="pine-20241231xex10d24.htm"/>
      <w:bookmarkStart w:id="2452" w:name="kspine20241231xex10d24"/>
      <w:bookmarkEnd w:id="2451"/>
      <w:bookmarkEnd w:id="2452"/>
      <w:r>
        <w:rPr>
          <w:rFonts w:ascii="Times New Roman;Times;serif" w:hAnsi="Times New Roman;Times;serif"/>
          <w:b/>
          <w:sz w:val="24"/>
        </w:rPr>
        <w:t>Exhibit 10.24</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INDEMNIFICATION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INDEMNIFICATION AGREEMENT (“</w:t>
      </w:r>
      <w:r>
        <w:rPr>
          <w:rFonts w:ascii="Times New Roman;Times;serif" w:hAnsi="Times New Roman;Times;serif"/>
          <w:b/>
          <w:sz w:val="24"/>
        </w:rPr>
        <w:t>Agreement</w:t>
      </w:r>
      <w:r>
        <w:rPr>
          <w:rFonts w:ascii="Times New Roman;Times;serif" w:hAnsi="Times New Roman;Times;serif"/>
          <w:sz w:val="24"/>
        </w:rPr>
        <w:t>”) is made and entered into as of the 6</w:t>
      </w:r>
      <w:r>
        <w:rPr>
          <w:rFonts w:ascii="Times New Roman;Times;serif" w:hAnsi="Times New Roman;Times;serif"/>
          <w:sz w:val="18"/>
        </w:rPr>
        <w:t>th</w:t>
      </w:r>
      <w:r>
        <w:rPr>
          <w:rFonts w:ascii="Times New Roman;Times;serif" w:hAnsi="Times New Roman;Times;serif"/>
          <w:sz w:val="24"/>
        </w:rPr>
        <w:t xml:space="preserve"> day of February, 2025, by and between Alpine Income Property Trust, Inc., a Maryland corporation (the “</w:t>
      </w:r>
      <w:r>
        <w:rPr>
          <w:rFonts w:ascii="Times New Roman;Times;serif" w:hAnsi="Times New Roman;Times;serif"/>
          <w:b/>
          <w:sz w:val="24"/>
        </w:rPr>
        <w:t>Company</w:t>
      </w:r>
      <w:r>
        <w:rPr>
          <w:rFonts w:ascii="Times New Roman;Times;serif" w:hAnsi="Times New Roman;Times;serif"/>
          <w:sz w:val="24"/>
        </w:rPr>
        <w:t>”), and Philip R. Mays (“</w:t>
      </w:r>
      <w:r>
        <w:rPr>
          <w:rFonts w:ascii="Times New Roman;Times;serif" w:hAnsi="Times New Roman;Times;serif"/>
          <w:b/>
          <w:sz w:val="24"/>
        </w:rPr>
        <w:t>Indemnitee</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at the request of the Company, Indemnitee currently serves as a director of the Company, an officer of the Company or a director and an officer of the Company and may, therefore, be subjected to claims, suits or proceedings arising as a result of such service;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as an inducement to Indemnitee to serve or continue to serve in such capacity, the Company has agreed to indemnify Indemnitee and to advance expenses and costs incurred by Indemnitee in connection with any such claims, suits or proceedings, to the maximum extent permitted by law;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parties by this Agreement desire to set forth their agreement regarding indemnification and advance of expenses.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premises and the covenants contained herein, the Company and Indemnitee do hereby covenant and agree as follows: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 </w:t>
      </w:r>
      <w:bookmarkStart w:id="2453" w:name="_Ref20932918"/>
      <w:bookmarkEnd w:id="2453"/>
      <w:r>
        <w:rPr>
          <w:rFonts w:ascii="Times New Roman;Times;serif" w:hAnsi="Times New Roman;Times;serif"/>
          <w:sz w:val="24"/>
          <w:u w:val="single"/>
        </w:rPr>
        <w:t>Definitions</w:t>
      </w:r>
      <w:r>
        <w:rPr>
          <w:rFonts w:ascii="Times New Roman;Times;serif" w:hAnsi="Times New Roman;Times;serif"/>
          <w:sz w:val="24"/>
        </w:rPr>
        <w:t>.  For purposes of this Agreement:</w:t>
      </w:r>
    </w:p>
    <w:p>
      <w:pPr>
        <w:pStyle w:val="TextBody"/>
        <w:bidi w:val="0"/>
        <w:spacing w:before="0" w:after="240"/>
        <w:ind w:left="0" w:right="0" w:hanging="0"/>
        <w:jc w:val="both"/>
        <w:rPr/>
      </w:pPr>
      <w:bookmarkStart w:id="2454" w:name="_Hlk20997778"/>
      <w:bookmarkStart w:id="2455" w:name="_Ref20932919"/>
      <w:bookmarkEnd w:id="2454"/>
      <w:bookmarkEnd w:id="2455"/>
      <w:r>
        <w:rPr/>
        <w:t>“</w:t>
      </w:r>
      <w:r>
        <w:rPr>
          <w:rFonts w:ascii="Times New Roman;Times;serif" w:hAnsi="Times New Roman;Times;serif"/>
          <w:b/>
          <w:sz w:val="24"/>
        </w:rPr>
        <w:t>Board of Directors</w:t>
      </w:r>
      <w:r>
        <w:rPr>
          <w:rFonts w:ascii="Times New Roman;Times;serif" w:hAnsi="Times New Roman;Times;serif"/>
          <w:sz w:val="24"/>
        </w:rPr>
        <w:t>” means the board of directors of the Company.</w:t>
      </w:r>
    </w:p>
    <w:p>
      <w:pPr>
        <w:pStyle w:val="TextBody"/>
        <w:bidi w:val="0"/>
        <w:spacing w:before="0" w:after="240"/>
        <w:ind w:left="0" w:right="0" w:hanging="0"/>
        <w:jc w:val="both"/>
        <w:rPr/>
      </w:pPr>
      <w:bookmarkStart w:id="2456" w:name="_Hlk22221429"/>
      <w:bookmarkEnd w:id="2456"/>
      <w:r>
        <w:rPr/>
        <w:t>“</w:t>
      </w:r>
      <w:r>
        <w:rPr>
          <w:rFonts w:ascii="Times New Roman;Times;serif" w:hAnsi="Times New Roman;Times;serif"/>
          <w:b/>
          <w:sz w:val="24"/>
        </w:rPr>
        <w:t>Change in Control</w:t>
      </w:r>
      <w:r>
        <w:rPr>
          <w:rFonts w:ascii="Times New Roman;Times;serif" w:hAnsi="Times New Roman;Times;serif"/>
          <w:sz w:val="24"/>
        </w:rPr>
        <w:t>” means any of (a) the acquisition by any “person” or “group” (as such terms are used in sections 13(d) and 14(d) of the Exchange Act) at any time that causes such person or group to become the “beneficial owner” (as defined in Rules 13d-3 and 13d-5 under the Exchange Act) of at least 50% of the outstanding capital stock or other equity interests of the Company on a fully</w:t>
        <w:noBreakHyphen/>
        <w:t>diluted basis, other than acquisitions of such interests by an affiliate of the Company or (b) a change in the composition of the Board of Directors such that, during any 12-month period, the individuals who, as of the beginning of such period, constitute the Board of Directors cease for any reason to constitute more than 50% of the Board of Directors, provided that any individual becoming a member of the Board of Directors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Board of Directors as of the beginning of such period.</w:t>
      </w:r>
    </w:p>
    <w:p>
      <w:pPr>
        <w:pStyle w:val="TextBody"/>
        <w:bidi w:val="0"/>
        <w:spacing w:before="0" w:after="0"/>
        <w:ind w:left="0" w:right="0" w:hanging="0"/>
        <w:jc w:val="both"/>
        <w:rPr/>
      </w:pPr>
      <w:bookmarkStart w:id="2457" w:name="_Ref20932925"/>
      <w:bookmarkEnd w:id="2457"/>
      <w:r>
        <w:rPr/>
        <w:t>“</w:t>
      </w:r>
      <w:r>
        <w:rPr>
          <w:rFonts w:ascii="Times New Roman;Times;serif" w:hAnsi="Times New Roman;Times;serif"/>
          <w:b/>
          <w:sz w:val="24"/>
        </w:rPr>
        <w:t>Corporate Status</w:t>
      </w:r>
      <w:r>
        <w:rPr>
          <w:rFonts w:ascii="Times New Roman;Times;serif" w:hAnsi="Times New Roman;Times;serif"/>
          <w:sz w:val="24"/>
        </w:rPr>
        <w:t xml:space="preserve">” means the status of a person as a present or former director, officer, employee or agent of the Company or as a director, trustee, officer, partner, manager, member, fiduciary, employee or agent of any other foreign or domestic corporation, real estate investment trust, partnership, limited liability company, joint venture, trust, employee benefit plan or other enterprise that such person is or was serving in such capacity at the request of the Company or the Manager. As a clarification and without limiting the circumstances in which Indemnitee may be serving at the request of the Company or the Manager, service by Indemnitee shall be deemed to be at the request of the Company: (i) if Indemnitee serves or served as a director, trustee, officer, partner, manager, member, fiduciary, employee or agent of any corporation, partnership, limited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liability company, joint venture, trust or other enterprise </w:t>
      </w:r>
      <w:bookmarkStart w:id="2458" w:name="_Ref20932927"/>
      <w:bookmarkEnd w:id="2458"/>
      <w:r>
        <w:rPr>
          <w:rFonts w:ascii="Times New Roman;Times;serif" w:hAnsi="Times New Roman;Times;serif"/>
          <w:sz w:val="24"/>
        </w:rPr>
        <w:t xml:space="preserve">(A) of which a majority of the voting power or equity interest is or was owned directly or indirectly by the Company or </w:t>
      </w:r>
      <w:bookmarkStart w:id="2459" w:name="_Ref20932928"/>
      <w:bookmarkEnd w:id="2459"/>
      <w:r>
        <w:rPr>
          <w:rFonts w:ascii="Times New Roman;Times;serif" w:hAnsi="Times New Roman;Times;serif"/>
          <w:sz w:val="24"/>
        </w:rPr>
        <w:t>(B) the management of which is controlled directly or indirectly by the Company and (ii) if, as a result of Indemnitee’s service to the Company or any of its affiliated entities, Indemnitee is subject to duties by, or required to perform services for, an employee benefit plan or its participants or beneficiaries, including as deemed fiduciary thereof.</w:t>
      </w:r>
    </w:p>
    <w:p>
      <w:pPr>
        <w:pStyle w:val="TextBody"/>
        <w:bidi w:val="0"/>
        <w:spacing w:before="0" w:after="240"/>
        <w:ind w:left="0" w:right="0" w:hanging="0"/>
        <w:jc w:val="both"/>
        <w:rPr/>
      </w:pPr>
      <w:bookmarkStart w:id="2460" w:name="_Ref20932930"/>
      <w:bookmarkEnd w:id="2460"/>
      <w:r>
        <w:rPr/>
        <w:t>“</w:t>
      </w:r>
      <w:r>
        <w:rPr>
          <w:rFonts w:ascii="Times New Roman;Times;serif" w:hAnsi="Times New Roman;Times;serif"/>
          <w:b/>
          <w:sz w:val="24"/>
        </w:rPr>
        <w:t>Disinterested Director</w:t>
      </w:r>
      <w:r>
        <w:rPr>
          <w:rFonts w:ascii="Times New Roman;Times;serif" w:hAnsi="Times New Roman;Times;serif"/>
          <w:sz w:val="24"/>
        </w:rPr>
        <w:t>” means a director of the Company who is not and was not a party to the Proceeding (as defined below) in respect of which indemnification and/or advance of Expenses is sought by Indemnitee.</w:t>
      </w:r>
    </w:p>
    <w:p>
      <w:pPr>
        <w:pStyle w:val="TextBody"/>
        <w:bidi w:val="0"/>
        <w:spacing w:before="0" w:after="240"/>
        <w:ind w:left="0" w:right="0" w:hanging="0"/>
        <w:jc w:val="both"/>
        <w:rPr/>
      </w:pPr>
      <w:bookmarkStart w:id="2461" w:name="_Ref20932931"/>
      <w:bookmarkEnd w:id="2461"/>
      <w:r>
        <w:rPr/>
        <w:t>“</w:t>
      </w:r>
      <w:r>
        <w:rPr>
          <w:rFonts w:ascii="Times New Roman;Times;serif" w:hAnsi="Times New Roman;Times;serif"/>
          <w:b/>
          <w:sz w:val="24"/>
        </w:rPr>
        <w:t>Effective Date</w:t>
      </w:r>
      <w:r>
        <w:rPr>
          <w:rFonts w:ascii="Times New Roman;Times;serif" w:hAnsi="Times New Roman;Times;serif"/>
          <w:sz w:val="24"/>
        </w:rPr>
        <w:t>” means the date set forth in the first paragraph of this Agreement.</w:t>
      </w:r>
    </w:p>
    <w:p>
      <w:pPr>
        <w:pStyle w:val="TextBody"/>
        <w:bidi w:val="0"/>
        <w:spacing w:before="0" w:after="240"/>
        <w:ind w:left="0" w:right="0" w:hanging="0"/>
        <w:jc w:val="both"/>
        <w:rPr/>
      </w:pPr>
      <w:r>
        <w:rPr/>
        <w:t>“</w:t>
      </w:r>
      <w:r>
        <w:rPr>
          <w:rFonts w:ascii="Times New Roman;Times;serif" w:hAnsi="Times New Roman;Times;serif"/>
          <w:b/>
          <w:sz w:val="24"/>
        </w:rPr>
        <w:t>Exchange Act</w:t>
      </w:r>
      <w:r>
        <w:rPr>
          <w:rFonts w:ascii="Times New Roman;Times;serif" w:hAnsi="Times New Roman;Times;serif"/>
          <w:sz w:val="24"/>
        </w:rPr>
        <w:t>” means the Securities Exchange Act of 1934, as amended.</w:t>
      </w:r>
    </w:p>
    <w:p>
      <w:pPr>
        <w:pStyle w:val="TextBody"/>
        <w:bidi w:val="0"/>
        <w:spacing w:before="0" w:after="240"/>
        <w:ind w:left="0" w:right="0" w:hanging="0"/>
        <w:jc w:val="both"/>
        <w:rPr/>
      </w:pPr>
      <w:bookmarkStart w:id="2462" w:name="_Ref20932932"/>
      <w:bookmarkEnd w:id="2462"/>
      <w:r>
        <w:rPr/>
        <w:t>“</w:t>
      </w:r>
      <w:r>
        <w:rPr>
          <w:rFonts w:ascii="Times New Roman;Times;serif" w:hAnsi="Times New Roman;Times;serif"/>
          <w:b/>
          <w:sz w:val="24"/>
        </w:rPr>
        <w:t>Expenses</w:t>
      </w:r>
      <w:r>
        <w:rPr>
          <w:rFonts w:ascii="Times New Roman;Times;serif" w:hAnsi="Times New Roman;Times;serif"/>
          <w:sz w:val="24"/>
        </w:rPr>
        <w:t>” means any and all reasonable and out-of-pocket attorneys’ fees and costs, retainers, court costs, arbitration and mediation costs, transcript costs, fees of experts, witness fees, travel expenses, duplicating costs, printing and binding costs, telephone charges, postage, delivery service fees, federal, state, local or foreign taxes imposed on Indemnitee as a result of the actual or deemed receipt of any payments under this Agreement, ERISA excise taxes and penalties and any other disbursements or expenses incurred in connection with prosecuting, defending, preparing to prosecute or defend, investigating, being or preparing to be a witness in or otherwise participating in a Proceeding. Expenses shall also include Expenses incurred in connection with any appeal resulting from any Proceeding including, without limitation, the premium, security for and other costs relating to any cost bond, supersedes bond or other appeal bond or its equivalent.</w:t>
      </w:r>
    </w:p>
    <w:p>
      <w:pPr>
        <w:pStyle w:val="TextBody"/>
        <w:bidi w:val="0"/>
        <w:spacing w:before="0" w:after="240"/>
        <w:ind w:left="0" w:right="0" w:hanging="0"/>
        <w:jc w:val="both"/>
        <w:rPr/>
      </w:pPr>
      <w:bookmarkStart w:id="2463" w:name="_Ref20932933"/>
      <w:bookmarkEnd w:id="2463"/>
      <w:r>
        <w:rPr/>
        <w:t>“</w:t>
      </w:r>
      <w:r>
        <w:rPr>
          <w:rFonts w:ascii="Times New Roman;Times;serif" w:hAnsi="Times New Roman;Times;serif"/>
          <w:b/>
          <w:sz w:val="24"/>
        </w:rPr>
        <w:t>Independent Counsel</w:t>
      </w:r>
      <w:r>
        <w:rPr>
          <w:rFonts w:ascii="Times New Roman;Times;serif" w:hAnsi="Times New Roman;Times;serif"/>
          <w:sz w:val="24"/>
        </w:rPr>
        <w:t xml:space="preserve">” means a law firm, or a member of a law firm, that is experienced in matters of corporation law and neither is, nor in the past five years has been, retained to represent: </w:t>
      </w:r>
      <w:bookmarkStart w:id="2464" w:name="_Ref20932934"/>
      <w:bookmarkEnd w:id="2464"/>
      <w:r>
        <w:rPr>
          <w:rFonts w:ascii="Times New Roman;Times;serif" w:hAnsi="Times New Roman;Times;serif"/>
          <w:sz w:val="24"/>
        </w:rPr>
        <w:t xml:space="preserve">(i) the Company or Indemnitee in any matter material to either such party (other than with respect to matters concerning Indemnitee under this Agreement or of other indemnitees under similar indemnification agreements) or </w:t>
      </w:r>
      <w:bookmarkStart w:id="2465" w:name="_Ref20932935"/>
      <w:bookmarkEnd w:id="2465"/>
      <w:r>
        <w:rPr>
          <w:rFonts w:ascii="Times New Roman;Times;serif" w:hAnsi="Times New Roman;Times;serif"/>
          <w:sz w:val="24"/>
        </w:rPr>
        <w:t>(ii) any other party to or participant or witness in the Proceeding giving rise to a claim for indemnification or advance of Expenses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0" w:after="240"/>
        <w:ind w:left="0" w:right="0" w:hanging="0"/>
        <w:jc w:val="both"/>
        <w:rPr/>
      </w:pPr>
      <w:r>
        <w:rPr/>
        <w:t>“</w:t>
      </w:r>
      <w:r>
        <w:rPr>
          <w:rFonts w:ascii="Times New Roman;Times;serif" w:hAnsi="Times New Roman;Times;serif"/>
          <w:b/>
          <w:sz w:val="24"/>
        </w:rPr>
        <w:t>Manager</w:t>
      </w:r>
      <w:r>
        <w:rPr>
          <w:rFonts w:ascii="Times New Roman;Times;serif" w:hAnsi="Times New Roman;Times;serif"/>
          <w:sz w:val="24"/>
        </w:rPr>
        <w:t>” means Alpine Income Property Manager, LLC, a Delaware limited liability company and the Company’s external manager.</w:t>
      </w:r>
    </w:p>
    <w:p>
      <w:pPr>
        <w:pStyle w:val="TextBody"/>
        <w:bidi w:val="0"/>
        <w:spacing w:before="0" w:after="0"/>
        <w:ind w:left="0" w:right="0" w:hanging="0"/>
        <w:jc w:val="both"/>
        <w:rPr/>
      </w:pPr>
      <w:bookmarkStart w:id="2466" w:name="_Ref20932936"/>
      <w:bookmarkEnd w:id="2466"/>
      <w:r>
        <w:rPr/>
        <w:t>“</w:t>
      </w:r>
      <w:r>
        <w:rPr>
          <w:rFonts w:ascii="Times New Roman;Times;serif" w:hAnsi="Times New Roman;Times;serif"/>
          <w:b/>
          <w:sz w:val="24"/>
        </w:rPr>
        <w:t>Proceeding</w:t>
      </w:r>
      <w:r>
        <w:rPr>
          <w:rFonts w:ascii="Times New Roman;Times;serif" w:hAnsi="Times New Roman;Times;serif"/>
          <w:sz w:val="24"/>
        </w:rPr>
        <w:t xml:space="preserve">” means any threatened, pending or completed action, suit, arbitration, alternate dispute resolution mechanism, investigation, inquiry, administrative hearing, claim, demand, discovery request or any other actual, threatened or completed proceeding, whether brought by or in the right of the Company or otherwise and whether of a civil (including intentional or unintentional tort claims), criminal, administrative or investigative (formal or informal) nature, including any appeal therefrom, except one pending or completed on or before the Effective Date, unless otherwise specifically agreed in writing by the Company and Indemnitee. If Indemnitee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reasonably believes that a given situation may lead to or culminate in the institution of a Proceeding, such situation shall also be considered a Proceeding.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 </w:t>
      </w:r>
      <w:bookmarkStart w:id="2467" w:name="_Ref20932937"/>
      <w:bookmarkEnd w:id="2467"/>
      <w:r>
        <w:rPr>
          <w:rFonts w:ascii="Times New Roman;Times;serif" w:hAnsi="Times New Roman;Times;serif"/>
          <w:sz w:val="24"/>
          <w:u w:val="single"/>
        </w:rPr>
        <w:t>Services by Indemnitee</w:t>
      </w:r>
      <w:r>
        <w:rPr>
          <w:rFonts w:ascii="Times New Roman;Times;serif" w:hAnsi="Times New Roman;Times;serif"/>
          <w:sz w:val="24"/>
        </w:rPr>
        <w:t>. Indemnitee will serve in the capacity or capacities set forth in the first WHEREAS clause above. However, this Agreement shall not impose any independent obligation on Indemnitee or the Company to continue Indemnitee’s service to the Company. This Agreement shall not be deemed an employment contract between the Company (or any other entity) and Indemnitee.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3. </w:t>
      </w:r>
      <w:bookmarkStart w:id="2468" w:name="_Ref20932938"/>
      <w:bookmarkEnd w:id="2468"/>
      <w:r>
        <w:rPr>
          <w:rFonts w:ascii="Times New Roman;Times;serif" w:hAnsi="Times New Roman;Times;serif"/>
          <w:sz w:val="24"/>
          <w:u w:val="single"/>
        </w:rPr>
        <w:t>General</w:t>
      </w:r>
      <w:r>
        <w:rPr>
          <w:rFonts w:ascii="Times New Roman;Times;serif" w:hAnsi="Times New Roman;Times;serif"/>
          <w:sz w:val="24"/>
        </w:rPr>
        <w:t xml:space="preserve">. The Company shall indemnify, and advance Expenses to, Indemnitee </w:t>
      </w:r>
      <w:bookmarkStart w:id="2469" w:name="_Ref20932939"/>
      <w:bookmarkEnd w:id="2469"/>
      <w:r>
        <w:rPr>
          <w:rFonts w:ascii="Times New Roman;Times;serif" w:hAnsi="Times New Roman;Times;serif"/>
          <w:sz w:val="24"/>
        </w:rPr>
        <w:t xml:space="preserve">(a) as provided in this Agreement and </w:t>
      </w:r>
      <w:bookmarkStart w:id="2470" w:name="_Ref20932940"/>
      <w:bookmarkEnd w:id="2470"/>
      <w:r>
        <w:rPr>
          <w:rFonts w:ascii="Times New Roman;Times;serif" w:hAnsi="Times New Roman;Times;serif"/>
          <w:sz w:val="24"/>
        </w:rPr>
        <w:t>(b) otherwise to the maximum extent permitted by Maryland law in effect on the Effective Date and as amended from time to time; provided, however, that no change in Maryland law shall have the effect of reducing the benefits available to Indemnitee hereunder based on Maryland law as in effect on the Effective Date. The rights of Indemnitee provided in this Section 3 shall include, without limitation, the rights set forth in the other sections of this Agreement, including any additional indemnification permitted by the Maryland General Corporation Law (the “</w:t>
      </w:r>
      <w:r>
        <w:rPr>
          <w:rFonts w:ascii="Times New Roman;Times;serif" w:hAnsi="Times New Roman;Times;serif"/>
          <w:b/>
          <w:sz w:val="24"/>
        </w:rPr>
        <w:t>MGCL</w:t>
      </w:r>
      <w:r>
        <w:rPr>
          <w:rFonts w:ascii="Times New Roman;Times;serif" w:hAnsi="Times New Roman;Times;serif"/>
          <w:sz w:val="24"/>
        </w:rPr>
        <w:t>”), including, without limitation, Section 2-418 of the MGCL.  Insofar as indemnification for liabilities arising under the Securities Act of 1933, as amended (the “</w:t>
      </w:r>
      <w:r>
        <w:rPr>
          <w:rFonts w:ascii="Times New Roman;Times;serif" w:hAnsi="Times New Roman;Times;serif"/>
          <w:b/>
          <w:sz w:val="24"/>
        </w:rPr>
        <w:t>Securities Act</w:t>
      </w:r>
      <w:r>
        <w:rPr>
          <w:rFonts w:ascii="Times New Roman;Times;serif" w:hAnsi="Times New Roman;Times;serif"/>
          <w:sz w:val="24"/>
        </w:rPr>
        <w:t>”), may be permitted to directors, officers or persons controlling the Company, the Company has been informed that in the opinion of the Securities and Exchange Commission such indemnification is against public policy as expressed in the Securities Act and is therefore unenforceable.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4. </w:t>
      </w:r>
      <w:bookmarkStart w:id="2471" w:name="_Ref20932941"/>
      <w:bookmarkEnd w:id="2471"/>
      <w:r>
        <w:rPr>
          <w:rFonts w:ascii="Times New Roman;Times;serif" w:hAnsi="Times New Roman;Times;serif"/>
          <w:sz w:val="24"/>
          <w:u w:val="single"/>
        </w:rPr>
        <w:t>Standard for Indemnification</w:t>
      </w:r>
      <w:r>
        <w:rPr>
          <w:rFonts w:ascii="Times New Roman;Times;serif" w:hAnsi="Times New Roman;Times;serif"/>
          <w:sz w:val="24"/>
        </w:rPr>
        <w:t xml:space="preserve">. If, by reason of Indemnitee’s Corporate Status, Indemnitee is, or is threatened to be, made a party to any Proceeding, the Company shall indemnify Indemnitee against all judgments, penalties, fines and amounts paid in settlement and all Expenses actually and reasonably incurred by Indemnitee or on Indemnitee’s behalf in connection with any such Proceeding (including any proceeding brought by the Indemnitee to enforce his or her rights under this Agreement) unless it is established that: </w:t>
      </w:r>
      <w:bookmarkStart w:id="2472" w:name="_Ref20932942"/>
      <w:bookmarkEnd w:id="2472"/>
      <w:r>
        <w:rPr>
          <w:rFonts w:ascii="Times New Roman;Times;serif" w:hAnsi="Times New Roman;Times;serif"/>
          <w:sz w:val="24"/>
        </w:rPr>
        <w:t xml:space="preserve">(a) the act or omission of Indemnitee was material to the matter giving rise to the Proceeding and </w:t>
      </w:r>
      <w:bookmarkStart w:id="2473" w:name="_Ref20932943"/>
      <w:bookmarkEnd w:id="2473"/>
      <w:r>
        <w:rPr>
          <w:rFonts w:ascii="Times New Roman;Times;serif" w:hAnsi="Times New Roman;Times;serif"/>
          <w:sz w:val="24"/>
        </w:rPr>
        <w:t xml:space="preserve">(i) was committed in bad faith or </w:t>
      </w:r>
      <w:bookmarkStart w:id="2474" w:name="_Ref20932944"/>
      <w:bookmarkEnd w:id="2474"/>
      <w:r>
        <w:rPr>
          <w:rFonts w:ascii="Times New Roman;Times;serif" w:hAnsi="Times New Roman;Times;serif"/>
          <w:sz w:val="24"/>
        </w:rPr>
        <w:t xml:space="preserve">(ii) was the result of active and deliberate dishonesty; </w:t>
      </w:r>
      <w:bookmarkStart w:id="2475" w:name="_Ref20932945"/>
      <w:bookmarkEnd w:id="2475"/>
      <w:r>
        <w:rPr>
          <w:rFonts w:ascii="Times New Roman;Times;serif" w:hAnsi="Times New Roman;Times;serif"/>
          <w:sz w:val="24"/>
        </w:rPr>
        <w:t xml:space="preserve">(b) Indemnitee actually received an improper personal benefit in money, property or services; or </w:t>
      </w:r>
      <w:bookmarkStart w:id="2476" w:name="_Ref20932946"/>
      <w:bookmarkEnd w:id="2476"/>
      <w:r>
        <w:rPr>
          <w:rFonts w:ascii="Times New Roman;Times;serif" w:hAnsi="Times New Roman;Times;serif"/>
          <w:sz w:val="24"/>
        </w:rPr>
        <w:t>(c) in the case of any criminal Proceeding, Indemnitee had reasonable cause to believe that Indemnitee’s conduct was unlawful.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5. </w:t>
      </w:r>
      <w:bookmarkStart w:id="2477" w:name="_Ref20932947"/>
      <w:bookmarkEnd w:id="2477"/>
      <w:r>
        <w:rPr>
          <w:rFonts w:ascii="Times New Roman;Times;serif" w:hAnsi="Times New Roman;Times;serif"/>
          <w:sz w:val="24"/>
          <w:u w:val="single"/>
        </w:rPr>
        <w:t>Certain Limits on Indemnification</w:t>
      </w:r>
      <w:r>
        <w:rPr>
          <w:rFonts w:ascii="Times New Roman;Times;serif" w:hAnsi="Times New Roman;Times;serif"/>
          <w:sz w:val="24"/>
        </w:rPr>
        <w:t>. Notwithstanding any other provision of this Agreement (other than Section 6), Indemnitee shall not be entitled 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478" w:name="_Ref20932948"/>
      <w:bookmarkEnd w:id="2478"/>
      <w:r>
        <w:rPr>
          <w:rFonts w:ascii="Times New Roman;Times;serif" w:hAnsi="Times New Roman;Times;serif"/>
          <w:sz w:val="24"/>
        </w:rPr>
        <w:t>indemnification hereunder if the Proceeding was one by or in the right of the Company and Indemnitee is adjudged, in a final adjudication of the Proceeding not subject to further appeal, to be liable to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479" w:name="_Ref20932949"/>
      <w:bookmarkEnd w:id="2479"/>
      <w:r>
        <w:rPr>
          <w:rFonts w:ascii="Times New Roman;Times;serif" w:hAnsi="Times New Roman;Times;serif"/>
          <w:sz w:val="24"/>
        </w:rPr>
        <w:t>indemnification hereunder if Indemnitee is adjudged, in a final adjudication of the Proceeding not subject to further appeal, to be liable on the basis that personal benefit was improperly received in any Proceeding charging improper personal benefit to Indemnitee, whether or not involving action in the Indemnitee’s Corporate Status; or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480" w:name="_Ref20932950"/>
      <w:bookmarkEnd w:id="2480"/>
      <w:r>
        <w:rPr>
          <w:rFonts w:ascii="Times New Roman;Times;serif" w:hAnsi="Times New Roman;Times;serif"/>
          <w:sz w:val="24"/>
        </w:rPr>
        <w:t xml:space="preserve">indemnification or advance of Expenses hereunder if the Proceeding was brought by Indemnitee, unless </w:t>
      </w:r>
      <w:bookmarkStart w:id="2481" w:name="_Ref20932951"/>
      <w:bookmarkEnd w:id="2481"/>
      <w:r>
        <w:rPr>
          <w:rFonts w:ascii="Times New Roman;Times;serif" w:hAnsi="Times New Roman;Times;serif"/>
          <w:sz w:val="24"/>
        </w:rPr>
        <w:t xml:space="preserve">(i) the Proceeding was brought to enforce indemnification under this Agreement, and then only to the extent in accordance with and as authorized by Section 12 of this Agreement, or </w:t>
      </w:r>
      <w:bookmarkStart w:id="2482" w:name="_Ref20932952"/>
      <w:bookmarkEnd w:id="2482"/>
      <w:r>
        <w:rPr>
          <w:rFonts w:ascii="Times New Roman;Times;serif" w:hAnsi="Times New Roman;Times;serif"/>
          <w:sz w:val="24"/>
        </w:rPr>
        <w:t>(ii) the Company’s charter or Bylaws, a resolution of the stockholders entitled to vote generally in the election of directors or of the Board of Directors or an agreement approved by the Board of Directors to which the Company is a party expressly provide otherwise.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6. </w:t>
      </w:r>
      <w:bookmarkStart w:id="2483" w:name="_Ref20932953"/>
      <w:bookmarkEnd w:id="2483"/>
      <w:r>
        <w:rPr>
          <w:rFonts w:ascii="Times New Roman;Times;serif" w:hAnsi="Times New Roman;Times;serif"/>
          <w:sz w:val="24"/>
          <w:u w:val="single"/>
        </w:rPr>
        <w:t>Court-Ordered Indemnification</w:t>
      </w:r>
      <w:r>
        <w:rPr>
          <w:rFonts w:ascii="Times New Roman;Times;serif" w:hAnsi="Times New Roman;Times;serif"/>
          <w:sz w:val="24"/>
        </w:rPr>
        <w:t>. Notwithstanding any other provision of this Agreement, a court of appropriate jurisdiction, upon application of Indemnitee and such notice as the court shall require, may order indemnification of Indemnitee by the Company in the following circumstances: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484" w:name="_Ref20932954"/>
      <w:bookmarkEnd w:id="2484"/>
      <w:r>
        <w:rPr>
          <w:rFonts w:ascii="Times New Roman;Times;serif" w:hAnsi="Times New Roman;Times;serif"/>
          <w:sz w:val="24"/>
        </w:rPr>
        <w:t>if such court determines that Indemnitee is entitled to reimbursement under Section 2-418(d)(1) of the MGCL, the court shall order indemnification, in which case Indemnitee shall be entitled to recover the Expenses of securing such reimbursement;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485" w:name="_Ref20932955"/>
      <w:bookmarkEnd w:id="2485"/>
      <w:r>
        <w:rPr>
          <w:rFonts w:ascii="Times New Roman;Times;serif" w:hAnsi="Times New Roman;Times;serif"/>
          <w:sz w:val="24"/>
        </w:rPr>
        <w:t xml:space="preserve">if such court determines that Indemnitee is fairly and reasonably entitled to indemnification in view of all the relevant circumstances, whether or not Indemnitee </w:t>
      </w:r>
      <w:bookmarkStart w:id="2486" w:name="_Ref20932956"/>
      <w:bookmarkEnd w:id="2486"/>
      <w:r>
        <w:rPr>
          <w:rFonts w:ascii="Times New Roman;Times;serif" w:hAnsi="Times New Roman;Times;serif"/>
          <w:sz w:val="24"/>
        </w:rPr>
        <w:t xml:space="preserve">(i) has met the standards of conduct set forth in Section 2-418(b) of the MGCL or </w:t>
      </w:r>
      <w:bookmarkStart w:id="2487" w:name="_Ref20932957"/>
      <w:bookmarkEnd w:id="2487"/>
      <w:r>
        <w:rPr>
          <w:rFonts w:ascii="Times New Roman;Times;serif" w:hAnsi="Times New Roman;Times;serif"/>
          <w:sz w:val="24"/>
        </w:rPr>
        <w:t>(ii) has been adjudged liable for receipt of an improper personal benefit under Section 2-418(c) of the MGCL, the court may order such indemnification as the court shall deem proper without regard to any limitation on such court-ordered indemnification contemplated by Section 2-418(d)(2)(ii) of the MGCL.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7. </w:t>
      </w:r>
      <w:bookmarkStart w:id="2488" w:name="_Ref20932958"/>
      <w:bookmarkEnd w:id="2488"/>
      <w:r>
        <w:rPr>
          <w:rFonts w:ascii="Times New Roman;Times;serif" w:hAnsi="Times New Roman;Times;serif"/>
          <w:sz w:val="24"/>
          <w:u w:val="single"/>
        </w:rPr>
        <w:t>Indemnification for Expenses of an Indemnitee Who is Wholly or Partially Successful</w:t>
      </w:r>
      <w:r>
        <w:rPr>
          <w:rFonts w:ascii="Times New Roman;Times;serif" w:hAnsi="Times New Roman;Times;serif"/>
          <w:sz w:val="24"/>
        </w:rPr>
        <w:t>. Notwithstanding any other provision of this Agreement, and without limiting any such provision, to the extent that Indemnitee was or is, by reason of Indemnitee’s Corporate Status, made a party to (or otherwise becomes a participant in) any Proceeding and is successful, on the merits or otherwise, in the defense of such Proceeding, the Company shall indemnify Indemnitee for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under this Section 7 for all Expenses actually and reasonably incurred by Indemnitee or on Indemnitee’s behalf in connection with each such claim, issue or matter, allocated on a reasonable and proportionate basis. For purposes of this Section 7 and, without limitation, the termination of any claim, issue or matter in such a Proceeding by dismissal, with or without prejudice, shall be deemed to be a successful result as to such claim, issue or matter.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8. </w:t>
      </w:r>
      <w:bookmarkStart w:id="2489" w:name="_Ref20932959"/>
      <w:bookmarkEnd w:id="2489"/>
      <w:r>
        <w:rPr>
          <w:rFonts w:ascii="Times New Roman;Times;serif" w:hAnsi="Times New Roman;Times;serif"/>
          <w:sz w:val="24"/>
          <w:u w:val="single"/>
        </w:rPr>
        <w:t>Advance of Expenses for Indemnitee</w:t>
      </w:r>
      <w:r>
        <w:rPr>
          <w:rFonts w:ascii="Times New Roman;Times;serif" w:hAnsi="Times New Roman;Times;serif"/>
          <w:sz w:val="24"/>
        </w:rPr>
        <w:t xml:space="preserve">. If, by reason of Indemnitee’s Corporate Status, Indemnitee is, or is threatened to be, made a party to any Proceeding, the Company shall, without requiring a preliminary determination of Indemnitee’s ultimate entitlement to indemnification hereunder, advance all Expenses incurred by or on behalf of Indemnitee in connection with such Proceeding. The Company shall make such advance within ten days after the receipt by the Company of a statement or statements requesting such advance from time to time, whether prior to or after final disposition of such Proceeding and may be in the form of, in the reasonable discretion of the Indemnitee (but without duplication) </w:t>
      </w:r>
      <w:bookmarkStart w:id="2490" w:name="_Ref20932960"/>
      <w:bookmarkEnd w:id="2490"/>
      <w:r>
        <w:rPr>
          <w:rFonts w:ascii="Times New Roman;Times;serif" w:hAnsi="Times New Roman;Times;serif"/>
          <w:sz w:val="24"/>
        </w:rPr>
        <w:t xml:space="preserve">(a) payment of such Expenses directly to third parties on behalf of Indemnitee, </w:t>
      </w:r>
      <w:bookmarkStart w:id="2491" w:name="_Ref20932961"/>
      <w:bookmarkEnd w:id="2491"/>
      <w:r>
        <w:rPr>
          <w:rFonts w:ascii="Times New Roman;Times;serif" w:hAnsi="Times New Roman;Times;serif"/>
          <w:sz w:val="24"/>
        </w:rPr>
        <w:t xml:space="preserve">(b) advance of funds to Indemnitee in an amount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rPr>
      </w:pPr>
      <w:r>
        <w:rPr>
          <w:rFonts w:ascii="Times New Roman;Times;serif" w:hAnsi="Times New Roman;Times;serif"/>
          <w:b w:val="false"/>
          <w:i w:val="false"/>
          <w:caps w:val="false"/>
          <w:smallCaps w:val="false"/>
          <w:sz w:val="24"/>
        </w:rPr>
        <w:t xml:space="preserve">sufficient to pay such Expenses or </w:t>
      </w:r>
      <w:bookmarkStart w:id="2492" w:name="_Ref20932962"/>
      <w:bookmarkEnd w:id="2492"/>
      <w:r>
        <w:rPr>
          <w:rFonts w:ascii="Times New Roman;Times;serif" w:hAnsi="Times New Roman;Times;serif"/>
          <w:b w:val="false"/>
          <w:i w:val="false"/>
          <w:caps w:val="false"/>
          <w:smallCaps w:val="false"/>
          <w:sz w:val="24"/>
        </w:rPr>
        <w:t>(c)</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reimbursement to Indemnitee for Indemnitee’s payment of such Expenses. Such statement or statements shall reasonably evidence the Expenses incurred by Indemnitee and shall include or be preceded or accompanied by a written affirmation by Indemnitee and a written undertaking by or on behalf of Indemnitee, in substantially the form attached hereto as Exhibit A</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or in such form as may be required under applicable law as in effect at the time of the execution thereof. To the extent that Expenses advanced to Indemnitee do not relate to a specific claim, issue or matter in the Proceeding, such Expenses shall be allocated on a reasonable and proportionate basis. The undertaking required by this Section 8</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shall be an unlimited general obligation by or on behalf of Indemnitee and shall be accepted without reference to Indemnitee’s financial ability to repay such advanced Expenses and without any requirement to post security therefor.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9. </w:t>
      </w:r>
      <w:bookmarkStart w:id="2493" w:name="_Ref20932963"/>
      <w:bookmarkEnd w:id="2493"/>
      <w:r>
        <w:rPr>
          <w:rFonts w:ascii="Times New Roman;Times;serif" w:hAnsi="Times New Roman;Times;serif"/>
          <w:sz w:val="24"/>
          <w:u w:val="single"/>
        </w:rPr>
        <w:t>Indemnification and Advance of Expenses as a Witness or Other Participant</w:t>
      </w:r>
      <w:r>
        <w:rPr>
          <w:rFonts w:ascii="Times New Roman;Times;serif" w:hAnsi="Times New Roman;Times;serif"/>
          <w:sz w:val="24"/>
        </w:rPr>
        <w:t>. Notwithstanding any other provision of this Agreement, to the extent that Indemnitee is or may be, by reason of Indemnitee’s Corporate Status, made, or threatened to be made, a witness or otherwise asked to participate in any Proceeding, whether instituted by the Company or any other person, and to which Indemnitee is not a party, Indemnitee shall be advanced and indemnified against all Expenses actually and reasonably incurred by Indemnitee or on Indemnitee’s behalf in connection therewith within ten days after the receipt by the Company of a statement or statements requesting any such advance or indemnification from time to time, whether prior to or after final disposition of such Proceeding. Such statement or statements shall reasonably evidence the Expenses incurred by Indemnitee. In connection with any such advance of Expenses, the Company may require Indemnitee to provide an undertaking and affirmation substantially in the form attached hereto as Exhibit A or in such form as may be required under applicable law as in effect at the time of the execution thereof.</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10. </w:t>
      </w:r>
      <w:bookmarkStart w:id="2494" w:name="_Ref20932964"/>
      <w:bookmarkEnd w:id="2494"/>
      <w:r>
        <w:rPr>
          <w:rFonts w:ascii="Times New Roman;Times;serif" w:hAnsi="Times New Roman;Times;serif"/>
          <w:sz w:val="24"/>
          <w:u w:val="single"/>
        </w:rPr>
        <w:t>Procedure for Determination of Entitlement to Indemnification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495" w:name="_Ref20932965"/>
      <w:bookmarkEnd w:id="2495"/>
      <w:r>
        <w:rPr>
          <w:rFonts w:ascii="Times New Roman;Times;serif" w:hAnsi="Times New Roman;Times;serif"/>
          <w:sz w:val="24"/>
        </w:rPr>
        <w:t>To obtain indemnification under this Agreement, Indemnitee shall submit to the Company a written request, including therein or therewith such documentation and information as is reasonably available to Indemnitee and is reasonably necessary or appropriate to determine whether and to what extent Indemnitee is entitled to indemnification. Indemnitee may submit one or more such requests from time to time and at such time(s) as Indemnitee deems appropriate in Indemnitee’s sole discretion. The officer of the Company receiving any such request from Indemnitee shall, promptly upon receipt of such a request for indemnification, advise the Board of Directors in writing that Indemnitee has requested indemnification.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496" w:name="_Ref20932966"/>
      <w:bookmarkEnd w:id="2496"/>
      <w:r>
        <w:rPr>
          <w:rFonts w:ascii="Times New Roman;Times;serif" w:hAnsi="Times New Roman;Times;serif"/>
          <w:sz w:val="24"/>
        </w:rPr>
        <w:t xml:space="preserve">Upon written request by Indemnitee for indemnification pursuant to Section 10(a) above, a determination, if required by applicable law, with respect to Indemnitee’s entitlement thereto shall promptly be made in the specific case: </w:t>
      </w:r>
      <w:bookmarkStart w:id="2497" w:name="_Ref20932967"/>
      <w:bookmarkEnd w:id="2497"/>
      <w:r>
        <w:rPr>
          <w:rFonts w:ascii="Times New Roman;Times;serif" w:hAnsi="Times New Roman;Times;serif"/>
          <w:sz w:val="24"/>
        </w:rPr>
        <w:t xml:space="preserve">(i) if a Change in Control has occurred, by Independent Counsel, in a written opinion to the Board of Directors, a copy of which shall be delivered to Indemnitee, which Independent Counsel shall be selected by the Indemnitee and approved by the Board of Directors in accordance with Section 2-418(e)(2)(ii) of the MGCL, which approval shall not be unreasonably withheld; or </w:t>
      </w:r>
      <w:bookmarkStart w:id="2498" w:name="_Ref20932968"/>
      <w:bookmarkEnd w:id="2498"/>
      <w:r>
        <w:rPr>
          <w:rFonts w:ascii="Times New Roman;Times;serif" w:hAnsi="Times New Roman;Times;serif"/>
          <w:sz w:val="24"/>
        </w:rPr>
        <w:t xml:space="preserve">(ii) if a Change in Control has not occurred, </w:t>
      </w:r>
      <w:bookmarkStart w:id="2499" w:name="_Ref20932969"/>
      <w:bookmarkEnd w:id="2499"/>
      <w:r>
        <w:rPr>
          <w:rFonts w:ascii="Times New Roman;Times;serif" w:hAnsi="Times New Roman;Times;serif"/>
          <w:sz w:val="24"/>
        </w:rPr>
        <w:t xml:space="preserve">(A) by a majority vote of the Disinterested Directors or, by the majority vote of a group of Disinterested Directors designated by the Disinterested Directors to make the determination, </w:t>
      </w:r>
      <w:bookmarkStart w:id="2500" w:name="_Ref20932970"/>
      <w:bookmarkEnd w:id="2500"/>
      <w:r>
        <w:rPr>
          <w:rFonts w:ascii="Times New Roman;Times;serif" w:hAnsi="Times New Roman;Times;serif"/>
          <w:sz w:val="24"/>
        </w:rPr>
        <w:t>(B) if Independent Counsel has been selected by the Board of Directors in accordance with Section 2-</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418(e)(2)(ii) of the MGCL and approved by the Indemnitee, which approval shall not be unreasonably withheld or delayed, by Independent Counsel, in a written opinion to the Board of Directors, a copy of which shall be delivered to Indemnitee or </w:t>
      </w:r>
      <w:bookmarkStart w:id="2501" w:name="_Ref20932971"/>
      <w:bookmarkEnd w:id="2501"/>
      <w:r>
        <w:rPr>
          <w:rFonts w:ascii="Times New Roman;Times;serif" w:hAnsi="Times New Roman;Times;serif"/>
          <w:sz w:val="24"/>
        </w:rPr>
        <w:t>(C) if so directed by the Board of Directors, by the stockholders of the Company, other than directors or officers who are parties to the Proceeding. If it is so determined that Indemnitee is entitled to indemnification, the Company shall make payment to Indemnitee within ten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or appropriate to such determination in the discretion of the Board of Directors or Independent Counsel if retained pursuant to clause (ii)(B) of this Section 10(b). Any Expenses incurred by Indemnitee in so cooperating with the person, persons or entity making such determination shall be borne by the Company (irrespective of the determination as to Indemnitee’s entitlement to indemnification) and the Company shall indemnify and hold Indemnitee harmless therefrom.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502" w:name="_Ref20932972"/>
      <w:bookmarkEnd w:id="2502"/>
      <w:r>
        <w:rPr>
          <w:rFonts w:ascii="Times New Roman;Times;serif" w:hAnsi="Times New Roman;Times;serif"/>
          <w:sz w:val="24"/>
        </w:rPr>
        <w:t>The Company shall pay the reasonable fees and expenses of Independent Counsel, if one is appointed.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11. </w:t>
      </w:r>
      <w:bookmarkStart w:id="2503" w:name="_Ref20932973"/>
      <w:bookmarkEnd w:id="2503"/>
      <w:r>
        <w:rPr>
          <w:rFonts w:ascii="Times New Roman;Times;serif" w:hAnsi="Times New Roman;Times;serif"/>
          <w:sz w:val="24"/>
          <w:u w:val="single"/>
        </w:rPr>
        <w:t>Presumptions and Effect of Certain Proceedings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504" w:name="_Ref20932974"/>
      <w:bookmarkEnd w:id="2504"/>
      <w:r>
        <w:rPr>
          <w:rFonts w:ascii="Times New Roman;Times;serif" w:hAnsi="Times New Roman;Times;serif"/>
          <w:sz w:val="24"/>
        </w:rPr>
        <w:t>In making any determination with respect to entitlement to indemnification hereunder, the person or persons or entity making such determination shall presume that Indemnitee is entitled to indemnification under this Agreement if Indemnitee has submitted a request for indemnification in accordance with Section 10(a) of this Agreement, and the Company shall have the burden of overcoming that presumption in connection with the making of any determination contrary to that presumption.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505" w:name="_Ref20932975"/>
      <w:bookmarkEnd w:id="2505"/>
      <w:r>
        <w:rPr>
          <w:rFonts w:ascii="Times New Roman;Times;serif" w:hAnsi="Times New Roman;Times;serif"/>
          <w:sz w:val="24"/>
        </w:rPr>
        <w:t>The termination of any Proceeding or of any claim, issue or matter therein, by judgment, order, settlement or conviction, upon a plea of nolo contendere or its equivalent, or entry of an order of probation prior to judgment, does not create a presumption that Indemnitee did not meet the requisite standard of conduct described herein for indemnification.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506" w:name="_Ref20932976"/>
      <w:bookmarkEnd w:id="2506"/>
      <w:r>
        <w:rPr>
          <w:rFonts w:ascii="Times New Roman;Times;serif" w:hAnsi="Times New Roman;Times;serif"/>
          <w:sz w:val="24"/>
        </w:rPr>
        <w:t>The knowledge and/or actions, or failure to act, of any other director, officer, employee or agent of the Company or any other director, trustee, officer, partner, manager, member, fiduciary, employee or agent of any other foreign or domestic corporation, partnership, limited liability company, joint venture, trust, employee benefit plan or other enterprise shall not be imputed to Indemnitee for purposes of determining any other right to indemnification under this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12. </w:t>
      </w:r>
      <w:bookmarkStart w:id="2507" w:name="_Ref20932977"/>
      <w:bookmarkEnd w:id="2507"/>
      <w:r>
        <w:rPr>
          <w:rFonts w:ascii="Times New Roman;Times;serif" w:hAnsi="Times New Roman;Times;serif"/>
          <w:sz w:val="24"/>
          <w:u w:val="single"/>
        </w:rPr>
        <w:t>Remedies of Indemnitee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508" w:name="_Ref20932978"/>
      <w:bookmarkEnd w:id="2508"/>
      <w:r>
        <w:rPr>
          <w:rFonts w:ascii="Times New Roman;Times;serif" w:hAnsi="Times New Roman;Times;serif"/>
          <w:sz w:val="24"/>
        </w:rPr>
        <w:t xml:space="preserve">If </w:t>
      </w:r>
      <w:bookmarkStart w:id="2509" w:name="_Ref20932979"/>
      <w:bookmarkEnd w:id="2509"/>
      <w:r>
        <w:rPr>
          <w:rFonts w:ascii="Times New Roman;Times;serif" w:hAnsi="Times New Roman;Times;serif"/>
          <w:sz w:val="24"/>
        </w:rPr>
        <w:t xml:space="preserve">(i) a determination is made pursuant to Section 10(b) of this Agreement that Indemnitee is not entitled to indemnification under this Agreement, </w:t>
      </w:r>
      <w:bookmarkStart w:id="2510" w:name="_Ref20932980"/>
      <w:bookmarkEnd w:id="2510"/>
      <w:r>
        <w:rPr>
          <w:rFonts w:ascii="Times New Roman;Times;serif" w:hAnsi="Times New Roman;Times;serif"/>
          <w:sz w:val="24"/>
        </w:rPr>
        <w:t xml:space="preserve">(ii) advance of Expenses is not timely made pursuant to Sections 8 or 9 of this Agreement, </w:t>
      </w:r>
      <w:bookmarkStart w:id="2511" w:name="_Ref20932981"/>
      <w:bookmarkEnd w:id="2511"/>
      <w:r>
        <w:rPr>
          <w:rFonts w:ascii="Times New Roman;Times;serif" w:hAnsi="Times New Roman;Times;serif"/>
          <w:sz w:val="24"/>
        </w:rPr>
        <w:t xml:space="preserve">(iii) no determination of entitlement to indemnification shall have been made pursuant to Section 10(b) of this Agreement within 60 days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after receipt by the Company of the request for indemnification, </w:t>
      </w:r>
      <w:bookmarkStart w:id="2512" w:name="_Ref20932982"/>
      <w:bookmarkEnd w:id="2512"/>
      <w:r>
        <w:rPr>
          <w:rFonts w:ascii="Times New Roman;Times;serif" w:hAnsi="Times New Roman;Times;serif"/>
          <w:sz w:val="24"/>
        </w:rPr>
        <w:t xml:space="preserve">(iv) payment of indemnification is not made pursuant to Sections 7 or 9 of this Agreement within ten days after receipt by the Company of a written request therefor, or </w:t>
      </w:r>
      <w:bookmarkStart w:id="2513" w:name="_Ref20932983"/>
      <w:bookmarkEnd w:id="2513"/>
      <w:r>
        <w:rPr>
          <w:rFonts w:ascii="Times New Roman;Times;serif" w:hAnsi="Times New Roman;Times;serif"/>
          <w:sz w:val="24"/>
        </w:rPr>
        <w:t>(v) payment of indemnification pursuant to any other section of this Agreement or the charter or Bylaws of the Company is not made within ten days after a determination has been made that Indemnitee is entitled to indemnification, Indemnitee shall be entitled to an adjudication in an appropriate court located in the State of Maryland, or in any other court of competent jurisdiction, or in an arbitration conducted by a single arbitrator pursuant to the Commercial Arbitration Rules of the American Arbitration Association, of Indemnitee’s entitlement to indemnification or advance of Expenses. Indemnitee shall commence a proceeding seeking an adjudication or an award in arbitration within 180 days following the date on which Indemnitee first has the right to commence such proceeding pursuant to this Section 12(a); provided, however, that the foregoing clause shall not apply to a proceeding brought by Indemnitee to enforce Indemnitee’s rights under Section 7 of this Agreement. Except as set forth herein, the provisions of Maryland law (without regard to its conflicts of laws rules) shall apply to any such arbitration. The Company shall not oppose Indemnitee’s right to seek any such adjudication or award in arbitration.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514" w:name="_Ref20932984"/>
      <w:bookmarkEnd w:id="2514"/>
      <w:r>
        <w:rPr>
          <w:rFonts w:ascii="Times New Roman;Times;serif" w:hAnsi="Times New Roman;Times;serif"/>
          <w:sz w:val="24"/>
        </w:rPr>
        <w:t>In any judicial proceeding or arbitration commenced pursuant to this Section 12, Indemnitee shall be presumed to be entitled to indemnification or advance of Expenses, as the case may be, under this Agreement and the Company shall have the burden of proving that Indemnitee is not entitled to indemnification or advance of Expenses, as the case may be. If Indemnitee commences a judicial proceeding or arbitration pursuant to this Section 12, Indemnitee shall not be required to reimburse the Company for any advances pursuant to Section 8 of this Agreement until a final determination is made with respect to Indemnitee’s entitlement to indemnification (as to which all rights of appeal have been exhausted or lapsed). The Company shall, to the fullest extent not prohibited by law,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of the provisions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515" w:name="_Ref20932985"/>
      <w:bookmarkEnd w:id="2515"/>
      <w:r>
        <w:rPr>
          <w:rFonts w:ascii="Times New Roman;Times;serif" w:hAnsi="Times New Roman;Times;serif"/>
          <w:sz w:val="24"/>
        </w:rPr>
        <w:t>If a determination shall have been made pursuant to Section 10(b) of this Agreement that Indemnitee is entitled to indemnification, the Company shall be bound by such determination in any judicial proceeding or arbitration commenced pursuant to this Section 12, absent a misstatement by Indemnitee of a material fact, or an omission of a material fact necessary to make Indemnitee’s statement not materially misleading, in connection with the request for indemnification that was not disclosed in connection with the determination.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2516" w:name="_Ref20932986"/>
      <w:bookmarkEnd w:id="2516"/>
      <w:r>
        <w:rPr>
          <w:rFonts w:ascii="Times New Roman;Times;serif" w:hAnsi="Times New Roman;Times;serif"/>
          <w:sz w:val="24"/>
        </w:rPr>
        <w:t>In the event that Indemnitee is successful in seeking, pursuant to this Section 12, a judicial adjudication of or an award in arbitration to enforce Indemnitee’s rights under, or to recover damages for breach of, this Agreement, Indemnitee shall be entitled to recover from the Company, and shall be indemnified by the Company for, any and all Expenses actually and reasonably incurred by Indemnitee in such judicial adjudication or arbitration. If it shall be determined in such judicial adjudication or arbitration that Indemnitee is entitled to receive part but not all of the indemnification or advance of Expenses sought, the Expenses incurred by Indemnitee in connection with such judicial adjudication or arbitration shall be appropriately prorated.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bookmarkStart w:id="2517" w:name="_Ref20932987"/>
      <w:bookmarkEnd w:id="2517"/>
      <w:r>
        <w:rPr>
          <w:rFonts w:ascii="Times New Roman;Times;serif" w:hAnsi="Times New Roman;Times;serif"/>
          <w:sz w:val="24"/>
        </w:rPr>
        <w:t xml:space="preserve">Interest shall be paid by the Company to Indemnitee at the maximum rate allowed to be charged for judgments under the Courts and Judicial Proceedings Article of the Annotated Code of Maryland for amounts which the Company pays or is obligated to pay for the period </w:t>
      </w:r>
      <w:bookmarkStart w:id="2518" w:name="_Ref20932988"/>
      <w:bookmarkEnd w:id="2518"/>
      <w:r>
        <w:rPr>
          <w:rFonts w:ascii="Times New Roman;Times;serif" w:hAnsi="Times New Roman;Times;serif"/>
          <w:sz w:val="24"/>
        </w:rPr>
        <w:t xml:space="preserve">(i) commencing with either the tenth day after the date on which the Company was requested to advance Expenses in accordance with Sections 8 or 9 of this Agreement or the 60th day after the date on which the Company was requested to make the determination of entitlement to indemnification under Section 10(b) of this Agreement, as applicable, and </w:t>
      </w:r>
      <w:bookmarkStart w:id="2519" w:name="_Ref20932989"/>
      <w:bookmarkEnd w:id="2519"/>
      <w:r>
        <w:rPr>
          <w:rFonts w:ascii="Times New Roman;Times;serif" w:hAnsi="Times New Roman;Times;serif"/>
          <w:sz w:val="24"/>
        </w:rPr>
        <w:t>(ii) ending on the date such payment is made to Indemnitee by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13. </w:t>
      </w:r>
      <w:bookmarkStart w:id="2520" w:name="_Ref20932990"/>
      <w:bookmarkEnd w:id="2520"/>
      <w:r>
        <w:rPr>
          <w:rFonts w:ascii="Times New Roman;Times;serif" w:hAnsi="Times New Roman;Times;serif"/>
          <w:sz w:val="24"/>
          <w:u w:val="single"/>
        </w:rPr>
        <w:t>Defense of the Underlying Proceeding</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521" w:name="_Ref20932991"/>
      <w:bookmarkEnd w:id="2521"/>
      <w:r>
        <w:rPr>
          <w:rFonts w:ascii="Times New Roman;Times;serif" w:hAnsi="Times New Roman;Times;serif"/>
          <w:sz w:val="24"/>
        </w:rPr>
        <w:t>Indemnitee shall notify the Company promptly in writing upon being served with any summons, citation, subpoena, complaint, indictment, request or other document relating to any Proceeding which may result in the right to indemnification or the advance of Expenses hereunder and shall include with such notice a description of the nature of the Proceeding and a summary of the facts underlying the Proceeding. The failure to give any such notice shall not disqualify Indemnitee from the right, or otherwise affect in any manner any right of Indemnitee, to indemnification or the advance of Expenses under this Agreement unless the Company’s ability to defend in such Proceeding or to obtain proceeds under any insurance policy is materially and adversely prejudiced thereby, and then only to the extent the Company is thereby actually so prejudiced.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522" w:name="_Ref20932992"/>
      <w:bookmarkEnd w:id="2522"/>
      <w:r>
        <w:rPr>
          <w:rFonts w:ascii="Times New Roman;Times;serif" w:hAnsi="Times New Roman;Times;serif"/>
          <w:sz w:val="24"/>
        </w:rPr>
        <w:t xml:space="preserve">Subject to the provisions of the last sentence of this Section 13(b) and of Section 13(c) below, the Company shall have the right to defend Indemnitee in any Proceeding which may give rise to indemnification hereunder; provided, however, that the Company shall notify Indemnitee of any such decision to defend within 15 calendar days following receipt of notice of any such Proceeding under Section 13(a) above. The Company shall not, without the prior written consent of Indemnitee, which shall not be unreasonably withheld or delayed, consent to the entry of any judgment against Indemnitee or enter into any settlement or compromise which </w:t>
      </w:r>
      <w:bookmarkStart w:id="2523" w:name="_Ref20932993"/>
      <w:bookmarkEnd w:id="2523"/>
      <w:r>
        <w:rPr>
          <w:rFonts w:ascii="Times New Roman;Times;serif" w:hAnsi="Times New Roman;Times;serif"/>
          <w:sz w:val="24"/>
        </w:rPr>
        <w:t xml:space="preserve">(i) includes an admission of fault of Indemnitee, </w:t>
      </w:r>
      <w:bookmarkStart w:id="2524" w:name="_Ref20932994"/>
      <w:bookmarkEnd w:id="2524"/>
      <w:r>
        <w:rPr>
          <w:rFonts w:ascii="Times New Roman;Times;serif" w:hAnsi="Times New Roman;Times;serif"/>
          <w:sz w:val="24"/>
        </w:rPr>
        <w:t xml:space="preserve">(ii) does not include, as an unconditional term thereof, the full release of Indemnitee from all liability in respect of such Proceeding, which release shall be in form and substance reasonably satisfactory to Indemnitee, or </w:t>
      </w:r>
      <w:bookmarkStart w:id="2525" w:name="_Ref20932995"/>
      <w:bookmarkEnd w:id="2525"/>
      <w:r>
        <w:rPr>
          <w:rFonts w:ascii="Times New Roman;Times;serif" w:hAnsi="Times New Roman;Times;serif"/>
          <w:sz w:val="24"/>
        </w:rPr>
        <w:t>(iii) would impose any Expense, judgment, fine, penalty or limitation on Indemnitee. This Section 13(b) shall not apply to a Proceeding brought by Indemnitee under Section 12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526" w:name="_Ref20932996"/>
      <w:bookmarkEnd w:id="2526"/>
      <w:r>
        <w:rPr>
          <w:rFonts w:ascii="Times New Roman;Times;serif" w:hAnsi="Times New Roman;Times;serif"/>
          <w:sz w:val="24"/>
        </w:rPr>
        <w:t xml:space="preserve">Notwithstanding the provisions of Section 13(b) above, if in a Proceeding to which Indemnitee is a party by reason of Indemnitee’s Corporate Status, </w:t>
      </w:r>
      <w:bookmarkStart w:id="2527" w:name="_Ref20932997"/>
      <w:bookmarkEnd w:id="2527"/>
      <w:r>
        <w:rPr>
          <w:rFonts w:ascii="Times New Roman;Times;serif" w:hAnsi="Times New Roman;Times;serif"/>
          <w:sz w:val="24"/>
        </w:rPr>
        <w:t xml:space="preserve">(i) Indemnitee reasonably concludes, based upon an opinion of counsel approved by the Company, which approval shall not be unreasonably withheld or delayed, that Indemnitee may have separate defenses or counterclaims to assert with respect to any issue which may not be consistent with other defendants in such Proceeding, </w:t>
      </w:r>
      <w:bookmarkStart w:id="2528" w:name="_Ref20932998"/>
      <w:bookmarkEnd w:id="2528"/>
      <w:r>
        <w:rPr>
          <w:rFonts w:ascii="Times New Roman;Times;serif" w:hAnsi="Times New Roman;Times;serif"/>
          <w:sz w:val="24"/>
        </w:rPr>
        <w:t xml:space="preserve">(ii) Indemnitee reasonably concludes, based upon an opinion of counsel approved by the Company, which approval shall not be unreasonably withheld or delayed, that an actual or apparent conflict of interest or potential conflict of interest exists between Indemnitee and the Company, or </w:t>
      </w:r>
      <w:bookmarkStart w:id="2529" w:name="_Ref20932999"/>
      <w:bookmarkEnd w:id="2529"/>
      <w:r>
        <w:rPr>
          <w:rFonts w:ascii="Times New Roman;Times;serif" w:hAnsi="Times New Roman;Times;serif"/>
          <w:sz w:val="24"/>
        </w:rPr>
        <w:t xml:space="preserve">(iii) if the Company fails to assume the defense of such Proceeding in a timely manner, Indemnitee shall be entitled to be represented by separate legal counsel of Indemnitee’s choice, subject to the prior approval of the Company, which approval shall not be unreasonably withheld or delayed, at the expense of the Company. In addition, if the Company fails to comply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with any of its obligations under this Agreement or in the event that the Company or any other person takes any action to declare this Agreement void or unenforceable, or institutes any Proceeding to deny or to recover from Indemnitee the benefits intended to be provided to Indemnitee hereunder, Indemnitee shall have the right to retain counsel of Indemnitee’s choice, subject to the prior approval of the Company, which approval shall not be unreasonably withheld or delayed, at the expense of the Company (subject to Section 12(d) of this Agreement), to represent Indemnitee in connection with any such matter.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14. </w:t>
      </w:r>
      <w:bookmarkStart w:id="2530" w:name="_Ref20933000"/>
      <w:bookmarkEnd w:id="2530"/>
      <w:r>
        <w:rPr>
          <w:rFonts w:ascii="Times New Roman;Times;serif" w:hAnsi="Times New Roman;Times;serif"/>
          <w:sz w:val="24"/>
          <w:u w:val="single"/>
        </w:rPr>
        <w:t>Non-Exclusivity; Survival of Rights; Subrogation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531" w:name="_Ref20933001"/>
      <w:bookmarkEnd w:id="2531"/>
      <w:r>
        <w:rPr>
          <w:rFonts w:ascii="Times New Roman;Times;serif" w:hAnsi="Times New Roman;Times;serif"/>
          <w:sz w:val="24"/>
        </w:rPr>
        <w:t>The rights of indemnification and advance of Expenses as provided by this Agreement shall not be deemed exclusive of any other rights to which Indemnitee may at any time be entitled under applicable law, the charter or Bylaws of the Company, any agreement or a resolution of the stockholders entitled to vote generally in the election of directors or of the Board of Directors, or otherwise. Unless consented to in writing by Indemnitee, no amendment, alteration or repeal of the charter or Bylaws of the Company, this Agreement or of any provision hereof shall limit or restrict any right of Indemnitee under this Agreement in respect of any action taken or omitted by such Indemnitee in Indemnitee’s Corporate Status prior to such amendment, alteration or repeal, regardless of whether a claim with respect to such action or inaction is raised prior or subsequent to such amendment, alteration or repeal. No right or remedy herein conferred is intended to be exclusive of any other right or remedy, and every other right or remedy shall be cumulative and in addition to every other right or remedy given hereunder or now or hereafter existing at law or in equity or otherwise. The assertion of any right or remedy hereunder, or otherwise, shall not prohibit the concurrent assertion or employment of any other right or remedy.</w:t>
      </w:r>
      <w:bookmarkStart w:id="2532" w:name="_Ref20933002"/>
      <w:bookmarkEnd w:id="2532"/>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533" w:name="_Ref20933006"/>
      <w:bookmarkEnd w:id="2533"/>
      <w:r>
        <w:rPr>
          <w:rFonts w:ascii="Times New Roman;Times;serif" w:hAnsi="Times New Roman;Times;serif"/>
          <w:sz w:val="24"/>
        </w:rPr>
        <w:t>In the event of any payment under this Agreement, the Company shall be subrogated to the extent of such payment to all of the rights of recovery of Indemnitee, who shall execute all instruments required and take all action necessary to secure such rights, including execution of such documents as are necessary to enable the Company to bring suit to enforce such rights.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15. </w:t>
      </w:r>
      <w:bookmarkStart w:id="2534" w:name="_Ref20933007"/>
      <w:bookmarkEnd w:id="2534"/>
      <w:r>
        <w:rPr>
          <w:rFonts w:ascii="Times New Roman;Times;serif" w:hAnsi="Times New Roman;Times;serif"/>
          <w:sz w:val="24"/>
          <w:u w:val="single"/>
        </w:rPr>
        <w:t>Insurance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535" w:name="_Ref20933008"/>
      <w:bookmarkEnd w:id="2535"/>
      <w:r>
        <w:rPr>
          <w:rFonts w:ascii="Times New Roman;Times;serif" w:hAnsi="Times New Roman;Times;serif"/>
          <w:sz w:val="24"/>
        </w:rPr>
        <w:t xml:space="preserve">The Company will use its reasonable best efforts to acquire directors and officers liability insurance, on terms and conditions deemed appropriate by the Board of Directors, with the advice of counsel, covering Indemnitee or any claim made against Indemnitee by reason of Indemnitee’s Corporate Status and covering the Company for any indemnification or advance of Expenses made by the Company to Indemnitee for any claims made against Indemnitee by reason of Indemnitee’s Corporate Status. In the event of a Change in Control, the Company shall maintain in force any and all directors and officers liability insurance policies that were maintained by the Company immediately prior to the Change in Control for a period of six years with the insurance carrier or carriers and through the insurance broker in place at the time of the Change in Control; provided, however, </w:t>
      </w:r>
      <w:bookmarkStart w:id="2536" w:name="_Ref20933009"/>
      <w:bookmarkEnd w:id="2536"/>
      <w:r>
        <w:rPr>
          <w:rFonts w:ascii="Times New Roman;Times;serif" w:hAnsi="Times New Roman;Times;serif"/>
          <w:sz w:val="24"/>
        </w:rPr>
        <w:t xml:space="preserve">(i) if the carriers will not offer the same policy and an expiring policy needs to be replaced, a policy substantially comparable in scope and amount shall be obtained and </w:t>
      </w:r>
      <w:bookmarkStart w:id="2537" w:name="_Ref20933010"/>
      <w:bookmarkEnd w:id="2537"/>
      <w:r>
        <w:rPr>
          <w:rFonts w:ascii="Times New Roman;Times;serif" w:hAnsi="Times New Roman;Times;serif"/>
          <w:sz w:val="24"/>
        </w:rPr>
        <w:t xml:space="preserve">(ii) if any replacement insurance carrier is necessary to obtain a policy substantially comparable in scope and amount, such insurance carrier shall have an AM Best rating that is the same or better than the AM Best rating of the existing insurance carrier; provided, further, however, in no event shall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Company be required to expend in the aggregate in excess of 250% of the annual premium or premiums paid by the Company for directors and officers liability insurance in effect on the date of the Change in Control. In the event that 250% of the annual premium paid by the Company for such existing directors and officers liability insurance is insufficient for such coverage, the Company shall spend up to that amount to purchase such lesser coverage as may be obtained with such amount.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538" w:name="_Ref20933011"/>
      <w:bookmarkEnd w:id="2538"/>
      <w:r>
        <w:rPr>
          <w:rFonts w:ascii="Times New Roman;Times;serif" w:hAnsi="Times New Roman;Times;serif"/>
          <w:sz w:val="24"/>
        </w:rPr>
        <w:t>Without in any way limiting any other obligation under this Agreement, the Company shall indemnify Indemnitee for any payment by Indemnitee which would otherwise be indemnifiable hereunder arising out of the amount of any deductible or retention and the amount of any excess of the aggregate of all judgments, penalties, fines, settlements and Expenses incurred by Indemnitee in connection with a Proceeding over the coverage of any insurance referred to in Section 15(a). The purchase, establishment and maintenance of any such insurance shall not in any way limit or affect the rights or obligations of the Company or Indemnitee under this Agreement except as expressly provided herein, and the execution and delivery of this Agreement by the Company and the Indemnitee shall not in any way limit or affect the rights or obligations of the Company under any such insurance policies. If, at the time the Company receives notice from any source of a Proceeding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539" w:name="_Ref20933012"/>
      <w:bookmarkEnd w:id="2539"/>
      <w:r>
        <w:rPr>
          <w:rFonts w:ascii="Times New Roman;Times;serif" w:hAnsi="Times New Roman;Times;serif"/>
          <w:sz w:val="24"/>
        </w:rPr>
        <w:t>The Indemnitee shall cooperate with the Company or any insurance carrier of the Company with respect to any Proceeding.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16. </w:t>
      </w:r>
      <w:bookmarkStart w:id="2540" w:name="_Ref20933013"/>
      <w:bookmarkEnd w:id="2540"/>
      <w:r>
        <w:rPr>
          <w:rFonts w:ascii="Times New Roman;Times;serif" w:hAnsi="Times New Roman;Times;serif"/>
          <w:sz w:val="24"/>
          <w:u w:val="single"/>
        </w:rPr>
        <w:t>Coordination of Payments</w:t>
      </w:r>
      <w:r>
        <w:rPr>
          <w:rFonts w:ascii="Times New Roman;Times;serif" w:hAnsi="Times New Roman;Times;serif"/>
          <w:sz w:val="24"/>
        </w:rPr>
        <w:t>. The Company shall not be liable under this Agreement to make any payment of amounts otherwise indemnifiable or payable or reimbursable as Expenses hereunder if and to the extent that Indemnitee has otherwise actually received such payment under any insurance policy, contract, agreement or otherwise.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17. </w:t>
      </w:r>
      <w:bookmarkStart w:id="2541" w:name="_Ref20933014"/>
      <w:bookmarkEnd w:id="2541"/>
      <w:r>
        <w:rPr>
          <w:rFonts w:ascii="Times New Roman;Times;serif" w:hAnsi="Times New Roman;Times;serif"/>
          <w:sz w:val="24"/>
          <w:u w:val="single"/>
        </w:rPr>
        <w:t>Contribution</w:t>
      </w:r>
      <w:r>
        <w:rPr>
          <w:rFonts w:ascii="Times New Roman;Times;serif" w:hAnsi="Times New Roman;Times;serif"/>
          <w:sz w:val="24"/>
        </w:rPr>
        <w:t>. If the indemnification provided in this Agreement is unavailable in whole or in part and may not be paid to Indemnitee for any reason, other than for failure to satisfy the standard of conduct set forth in Section 4 or due to the provisions of Section 5, then, in respect to any Proceeding in which the Company is jointly liable with Indemnitee (or would be if joined in such Proceeding), to the fullest extent permissible under applicable law, the Company, in lieu of indemnifying and holding harmless Indemnitee, shall pay, in the first instance, the entire amount incurred by Indemnitee, whether for Expenses, judgments, penalties, and/or amounts paid or to be paid in settlement, in connection with any Proceeding without requiring Indemnitee to contribute to such payment, and the Company hereby waives and relinquishes any right of contribution it may have at any time against Indemnitee.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18. </w:t>
      </w:r>
      <w:bookmarkStart w:id="2542" w:name="_Ref20933015"/>
      <w:bookmarkEnd w:id="2542"/>
      <w:r>
        <w:rPr>
          <w:rFonts w:ascii="Times New Roman;Times;serif" w:hAnsi="Times New Roman;Times;serif"/>
          <w:sz w:val="24"/>
          <w:u w:val="single"/>
        </w:rPr>
        <w:t>Reports to Stockholders</w:t>
      </w:r>
      <w:r>
        <w:rPr>
          <w:rFonts w:ascii="Times New Roman;Times;serif" w:hAnsi="Times New Roman;Times;serif"/>
          <w:sz w:val="24"/>
        </w:rPr>
        <w:t>. To the extent required by the MGCL, the Company shall report in writing to its stockholders the payment of any amounts for indemnification of, or advance of Expenses to, Indemnitee under this Agreement arising out of a Proceeding by or in the right of the Company with the notice of the meeting of stockholders of the Company next following the date of the payment of any such indemnification or advance of Expenses or prior to such meeting.</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19. </w:t>
      </w:r>
      <w:bookmarkStart w:id="2543" w:name="_Ref20933016"/>
      <w:bookmarkEnd w:id="2543"/>
      <w:r>
        <w:rPr>
          <w:rFonts w:ascii="Times New Roman;Times;serif" w:hAnsi="Times New Roman;Times;serif"/>
          <w:sz w:val="24"/>
          <w:u w:val="single"/>
        </w:rPr>
        <w:t>Duration of Agreement; Binding Effect</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544" w:name="_Ref20933017"/>
      <w:bookmarkEnd w:id="2544"/>
      <w:r>
        <w:rPr>
          <w:rFonts w:ascii="Times New Roman;Times;serif" w:hAnsi="Times New Roman;Times;serif"/>
          <w:sz w:val="24"/>
        </w:rPr>
        <w:t xml:space="preserve">This Agreement shall continue until and terminate on the later of </w:t>
      </w:r>
      <w:bookmarkStart w:id="2545" w:name="_Ref20933018"/>
      <w:bookmarkEnd w:id="2545"/>
      <w:r>
        <w:rPr>
          <w:rFonts w:ascii="Times New Roman;Times;serif" w:hAnsi="Times New Roman;Times;serif"/>
          <w:sz w:val="24"/>
        </w:rPr>
        <w:t xml:space="preserve">(i) the date that Indemnitee shall have ceased to serve as a director, officer, employee or agent of the Company or as a director, trustee, officer, partner, manager, managing member, fiduciary, employee or agent of any other foreign or domestic corporation, real estate investment trust, partnership, limited liability company, joint venture, trust, employee benefit plan or other enterprise that such person is or was serving in such capacity at the request of the Company and </w:t>
      </w:r>
      <w:bookmarkStart w:id="2546" w:name="_Ref20933019"/>
      <w:bookmarkEnd w:id="2546"/>
      <w:r>
        <w:rPr>
          <w:rFonts w:ascii="Times New Roman;Times;serif" w:hAnsi="Times New Roman;Times;serif"/>
          <w:sz w:val="24"/>
        </w:rPr>
        <w:t>(ii) the date that Indemnitee is no longer subject to any actual or possible Proceeding (including any rights of appeal thereto and any Proceeding commenced by Indemnitee pursuant to Section 12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547" w:name="_Ref20933020"/>
      <w:bookmarkEnd w:id="2547"/>
      <w:r>
        <w:rPr>
          <w:rFonts w:ascii="Times New Roman;Times;serif" w:hAnsi="Times New Roman;Times;serif"/>
          <w:sz w:val="24"/>
        </w:rPr>
        <w:t>The indemnification and advance of Expenses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trustee, officer, partner, manager, managing member, fiduciary, employee or agent of any other foreign or domestic corporation, partnership, limited liability company, joint venture, trust, employee benefit plan or other enterprise that such person is or was serving in such capacity at the request of the Company, and shall inure to the benefit of Indemnitee and Indemnitee’s spouse, assigns, heirs, devisees, executors and administrators and other legal representatives.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548" w:name="_Ref20933021"/>
      <w:bookmarkEnd w:id="2548"/>
      <w:r>
        <w:rPr>
          <w:rFonts w:ascii="Times New Roman;Times;serif" w:hAnsi="Times New Roman;Times;serif"/>
          <w:sz w:val="24"/>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2549" w:name="_Ref20933022"/>
      <w:bookmarkEnd w:id="2549"/>
      <w:r>
        <w:rPr>
          <w:rFonts w:ascii="Times New Roman;Times;serif" w:hAnsi="Times New Roman;Times;serif"/>
          <w:sz w:val="24"/>
        </w:rPr>
        <w:t>The Company and Indemnitee agree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Indemnitee shall further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a court, and the Company hereby waives any such requirement of such a bond or undertaking.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20. </w:t>
      </w:r>
      <w:bookmarkStart w:id="2550" w:name="_Ref20933023"/>
      <w:bookmarkEnd w:id="2550"/>
      <w:r>
        <w:rPr>
          <w:rFonts w:ascii="Times New Roman;Times;serif" w:hAnsi="Times New Roman;Times;serif"/>
          <w:sz w:val="24"/>
          <w:u w:val="single"/>
        </w:rPr>
        <w:t>Severability</w:t>
      </w:r>
      <w:r>
        <w:rPr>
          <w:rFonts w:ascii="Times New Roman;Times;serif" w:hAnsi="Times New Roman;Times;serif"/>
          <w:sz w:val="24"/>
        </w:rPr>
        <w:t xml:space="preserve">. If any provision or provisions of this Agreement shall be held to be invalid, void, illegal or otherwise unenforceable for any reason whatsoever: </w:t>
      </w:r>
      <w:bookmarkStart w:id="2551" w:name="_Ref20933024"/>
      <w:bookmarkEnd w:id="2551"/>
      <w:r>
        <w:rPr>
          <w:rFonts w:ascii="Times New Roman;Times;serif" w:hAnsi="Times New Roman;Times;serif"/>
          <w:sz w:val="24"/>
        </w:rPr>
        <w:t xml:space="preserve">(a) the validity, legality and enforceability of the remaining provisions of this Agreement (including, without limitation, each portion of any Section, paragraph or sentence of this Agreement containing any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rPr>
      </w:pPr>
      <w:r>
        <w:rPr>
          <w:rFonts w:ascii="Times New Roman;Times;serif" w:hAnsi="Times New Roman;Times;serif"/>
          <w:b w:val="false"/>
          <w:i w:val="false"/>
          <w:caps w:val="false"/>
          <w:smallCaps w:val="false"/>
          <w:sz w:val="24"/>
        </w:rPr>
        <w:t xml:space="preserve">such provision held to be invalid, illegal or unenforceable that is not itself invalid, illegal or unenforceable) shall not in any way be affected or impaired thereby and shall remain enforceable to the fullest extent permitted by law; </w:t>
      </w:r>
      <w:bookmarkStart w:id="2552" w:name="_Ref20933025"/>
      <w:bookmarkEnd w:id="2552"/>
      <w:r>
        <w:rPr>
          <w:rFonts w:ascii="Times New Roman;Times;serif" w:hAnsi="Times New Roman;Times;serif"/>
          <w:b w:val="false"/>
          <w:i w:val="false"/>
          <w:caps w:val="false"/>
          <w:smallCaps w:val="false"/>
          <w:sz w:val="24"/>
        </w:rPr>
        <w:t>(b)</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 xml:space="preserve">such provision or provisions shall be deemed reformed to the extent necessary to conform to applicable law and to give the maximum effect to the intent of the parties hereto; and </w:t>
      </w:r>
      <w:bookmarkStart w:id="2553" w:name="_Ref20933026"/>
      <w:bookmarkEnd w:id="2553"/>
      <w:r>
        <w:rPr>
          <w:rFonts w:ascii="Times New Roman;Times;serif" w:hAnsi="Times New Roman;Times;serif"/>
          <w:b w:val="false"/>
          <w:i w:val="false"/>
          <w:caps w:val="false"/>
          <w:smallCaps w:val="false"/>
          <w:sz w:val="24"/>
        </w:rPr>
        <w:t>(c)</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21. </w:t>
      </w:r>
      <w:bookmarkStart w:id="2554" w:name="_Ref20933027"/>
      <w:bookmarkEnd w:id="2554"/>
      <w:r>
        <w:rPr>
          <w:rFonts w:ascii="Times New Roman;Times;serif" w:hAnsi="Times New Roman;Times;serif"/>
          <w:sz w:val="24"/>
          <w:u w:val="single"/>
        </w:rPr>
        <w:t>Counterparts</w:t>
      </w:r>
      <w:r>
        <w:rPr>
          <w:rFonts w:ascii="Times New Roman;Times;serif" w:hAnsi="Times New Roman;Times;serif"/>
          <w:sz w:val="24"/>
        </w:rPr>
        <w:t>. This Agreement may be executed in one or more counterparts, (delivery of which may be by facsimile, or via e-mail as a portable document format (.pdf) or other electronic format), each of which will be deemed to be an original and it will not be necessary in making proof of this agreement or the terms of this Agreement to produce or account for more than one such counterpart. One such counterpart signed by the party against whom enforceability is sought shall be sufficient to evidence the existence of this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22. </w:t>
      </w:r>
      <w:bookmarkStart w:id="2555" w:name="_Ref20933028"/>
      <w:bookmarkEnd w:id="2555"/>
      <w:r>
        <w:rPr>
          <w:rFonts w:ascii="Times New Roman;Times;serif" w:hAnsi="Times New Roman;Times;serif"/>
          <w:sz w:val="24"/>
          <w:u w:val="single"/>
        </w:rPr>
        <w:t>Headings</w:t>
      </w:r>
      <w:r>
        <w:rPr>
          <w:rFonts w:ascii="Times New Roman;Times;serif" w:hAnsi="Times New Roman;Times;serif"/>
          <w:sz w:val="24"/>
        </w:rPr>
        <w:t>. The headings of the paragraphs of this Agreement are inserted for convenience only and shall not be deemed to constitute part of this Agreement or to affect the construction thereof.</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23. </w:t>
      </w:r>
      <w:bookmarkStart w:id="2556" w:name="_Ref20933029"/>
      <w:bookmarkEnd w:id="2556"/>
      <w:r>
        <w:rPr>
          <w:rFonts w:ascii="Times New Roman;Times;serif" w:hAnsi="Times New Roman;Times;serif"/>
          <w:sz w:val="24"/>
          <w:u w:val="single"/>
        </w:rPr>
        <w:t>Modification and Waiver</w:t>
      </w:r>
      <w:r>
        <w:rPr>
          <w:rFonts w:ascii="Times New Roman;Times;serif" w:hAnsi="Times New Roman;Times;serif"/>
          <w:sz w:val="24"/>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unless otherwise expressly stated, shall such waiver constitute a continuing waiver.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24. </w:t>
      </w:r>
      <w:bookmarkStart w:id="2557" w:name="_Ref20933030"/>
      <w:bookmarkEnd w:id="2557"/>
      <w:r>
        <w:rPr>
          <w:rFonts w:ascii="Times New Roman;Times;serif" w:hAnsi="Times New Roman;Times;serif"/>
          <w:sz w:val="24"/>
          <w:u w:val="single"/>
        </w:rPr>
        <w:t>Notices</w:t>
      </w:r>
      <w:r>
        <w:rPr>
          <w:rFonts w:ascii="Times New Roman;Times;serif" w:hAnsi="Times New Roman;Times;serif"/>
          <w:sz w:val="24"/>
        </w:rPr>
        <w:t xml:space="preserve">. All notices, requests, demands and other communications hereunder shall be in writing and shall be deemed to have been duly given if </w:t>
      </w:r>
      <w:bookmarkStart w:id="2558" w:name="_Ref20933031"/>
      <w:bookmarkEnd w:id="2558"/>
      <w:r>
        <w:rPr>
          <w:rFonts w:ascii="Times New Roman;Times;serif" w:hAnsi="Times New Roman;Times;serif"/>
          <w:sz w:val="24"/>
        </w:rPr>
        <w:t xml:space="preserve">(i) delivered by hand and receipted for by the party to whom said notice or other communication shall have been directed, on the day of such delivery, or </w:t>
      </w:r>
      <w:bookmarkStart w:id="2559" w:name="_Ref20933032"/>
      <w:bookmarkEnd w:id="2559"/>
      <w:r>
        <w:rPr>
          <w:rFonts w:ascii="Times New Roman;Times;serif" w:hAnsi="Times New Roman;Times;serif"/>
          <w:sz w:val="24"/>
        </w:rPr>
        <w:t>(ii) mailed by certified or registered mail with postage prepaid, on the third business day after the date on which it is so mailed: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560" w:name="_Ref20933033"/>
      <w:bookmarkEnd w:id="2560"/>
      <w:r>
        <w:rPr>
          <w:rFonts w:ascii="Times New Roman;Times;serif" w:hAnsi="Times New Roman;Times;serif"/>
          <w:sz w:val="24"/>
        </w:rPr>
        <w:t>If to Indemnitee, to the address set forth on the signature page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561" w:name="_Ref20933034"/>
      <w:bookmarkEnd w:id="2561"/>
      <w:r>
        <w:rPr>
          <w:rFonts w:ascii="Times New Roman;Times;serif" w:hAnsi="Times New Roman;Times;serif"/>
          <w:sz w:val="24"/>
        </w:rPr>
        <w:t>If to the Company, to:</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Alpine Income Property Trust, Inc.</w:t>
        <w:br/>
        <w:t>1140 N. Williamson Blvd., Suite 140</w:t>
        <w:br/>
        <w:t>Daytona Beach, Florida 32114</w:t>
        <w:br/>
        <w:t>Attn: General Counsel</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or to such other address as may have been furnished in writing to Indemnitee by the Company or to the Company by Indemnitee, as the case may be.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25. </w:t>
      </w:r>
      <w:bookmarkStart w:id="2562" w:name="_Ref20933035"/>
      <w:bookmarkEnd w:id="2562"/>
      <w:r>
        <w:rPr>
          <w:rFonts w:ascii="Times New Roman;Times;serif" w:hAnsi="Times New Roman;Times;serif"/>
          <w:sz w:val="24"/>
          <w:u w:val="single"/>
        </w:rPr>
        <w:t>Governing Law</w:t>
      </w:r>
      <w:r>
        <w:rPr>
          <w:rFonts w:ascii="Times New Roman;Times;serif" w:hAnsi="Times New Roman;Times;serif"/>
          <w:sz w:val="24"/>
        </w:rPr>
        <w:t>. This Agreement shall be governed by, and construed and enforced in accordance with, the laws of the State of Maryland, without regard to its conflicts of laws rules.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 FOLLOWS]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parties hereto have executed this Agreement as of the day and year first above written.</w:t>
      </w:r>
    </w:p>
    <w:p>
      <w:pPr>
        <w:pStyle w:val="TextBody"/>
        <w:bidi w:val="0"/>
        <w:spacing w:before="0" w:after="240"/>
        <w:ind w:left="4320" w:right="0" w:hanging="0"/>
        <w:jc w:val="left"/>
        <w:rPr>
          <w:rFonts w:ascii="Times New Roman;Times;serif" w:hAnsi="Times New Roman;Times;serif"/>
          <w:b/>
          <w:sz w:val="24"/>
        </w:rPr>
      </w:pPr>
      <w:r>
        <w:rPr>
          <w:rFonts w:ascii="Times New Roman;Times;serif" w:hAnsi="Times New Roman;Times;serif"/>
          <w:b/>
          <w:sz w:val="24"/>
        </w:rPr>
        <w:t>COMPANY:</w:t>
      </w:r>
    </w:p>
    <w:p>
      <w:pPr>
        <w:pStyle w:val="TextBody"/>
        <w:bidi w:val="0"/>
        <w:spacing w:before="0" w:after="480"/>
        <w:ind w:left="4320" w:right="0" w:hanging="0"/>
        <w:jc w:val="left"/>
        <w:rPr>
          <w:rFonts w:ascii="Times New Roman;Times;serif" w:hAnsi="Times New Roman;Times;serif"/>
          <w:sz w:val="24"/>
        </w:rPr>
      </w:pPr>
      <w:r>
        <w:rPr>
          <w:rFonts w:ascii="Times New Roman;Times;serif" w:hAnsi="Times New Roman;Times;serif"/>
          <w:sz w:val="24"/>
        </w:rPr>
        <w:t>Alpine Income Property Trust, Inc.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     /s/ Daniel E. Smith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Daniel E. Smith</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Title: Senior Vice President,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General Counsel &amp; Corporate Secretary</w:t>
      </w:r>
    </w:p>
    <w:p>
      <w:pPr>
        <w:pStyle w:val="TextBody"/>
        <w:bidi w:val="0"/>
        <w:spacing w:before="0" w:after="0"/>
        <w:ind w:left="4320" w:right="0" w:hanging="0"/>
        <w:jc w:val="left"/>
        <w:rPr/>
      </w:pPr>
      <w:r>
        <w:rPr/>
        <w:t>​</w:t>
      </w:r>
    </w:p>
    <w:p>
      <w:pPr>
        <w:pStyle w:val="TextBody"/>
        <w:bidi w:val="0"/>
        <w:spacing w:before="0" w:after="480"/>
        <w:ind w:left="4320" w:right="0" w:hanging="0"/>
        <w:jc w:val="left"/>
        <w:rPr>
          <w:rFonts w:ascii="Times New Roman;Times;serif" w:hAnsi="Times New Roman;Times;serif"/>
          <w:b/>
          <w:sz w:val="24"/>
        </w:rPr>
      </w:pPr>
      <w:r>
        <w:rPr>
          <w:rFonts w:ascii="Times New Roman;Times;serif" w:hAnsi="Times New Roman;Times;serif"/>
          <w:b/>
          <w:sz w:val="24"/>
        </w:rPr>
        <w:t>INDEMNITEE:</w:t>
      </w:r>
    </w:p>
    <w:p>
      <w:pPr>
        <w:pStyle w:val="TextBody"/>
        <w:bidi w:val="0"/>
        <w:spacing w:before="0" w:after="0"/>
        <w:ind w:left="4320" w:right="0" w:hanging="0"/>
        <w:jc w:val="left"/>
        <w:rPr/>
      </w:pPr>
      <w:r>
        <w:rPr>
          <w:u w:val="single"/>
        </w:rPr>
        <w:t>    </w:t>
      </w:r>
      <w:r>
        <w:rPr>
          <w:rFonts w:ascii="Times New Roman;Times;serif" w:hAnsi="Times New Roman;Times;serif"/>
          <w:sz w:val="24"/>
          <w:u w:val="single"/>
        </w:rPr>
        <w:t>/s/ Philip R. Mays                                            </w:t>
      </w:r>
      <w:r>
        <w:rPr>
          <w:rFonts w:ascii="Times New Roman;Times;serif" w:hAnsi="Times New Roman;Times;serif"/>
          <w:sz w:val="24"/>
        </w:rPr>
        <w:br/>
        <w:t>Signature of Indemnitee</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u w:val="single"/>
        </w:rPr>
        <w:t>Philip R. Mays                      </w:t>
      </w:r>
      <w:r>
        <w:rPr>
          <w:rFonts w:ascii="Times New Roman;Times;serif" w:hAnsi="Times New Roman;Times;serif"/>
          <w:sz w:val="24"/>
        </w:rPr>
        <w:br/>
        <w:t>Printed Name of Indemnitee</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Address of Indemnitee:</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u w:val="single"/>
        </w:rPr>
      </w:pPr>
      <w:r>
        <w:rPr>
          <w:rFonts w:ascii="Times New Roman;Times;serif" w:hAnsi="Times New Roman;Times;serif"/>
          <w:sz w:val="24"/>
          <w:u w:val="single"/>
        </w:rPr>
        <w:t>PO Box 10809</w:t>
      </w:r>
    </w:p>
    <w:p>
      <w:pPr>
        <w:pStyle w:val="TextBody"/>
        <w:bidi w:val="0"/>
        <w:spacing w:before="0" w:after="0"/>
        <w:ind w:left="4320" w:right="0" w:hanging="0"/>
        <w:jc w:val="left"/>
        <w:rPr>
          <w:rFonts w:ascii="Times New Roman;Times;serif" w:hAnsi="Times New Roman;Times;serif"/>
          <w:sz w:val="24"/>
          <w:u w:val="single"/>
        </w:rPr>
      </w:pPr>
      <w:r>
        <w:rPr>
          <w:rFonts w:ascii="Times New Roman;Times;serif" w:hAnsi="Times New Roman;Times;serif"/>
          <w:sz w:val="24"/>
          <w:u w:val="single"/>
        </w:rPr>
        <w:t>Daytona Beach, FL 32114</w:t>
      </w:r>
    </w:p>
    <w:p>
      <w:pPr>
        <w:pStyle w:val="TextBody"/>
        <w:bidi w:val="0"/>
        <w:spacing w:before="0" w:after="0"/>
        <w:ind w:left="0" w:right="504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color w:val="010000"/>
          <w:sz w:val="24"/>
        </w:rPr>
        <w:t>Exhibit A</w:t>
      </w:r>
      <w:r>
        <w:rPr>
          <w:rFonts w:ascii="Times New Roman;Times;serif" w:hAnsi="Times New Roman;Times;serif"/>
          <w:caps/>
          <w:sz w:val="24"/>
        </w:rPr>
        <w:t>​</w:t>
        <w:br/>
        <w:t>​</w:t>
        <w:br/>
      </w:r>
      <w:bookmarkStart w:id="2563" w:name="_Ref20933036"/>
      <w:bookmarkEnd w:id="2563"/>
      <w:r>
        <w:rPr>
          <w:rFonts w:ascii="Times New Roman;Times;serif" w:hAnsi="Times New Roman;Times;serif"/>
          <w:b/>
          <w:caps/>
          <w:sz w:val="24"/>
        </w:rPr>
        <w:t>AFFIRMATION AND UNDERTAKING TO REPAY EXPENSES ADVANCED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To: The Board of Directors of Alpine Income Property Trust, Inc.</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Re: Affirmation and Undertaking</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Affirmation and Undertaking is being provided pursuant to that certain Indemnification Agreement dated the [●] day of [●], 20[●], by and between Alpine Income Property Trust, Inc., a Maryland corporation (the “</w:t>
      </w:r>
      <w:r>
        <w:rPr>
          <w:rFonts w:ascii="Times New Roman;Times;serif" w:hAnsi="Times New Roman;Times;serif"/>
          <w:b/>
          <w:sz w:val="24"/>
        </w:rPr>
        <w:t>Company</w:t>
      </w:r>
      <w:r>
        <w:rPr>
          <w:rFonts w:ascii="Times New Roman;Times;serif" w:hAnsi="Times New Roman;Times;serif"/>
          <w:sz w:val="24"/>
        </w:rPr>
        <w:t>”), and the undersigned Indemnitee (the “</w:t>
      </w:r>
      <w:r>
        <w:rPr>
          <w:rFonts w:ascii="Times New Roman;Times;serif" w:hAnsi="Times New Roman;Times;serif"/>
          <w:b/>
          <w:sz w:val="24"/>
        </w:rPr>
        <w:t>Indemnification Agreement</w:t>
      </w:r>
      <w:r>
        <w:rPr>
          <w:rFonts w:ascii="Times New Roman;Times;serif" w:hAnsi="Times New Roman;Times;serif"/>
          <w:sz w:val="24"/>
        </w:rPr>
        <w:t>”), pursuant to which I am entitled to advance of Expenses in connection with [</w:t>
      </w:r>
      <w:r>
        <w:rPr>
          <w:rFonts w:ascii="Times New Roman;Times;serif" w:hAnsi="Times New Roman;Times;serif"/>
          <w:b/>
          <w:sz w:val="24"/>
        </w:rPr>
        <w:t>Description of Proceeding</w:t>
      </w:r>
      <w:r>
        <w:rPr>
          <w:rFonts w:ascii="Times New Roman;Times;serif" w:hAnsi="Times New Roman;Times;serif"/>
          <w:sz w:val="24"/>
        </w:rPr>
        <w:t>] (the “</w:t>
      </w:r>
      <w:r>
        <w:rPr>
          <w:rFonts w:ascii="Times New Roman;Times;serif" w:hAnsi="Times New Roman;Times;serif"/>
          <w:b/>
          <w:sz w:val="24"/>
        </w:rPr>
        <w:t>Proceeding</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Terms used herein and not otherwise defined shall have the meanings specified in the Indemnification Agreement.</w:t>
      </w:r>
    </w:p>
    <w:p>
      <w:pPr>
        <w:pStyle w:val="TextBody"/>
        <w:bidi w:val="0"/>
        <w:spacing w:before="0" w:after="240"/>
        <w:ind w:left="0" w:right="0" w:hanging="0"/>
        <w:jc w:val="both"/>
        <w:rPr>
          <w:rFonts w:ascii="Times New Roman;Times;serif" w:hAnsi="Times New Roman;Times;serif"/>
          <w:sz w:val="24"/>
        </w:rPr>
      </w:pPr>
      <w:bookmarkStart w:id="2564" w:name="_Ref20933037"/>
      <w:bookmarkEnd w:id="2564"/>
      <w:r>
        <w:rPr>
          <w:rFonts w:ascii="Times New Roman;Times;serif" w:hAnsi="Times New Roman;Times;serif"/>
          <w:sz w:val="24"/>
        </w:rPr>
        <w:t>I am subject to the Proceeding by reason of my Corporate Status or by reason of alleged actions or omissions by me in such capacity. I hereby affirm my good faith belief that at all times, insofar as I was involved as [</w:t>
      </w:r>
      <w:r>
        <w:rPr>
          <w:rFonts w:ascii="Times New Roman;Times;serif" w:hAnsi="Times New Roman;Times;serif"/>
          <w:b/>
          <w:sz w:val="24"/>
        </w:rPr>
        <w:t>a director</w:t>
      </w:r>
      <w:r>
        <w:rPr>
          <w:rFonts w:ascii="Times New Roman;Times;serif" w:hAnsi="Times New Roman;Times;serif"/>
          <w:sz w:val="24"/>
        </w:rPr>
        <w:t>] [</w:t>
      </w:r>
      <w:r>
        <w:rPr>
          <w:rFonts w:ascii="Times New Roman;Times;serif" w:hAnsi="Times New Roman;Times;serif"/>
          <w:b/>
          <w:sz w:val="24"/>
        </w:rPr>
        <w:t>an officer</w:t>
      </w:r>
      <w:r>
        <w:rPr>
          <w:rFonts w:ascii="Times New Roman;Times;serif" w:hAnsi="Times New Roman;Times;serif"/>
          <w:sz w:val="24"/>
        </w:rPr>
        <w:t>] [</w:t>
      </w:r>
      <w:r>
        <w:rPr>
          <w:rFonts w:ascii="Times New Roman;Times;serif" w:hAnsi="Times New Roman;Times;serif"/>
          <w:b/>
          <w:sz w:val="24"/>
        </w:rPr>
        <w:t>a director and an officer</w:t>
      </w:r>
      <w:r>
        <w:rPr>
          <w:rFonts w:ascii="Times New Roman;Times;serif" w:hAnsi="Times New Roman;Times;serif"/>
          <w:sz w:val="24"/>
        </w:rPr>
        <w:t xml:space="preserve">] of the Company, in any of the facts or events giving rise to the Proceeding, I </w:t>
      </w:r>
      <w:bookmarkStart w:id="2565" w:name="_Ref20933038"/>
      <w:bookmarkEnd w:id="2565"/>
      <w:r>
        <w:rPr>
          <w:rFonts w:ascii="Times New Roman;Times;serif" w:hAnsi="Times New Roman;Times;serif"/>
          <w:sz w:val="24"/>
        </w:rPr>
        <w:t xml:space="preserve">(1) did not act with bad faith or active or deliberate dishonesty, </w:t>
      </w:r>
      <w:bookmarkStart w:id="2566" w:name="_Ref20933039"/>
      <w:bookmarkEnd w:id="2566"/>
      <w:r>
        <w:rPr>
          <w:rFonts w:ascii="Times New Roman;Times;serif" w:hAnsi="Times New Roman;Times;serif"/>
          <w:sz w:val="24"/>
        </w:rPr>
        <w:t xml:space="preserve">(2) did not receive any improper personal benefit in money, property or services and </w:t>
      </w:r>
      <w:bookmarkStart w:id="2567" w:name="_Ref20933040"/>
      <w:bookmarkEnd w:id="2567"/>
      <w:r>
        <w:rPr>
          <w:rFonts w:ascii="Times New Roman;Times;serif" w:hAnsi="Times New Roman;Times;serif"/>
          <w:sz w:val="24"/>
        </w:rPr>
        <w:t>(3) in the case of any criminal proceeding, had no reasonable cause to believe that any act or omission by me was unlawful.</w:t>
      </w:r>
    </w:p>
    <w:p>
      <w:pPr>
        <w:pStyle w:val="TextBody"/>
        <w:bidi w:val="0"/>
        <w:spacing w:before="0" w:after="240"/>
        <w:ind w:left="0" w:right="0" w:hanging="0"/>
        <w:jc w:val="both"/>
        <w:rPr>
          <w:rFonts w:ascii="Times New Roman;Times;serif" w:hAnsi="Times New Roman;Times;serif"/>
          <w:sz w:val="24"/>
        </w:rPr>
      </w:pPr>
      <w:bookmarkStart w:id="2568" w:name="_Ref20933041"/>
      <w:bookmarkEnd w:id="2568"/>
      <w:r>
        <w:rPr>
          <w:rFonts w:ascii="Times New Roman;Times;serif" w:hAnsi="Times New Roman;Times;serif"/>
          <w:sz w:val="24"/>
        </w:rPr>
        <w:t>In consideration of the advance by the Company for Expenses incurred by me in connection with the Proceeding (the “</w:t>
      </w:r>
      <w:r>
        <w:rPr>
          <w:rFonts w:ascii="Times New Roman;Times;serif" w:hAnsi="Times New Roman;Times;serif"/>
          <w:b/>
          <w:sz w:val="24"/>
        </w:rPr>
        <w:t>Advanced Expenses</w:t>
      </w:r>
      <w:r>
        <w:rPr>
          <w:rFonts w:ascii="Times New Roman;Times;serif" w:hAnsi="Times New Roman;Times;serif"/>
          <w:sz w:val="24"/>
        </w:rPr>
        <w:t xml:space="preserve">”), I hereby agree that if, in connection with the Proceeding, it is established that </w:t>
      </w:r>
      <w:bookmarkStart w:id="2569" w:name="_Ref20933042"/>
      <w:bookmarkEnd w:id="2569"/>
      <w:r>
        <w:rPr>
          <w:rFonts w:ascii="Times New Roman;Times;serif" w:hAnsi="Times New Roman;Times;serif"/>
          <w:sz w:val="24"/>
        </w:rPr>
        <w:t xml:space="preserve">(1) an act or omission by me was material to the matter giving rise to the Proceeding and </w:t>
      </w:r>
      <w:bookmarkStart w:id="2570" w:name="_Ref20933043"/>
      <w:bookmarkEnd w:id="2570"/>
      <w:r>
        <w:rPr>
          <w:rFonts w:ascii="Times New Roman;Times;serif" w:hAnsi="Times New Roman;Times;serif"/>
          <w:sz w:val="24"/>
        </w:rPr>
        <w:t xml:space="preserve">(a) was committed in bad faith or </w:t>
      </w:r>
      <w:bookmarkStart w:id="2571" w:name="_Ref20933044"/>
      <w:bookmarkEnd w:id="2571"/>
      <w:r>
        <w:rPr>
          <w:rFonts w:ascii="Times New Roman;Times;serif" w:hAnsi="Times New Roman;Times;serif"/>
          <w:sz w:val="24"/>
        </w:rPr>
        <w:t xml:space="preserve">(b) was the result of active and deliberate dishonesty or </w:t>
      </w:r>
      <w:bookmarkStart w:id="2572" w:name="_Ref20933045"/>
      <w:bookmarkEnd w:id="2572"/>
      <w:r>
        <w:rPr>
          <w:rFonts w:ascii="Times New Roman;Times;serif" w:hAnsi="Times New Roman;Times;serif"/>
          <w:sz w:val="24"/>
        </w:rPr>
        <w:t xml:space="preserve">(2) I actually received an improper personal benefit in money, property or services or </w:t>
      </w:r>
      <w:bookmarkStart w:id="2573" w:name="_Ref20933046"/>
      <w:bookmarkEnd w:id="2573"/>
      <w:r>
        <w:rPr>
          <w:rFonts w:ascii="Times New Roman;Times;serif" w:hAnsi="Times New Roman;Times;serif"/>
          <w:sz w:val="24"/>
        </w:rPr>
        <w:t>(3) in the case of any criminal proceeding, I had reasonable cause to believe that the act or omission was unlawful, then I shall promptly reimburse the portion of the Advanced Expenses relating to the claims, issues or matters in the Proceeding as to which the foregoing findings have been established.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I have executed this Affirmation and Undertaking on this [●] day of [●], 20[●].</w:t>
      </w:r>
    </w:p>
    <w:p>
      <w:pPr>
        <w:pStyle w:val="TextBody"/>
        <w:bidi w:val="0"/>
        <w:spacing w:before="0" w:after="480"/>
        <w:ind w:left="4320" w:right="0" w:hanging="0"/>
        <w:jc w:val="left"/>
        <w:rPr>
          <w:rFonts w:ascii="Times New Roman;Times;serif" w:hAnsi="Times New Roman;Times;serif"/>
          <w:sz w:val="24"/>
          <w:u w:val="single"/>
        </w:rPr>
      </w:pPr>
      <w:r>
        <w:rPr>
          <w:rFonts w:ascii="Times New Roman;Times;serif" w:hAnsi="Times New Roman;Times;serif"/>
          <w:sz w:val="24"/>
          <w:u w:val="single"/>
        </w:rPr>
        <w:t>Signature of Indemnitee______________________</w:t>
      </w:r>
    </w:p>
    <w:p>
      <w:pPr>
        <w:pStyle w:val="TextBody"/>
        <w:bidi w:val="0"/>
        <w:spacing w:before="0" w:after="0"/>
        <w:ind w:left="4320" w:right="0" w:hanging="0"/>
        <w:jc w:val="left"/>
        <w:rPr/>
      </w:pPr>
      <w:r>
        <w:rPr/>
        <w:t>​</w:t>
      </w:r>
      <w:r>
        <mc:AlternateContent>
          <mc:Choice Requires="wps">
            <w:drawing>
              <wp:anchor behindDoc="0" distT="0" distB="0" distL="0" distR="0" simplePos="0" locked="0" layoutInCell="1" allowOverlap="1" relativeHeight="630">
                <wp:simplePos x="0" y="0"/>
                <wp:positionH relativeFrom="page">
                  <wp:posOffset>0</wp:posOffset>
                </wp:positionH>
                <wp:positionV relativeFrom="line">
                  <wp:posOffset>635</wp:posOffset>
                </wp:positionV>
                <wp:extent cx="6480175" cy="175895"/>
                <wp:effectExtent l="0" t="0" r="0" b="0"/>
                <wp:wrapNone/>
                <wp:docPr id="629" name="Frame6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Printed Name of Indemnitee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574" w:name="pine-20241231xex10d25.htm"/>
      <w:bookmarkStart w:id="2575" w:name="kspine20241231xex10d25"/>
      <w:bookmarkEnd w:id="2574"/>
      <w:bookmarkEnd w:id="2575"/>
      <w:r>
        <w:rPr>
          <w:rFonts w:ascii="Times New Roman;Times;serif" w:hAnsi="Times New Roman;Times;serif"/>
          <w:b/>
          <w:sz w:val="24"/>
        </w:rPr>
        <w:t>Exhibit 10.25</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INDEMNIFICATION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INDEMNIFICATION AGREEMENT (“</w:t>
      </w:r>
      <w:r>
        <w:rPr>
          <w:rFonts w:ascii="Times New Roman;Times;serif" w:hAnsi="Times New Roman;Times;serif"/>
          <w:b/>
          <w:sz w:val="24"/>
        </w:rPr>
        <w:t>Agreement</w:t>
      </w:r>
      <w:r>
        <w:rPr>
          <w:rFonts w:ascii="Times New Roman;Times;serif" w:hAnsi="Times New Roman;Times;serif"/>
          <w:sz w:val="24"/>
        </w:rPr>
        <w:t>”) is made and entered into as of the 6</w:t>
      </w:r>
      <w:r>
        <w:rPr>
          <w:rFonts w:ascii="Times New Roman;Times;serif" w:hAnsi="Times New Roman;Times;serif"/>
          <w:sz w:val="18"/>
        </w:rPr>
        <w:t>th</w:t>
      </w:r>
      <w:r>
        <w:rPr>
          <w:rFonts w:ascii="Times New Roman;Times;serif" w:hAnsi="Times New Roman;Times;serif"/>
          <w:sz w:val="24"/>
        </w:rPr>
        <w:t xml:space="preserve"> day of February, 2025, by and between Alpine Income Property Trust, Inc., a Maryland corporation (the “</w:t>
      </w:r>
      <w:r>
        <w:rPr>
          <w:rFonts w:ascii="Times New Roman;Times;serif" w:hAnsi="Times New Roman;Times;serif"/>
          <w:b/>
          <w:sz w:val="24"/>
        </w:rPr>
        <w:t>Company</w:t>
      </w:r>
      <w:r>
        <w:rPr>
          <w:rFonts w:ascii="Times New Roman;Times;serif" w:hAnsi="Times New Roman;Times;serif"/>
          <w:sz w:val="24"/>
        </w:rPr>
        <w:t>”), and Lisa M. Vorakoun (“</w:t>
      </w:r>
      <w:r>
        <w:rPr>
          <w:rFonts w:ascii="Times New Roman;Times;serif" w:hAnsi="Times New Roman;Times;serif"/>
          <w:b/>
          <w:sz w:val="24"/>
        </w:rPr>
        <w:t>Indemnitee</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at the request of the Company, Indemnitee currently serves as a director of the Company, an officer of the Company or a director and an officer of the Company and may, therefore, be subjected to claims, suits or proceedings arising as a result of such service;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as an inducement to Indemnitee to serve or continue to serve in such capacity, the Company has agreed to indemnify Indemnitee and to advance expenses and costs incurred by Indemnitee in connection with any such claims, suits or proceedings, to the maximum extent permitted by law;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parties by this Agreement desire to set forth their agreement regarding indemnification and advance of expenses.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premises and the covenants contained herein, the Company and Indemnitee do hereby covenant and agree as follows: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 </w:t>
      </w:r>
      <w:bookmarkStart w:id="2576" w:name="_Ref209329181"/>
      <w:bookmarkEnd w:id="2576"/>
      <w:r>
        <w:rPr>
          <w:rFonts w:ascii="Times New Roman;Times;serif" w:hAnsi="Times New Roman;Times;serif"/>
          <w:sz w:val="24"/>
          <w:u w:val="single"/>
        </w:rPr>
        <w:t>Definitions</w:t>
      </w:r>
      <w:r>
        <w:rPr>
          <w:rFonts w:ascii="Times New Roman;Times;serif" w:hAnsi="Times New Roman;Times;serif"/>
          <w:sz w:val="24"/>
        </w:rPr>
        <w:t>.  For purposes of this Agreement:</w:t>
      </w:r>
    </w:p>
    <w:p>
      <w:pPr>
        <w:pStyle w:val="TextBody"/>
        <w:bidi w:val="0"/>
        <w:spacing w:before="0" w:after="240"/>
        <w:ind w:left="0" w:right="0" w:hanging="0"/>
        <w:jc w:val="both"/>
        <w:rPr/>
      </w:pPr>
      <w:bookmarkStart w:id="2577" w:name="_Hlk209977781"/>
      <w:bookmarkStart w:id="2578" w:name="_Ref209329191"/>
      <w:bookmarkEnd w:id="2577"/>
      <w:bookmarkEnd w:id="2578"/>
      <w:r>
        <w:rPr/>
        <w:t>“</w:t>
      </w:r>
      <w:r>
        <w:rPr>
          <w:rFonts w:ascii="Times New Roman;Times;serif" w:hAnsi="Times New Roman;Times;serif"/>
          <w:b/>
          <w:sz w:val="24"/>
        </w:rPr>
        <w:t>Board of Directors</w:t>
      </w:r>
      <w:r>
        <w:rPr>
          <w:rFonts w:ascii="Times New Roman;Times;serif" w:hAnsi="Times New Roman;Times;serif"/>
          <w:sz w:val="24"/>
        </w:rPr>
        <w:t>” means the board of directors of the Company.</w:t>
      </w:r>
    </w:p>
    <w:p>
      <w:pPr>
        <w:pStyle w:val="TextBody"/>
        <w:bidi w:val="0"/>
        <w:spacing w:before="0" w:after="240"/>
        <w:ind w:left="0" w:right="0" w:hanging="0"/>
        <w:jc w:val="both"/>
        <w:rPr/>
      </w:pPr>
      <w:bookmarkStart w:id="2579" w:name="_Hlk222214291"/>
      <w:bookmarkEnd w:id="2579"/>
      <w:r>
        <w:rPr/>
        <w:t>“</w:t>
      </w:r>
      <w:r>
        <w:rPr>
          <w:rFonts w:ascii="Times New Roman;Times;serif" w:hAnsi="Times New Roman;Times;serif"/>
          <w:b/>
          <w:sz w:val="24"/>
        </w:rPr>
        <w:t>Change in Control</w:t>
      </w:r>
      <w:r>
        <w:rPr>
          <w:rFonts w:ascii="Times New Roman;Times;serif" w:hAnsi="Times New Roman;Times;serif"/>
          <w:sz w:val="24"/>
        </w:rPr>
        <w:t>” means any of (a) the acquisition by any “person” or “group” (as such terms are used in sections 13(d) and 14(d) of the Exchange Act) at any time that causes such person or group to become the “beneficial owner” (as defined in Rules 13d-3 and 13d-5 under the Exchange Act) of at least 50% of the outstanding capital stock or other equity interests of the Company on a fully</w:t>
        <w:noBreakHyphen/>
        <w:t>diluted basis, other than acquisitions of such interests by an affiliate of the Company or (b) a change in the composition of the Board of Directors such that, during any 12-month period, the individuals who, as of the beginning of such period, constitute the Board of Directors cease for any reason to constitute more than 50% of the Board of Directors, provided that any individual becoming a member of the Board of Directors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Board of Directors as of the beginning of such period.</w:t>
      </w:r>
    </w:p>
    <w:p>
      <w:pPr>
        <w:pStyle w:val="TextBody"/>
        <w:bidi w:val="0"/>
        <w:spacing w:before="0" w:after="0"/>
        <w:ind w:left="0" w:right="0" w:hanging="0"/>
        <w:jc w:val="both"/>
        <w:rPr/>
      </w:pPr>
      <w:bookmarkStart w:id="2580" w:name="_Ref209329251"/>
      <w:bookmarkEnd w:id="2580"/>
      <w:r>
        <w:rPr/>
        <w:t>“</w:t>
      </w:r>
      <w:r>
        <w:rPr>
          <w:rFonts w:ascii="Times New Roman;Times;serif" w:hAnsi="Times New Roman;Times;serif"/>
          <w:b/>
          <w:sz w:val="24"/>
        </w:rPr>
        <w:t>Corporate Status</w:t>
      </w:r>
      <w:r>
        <w:rPr>
          <w:rFonts w:ascii="Times New Roman;Times;serif" w:hAnsi="Times New Roman;Times;serif"/>
          <w:sz w:val="24"/>
        </w:rPr>
        <w:t xml:space="preserve">” means the status of a person as a present or former director, officer, employee or agent of the Company or as a director, trustee, officer, partner, manager, member, fiduciary, employee or agent of any other foreign or domestic corporation, real estate investment trust, partnership, limited liability company, joint venture, trust, employee benefit plan or other enterprise that such person is or was serving in such capacity at the request of the Company or the Manager. As a clarification and without limiting the circumstances in which Indemnitee may be serving at the request of the Company or the Manager, service by Indemnitee shall be deemed to be at the request of the Company: (i) if Indemnitee serves or served as a director, trustee, officer, partner, manager, member, fiduciary, employee or agent of any corporation, partnership, limited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liability company, joint venture, trust or other enterprise </w:t>
      </w:r>
      <w:bookmarkStart w:id="2581" w:name="_Ref209329271"/>
      <w:bookmarkEnd w:id="2581"/>
      <w:r>
        <w:rPr>
          <w:rFonts w:ascii="Times New Roman;Times;serif" w:hAnsi="Times New Roman;Times;serif"/>
          <w:sz w:val="24"/>
        </w:rPr>
        <w:t xml:space="preserve">(A) of which a majority of the voting power or equity interest is or was owned directly or indirectly by the Company or </w:t>
      </w:r>
      <w:bookmarkStart w:id="2582" w:name="_Ref209329281"/>
      <w:bookmarkEnd w:id="2582"/>
      <w:r>
        <w:rPr>
          <w:rFonts w:ascii="Times New Roman;Times;serif" w:hAnsi="Times New Roman;Times;serif"/>
          <w:sz w:val="24"/>
        </w:rPr>
        <w:t>(B) the management of which is controlled directly or indirectly by the Company and (ii) if, as a result of Indemnitee’s service to the Company or any of its affiliated entities, Indemnitee is subject to duties by, or required to perform services for, an employee benefit plan or its participants or beneficiaries, including as deemed fiduciary thereof.</w:t>
      </w:r>
    </w:p>
    <w:p>
      <w:pPr>
        <w:pStyle w:val="TextBody"/>
        <w:bidi w:val="0"/>
        <w:spacing w:before="0" w:after="240"/>
        <w:ind w:left="0" w:right="0" w:hanging="0"/>
        <w:jc w:val="both"/>
        <w:rPr/>
      </w:pPr>
      <w:bookmarkStart w:id="2583" w:name="_Ref209329301"/>
      <w:bookmarkEnd w:id="2583"/>
      <w:r>
        <w:rPr/>
        <w:t>“</w:t>
      </w:r>
      <w:r>
        <w:rPr>
          <w:rFonts w:ascii="Times New Roman;Times;serif" w:hAnsi="Times New Roman;Times;serif"/>
          <w:b/>
          <w:sz w:val="24"/>
        </w:rPr>
        <w:t>Disinterested Director</w:t>
      </w:r>
      <w:r>
        <w:rPr>
          <w:rFonts w:ascii="Times New Roman;Times;serif" w:hAnsi="Times New Roman;Times;serif"/>
          <w:sz w:val="24"/>
        </w:rPr>
        <w:t>” means a director of the Company who is not and was not a party to the Proceeding (as defined below) in respect of which indemnification and/or advance of Expenses is sought by Indemnitee.</w:t>
      </w:r>
    </w:p>
    <w:p>
      <w:pPr>
        <w:pStyle w:val="TextBody"/>
        <w:bidi w:val="0"/>
        <w:spacing w:before="0" w:after="240"/>
        <w:ind w:left="0" w:right="0" w:hanging="0"/>
        <w:jc w:val="both"/>
        <w:rPr/>
      </w:pPr>
      <w:bookmarkStart w:id="2584" w:name="_Ref209329311"/>
      <w:bookmarkEnd w:id="2584"/>
      <w:r>
        <w:rPr/>
        <w:t>“</w:t>
      </w:r>
      <w:r>
        <w:rPr>
          <w:rFonts w:ascii="Times New Roman;Times;serif" w:hAnsi="Times New Roman;Times;serif"/>
          <w:b/>
          <w:sz w:val="24"/>
        </w:rPr>
        <w:t>Effective Date</w:t>
      </w:r>
      <w:r>
        <w:rPr>
          <w:rFonts w:ascii="Times New Roman;Times;serif" w:hAnsi="Times New Roman;Times;serif"/>
          <w:sz w:val="24"/>
        </w:rPr>
        <w:t>” means the date set forth in the first paragraph of this Agreement.</w:t>
      </w:r>
    </w:p>
    <w:p>
      <w:pPr>
        <w:pStyle w:val="TextBody"/>
        <w:bidi w:val="0"/>
        <w:spacing w:before="0" w:after="240"/>
        <w:ind w:left="0" w:right="0" w:hanging="0"/>
        <w:jc w:val="both"/>
        <w:rPr/>
      </w:pPr>
      <w:r>
        <w:rPr/>
        <w:t>“</w:t>
      </w:r>
      <w:r>
        <w:rPr>
          <w:rFonts w:ascii="Times New Roman;Times;serif" w:hAnsi="Times New Roman;Times;serif"/>
          <w:b/>
          <w:sz w:val="24"/>
        </w:rPr>
        <w:t>Exchange Act</w:t>
      </w:r>
      <w:r>
        <w:rPr>
          <w:rFonts w:ascii="Times New Roman;Times;serif" w:hAnsi="Times New Roman;Times;serif"/>
          <w:sz w:val="24"/>
        </w:rPr>
        <w:t>” means the Securities Exchange Act of 1934, as amended.</w:t>
      </w:r>
    </w:p>
    <w:p>
      <w:pPr>
        <w:pStyle w:val="TextBody"/>
        <w:bidi w:val="0"/>
        <w:spacing w:before="0" w:after="240"/>
        <w:ind w:left="0" w:right="0" w:hanging="0"/>
        <w:jc w:val="both"/>
        <w:rPr/>
      </w:pPr>
      <w:bookmarkStart w:id="2585" w:name="_Ref209329321"/>
      <w:bookmarkEnd w:id="2585"/>
      <w:r>
        <w:rPr/>
        <w:t>“</w:t>
      </w:r>
      <w:r>
        <w:rPr>
          <w:rFonts w:ascii="Times New Roman;Times;serif" w:hAnsi="Times New Roman;Times;serif"/>
          <w:b/>
          <w:sz w:val="24"/>
        </w:rPr>
        <w:t>Expenses</w:t>
      </w:r>
      <w:r>
        <w:rPr>
          <w:rFonts w:ascii="Times New Roman;Times;serif" w:hAnsi="Times New Roman;Times;serif"/>
          <w:sz w:val="24"/>
        </w:rPr>
        <w:t>” means any and all reasonable and out-of-pocket attorneys’ fees and costs, retainers, court costs, arbitration and mediation costs, transcript costs, fees of experts, witness fees, travel expenses, duplicating costs, printing and binding costs, telephone charges, postage, delivery service fees, federal, state, local or foreign taxes imposed on Indemnitee as a result of the actual or deemed receipt of any payments under this Agreement, ERISA excise taxes and penalties and any other disbursements or expenses incurred in connection with prosecuting, defending, preparing to prosecute or defend, investigating, being or preparing to be a witness in or otherwise participating in a Proceeding. Expenses shall also include Expenses incurred in connection with any appeal resulting from any Proceeding including, without limitation, the premium, security for and other costs relating to any cost bond, supersedes bond or other appeal bond or its equivalent.</w:t>
      </w:r>
    </w:p>
    <w:p>
      <w:pPr>
        <w:pStyle w:val="TextBody"/>
        <w:bidi w:val="0"/>
        <w:spacing w:before="0" w:after="240"/>
        <w:ind w:left="0" w:right="0" w:hanging="0"/>
        <w:jc w:val="both"/>
        <w:rPr/>
      </w:pPr>
      <w:bookmarkStart w:id="2586" w:name="_Ref209329331"/>
      <w:bookmarkEnd w:id="2586"/>
      <w:r>
        <w:rPr/>
        <w:t>“</w:t>
      </w:r>
      <w:r>
        <w:rPr>
          <w:rFonts w:ascii="Times New Roman;Times;serif" w:hAnsi="Times New Roman;Times;serif"/>
          <w:b/>
          <w:sz w:val="24"/>
        </w:rPr>
        <w:t>Independent Counsel</w:t>
      </w:r>
      <w:r>
        <w:rPr>
          <w:rFonts w:ascii="Times New Roman;Times;serif" w:hAnsi="Times New Roman;Times;serif"/>
          <w:sz w:val="24"/>
        </w:rPr>
        <w:t xml:space="preserve">” means a law firm, or a member of a law firm, that is experienced in matters of corporation law and neither is, nor in the past five years has been, retained to represent: </w:t>
      </w:r>
      <w:bookmarkStart w:id="2587" w:name="_Ref209329341"/>
      <w:bookmarkEnd w:id="2587"/>
      <w:r>
        <w:rPr>
          <w:rFonts w:ascii="Times New Roman;Times;serif" w:hAnsi="Times New Roman;Times;serif"/>
          <w:sz w:val="24"/>
        </w:rPr>
        <w:t xml:space="preserve">(i) the Company or Indemnitee in any matter material to either such party (other than with respect to matters concerning Indemnitee under this Agreement or of other indemnitees under similar indemnification agreements) or </w:t>
      </w:r>
      <w:bookmarkStart w:id="2588" w:name="_Ref209329351"/>
      <w:bookmarkEnd w:id="2588"/>
      <w:r>
        <w:rPr>
          <w:rFonts w:ascii="Times New Roman;Times;serif" w:hAnsi="Times New Roman;Times;serif"/>
          <w:sz w:val="24"/>
        </w:rPr>
        <w:t>(ii) any other party to or participant or witness in the Proceeding giving rise to a claim for indemnification or advance of Expenses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0" w:after="240"/>
        <w:ind w:left="0" w:right="0" w:hanging="0"/>
        <w:jc w:val="both"/>
        <w:rPr/>
      </w:pPr>
      <w:r>
        <w:rPr/>
        <w:t>“</w:t>
      </w:r>
      <w:r>
        <w:rPr>
          <w:rFonts w:ascii="Times New Roman;Times;serif" w:hAnsi="Times New Roman;Times;serif"/>
          <w:b/>
          <w:sz w:val="24"/>
        </w:rPr>
        <w:t>Manager</w:t>
      </w:r>
      <w:r>
        <w:rPr>
          <w:rFonts w:ascii="Times New Roman;Times;serif" w:hAnsi="Times New Roman;Times;serif"/>
          <w:sz w:val="24"/>
        </w:rPr>
        <w:t>” means Alpine Income Property Manager, LLC, a Delaware limited liability company and the Company’s external manager.</w:t>
      </w:r>
    </w:p>
    <w:p>
      <w:pPr>
        <w:pStyle w:val="TextBody"/>
        <w:bidi w:val="0"/>
        <w:spacing w:before="0" w:after="0"/>
        <w:ind w:left="0" w:right="0" w:hanging="0"/>
        <w:jc w:val="both"/>
        <w:rPr/>
      </w:pPr>
      <w:bookmarkStart w:id="2589" w:name="_Ref209329361"/>
      <w:bookmarkEnd w:id="2589"/>
      <w:r>
        <w:rPr/>
        <w:t>“</w:t>
      </w:r>
      <w:r>
        <w:rPr>
          <w:rFonts w:ascii="Times New Roman;Times;serif" w:hAnsi="Times New Roman;Times;serif"/>
          <w:b/>
          <w:sz w:val="24"/>
        </w:rPr>
        <w:t>Proceeding</w:t>
      </w:r>
      <w:r>
        <w:rPr>
          <w:rFonts w:ascii="Times New Roman;Times;serif" w:hAnsi="Times New Roman;Times;serif"/>
          <w:sz w:val="24"/>
        </w:rPr>
        <w:t xml:space="preserve">” means any threatened, pending or completed action, suit, arbitration, alternate dispute resolution mechanism, investigation, inquiry, administrative hearing, claim, demand, discovery request or any other actual, threatened or completed proceeding, whether brought by or in the right of the Company or otherwise and whether of a civil (including intentional or unintentional tort claims), criminal, administrative or investigative (formal or informal) nature, including any appeal therefrom, except one pending or completed on or before the Effective Date, unless otherwise specifically agreed in writing by the Company and Indemnitee. If Indemnitee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reasonably believes that a given situation may lead to or culminate in the institution of a Proceeding, such situation shall also be considered a Proceeding.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 </w:t>
      </w:r>
      <w:bookmarkStart w:id="2590" w:name="_Ref209329371"/>
      <w:bookmarkEnd w:id="2590"/>
      <w:r>
        <w:rPr>
          <w:rFonts w:ascii="Times New Roman;Times;serif" w:hAnsi="Times New Roman;Times;serif"/>
          <w:sz w:val="24"/>
          <w:u w:val="single"/>
        </w:rPr>
        <w:t>Services by Indemnitee</w:t>
      </w:r>
      <w:r>
        <w:rPr>
          <w:rFonts w:ascii="Times New Roman;Times;serif" w:hAnsi="Times New Roman;Times;serif"/>
          <w:sz w:val="24"/>
        </w:rPr>
        <w:t>. Indemnitee will serve in the capacity or capacities set forth in the first WHEREAS clause above. However, this Agreement shall not impose any independent obligation on Indemnitee or the Company to continue Indemnitee’s service to the Company. This Agreement shall not be deemed an employment contract between the Company (or any other entity) and Indemnitee.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3. </w:t>
      </w:r>
      <w:bookmarkStart w:id="2591" w:name="_Ref209329381"/>
      <w:bookmarkEnd w:id="2591"/>
      <w:r>
        <w:rPr>
          <w:rFonts w:ascii="Times New Roman;Times;serif" w:hAnsi="Times New Roman;Times;serif"/>
          <w:sz w:val="24"/>
          <w:u w:val="single"/>
        </w:rPr>
        <w:t>General</w:t>
      </w:r>
      <w:r>
        <w:rPr>
          <w:rFonts w:ascii="Times New Roman;Times;serif" w:hAnsi="Times New Roman;Times;serif"/>
          <w:sz w:val="24"/>
        </w:rPr>
        <w:t xml:space="preserve">. The Company shall indemnify, and advance Expenses to, Indemnitee </w:t>
      </w:r>
      <w:bookmarkStart w:id="2592" w:name="_Ref209329391"/>
      <w:bookmarkEnd w:id="2592"/>
      <w:r>
        <w:rPr>
          <w:rFonts w:ascii="Times New Roman;Times;serif" w:hAnsi="Times New Roman;Times;serif"/>
          <w:sz w:val="24"/>
        </w:rPr>
        <w:t xml:space="preserve">(a) as provided in this Agreement and </w:t>
      </w:r>
      <w:bookmarkStart w:id="2593" w:name="_Ref209329401"/>
      <w:bookmarkEnd w:id="2593"/>
      <w:r>
        <w:rPr>
          <w:rFonts w:ascii="Times New Roman;Times;serif" w:hAnsi="Times New Roman;Times;serif"/>
          <w:sz w:val="24"/>
        </w:rPr>
        <w:t>(b) otherwise to the maximum extent permitted by Maryland law in effect on the Effective Date and as amended from time to time; provided, however, that no change in Maryland law shall have the effect of reducing the benefits available to Indemnitee hereunder based on Maryland law as in effect on the Effective Date. The rights of Indemnitee provided in this Section 3 shall include, without limitation, the rights set forth in the other sections of this Agreement, including any additional indemnification permitted by the Maryland General Corporation Law (the “</w:t>
      </w:r>
      <w:r>
        <w:rPr>
          <w:rFonts w:ascii="Times New Roman;Times;serif" w:hAnsi="Times New Roman;Times;serif"/>
          <w:b/>
          <w:sz w:val="24"/>
        </w:rPr>
        <w:t>MGCL</w:t>
      </w:r>
      <w:r>
        <w:rPr>
          <w:rFonts w:ascii="Times New Roman;Times;serif" w:hAnsi="Times New Roman;Times;serif"/>
          <w:sz w:val="24"/>
        </w:rPr>
        <w:t>”), including, without limitation, Section 2-418 of the MGCL.  Insofar as indemnification for liabilities arising under the Securities Act of 1933, as amended (the “</w:t>
      </w:r>
      <w:r>
        <w:rPr>
          <w:rFonts w:ascii="Times New Roman;Times;serif" w:hAnsi="Times New Roman;Times;serif"/>
          <w:b/>
          <w:sz w:val="24"/>
        </w:rPr>
        <w:t>Securities Act</w:t>
      </w:r>
      <w:r>
        <w:rPr>
          <w:rFonts w:ascii="Times New Roman;Times;serif" w:hAnsi="Times New Roman;Times;serif"/>
          <w:sz w:val="24"/>
        </w:rPr>
        <w:t>”), may be permitted to directors, officers or persons controlling the Company, the Company has been informed that in the opinion of the Securities and Exchange Commission such indemnification is against public policy as expressed in the Securities Act and is therefore unenforceable.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4. </w:t>
      </w:r>
      <w:bookmarkStart w:id="2594" w:name="_Ref209329411"/>
      <w:bookmarkEnd w:id="2594"/>
      <w:r>
        <w:rPr>
          <w:rFonts w:ascii="Times New Roman;Times;serif" w:hAnsi="Times New Roman;Times;serif"/>
          <w:sz w:val="24"/>
          <w:u w:val="single"/>
        </w:rPr>
        <w:t>Standard for Indemnification</w:t>
      </w:r>
      <w:r>
        <w:rPr>
          <w:rFonts w:ascii="Times New Roman;Times;serif" w:hAnsi="Times New Roman;Times;serif"/>
          <w:sz w:val="24"/>
        </w:rPr>
        <w:t xml:space="preserve">. If, by reason of Indemnitee’s Corporate Status, Indemnitee is, or is threatened to be, made a party to any Proceeding, the Company shall indemnify Indemnitee against all judgments, penalties, fines and amounts paid in settlement and all Expenses actually and reasonably incurred by Indemnitee or on Indemnitee’s behalf in connection with any such Proceeding (including any proceeding brought by the Indemnitee to enforce his or her rights under this Agreement) unless it is established that: </w:t>
      </w:r>
      <w:bookmarkStart w:id="2595" w:name="_Ref209329421"/>
      <w:bookmarkEnd w:id="2595"/>
      <w:r>
        <w:rPr>
          <w:rFonts w:ascii="Times New Roman;Times;serif" w:hAnsi="Times New Roman;Times;serif"/>
          <w:sz w:val="24"/>
        </w:rPr>
        <w:t xml:space="preserve">(a) the act or omission of Indemnitee was material to the matter giving rise to the Proceeding and </w:t>
      </w:r>
      <w:bookmarkStart w:id="2596" w:name="_Ref209329431"/>
      <w:bookmarkEnd w:id="2596"/>
      <w:r>
        <w:rPr>
          <w:rFonts w:ascii="Times New Roman;Times;serif" w:hAnsi="Times New Roman;Times;serif"/>
          <w:sz w:val="24"/>
        </w:rPr>
        <w:t xml:space="preserve">(i) was committed in bad faith or </w:t>
      </w:r>
      <w:bookmarkStart w:id="2597" w:name="_Ref209329441"/>
      <w:bookmarkEnd w:id="2597"/>
      <w:r>
        <w:rPr>
          <w:rFonts w:ascii="Times New Roman;Times;serif" w:hAnsi="Times New Roman;Times;serif"/>
          <w:sz w:val="24"/>
        </w:rPr>
        <w:t xml:space="preserve">(ii) was the result of active and deliberate dishonesty; </w:t>
      </w:r>
      <w:bookmarkStart w:id="2598" w:name="_Ref209329451"/>
      <w:bookmarkEnd w:id="2598"/>
      <w:r>
        <w:rPr>
          <w:rFonts w:ascii="Times New Roman;Times;serif" w:hAnsi="Times New Roman;Times;serif"/>
          <w:sz w:val="24"/>
        </w:rPr>
        <w:t xml:space="preserve">(b) Indemnitee actually received an improper personal benefit in money, property or services; or </w:t>
      </w:r>
      <w:bookmarkStart w:id="2599" w:name="_Ref209329461"/>
      <w:bookmarkEnd w:id="2599"/>
      <w:r>
        <w:rPr>
          <w:rFonts w:ascii="Times New Roman;Times;serif" w:hAnsi="Times New Roman;Times;serif"/>
          <w:sz w:val="24"/>
        </w:rPr>
        <w:t>(c) in the case of any criminal Proceeding, Indemnitee had reasonable cause to believe that Indemnitee’s conduct was unlawful.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5. </w:t>
      </w:r>
      <w:bookmarkStart w:id="2600" w:name="_Ref209329471"/>
      <w:bookmarkEnd w:id="2600"/>
      <w:r>
        <w:rPr>
          <w:rFonts w:ascii="Times New Roman;Times;serif" w:hAnsi="Times New Roman;Times;serif"/>
          <w:sz w:val="24"/>
          <w:u w:val="single"/>
        </w:rPr>
        <w:t>Certain Limits on Indemnification</w:t>
      </w:r>
      <w:r>
        <w:rPr>
          <w:rFonts w:ascii="Times New Roman;Times;serif" w:hAnsi="Times New Roman;Times;serif"/>
          <w:sz w:val="24"/>
        </w:rPr>
        <w:t>. Notwithstanding any other provision of this Agreement (other than Section 6), Indemnitee shall not be entitled 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01" w:name="_Ref209329481"/>
      <w:bookmarkEnd w:id="2601"/>
      <w:r>
        <w:rPr>
          <w:rFonts w:ascii="Times New Roman;Times;serif" w:hAnsi="Times New Roman;Times;serif"/>
          <w:sz w:val="24"/>
        </w:rPr>
        <w:t>indemnification hereunder if the Proceeding was one by or in the right of the Company and Indemnitee is adjudged, in a final adjudication of the Proceeding not subject to further appeal, to be liable to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02" w:name="_Ref209329491"/>
      <w:bookmarkEnd w:id="2602"/>
      <w:r>
        <w:rPr>
          <w:rFonts w:ascii="Times New Roman;Times;serif" w:hAnsi="Times New Roman;Times;serif"/>
          <w:sz w:val="24"/>
        </w:rPr>
        <w:t>indemnification hereunder if Indemnitee is adjudged, in a final adjudication of the Proceeding not subject to further appeal, to be liable on the basis that personal benefit was improperly received in any Proceeding charging improper personal benefit to Indemnitee, whether or not involving action in the Indemnitee’s Corporate Status; or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603" w:name="_Ref209329501"/>
      <w:bookmarkEnd w:id="2603"/>
      <w:r>
        <w:rPr>
          <w:rFonts w:ascii="Times New Roman;Times;serif" w:hAnsi="Times New Roman;Times;serif"/>
          <w:sz w:val="24"/>
        </w:rPr>
        <w:t xml:space="preserve">indemnification or advance of Expenses hereunder if the Proceeding was brought by Indemnitee, unless </w:t>
      </w:r>
      <w:bookmarkStart w:id="2604" w:name="_Ref209329511"/>
      <w:bookmarkEnd w:id="2604"/>
      <w:r>
        <w:rPr>
          <w:rFonts w:ascii="Times New Roman;Times;serif" w:hAnsi="Times New Roman;Times;serif"/>
          <w:sz w:val="24"/>
        </w:rPr>
        <w:t xml:space="preserve">(i) the Proceeding was brought to enforce indemnification under this Agreement, and then only to the extent in accordance with and as authorized by Section 12 of this Agreement, or </w:t>
      </w:r>
      <w:bookmarkStart w:id="2605" w:name="_Ref209329521"/>
      <w:bookmarkEnd w:id="2605"/>
      <w:r>
        <w:rPr>
          <w:rFonts w:ascii="Times New Roman;Times;serif" w:hAnsi="Times New Roman;Times;serif"/>
          <w:sz w:val="24"/>
        </w:rPr>
        <w:t>(ii) the Company’s charter or Bylaws, a resolution of the stockholders entitled to vote generally in the election of directors or of the Board of Directors or an agreement approved by the Board of Directors to which the Company is a party expressly provide otherwise.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6. </w:t>
      </w:r>
      <w:bookmarkStart w:id="2606" w:name="_Ref209329531"/>
      <w:bookmarkEnd w:id="2606"/>
      <w:r>
        <w:rPr>
          <w:rFonts w:ascii="Times New Roman;Times;serif" w:hAnsi="Times New Roman;Times;serif"/>
          <w:sz w:val="24"/>
          <w:u w:val="single"/>
        </w:rPr>
        <w:t>Court-Ordered Indemnification</w:t>
      </w:r>
      <w:r>
        <w:rPr>
          <w:rFonts w:ascii="Times New Roman;Times;serif" w:hAnsi="Times New Roman;Times;serif"/>
          <w:sz w:val="24"/>
        </w:rPr>
        <w:t>. Notwithstanding any other provision of this Agreement, a court of appropriate jurisdiction, upon application of Indemnitee and such notice as the court shall require, may order indemnification of Indemnitee by the Company in the following circumstances: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07" w:name="_Ref209329541"/>
      <w:bookmarkEnd w:id="2607"/>
      <w:r>
        <w:rPr>
          <w:rFonts w:ascii="Times New Roman;Times;serif" w:hAnsi="Times New Roman;Times;serif"/>
          <w:sz w:val="24"/>
        </w:rPr>
        <w:t>if such court determines that Indemnitee is entitled to reimbursement under Section 2-418(d)(1) of the MGCL, the court shall order indemnification, in which case Indemnitee shall be entitled to recover the Expenses of securing such reimbursement;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08" w:name="_Ref209329551"/>
      <w:bookmarkEnd w:id="2608"/>
      <w:r>
        <w:rPr>
          <w:rFonts w:ascii="Times New Roman;Times;serif" w:hAnsi="Times New Roman;Times;serif"/>
          <w:sz w:val="24"/>
        </w:rPr>
        <w:t xml:space="preserve">if such court determines that Indemnitee is fairly and reasonably entitled to indemnification in view of all the relevant circumstances, whether or not Indemnitee </w:t>
      </w:r>
      <w:bookmarkStart w:id="2609" w:name="_Ref209329561"/>
      <w:bookmarkEnd w:id="2609"/>
      <w:r>
        <w:rPr>
          <w:rFonts w:ascii="Times New Roman;Times;serif" w:hAnsi="Times New Roman;Times;serif"/>
          <w:sz w:val="24"/>
        </w:rPr>
        <w:t xml:space="preserve">(i) has met the standards of conduct set forth in Section 2-418(b) of the MGCL or </w:t>
      </w:r>
      <w:bookmarkStart w:id="2610" w:name="_Ref209329571"/>
      <w:bookmarkEnd w:id="2610"/>
      <w:r>
        <w:rPr>
          <w:rFonts w:ascii="Times New Roman;Times;serif" w:hAnsi="Times New Roman;Times;serif"/>
          <w:sz w:val="24"/>
        </w:rPr>
        <w:t>(ii) has been adjudged liable for receipt of an improper personal benefit under Section 2-418(c) of the MGCL, the court may order such indemnification as the court shall deem proper without regard to any limitation on such court-ordered indemnification contemplated by Section 2-418(d)(2)(ii) of the MGCL.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7. </w:t>
      </w:r>
      <w:bookmarkStart w:id="2611" w:name="_Ref209329581"/>
      <w:bookmarkEnd w:id="2611"/>
      <w:r>
        <w:rPr>
          <w:rFonts w:ascii="Times New Roman;Times;serif" w:hAnsi="Times New Roman;Times;serif"/>
          <w:sz w:val="24"/>
          <w:u w:val="single"/>
        </w:rPr>
        <w:t>Indemnification for Expenses of an Indemnitee Who is Wholly or Partially Successful</w:t>
      </w:r>
      <w:r>
        <w:rPr>
          <w:rFonts w:ascii="Times New Roman;Times;serif" w:hAnsi="Times New Roman;Times;serif"/>
          <w:sz w:val="24"/>
        </w:rPr>
        <w:t>. Notwithstanding any other provision of this Agreement, and without limiting any such provision, to the extent that Indemnitee was or is, by reason of Indemnitee’s Corporate Status, made a party to (or otherwise becomes a participant in) any Proceeding and is successful, on the merits or otherwise, in the defense of such Proceeding, the Company shall indemnify Indemnitee for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under this Section 7 for all Expenses actually and reasonably incurred by Indemnitee or on Indemnitee’s behalf in connection with each such claim, issue or matter, allocated on a reasonable and proportionate basis. For purposes of this Section 7 and, without limitation, the termination of any claim, issue or matter in such a Proceeding by dismissal, with or without prejudice, shall be deemed to be a successful result as to such claim, issue or matter.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8. </w:t>
      </w:r>
      <w:bookmarkStart w:id="2612" w:name="_Ref209329591"/>
      <w:bookmarkEnd w:id="2612"/>
      <w:r>
        <w:rPr>
          <w:rFonts w:ascii="Times New Roman;Times;serif" w:hAnsi="Times New Roman;Times;serif"/>
          <w:sz w:val="24"/>
          <w:u w:val="single"/>
        </w:rPr>
        <w:t>Advance of Expenses for Indemnitee</w:t>
      </w:r>
      <w:r>
        <w:rPr>
          <w:rFonts w:ascii="Times New Roman;Times;serif" w:hAnsi="Times New Roman;Times;serif"/>
          <w:sz w:val="24"/>
        </w:rPr>
        <w:t xml:space="preserve">. If, by reason of Indemnitee’s Corporate Status, Indemnitee is, or is threatened to be, made a party to any Proceeding, the Company shall, without requiring a preliminary determination of Indemnitee’s ultimate entitlement to indemnification hereunder, advance all Expenses incurred by or on behalf of Indemnitee in connection with such Proceeding. The Company shall make such advance within ten days after the receipt by the Company of a statement or statements requesting such advance from time to time, whether prior to or after final disposition of such Proceeding and may be in the form of, in the reasonable discretion of the Indemnitee (but without duplication) </w:t>
      </w:r>
      <w:bookmarkStart w:id="2613" w:name="_Ref209329601"/>
      <w:bookmarkEnd w:id="2613"/>
      <w:r>
        <w:rPr>
          <w:rFonts w:ascii="Times New Roman;Times;serif" w:hAnsi="Times New Roman;Times;serif"/>
          <w:sz w:val="24"/>
        </w:rPr>
        <w:t xml:space="preserve">(a) payment of such Expenses directly to third parties on behalf of Indemnitee, </w:t>
      </w:r>
      <w:bookmarkStart w:id="2614" w:name="_Ref209329611"/>
      <w:bookmarkEnd w:id="2614"/>
      <w:r>
        <w:rPr>
          <w:rFonts w:ascii="Times New Roman;Times;serif" w:hAnsi="Times New Roman;Times;serif"/>
          <w:sz w:val="24"/>
        </w:rPr>
        <w:t xml:space="preserve">(b) advance of funds to Indemnitee in an amount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rPr>
      </w:pPr>
      <w:r>
        <w:rPr>
          <w:rFonts w:ascii="Times New Roman;Times;serif" w:hAnsi="Times New Roman;Times;serif"/>
          <w:b w:val="false"/>
          <w:i w:val="false"/>
          <w:caps w:val="false"/>
          <w:smallCaps w:val="false"/>
          <w:sz w:val="24"/>
        </w:rPr>
        <w:t xml:space="preserve">sufficient to pay such Expenses or </w:t>
      </w:r>
      <w:bookmarkStart w:id="2615" w:name="_Ref209329621"/>
      <w:bookmarkEnd w:id="2615"/>
      <w:r>
        <w:rPr>
          <w:rFonts w:ascii="Times New Roman;Times;serif" w:hAnsi="Times New Roman;Times;serif"/>
          <w:b w:val="false"/>
          <w:i w:val="false"/>
          <w:caps w:val="false"/>
          <w:smallCaps w:val="false"/>
          <w:sz w:val="24"/>
        </w:rPr>
        <w:t>(c)</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reimbursement to Indemnitee for Indemnitee’s payment of such Expenses. Such statement or statements shall reasonably evidence the Expenses incurred by Indemnitee and shall include or be preceded or accompanied by a written affirmation by Indemnitee and a written undertaking by or on behalf of Indemnitee, in substantially the form attached hereto as Exhibit A</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or in such form as may be required under applicable law as in effect at the time of the execution thereof. To the extent that Expenses advanced to Indemnitee do not relate to a specific claim, issue or matter in the Proceeding, such Expenses shall be allocated on a reasonable and proportionate basis. The undertaking required by this Section 8</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shall be an unlimited general obligation by or on behalf of Indemnitee and shall be accepted without reference to Indemnitee’s financial ability to repay such advanced Expenses and without any requirement to post security therefor.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9. </w:t>
      </w:r>
      <w:bookmarkStart w:id="2616" w:name="_Ref209329631"/>
      <w:bookmarkEnd w:id="2616"/>
      <w:r>
        <w:rPr>
          <w:rFonts w:ascii="Times New Roman;Times;serif" w:hAnsi="Times New Roman;Times;serif"/>
          <w:sz w:val="24"/>
          <w:u w:val="single"/>
        </w:rPr>
        <w:t>Indemnification and Advance of Expenses as a Witness or Other Participant</w:t>
      </w:r>
      <w:r>
        <w:rPr>
          <w:rFonts w:ascii="Times New Roman;Times;serif" w:hAnsi="Times New Roman;Times;serif"/>
          <w:sz w:val="24"/>
        </w:rPr>
        <w:t>. Notwithstanding any other provision of this Agreement, to the extent that Indemnitee is or may be, by reason of Indemnitee’s Corporate Status, made, or threatened to be made, a witness or otherwise asked to participate in any Proceeding, whether instituted by the Company or any other person, and to which Indemnitee is not a party, Indemnitee shall be advanced and indemnified against all Expenses actually and reasonably incurred by Indemnitee or on Indemnitee’s behalf in connection therewith within ten days after the receipt by the Company of a statement or statements requesting any such advance or indemnification from time to time, whether prior to or after final disposition of such Proceeding. Such statement or statements shall reasonably evidence the Expenses incurred by Indemnitee. In connection with any such advance of Expenses, the Company may require Indemnitee to provide an undertaking and affirmation substantially in the form attached hereto as Exhibit A or in such form as may be required under applicable law as in effect at the time of the execution thereof.</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10. </w:t>
      </w:r>
      <w:bookmarkStart w:id="2617" w:name="_Ref209329641"/>
      <w:bookmarkEnd w:id="2617"/>
      <w:r>
        <w:rPr>
          <w:rFonts w:ascii="Times New Roman;Times;serif" w:hAnsi="Times New Roman;Times;serif"/>
          <w:sz w:val="24"/>
          <w:u w:val="single"/>
        </w:rPr>
        <w:t>Procedure for Determination of Entitlement to Indemnification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18" w:name="_Ref209329651"/>
      <w:bookmarkEnd w:id="2618"/>
      <w:r>
        <w:rPr>
          <w:rFonts w:ascii="Times New Roman;Times;serif" w:hAnsi="Times New Roman;Times;serif"/>
          <w:sz w:val="24"/>
        </w:rPr>
        <w:t>To obtain indemnification under this Agreement, Indemnitee shall submit to the Company a written request, including therein or therewith such documentation and information as is reasonably available to Indemnitee and is reasonably necessary or appropriate to determine whether and to what extent Indemnitee is entitled to indemnification. Indemnitee may submit one or more such requests from time to time and at such time(s) as Indemnitee deems appropriate in Indemnitee’s sole discretion. The officer of the Company receiving any such request from Indemnitee shall, promptly upon receipt of such a request for indemnification, advise the Board of Directors in writing that Indemnitee has requested indemnification.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19" w:name="_Ref209329661"/>
      <w:bookmarkEnd w:id="2619"/>
      <w:r>
        <w:rPr>
          <w:rFonts w:ascii="Times New Roman;Times;serif" w:hAnsi="Times New Roman;Times;serif"/>
          <w:sz w:val="24"/>
        </w:rPr>
        <w:t xml:space="preserve">Upon written request by Indemnitee for indemnification pursuant to Section 10(a) above, a determination, if required by applicable law, with respect to Indemnitee’s entitlement thereto shall promptly be made in the specific case: </w:t>
      </w:r>
      <w:bookmarkStart w:id="2620" w:name="_Ref209329671"/>
      <w:bookmarkEnd w:id="2620"/>
      <w:r>
        <w:rPr>
          <w:rFonts w:ascii="Times New Roman;Times;serif" w:hAnsi="Times New Roman;Times;serif"/>
          <w:sz w:val="24"/>
        </w:rPr>
        <w:t xml:space="preserve">(i) if a Change in Control has occurred, by Independent Counsel, in a written opinion to the Board of Directors, a copy of which shall be delivered to Indemnitee, which Independent Counsel shall be selected by the Indemnitee and approved by the Board of Directors in accordance with Section 2-418(e)(2)(ii) of the MGCL, which approval shall not be unreasonably withheld; or </w:t>
      </w:r>
      <w:bookmarkStart w:id="2621" w:name="_Ref209329681"/>
      <w:bookmarkEnd w:id="2621"/>
      <w:r>
        <w:rPr>
          <w:rFonts w:ascii="Times New Roman;Times;serif" w:hAnsi="Times New Roman;Times;serif"/>
          <w:sz w:val="24"/>
        </w:rPr>
        <w:t xml:space="preserve">(ii) if a Change in Control has not occurred, </w:t>
      </w:r>
      <w:bookmarkStart w:id="2622" w:name="_Ref209329691"/>
      <w:bookmarkEnd w:id="2622"/>
      <w:r>
        <w:rPr>
          <w:rFonts w:ascii="Times New Roman;Times;serif" w:hAnsi="Times New Roman;Times;serif"/>
          <w:sz w:val="24"/>
        </w:rPr>
        <w:t xml:space="preserve">(A) by a majority vote of the Disinterested Directors or, by the majority vote of a group of Disinterested Directors designated by the Disinterested Directors to make the determination, </w:t>
      </w:r>
      <w:bookmarkStart w:id="2623" w:name="_Ref209329701"/>
      <w:bookmarkEnd w:id="2623"/>
      <w:r>
        <w:rPr>
          <w:rFonts w:ascii="Times New Roman;Times;serif" w:hAnsi="Times New Roman;Times;serif"/>
          <w:sz w:val="24"/>
        </w:rPr>
        <w:t>(B) if Independent Counsel has been selected by the Board of Directors in accordance with Section 2-</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418(e)(2)(ii) of the MGCL and approved by the Indemnitee, which approval shall not be unreasonably withheld or delayed, by Independent Counsel, in a written opinion to the Board of Directors, a copy of which shall be delivered to Indemnitee or </w:t>
      </w:r>
      <w:bookmarkStart w:id="2624" w:name="_Ref209329711"/>
      <w:bookmarkEnd w:id="2624"/>
      <w:r>
        <w:rPr>
          <w:rFonts w:ascii="Times New Roman;Times;serif" w:hAnsi="Times New Roman;Times;serif"/>
          <w:sz w:val="24"/>
        </w:rPr>
        <w:t>(C) if so directed by the Board of Directors, by the stockholders of the Company, other than directors or officers who are parties to the Proceeding. If it is so determined that Indemnitee is entitled to indemnification, the Company shall make payment to Indemnitee within ten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or appropriate to such determination in the discretion of the Board of Directors or Independent Counsel if retained pursuant to clause (ii)(B) of this Section 10(b). Any Expenses incurred by Indemnitee in so cooperating with the person, persons or entity making such determination shall be borne by the Company (irrespective of the determination as to Indemnitee’s entitlement to indemnification) and the Company shall indemnify and hold Indemnitee harmless therefrom.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625" w:name="_Ref209329721"/>
      <w:bookmarkEnd w:id="2625"/>
      <w:r>
        <w:rPr>
          <w:rFonts w:ascii="Times New Roman;Times;serif" w:hAnsi="Times New Roman;Times;serif"/>
          <w:sz w:val="24"/>
        </w:rPr>
        <w:t>The Company shall pay the reasonable fees and expenses of Independent Counsel, if one is appointed.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11. </w:t>
      </w:r>
      <w:bookmarkStart w:id="2626" w:name="_Ref209329731"/>
      <w:bookmarkEnd w:id="2626"/>
      <w:r>
        <w:rPr>
          <w:rFonts w:ascii="Times New Roman;Times;serif" w:hAnsi="Times New Roman;Times;serif"/>
          <w:sz w:val="24"/>
          <w:u w:val="single"/>
        </w:rPr>
        <w:t>Presumptions and Effect of Certain Proceedings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27" w:name="_Ref209329741"/>
      <w:bookmarkEnd w:id="2627"/>
      <w:r>
        <w:rPr>
          <w:rFonts w:ascii="Times New Roman;Times;serif" w:hAnsi="Times New Roman;Times;serif"/>
          <w:sz w:val="24"/>
        </w:rPr>
        <w:t>In making any determination with respect to entitlement to indemnification hereunder, the person or persons or entity making such determination shall presume that Indemnitee is entitled to indemnification under this Agreement if Indemnitee has submitted a request for indemnification in accordance with Section 10(a) of this Agreement, and the Company shall have the burden of overcoming that presumption in connection with the making of any determination contrary to that presumption.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28" w:name="_Ref209329751"/>
      <w:bookmarkEnd w:id="2628"/>
      <w:r>
        <w:rPr>
          <w:rFonts w:ascii="Times New Roman;Times;serif" w:hAnsi="Times New Roman;Times;serif"/>
          <w:sz w:val="24"/>
        </w:rPr>
        <w:t>The termination of any Proceeding or of any claim, issue or matter therein, by judgment, order, settlement or conviction, upon a plea of nolo contendere or its equivalent, or entry of an order of probation prior to judgment, does not create a presumption that Indemnitee did not meet the requisite standard of conduct described herein for indemnification.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629" w:name="_Ref209329761"/>
      <w:bookmarkEnd w:id="2629"/>
      <w:r>
        <w:rPr>
          <w:rFonts w:ascii="Times New Roman;Times;serif" w:hAnsi="Times New Roman;Times;serif"/>
          <w:sz w:val="24"/>
        </w:rPr>
        <w:t>The knowledge and/or actions, or failure to act, of any other director, officer, employee or agent of the Company or any other director, trustee, officer, partner, manager, member, fiduciary, employee or agent of any other foreign or domestic corporation, partnership, limited liability company, joint venture, trust, employee benefit plan or other enterprise shall not be imputed to Indemnitee for purposes of determining any other right to indemnification under this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12. </w:t>
      </w:r>
      <w:bookmarkStart w:id="2630" w:name="_Ref209329771"/>
      <w:bookmarkEnd w:id="2630"/>
      <w:r>
        <w:rPr>
          <w:rFonts w:ascii="Times New Roman;Times;serif" w:hAnsi="Times New Roman;Times;serif"/>
          <w:sz w:val="24"/>
          <w:u w:val="single"/>
        </w:rPr>
        <w:t>Remedies of Indemnitee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31" w:name="_Ref209329781"/>
      <w:bookmarkEnd w:id="2631"/>
      <w:r>
        <w:rPr>
          <w:rFonts w:ascii="Times New Roman;Times;serif" w:hAnsi="Times New Roman;Times;serif"/>
          <w:sz w:val="24"/>
        </w:rPr>
        <w:t xml:space="preserve">If </w:t>
      </w:r>
      <w:bookmarkStart w:id="2632" w:name="_Ref209329791"/>
      <w:bookmarkEnd w:id="2632"/>
      <w:r>
        <w:rPr>
          <w:rFonts w:ascii="Times New Roman;Times;serif" w:hAnsi="Times New Roman;Times;serif"/>
          <w:sz w:val="24"/>
        </w:rPr>
        <w:t xml:space="preserve">(i) a determination is made pursuant to Section 10(b) of this Agreement that Indemnitee is not entitled to indemnification under this Agreement, </w:t>
      </w:r>
      <w:bookmarkStart w:id="2633" w:name="_Ref209329801"/>
      <w:bookmarkEnd w:id="2633"/>
      <w:r>
        <w:rPr>
          <w:rFonts w:ascii="Times New Roman;Times;serif" w:hAnsi="Times New Roman;Times;serif"/>
          <w:sz w:val="24"/>
        </w:rPr>
        <w:t xml:space="preserve">(ii) advance of Expenses is not timely made pursuant to Sections 8 or 9 of this Agreement, </w:t>
      </w:r>
      <w:bookmarkStart w:id="2634" w:name="_Ref209329811"/>
      <w:bookmarkEnd w:id="2634"/>
      <w:r>
        <w:rPr>
          <w:rFonts w:ascii="Times New Roman;Times;serif" w:hAnsi="Times New Roman;Times;serif"/>
          <w:sz w:val="24"/>
        </w:rPr>
        <w:t xml:space="preserve">(iii) no determination of entitlement to indemnification shall have been made pursuant to Section 10(b) of this Agreement within 60 days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after receipt by the Company of the request for indemnification, </w:t>
      </w:r>
      <w:bookmarkStart w:id="2635" w:name="_Ref209329821"/>
      <w:bookmarkEnd w:id="2635"/>
      <w:r>
        <w:rPr>
          <w:rFonts w:ascii="Times New Roman;Times;serif" w:hAnsi="Times New Roman;Times;serif"/>
          <w:sz w:val="24"/>
        </w:rPr>
        <w:t xml:space="preserve">(iv) payment of indemnification is not made pursuant to Sections 7 or 9 of this Agreement within ten days after receipt by the Company of a written request therefor, or </w:t>
      </w:r>
      <w:bookmarkStart w:id="2636" w:name="_Ref209329831"/>
      <w:bookmarkEnd w:id="2636"/>
      <w:r>
        <w:rPr>
          <w:rFonts w:ascii="Times New Roman;Times;serif" w:hAnsi="Times New Roman;Times;serif"/>
          <w:sz w:val="24"/>
        </w:rPr>
        <w:t>(v) payment of indemnification pursuant to any other section of this Agreement or the charter or Bylaws of the Company is not made within ten days after a determination has been made that Indemnitee is entitled to indemnification, Indemnitee shall be entitled to an adjudication in an appropriate court located in the State of Maryland, or in any other court of competent jurisdiction, or in an arbitration conducted by a single arbitrator pursuant to the Commercial Arbitration Rules of the American Arbitration Association, of Indemnitee’s entitlement to indemnification or advance of Expenses. Indemnitee shall commence a proceeding seeking an adjudication or an award in arbitration within 180 days following the date on which Indemnitee first has the right to commence such proceeding pursuant to this Section 12(a); provided, however, that the foregoing clause shall not apply to a proceeding brought by Indemnitee to enforce Indemnitee’s rights under Section 7 of this Agreement. Except as set forth herein, the provisions of Maryland law (without regard to its conflicts of laws rules) shall apply to any such arbitration. The Company shall not oppose Indemnitee’s right to seek any such adjudication or award in arbitration.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37" w:name="_Ref209329841"/>
      <w:bookmarkEnd w:id="2637"/>
      <w:r>
        <w:rPr>
          <w:rFonts w:ascii="Times New Roman;Times;serif" w:hAnsi="Times New Roman;Times;serif"/>
          <w:sz w:val="24"/>
        </w:rPr>
        <w:t>In any judicial proceeding or arbitration commenced pursuant to this Section 12, Indemnitee shall be presumed to be entitled to indemnification or advance of Expenses, as the case may be, under this Agreement and the Company shall have the burden of proving that Indemnitee is not entitled to indemnification or advance of Expenses, as the case may be. If Indemnitee commences a judicial proceeding or arbitration pursuant to this Section 12, Indemnitee shall not be required to reimburse the Company for any advances pursuant to Section 8 of this Agreement until a final determination is made with respect to Indemnitee’s entitlement to indemnification (as to which all rights of appeal have been exhausted or lapsed). The Company shall, to the fullest extent not prohibited by law,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of the provisions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638" w:name="_Ref209329851"/>
      <w:bookmarkEnd w:id="2638"/>
      <w:r>
        <w:rPr>
          <w:rFonts w:ascii="Times New Roman;Times;serif" w:hAnsi="Times New Roman;Times;serif"/>
          <w:sz w:val="24"/>
        </w:rPr>
        <w:t>If a determination shall have been made pursuant to Section 10(b) of this Agreement that Indemnitee is entitled to indemnification, the Company shall be bound by such determination in any judicial proceeding or arbitration commenced pursuant to this Section 12, absent a misstatement by Indemnitee of a material fact, or an omission of a material fact necessary to make Indemnitee’s statement not materially misleading, in connection with the request for indemnification that was not disclosed in connection with the determination.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2639" w:name="_Ref209329861"/>
      <w:bookmarkEnd w:id="2639"/>
      <w:r>
        <w:rPr>
          <w:rFonts w:ascii="Times New Roman;Times;serif" w:hAnsi="Times New Roman;Times;serif"/>
          <w:sz w:val="24"/>
        </w:rPr>
        <w:t>In the event that Indemnitee is successful in seeking, pursuant to this Section 12, a judicial adjudication of or an award in arbitration to enforce Indemnitee’s rights under, or to recover damages for breach of, this Agreement, Indemnitee shall be entitled to recover from the Company, and shall be indemnified by the Company for, any and all Expenses actually and reasonably incurred by Indemnitee in such judicial adjudication or arbitration. If it shall be determined in such judicial adjudication or arbitration that Indemnitee is entitled to receive part but not all of the indemnification or advance of Expenses sought, the Expenses incurred by Indemnitee in connection with such judicial adjudication or arbitration shall be appropriately prorated.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bookmarkStart w:id="2640" w:name="_Ref209329871"/>
      <w:bookmarkEnd w:id="2640"/>
      <w:r>
        <w:rPr>
          <w:rFonts w:ascii="Times New Roman;Times;serif" w:hAnsi="Times New Roman;Times;serif"/>
          <w:sz w:val="24"/>
        </w:rPr>
        <w:t xml:space="preserve">Interest shall be paid by the Company to Indemnitee at the maximum rate allowed to be charged for judgments under the Courts and Judicial Proceedings Article of the Annotated Code of Maryland for amounts which the Company pays or is obligated to pay for the period </w:t>
      </w:r>
      <w:bookmarkStart w:id="2641" w:name="_Ref209329881"/>
      <w:bookmarkEnd w:id="2641"/>
      <w:r>
        <w:rPr>
          <w:rFonts w:ascii="Times New Roman;Times;serif" w:hAnsi="Times New Roman;Times;serif"/>
          <w:sz w:val="24"/>
        </w:rPr>
        <w:t xml:space="preserve">(i) commencing with either the tenth day after the date on which the Company was requested to advance Expenses in accordance with Sections 8 or 9 of this Agreement or the 60th day after the date on which the Company was requested to make the determination of entitlement to indemnification under Section 10(b) of this Agreement, as applicable, and </w:t>
      </w:r>
      <w:bookmarkStart w:id="2642" w:name="_Ref209329891"/>
      <w:bookmarkEnd w:id="2642"/>
      <w:r>
        <w:rPr>
          <w:rFonts w:ascii="Times New Roman;Times;serif" w:hAnsi="Times New Roman;Times;serif"/>
          <w:sz w:val="24"/>
        </w:rPr>
        <w:t>(ii) ending on the date such payment is made to Indemnitee by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13. </w:t>
      </w:r>
      <w:bookmarkStart w:id="2643" w:name="_Ref209329901"/>
      <w:bookmarkEnd w:id="2643"/>
      <w:r>
        <w:rPr>
          <w:rFonts w:ascii="Times New Roman;Times;serif" w:hAnsi="Times New Roman;Times;serif"/>
          <w:sz w:val="24"/>
          <w:u w:val="single"/>
        </w:rPr>
        <w:t>Defense of the Underlying Proceeding</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44" w:name="_Ref209329911"/>
      <w:bookmarkEnd w:id="2644"/>
      <w:r>
        <w:rPr>
          <w:rFonts w:ascii="Times New Roman;Times;serif" w:hAnsi="Times New Roman;Times;serif"/>
          <w:sz w:val="24"/>
        </w:rPr>
        <w:t>Indemnitee shall notify the Company promptly in writing upon being served with any summons, citation, subpoena, complaint, indictment, request or other document relating to any Proceeding which may result in the right to indemnification or the advance of Expenses hereunder and shall include with such notice a description of the nature of the Proceeding and a summary of the facts underlying the Proceeding. The failure to give any such notice shall not disqualify Indemnitee from the right, or otherwise affect in any manner any right of Indemnitee, to indemnification or the advance of Expenses under this Agreement unless the Company’s ability to defend in such Proceeding or to obtain proceeds under any insurance policy is materially and adversely prejudiced thereby, and then only to the extent the Company is thereby actually so prejudiced.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45" w:name="_Ref209329921"/>
      <w:bookmarkEnd w:id="2645"/>
      <w:r>
        <w:rPr>
          <w:rFonts w:ascii="Times New Roman;Times;serif" w:hAnsi="Times New Roman;Times;serif"/>
          <w:sz w:val="24"/>
        </w:rPr>
        <w:t xml:space="preserve">Subject to the provisions of the last sentence of this Section 13(b) and of Section 13(c) below, the Company shall have the right to defend Indemnitee in any Proceeding which may give rise to indemnification hereunder; provided, however, that the Company shall notify Indemnitee of any such decision to defend within 15 calendar days following receipt of notice of any such Proceeding under Section 13(a) above. The Company shall not, without the prior written consent of Indemnitee, which shall not be unreasonably withheld or delayed, consent to the entry of any judgment against Indemnitee or enter into any settlement or compromise which </w:t>
      </w:r>
      <w:bookmarkStart w:id="2646" w:name="_Ref209329931"/>
      <w:bookmarkEnd w:id="2646"/>
      <w:r>
        <w:rPr>
          <w:rFonts w:ascii="Times New Roman;Times;serif" w:hAnsi="Times New Roman;Times;serif"/>
          <w:sz w:val="24"/>
        </w:rPr>
        <w:t xml:space="preserve">(i) includes an admission of fault of Indemnitee, </w:t>
      </w:r>
      <w:bookmarkStart w:id="2647" w:name="_Ref209329941"/>
      <w:bookmarkEnd w:id="2647"/>
      <w:r>
        <w:rPr>
          <w:rFonts w:ascii="Times New Roman;Times;serif" w:hAnsi="Times New Roman;Times;serif"/>
          <w:sz w:val="24"/>
        </w:rPr>
        <w:t xml:space="preserve">(ii) does not include, as an unconditional term thereof, the full release of Indemnitee from all liability in respect of such Proceeding, which release shall be in form and substance reasonably satisfactory to Indemnitee, or </w:t>
      </w:r>
      <w:bookmarkStart w:id="2648" w:name="_Ref209329951"/>
      <w:bookmarkEnd w:id="2648"/>
      <w:r>
        <w:rPr>
          <w:rFonts w:ascii="Times New Roman;Times;serif" w:hAnsi="Times New Roman;Times;serif"/>
          <w:sz w:val="24"/>
        </w:rPr>
        <w:t>(iii) would impose any Expense, judgment, fine, penalty or limitation on Indemnitee. This Section 13(b) shall not apply to a Proceeding brought by Indemnitee under Section 12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649" w:name="_Ref209329961"/>
      <w:bookmarkEnd w:id="2649"/>
      <w:r>
        <w:rPr>
          <w:rFonts w:ascii="Times New Roman;Times;serif" w:hAnsi="Times New Roman;Times;serif"/>
          <w:sz w:val="24"/>
        </w:rPr>
        <w:t xml:space="preserve">Notwithstanding the provisions of Section 13(b) above, if in a Proceeding to which Indemnitee is a party by reason of Indemnitee’s Corporate Status, </w:t>
      </w:r>
      <w:bookmarkStart w:id="2650" w:name="_Ref209329971"/>
      <w:bookmarkEnd w:id="2650"/>
      <w:r>
        <w:rPr>
          <w:rFonts w:ascii="Times New Roman;Times;serif" w:hAnsi="Times New Roman;Times;serif"/>
          <w:sz w:val="24"/>
        </w:rPr>
        <w:t xml:space="preserve">(i) Indemnitee reasonably concludes, based upon an opinion of counsel approved by the Company, which approval shall not be unreasonably withheld or delayed, that Indemnitee may have separate defenses or counterclaims to assert with respect to any issue which may not be consistent with other defendants in such Proceeding, </w:t>
      </w:r>
      <w:bookmarkStart w:id="2651" w:name="_Ref209329981"/>
      <w:bookmarkEnd w:id="2651"/>
      <w:r>
        <w:rPr>
          <w:rFonts w:ascii="Times New Roman;Times;serif" w:hAnsi="Times New Roman;Times;serif"/>
          <w:sz w:val="24"/>
        </w:rPr>
        <w:t xml:space="preserve">(ii) Indemnitee reasonably concludes, based upon an opinion of counsel approved by the Company, which approval shall not be unreasonably withheld or delayed, that an actual or apparent conflict of interest or potential conflict of interest exists between Indemnitee and the Company, or </w:t>
      </w:r>
      <w:bookmarkStart w:id="2652" w:name="_Ref209329991"/>
      <w:bookmarkEnd w:id="2652"/>
      <w:r>
        <w:rPr>
          <w:rFonts w:ascii="Times New Roman;Times;serif" w:hAnsi="Times New Roman;Times;serif"/>
          <w:sz w:val="24"/>
        </w:rPr>
        <w:t xml:space="preserve">(iii) if the Company fails to assume the defense of such Proceeding in a timely manner, Indemnitee shall be entitled to be represented by separate legal counsel of Indemnitee’s choice, subject to the prior approval of the Company, which approval shall not be unreasonably withheld or delayed, at the expense of the Company. In addition, if the Company fails to comply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with any of its obligations under this Agreement or in the event that the Company or any other person takes any action to declare this Agreement void or unenforceable, or institutes any Proceeding to deny or to recover from Indemnitee the benefits intended to be provided to Indemnitee hereunder, Indemnitee shall have the right to retain counsel of Indemnitee’s choice, subject to the prior approval of the Company, which approval shall not be unreasonably withheld or delayed, at the expense of the Company (subject to Section 12(d) of this Agreement), to represent Indemnitee in connection with any such matter.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14. </w:t>
      </w:r>
      <w:bookmarkStart w:id="2653" w:name="_Ref209330001"/>
      <w:bookmarkEnd w:id="2653"/>
      <w:r>
        <w:rPr>
          <w:rFonts w:ascii="Times New Roman;Times;serif" w:hAnsi="Times New Roman;Times;serif"/>
          <w:sz w:val="24"/>
          <w:u w:val="single"/>
        </w:rPr>
        <w:t>Non-Exclusivity; Survival of Rights; Subrogation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54" w:name="_Ref209330011"/>
      <w:bookmarkEnd w:id="2654"/>
      <w:r>
        <w:rPr>
          <w:rFonts w:ascii="Times New Roman;Times;serif" w:hAnsi="Times New Roman;Times;serif"/>
          <w:sz w:val="24"/>
        </w:rPr>
        <w:t>The rights of indemnification and advance of Expenses as provided by this Agreement shall not be deemed exclusive of any other rights to which Indemnitee may at any time be entitled under applicable law, the charter or Bylaws of the Company, any agreement or a resolution of the stockholders entitled to vote generally in the election of directors or of the Board of Directors, or otherwise. Unless consented to in writing by Indemnitee, no amendment, alteration or repeal of the charter or Bylaws of the Company, this Agreement or of any provision hereof shall limit or restrict any right of Indemnitee under this Agreement in respect of any action taken or omitted by such Indemnitee in Indemnitee’s Corporate Status prior to such amendment, alteration or repeal, regardless of whether a claim with respect to such action or inaction is raised prior or subsequent to such amendment, alteration or repeal. No right or remedy herein conferred is intended to be exclusive of any other right or remedy, and every other right or remedy shall be cumulative and in addition to every other right or remedy given hereunder or now or hereafter existing at law or in equity or otherwise. The assertion of any right or remedy hereunder, or otherwise, shall not prohibit the concurrent assertion or employment of any other right or remedy.</w:t>
      </w:r>
      <w:bookmarkStart w:id="2655" w:name="_Ref209330021"/>
      <w:bookmarkEnd w:id="2655"/>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56" w:name="_Ref209330061"/>
      <w:bookmarkEnd w:id="2656"/>
      <w:r>
        <w:rPr>
          <w:rFonts w:ascii="Times New Roman;Times;serif" w:hAnsi="Times New Roman;Times;serif"/>
          <w:sz w:val="24"/>
        </w:rPr>
        <w:t>In the event of any payment under this Agreement, the Company shall be subrogated to the extent of such payment to all of the rights of recovery of Indemnitee, who shall execute all instruments required and take all action necessary to secure such rights, including execution of such documents as are necessary to enable the Company to bring suit to enforce such rights.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15. </w:t>
      </w:r>
      <w:bookmarkStart w:id="2657" w:name="_Ref209330071"/>
      <w:bookmarkEnd w:id="2657"/>
      <w:r>
        <w:rPr>
          <w:rFonts w:ascii="Times New Roman;Times;serif" w:hAnsi="Times New Roman;Times;serif"/>
          <w:sz w:val="24"/>
          <w:u w:val="single"/>
        </w:rPr>
        <w:t>Insurance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58" w:name="_Ref209330081"/>
      <w:bookmarkEnd w:id="2658"/>
      <w:r>
        <w:rPr>
          <w:rFonts w:ascii="Times New Roman;Times;serif" w:hAnsi="Times New Roman;Times;serif"/>
          <w:sz w:val="24"/>
        </w:rPr>
        <w:t xml:space="preserve">The Company will use its reasonable best efforts to acquire directors and officers liability insurance, on terms and conditions deemed appropriate by the Board of Directors, with the advice of counsel, covering Indemnitee or any claim made against Indemnitee by reason of Indemnitee’s Corporate Status and covering the Company for any indemnification or advance of Expenses made by the Company to Indemnitee for any claims made against Indemnitee by reason of Indemnitee’s Corporate Status. In the event of a Change in Control, the Company shall maintain in force any and all directors and officers liability insurance policies that were maintained by the Company immediately prior to the Change in Control for a period of six years with the insurance carrier or carriers and through the insurance broker in place at the time of the Change in Control; provided, however, </w:t>
      </w:r>
      <w:bookmarkStart w:id="2659" w:name="_Ref209330091"/>
      <w:bookmarkEnd w:id="2659"/>
      <w:r>
        <w:rPr>
          <w:rFonts w:ascii="Times New Roman;Times;serif" w:hAnsi="Times New Roman;Times;serif"/>
          <w:sz w:val="24"/>
        </w:rPr>
        <w:t xml:space="preserve">(i) if the carriers will not offer the same policy and an expiring policy needs to be replaced, a policy substantially comparable in scope and amount shall be obtained and </w:t>
      </w:r>
      <w:bookmarkStart w:id="2660" w:name="_Ref209330101"/>
      <w:bookmarkEnd w:id="2660"/>
      <w:r>
        <w:rPr>
          <w:rFonts w:ascii="Times New Roman;Times;serif" w:hAnsi="Times New Roman;Times;serif"/>
          <w:sz w:val="24"/>
        </w:rPr>
        <w:t xml:space="preserve">(ii) if any replacement insurance carrier is necessary to obtain a policy substantially comparable in scope and amount, such insurance carrier shall have an AM Best rating that is the same or better than the AM Best rating of the existing insurance carrier; provided, further, however, in no event shall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Company be required to expend in the aggregate in excess of 250% of the annual premium or premiums paid by the Company for directors and officers liability insurance in effect on the date of the Change in Control. In the event that 250% of the annual premium paid by the Company for such existing directors and officers liability insurance is insufficient for such coverage, the Company shall spend up to that amount to purchase such lesser coverage as may be obtained with such amount.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61" w:name="_Ref209330111"/>
      <w:bookmarkEnd w:id="2661"/>
      <w:r>
        <w:rPr>
          <w:rFonts w:ascii="Times New Roman;Times;serif" w:hAnsi="Times New Roman;Times;serif"/>
          <w:sz w:val="24"/>
        </w:rPr>
        <w:t>Without in any way limiting any other obligation under this Agreement, the Company shall indemnify Indemnitee for any payment by Indemnitee which would otherwise be indemnifiable hereunder arising out of the amount of any deductible or retention and the amount of any excess of the aggregate of all judgments, penalties, fines, settlements and Expenses incurred by Indemnitee in connection with a Proceeding over the coverage of any insurance referred to in Section 15(a). The purchase, establishment and maintenance of any such insurance shall not in any way limit or affect the rights or obligations of the Company or Indemnitee under this Agreement except as expressly provided herein, and the execution and delivery of this Agreement by the Company and the Indemnitee shall not in any way limit or affect the rights or obligations of the Company under any such insurance policies. If, at the time the Company receives notice from any source of a Proceeding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662" w:name="_Ref209330121"/>
      <w:bookmarkEnd w:id="2662"/>
      <w:r>
        <w:rPr>
          <w:rFonts w:ascii="Times New Roman;Times;serif" w:hAnsi="Times New Roman;Times;serif"/>
          <w:sz w:val="24"/>
        </w:rPr>
        <w:t>The Indemnitee shall cooperate with the Company or any insurance carrier of the Company with respect to any Proceeding.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16. </w:t>
      </w:r>
      <w:bookmarkStart w:id="2663" w:name="_Ref209330131"/>
      <w:bookmarkEnd w:id="2663"/>
      <w:r>
        <w:rPr>
          <w:rFonts w:ascii="Times New Roman;Times;serif" w:hAnsi="Times New Roman;Times;serif"/>
          <w:sz w:val="24"/>
          <w:u w:val="single"/>
        </w:rPr>
        <w:t>Coordination of Payments</w:t>
      </w:r>
      <w:r>
        <w:rPr>
          <w:rFonts w:ascii="Times New Roman;Times;serif" w:hAnsi="Times New Roman;Times;serif"/>
          <w:sz w:val="24"/>
        </w:rPr>
        <w:t>. The Company shall not be liable under this Agreement to make any payment of amounts otherwise indemnifiable or payable or reimbursable as Expenses hereunder if and to the extent that Indemnitee has otherwise actually received such payment under any insurance policy, contract, agreement or otherwise.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17. </w:t>
      </w:r>
      <w:bookmarkStart w:id="2664" w:name="_Ref209330141"/>
      <w:bookmarkEnd w:id="2664"/>
      <w:r>
        <w:rPr>
          <w:rFonts w:ascii="Times New Roman;Times;serif" w:hAnsi="Times New Roman;Times;serif"/>
          <w:sz w:val="24"/>
          <w:u w:val="single"/>
        </w:rPr>
        <w:t>Contribution</w:t>
      </w:r>
      <w:r>
        <w:rPr>
          <w:rFonts w:ascii="Times New Roman;Times;serif" w:hAnsi="Times New Roman;Times;serif"/>
          <w:sz w:val="24"/>
        </w:rPr>
        <w:t>. If the indemnification provided in this Agreement is unavailable in whole or in part and may not be paid to Indemnitee for any reason, other than for failure to satisfy the standard of conduct set forth in Section 4 or due to the provisions of Section 5, then, in respect to any Proceeding in which the Company is jointly liable with Indemnitee (or would be if joined in such Proceeding), to the fullest extent permissible under applicable law, the Company, in lieu of indemnifying and holding harmless Indemnitee, shall pay, in the first instance, the entire amount incurred by Indemnitee, whether for Expenses, judgments, penalties, and/or amounts paid or to be paid in settlement, in connection with any Proceeding without requiring Indemnitee to contribute to such payment, and the Company hereby waives and relinquishes any right of contribution it may have at any time against Indemnitee.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18. </w:t>
      </w:r>
      <w:bookmarkStart w:id="2665" w:name="_Ref209330151"/>
      <w:bookmarkEnd w:id="2665"/>
      <w:r>
        <w:rPr>
          <w:rFonts w:ascii="Times New Roman;Times;serif" w:hAnsi="Times New Roman;Times;serif"/>
          <w:sz w:val="24"/>
          <w:u w:val="single"/>
        </w:rPr>
        <w:t>Reports to Stockholders</w:t>
      </w:r>
      <w:r>
        <w:rPr>
          <w:rFonts w:ascii="Times New Roman;Times;serif" w:hAnsi="Times New Roman;Times;serif"/>
          <w:sz w:val="24"/>
        </w:rPr>
        <w:t>. To the extent required by the MGCL, the Company shall report in writing to its stockholders the payment of any amounts for indemnification of, or advance of Expenses to, Indemnitee under this Agreement arising out of a Proceeding by or in the right of the Company with the notice of the meeting of stockholders of the Company next following the date of the payment of any such indemnification or advance of Expenses or prior to such meeting.</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19. </w:t>
      </w:r>
      <w:bookmarkStart w:id="2666" w:name="_Ref209330161"/>
      <w:bookmarkEnd w:id="2666"/>
      <w:r>
        <w:rPr>
          <w:rFonts w:ascii="Times New Roman;Times;serif" w:hAnsi="Times New Roman;Times;serif"/>
          <w:sz w:val="24"/>
          <w:u w:val="single"/>
        </w:rPr>
        <w:t>Duration of Agreement; Binding Effect</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67" w:name="_Ref209330171"/>
      <w:bookmarkEnd w:id="2667"/>
      <w:r>
        <w:rPr>
          <w:rFonts w:ascii="Times New Roman;Times;serif" w:hAnsi="Times New Roman;Times;serif"/>
          <w:sz w:val="24"/>
        </w:rPr>
        <w:t xml:space="preserve">This Agreement shall continue until and terminate on the later of </w:t>
      </w:r>
      <w:bookmarkStart w:id="2668" w:name="_Ref209330181"/>
      <w:bookmarkEnd w:id="2668"/>
      <w:r>
        <w:rPr>
          <w:rFonts w:ascii="Times New Roman;Times;serif" w:hAnsi="Times New Roman;Times;serif"/>
          <w:sz w:val="24"/>
        </w:rPr>
        <w:t xml:space="preserve">(i) the date that Indemnitee shall have ceased to serve as a director, officer, employee or agent of the Company or as a director, trustee, officer, partner, manager, managing member, fiduciary, employee or agent of any other foreign or domestic corporation, real estate investment trust, partnership, limited liability company, joint venture, trust, employee benefit plan or other enterprise that such person is or was serving in such capacity at the request of the Company and </w:t>
      </w:r>
      <w:bookmarkStart w:id="2669" w:name="_Ref209330191"/>
      <w:bookmarkEnd w:id="2669"/>
      <w:r>
        <w:rPr>
          <w:rFonts w:ascii="Times New Roman;Times;serif" w:hAnsi="Times New Roman;Times;serif"/>
          <w:sz w:val="24"/>
        </w:rPr>
        <w:t>(ii) the date that Indemnitee is no longer subject to any actual or possible Proceeding (including any rights of appeal thereto and any Proceeding commenced by Indemnitee pursuant to Section 12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70" w:name="_Ref209330201"/>
      <w:bookmarkEnd w:id="2670"/>
      <w:r>
        <w:rPr>
          <w:rFonts w:ascii="Times New Roman;Times;serif" w:hAnsi="Times New Roman;Times;serif"/>
          <w:sz w:val="24"/>
        </w:rPr>
        <w:t>The indemnification and advance of Expenses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trustee, officer, partner, manager, managing member, fiduciary, employee or agent of any other foreign or domestic corporation, partnership, limited liability company, joint venture, trust, employee benefit plan or other enterprise that such person is or was serving in such capacity at the request of the Company, and shall inure to the benefit of Indemnitee and Indemnitee’s spouse, assigns, heirs, devisees, executors and administrators and other legal representatives.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2671" w:name="_Ref209330211"/>
      <w:bookmarkEnd w:id="2671"/>
      <w:r>
        <w:rPr>
          <w:rFonts w:ascii="Times New Roman;Times;serif" w:hAnsi="Times New Roman;Times;serif"/>
          <w:sz w:val="24"/>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2672" w:name="_Ref209330221"/>
      <w:bookmarkEnd w:id="2672"/>
      <w:r>
        <w:rPr>
          <w:rFonts w:ascii="Times New Roman;Times;serif" w:hAnsi="Times New Roman;Times;serif"/>
          <w:sz w:val="24"/>
        </w:rPr>
        <w:t>The Company and Indemnitee agree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Indemnitee shall further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a court, and the Company hereby waives any such requirement of such a bond or undertaking.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20. </w:t>
      </w:r>
      <w:bookmarkStart w:id="2673" w:name="_Ref209330231"/>
      <w:bookmarkEnd w:id="2673"/>
      <w:r>
        <w:rPr>
          <w:rFonts w:ascii="Times New Roman;Times;serif" w:hAnsi="Times New Roman;Times;serif"/>
          <w:sz w:val="24"/>
          <w:u w:val="single"/>
        </w:rPr>
        <w:t>Severability</w:t>
      </w:r>
      <w:r>
        <w:rPr>
          <w:rFonts w:ascii="Times New Roman;Times;serif" w:hAnsi="Times New Roman;Times;serif"/>
          <w:sz w:val="24"/>
        </w:rPr>
        <w:t xml:space="preserve">. If any provision or provisions of this Agreement shall be held to be invalid, void, illegal or otherwise unenforceable for any reason whatsoever: </w:t>
      </w:r>
      <w:bookmarkStart w:id="2674" w:name="_Ref209330241"/>
      <w:bookmarkEnd w:id="2674"/>
      <w:r>
        <w:rPr>
          <w:rFonts w:ascii="Times New Roman;Times;serif" w:hAnsi="Times New Roman;Times;serif"/>
          <w:sz w:val="24"/>
        </w:rPr>
        <w:t xml:space="preserve">(a) the validity, legality and enforceability of the remaining provisions of this Agreement (including, without limitation, each portion of any Section, paragraph or sentence of this Agreement containing any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rPr>
      </w:pPr>
      <w:r>
        <w:rPr>
          <w:rFonts w:ascii="Times New Roman;Times;serif" w:hAnsi="Times New Roman;Times;serif"/>
          <w:b w:val="false"/>
          <w:i w:val="false"/>
          <w:caps w:val="false"/>
          <w:smallCaps w:val="false"/>
          <w:sz w:val="24"/>
        </w:rPr>
        <w:t xml:space="preserve">such provision held to be invalid, illegal or unenforceable that is not itself invalid, illegal or unenforceable) shall not in any way be affected or impaired thereby and shall remain enforceable to the fullest extent permitted by law; </w:t>
      </w:r>
      <w:bookmarkStart w:id="2675" w:name="_Ref209330251"/>
      <w:bookmarkEnd w:id="2675"/>
      <w:r>
        <w:rPr>
          <w:rFonts w:ascii="Times New Roman;Times;serif" w:hAnsi="Times New Roman;Times;serif"/>
          <w:b w:val="false"/>
          <w:i w:val="false"/>
          <w:caps w:val="false"/>
          <w:smallCaps w:val="false"/>
          <w:sz w:val="24"/>
        </w:rPr>
        <w:t>(b)</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 xml:space="preserve">such provision or provisions shall be deemed reformed to the extent necessary to conform to applicable law and to give the maximum effect to the intent of the parties hereto; and </w:t>
      </w:r>
      <w:bookmarkStart w:id="2676" w:name="_Ref209330261"/>
      <w:bookmarkEnd w:id="2676"/>
      <w:r>
        <w:rPr>
          <w:rFonts w:ascii="Times New Roman;Times;serif" w:hAnsi="Times New Roman;Times;serif"/>
          <w:b w:val="false"/>
          <w:i w:val="false"/>
          <w:caps w:val="false"/>
          <w:smallCaps w:val="false"/>
          <w:sz w:val="24"/>
        </w:rPr>
        <w:t>(c)</w:t>
      </w:r>
      <w:r>
        <w:rPr>
          <w:rFonts w:ascii="Times New Roman;Times;serif" w:hAnsi="Times New Roman;Times;serif"/>
          <w:caps w:val="false"/>
          <w:smallCaps w:val="false"/>
        </w:rPr>
        <w:t xml:space="preserve"> </w:t>
      </w:r>
      <w:r>
        <w:rPr>
          <w:rFonts w:ascii="Times New Roman;Times;serif" w:hAnsi="Times New Roman;Times;serif"/>
          <w:b w:val="false"/>
          <w:i w:val="false"/>
          <w:caps w:val="false"/>
          <w:smallCaps w:val="false"/>
          <w:sz w:val="24"/>
        </w:rPr>
        <w:t>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21. </w:t>
      </w:r>
      <w:bookmarkStart w:id="2677" w:name="_Ref209330271"/>
      <w:bookmarkEnd w:id="2677"/>
      <w:r>
        <w:rPr>
          <w:rFonts w:ascii="Times New Roman;Times;serif" w:hAnsi="Times New Roman;Times;serif"/>
          <w:sz w:val="24"/>
          <w:u w:val="single"/>
        </w:rPr>
        <w:t>Counterparts</w:t>
      </w:r>
      <w:r>
        <w:rPr>
          <w:rFonts w:ascii="Times New Roman;Times;serif" w:hAnsi="Times New Roman;Times;serif"/>
          <w:sz w:val="24"/>
        </w:rPr>
        <w:t>. This Agreement may be executed in one or more counterparts, (delivery of which may be by facsimile, or via e-mail as a portable document format (.pdf) or other electronic format), each of which will be deemed to be an original and it will not be necessary in making proof of this agreement or the terms of this Agreement to produce or account for more than one such counterpart. One such counterpart signed by the party against whom enforceability is sought shall be sufficient to evidence the existence of this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22. </w:t>
      </w:r>
      <w:bookmarkStart w:id="2678" w:name="_Ref209330281"/>
      <w:bookmarkEnd w:id="2678"/>
      <w:r>
        <w:rPr>
          <w:rFonts w:ascii="Times New Roman;Times;serif" w:hAnsi="Times New Roman;Times;serif"/>
          <w:sz w:val="24"/>
          <w:u w:val="single"/>
        </w:rPr>
        <w:t>Headings</w:t>
      </w:r>
      <w:r>
        <w:rPr>
          <w:rFonts w:ascii="Times New Roman;Times;serif" w:hAnsi="Times New Roman;Times;serif"/>
          <w:sz w:val="24"/>
        </w:rPr>
        <w:t>. The headings of the paragraphs of this Agreement are inserted for convenience only and shall not be deemed to constitute part of this Agreement or to affect the construction thereof.</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23. </w:t>
      </w:r>
      <w:bookmarkStart w:id="2679" w:name="_Ref209330291"/>
      <w:bookmarkEnd w:id="2679"/>
      <w:r>
        <w:rPr>
          <w:rFonts w:ascii="Times New Roman;Times;serif" w:hAnsi="Times New Roman;Times;serif"/>
          <w:sz w:val="24"/>
          <w:u w:val="single"/>
        </w:rPr>
        <w:t>Modification and Waiver</w:t>
      </w:r>
      <w:r>
        <w:rPr>
          <w:rFonts w:ascii="Times New Roman;Times;serif" w:hAnsi="Times New Roman;Times;serif"/>
          <w:sz w:val="24"/>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unless otherwise expressly stated, shall such waiver constitute a continuing waiver.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24. </w:t>
      </w:r>
      <w:bookmarkStart w:id="2680" w:name="_Ref209330301"/>
      <w:bookmarkEnd w:id="2680"/>
      <w:r>
        <w:rPr>
          <w:rFonts w:ascii="Times New Roman;Times;serif" w:hAnsi="Times New Roman;Times;serif"/>
          <w:sz w:val="24"/>
          <w:u w:val="single"/>
        </w:rPr>
        <w:t>Notices</w:t>
      </w:r>
      <w:r>
        <w:rPr>
          <w:rFonts w:ascii="Times New Roman;Times;serif" w:hAnsi="Times New Roman;Times;serif"/>
          <w:sz w:val="24"/>
        </w:rPr>
        <w:t xml:space="preserve">. All notices, requests, demands and other communications hereunder shall be in writing and shall be deemed to have been duly given if </w:t>
      </w:r>
      <w:bookmarkStart w:id="2681" w:name="_Ref209330311"/>
      <w:bookmarkEnd w:id="2681"/>
      <w:r>
        <w:rPr>
          <w:rFonts w:ascii="Times New Roman;Times;serif" w:hAnsi="Times New Roman;Times;serif"/>
          <w:sz w:val="24"/>
        </w:rPr>
        <w:t xml:space="preserve">(i) delivered by hand and receipted for by the party to whom said notice or other communication shall have been directed, on the day of such delivery, or </w:t>
      </w:r>
      <w:bookmarkStart w:id="2682" w:name="_Ref209330321"/>
      <w:bookmarkEnd w:id="2682"/>
      <w:r>
        <w:rPr>
          <w:rFonts w:ascii="Times New Roman;Times;serif" w:hAnsi="Times New Roman;Times;serif"/>
          <w:sz w:val="24"/>
        </w:rPr>
        <w:t>(ii) mailed by certified or registered mail with postage prepaid, on the third business day after the date on which it is so mailed: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683" w:name="_Ref209330331"/>
      <w:bookmarkEnd w:id="2683"/>
      <w:r>
        <w:rPr>
          <w:rFonts w:ascii="Times New Roman;Times;serif" w:hAnsi="Times New Roman;Times;serif"/>
          <w:sz w:val="24"/>
        </w:rPr>
        <w:t>If to Indemnitee, to the address set forth on the signature page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2684" w:name="_Ref209330341"/>
      <w:bookmarkEnd w:id="2684"/>
      <w:r>
        <w:rPr>
          <w:rFonts w:ascii="Times New Roman;Times;serif" w:hAnsi="Times New Roman;Times;serif"/>
          <w:sz w:val="24"/>
        </w:rPr>
        <w:t>If to the Company, to:</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Alpine Income Property Trust, Inc.</w:t>
        <w:br/>
        <w:t>1140 N. Williamson Blvd., Suite 140</w:t>
        <w:br/>
        <w:t>Daytona Beach, Florida 32114</w:t>
        <w:br/>
        <w:t>Attn: General Counsel</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or to such other address as may have been furnished in writing to Indemnitee by the Company or to the Company by Indemnitee, as the case may be.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Section 25. </w:t>
      </w:r>
      <w:bookmarkStart w:id="2685" w:name="_Ref209330351"/>
      <w:bookmarkEnd w:id="2685"/>
      <w:r>
        <w:rPr>
          <w:rFonts w:ascii="Times New Roman;Times;serif" w:hAnsi="Times New Roman;Times;serif"/>
          <w:sz w:val="24"/>
          <w:u w:val="single"/>
        </w:rPr>
        <w:t>Governing Law</w:t>
      </w:r>
      <w:r>
        <w:rPr>
          <w:rFonts w:ascii="Times New Roman;Times;serif" w:hAnsi="Times New Roman;Times;serif"/>
          <w:sz w:val="24"/>
        </w:rPr>
        <w:t>. This Agreement shall be governed by, and construed and enforced in accordance with, the laws of the State of Maryland, without regard to its conflicts of laws rules.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 FOLLOWS]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parties hereto have executed this Agreement as of the day and year first above written.</w:t>
      </w:r>
    </w:p>
    <w:p>
      <w:pPr>
        <w:pStyle w:val="TextBody"/>
        <w:bidi w:val="0"/>
        <w:spacing w:before="0" w:after="240"/>
        <w:ind w:left="4320" w:right="0" w:hanging="0"/>
        <w:jc w:val="left"/>
        <w:rPr>
          <w:rFonts w:ascii="Times New Roman;Times;serif" w:hAnsi="Times New Roman;Times;serif"/>
          <w:b/>
          <w:sz w:val="24"/>
        </w:rPr>
      </w:pPr>
      <w:r>
        <w:rPr>
          <w:rFonts w:ascii="Times New Roman;Times;serif" w:hAnsi="Times New Roman;Times;serif"/>
          <w:b/>
          <w:sz w:val="24"/>
        </w:rPr>
        <w:t>COMPANY:</w:t>
      </w:r>
    </w:p>
    <w:p>
      <w:pPr>
        <w:pStyle w:val="TextBody"/>
        <w:bidi w:val="0"/>
        <w:spacing w:before="0" w:after="480"/>
        <w:ind w:left="4320" w:right="0" w:hanging="0"/>
        <w:jc w:val="left"/>
        <w:rPr>
          <w:rFonts w:ascii="Times New Roman;Times;serif" w:hAnsi="Times New Roman;Times;serif"/>
          <w:sz w:val="24"/>
        </w:rPr>
      </w:pPr>
      <w:r>
        <w:rPr>
          <w:rFonts w:ascii="Times New Roman;Times;serif" w:hAnsi="Times New Roman;Times;serif"/>
          <w:sz w:val="24"/>
        </w:rPr>
        <w:t>Alpine Income Property Trust, Inc.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   /s/ Daniel E. Smith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Daniel E. Smith</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Title: Senior Vice President,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General Counsel &amp; Corporate Secretary</w:t>
      </w:r>
    </w:p>
    <w:p>
      <w:pPr>
        <w:pStyle w:val="TextBody"/>
        <w:bidi w:val="0"/>
        <w:spacing w:before="0" w:after="0"/>
        <w:ind w:left="4320" w:right="0" w:hanging="0"/>
        <w:jc w:val="left"/>
        <w:rPr/>
      </w:pPr>
      <w:r>
        <w:rPr/>
        <w:t>​</w:t>
      </w:r>
    </w:p>
    <w:p>
      <w:pPr>
        <w:pStyle w:val="TextBody"/>
        <w:bidi w:val="0"/>
        <w:spacing w:before="0" w:after="480"/>
        <w:ind w:left="4320" w:right="0" w:hanging="0"/>
        <w:jc w:val="left"/>
        <w:rPr>
          <w:rFonts w:ascii="Times New Roman;Times;serif" w:hAnsi="Times New Roman;Times;serif"/>
          <w:b/>
          <w:sz w:val="24"/>
        </w:rPr>
      </w:pPr>
      <w:r>
        <w:rPr>
          <w:rFonts w:ascii="Times New Roman;Times;serif" w:hAnsi="Times New Roman;Times;serif"/>
          <w:b/>
          <w:sz w:val="24"/>
        </w:rPr>
        <w:t>INDEMNITEE:</w:t>
      </w:r>
    </w:p>
    <w:p>
      <w:pPr>
        <w:pStyle w:val="TextBody"/>
        <w:bidi w:val="0"/>
        <w:spacing w:before="0" w:after="0"/>
        <w:ind w:left="4320" w:right="0" w:hanging="0"/>
        <w:jc w:val="left"/>
        <w:rPr/>
      </w:pPr>
      <w:r>
        <w:rPr>
          <w:u w:val="single"/>
        </w:rPr>
        <w:t>     </w:t>
      </w:r>
      <w:r>
        <w:rPr>
          <w:rFonts w:ascii="Times New Roman;Times;serif" w:hAnsi="Times New Roman;Times;serif"/>
          <w:sz w:val="24"/>
          <w:u w:val="single"/>
        </w:rPr>
        <w:t>/s/ Lisa M. Vorakoun                                          </w:t>
      </w:r>
      <w:r>
        <w:rPr>
          <w:rFonts w:ascii="Times New Roman;Times;serif" w:hAnsi="Times New Roman;Times;serif"/>
          <w:sz w:val="24"/>
        </w:rPr>
        <w:br/>
        <w:t>Signature of Indemnitee</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u w:val="single"/>
        </w:rPr>
        <w:t>Lisa M. Vorakoun                      </w:t>
      </w:r>
      <w:r>
        <w:rPr>
          <w:rFonts w:ascii="Times New Roman;Times;serif" w:hAnsi="Times New Roman;Times;serif"/>
          <w:sz w:val="24"/>
        </w:rPr>
        <w:br/>
        <w:t>Printed Name of Indemnitee</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Address of Indemnitee:</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u w:val="single"/>
        </w:rPr>
      </w:pPr>
      <w:r>
        <w:rPr>
          <w:rFonts w:ascii="Times New Roman;Times;serif" w:hAnsi="Times New Roman;Times;serif"/>
          <w:sz w:val="24"/>
          <w:u w:val="single"/>
        </w:rPr>
        <w:t>PO Box 10809</w:t>
      </w:r>
    </w:p>
    <w:p>
      <w:pPr>
        <w:pStyle w:val="TextBody"/>
        <w:bidi w:val="0"/>
        <w:spacing w:before="0" w:after="0"/>
        <w:ind w:left="4320" w:right="0" w:hanging="0"/>
        <w:jc w:val="left"/>
        <w:rPr>
          <w:rFonts w:ascii="Times New Roman;Times;serif" w:hAnsi="Times New Roman;Times;serif"/>
          <w:sz w:val="24"/>
          <w:u w:val="single"/>
        </w:rPr>
      </w:pPr>
      <w:r>
        <w:rPr>
          <w:rFonts w:ascii="Times New Roman;Times;serif" w:hAnsi="Times New Roman;Times;serif"/>
          <w:sz w:val="24"/>
          <w:u w:val="single"/>
        </w:rPr>
        <w:t>Daytona Beach, FL 32114</w:t>
      </w:r>
    </w:p>
    <w:p>
      <w:pPr>
        <w:pStyle w:val="TextBody"/>
        <w:bidi w:val="0"/>
        <w:spacing w:before="0" w:after="0"/>
        <w:ind w:left="0" w:right="504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color w:val="010000"/>
          <w:sz w:val="24"/>
        </w:rPr>
        <w:t>Exhibit A</w:t>
      </w:r>
      <w:r>
        <w:rPr>
          <w:rFonts w:ascii="Times New Roman;Times;serif" w:hAnsi="Times New Roman;Times;serif"/>
          <w:caps/>
          <w:sz w:val="24"/>
        </w:rPr>
        <w:t>​</w:t>
        <w:br/>
        <w:t>​</w:t>
        <w:br/>
      </w:r>
      <w:bookmarkStart w:id="2686" w:name="_Ref209330361"/>
      <w:bookmarkEnd w:id="2686"/>
      <w:r>
        <w:rPr>
          <w:rFonts w:ascii="Times New Roman;Times;serif" w:hAnsi="Times New Roman;Times;serif"/>
          <w:b/>
          <w:caps/>
          <w:sz w:val="24"/>
        </w:rPr>
        <w:t>AFFIRMATION AND UNDERTAKING TO REPAY EXPENSES ADVANCED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To: The Board of Directors of Alpine Income Property Trust, Inc.</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Re: Affirmation and Undertaking</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Affirmation and Undertaking is being provided pursuant to that certain Indemnification Agreement dated the [●] day of [●], 20[●], by and between Alpine Income Property Trust, Inc., a Maryland corporation (the “</w:t>
      </w:r>
      <w:r>
        <w:rPr>
          <w:rFonts w:ascii="Times New Roman;Times;serif" w:hAnsi="Times New Roman;Times;serif"/>
          <w:b/>
          <w:sz w:val="24"/>
        </w:rPr>
        <w:t>Company</w:t>
      </w:r>
      <w:r>
        <w:rPr>
          <w:rFonts w:ascii="Times New Roman;Times;serif" w:hAnsi="Times New Roman;Times;serif"/>
          <w:sz w:val="24"/>
        </w:rPr>
        <w:t>”), and the undersigned Indemnitee (the “</w:t>
      </w:r>
      <w:r>
        <w:rPr>
          <w:rFonts w:ascii="Times New Roman;Times;serif" w:hAnsi="Times New Roman;Times;serif"/>
          <w:b/>
          <w:sz w:val="24"/>
        </w:rPr>
        <w:t>Indemnification Agreement</w:t>
      </w:r>
      <w:r>
        <w:rPr>
          <w:rFonts w:ascii="Times New Roman;Times;serif" w:hAnsi="Times New Roman;Times;serif"/>
          <w:sz w:val="24"/>
        </w:rPr>
        <w:t>”), pursuant to which I am entitled to advance of Expenses in connection with [</w:t>
      </w:r>
      <w:r>
        <w:rPr>
          <w:rFonts w:ascii="Times New Roman;Times;serif" w:hAnsi="Times New Roman;Times;serif"/>
          <w:b/>
          <w:sz w:val="24"/>
        </w:rPr>
        <w:t>Description of Proceeding</w:t>
      </w:r>
      <w:r>
        <w:rPr>
          <w:rFonts w:ascii="Times New Roman;Times;serif" w:hAnsi="Times New Roman;Times;serif"/>
          <w:sz w:val="24"/>
        </w:rPr>
        <w:t>] (the “</w:t>
      </w:r>
      <w:r>
        <w:rPr>
          <w:rFonts w:ascii="Times New Roman;Times;serif" w:hAnsi="Times New Roman;Times;serif"/>
          <w:b/>
          <w:sz w:val="24"/>
        </w:rPr>
        <w:t>Proceeding</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Terms used herein and not otherwise defined shall have the meanings specified in the Indemnification Agreement.</w:t>
      </w:r>
    </w:p>
    <w:p>
      <w:pPr>
        <w:pStyle w:val="TextBody"/>
        <w:bidi w:val="0"/>
        <w:spacing w:before="0" w:after="240"/>
        <w:ind w:left="0" w:right="0" w:hanging="0"/>
        <w:jc w:val="both"/>
        <w:rPr>
          <w:rFonts w:ascii="Times New Roman;Times;serif" w:hAnsi="Times New Roman;Times;serif"/>
          <w:sz w:val="24"/>
        </w:rPr>
      </w:pPr>
      <w:bookmarkStart w:id="2687" w:name="_Ref209330371"/>
      <w:bookmarkEnd w:id="2687"/>
      <w:r>
        <w:rPr>
          <w:rFonts w:ascii="Times New Roman;Times;serif" w:hAnsi="Times New Roman;Times;serif"/>
          <w:sz w:val="24"/>
        </w:rPr>
        <w:t>I am subject to the Proceeding by reason of my Corporate Status or by reason of alleged actions or omissions by me in such capacity. I hereby affirm my good faith belief that at all times, insofar as I was involved as [</w:t>
      </w:r>
      <w:r>
        <w:rPr>
          <w:rFonts w:ascii="Times New Roman;Times;serif" w:hAnsi="Times New Roman;Times;serif"/>
          <w:b/>
          <w:sz w:val="24"/>
        </w:rPr>
        <w:t>a director</w:t>
      </w:r>
      <w:r>
        <w:rPr>
          <w:rFonts w:ascii="Times New Roman;Times;serif" w:hAnsi="Times New Roman;Times;serif"/>
          <w:sz w:val="24"/>
        </w:rPr>
        <w:t>] [</w:t>
      </w:r>
      <w:r>
        <w:rPr>
          <w:rFonts w:ascii="Times New Roman;Times;serif" w:hAnsi="Times New Roman;Times;serif"/>
          <w:b/>
          <w:sz w:val="24"/>
        </w:rPr>
        <w:t>an officer</w:t>
      </w:r>
      <w:r>
        <w:rPr>
          <w:rFonts w:ascii="Times New Roman;Times;serif" w:hAnsi="Times New Roman;Times;serif"/>
          <w:sz w:val="24"/>
        </w:rPr>
        <w:t>] [</w:t>
      </w:r>
      <w:r>
        <w:rPr>
          <w:rFonts w:ascii="Times New Roman;Times;serif" w:hAnsi="Times New Roman;Times;serif"/>
          <w:b/>
          <w:sz w:val="24"/>
        </w:rPr>
        <w:t>a director and an officer</w:t>
      </w:r>
      <w:r>
        <w:rPr>
          <w:rFonts w:ascii="Times New Roman;Times;serif" w:hAnsi="Times New Roman;Times;serif"/>
          <w:sz w:val="24"/>
        </w:rPr>
        <w:t xml:space="preserve">] of the Company, in any of the facts or events giving rise to the Proceeding, I </w:t>
      </w:r>
      <w:bookmarkStart w:id="2688" w:name="_Ref209330381"/>
      <w:bookmarkEnd w:id="2688"/>
      <w:r>
        <w:rPr>
          <w:rFonts w:ascii="Times New Roman;Times;serif" w:hAnsi="Times New Roman;Times;serif"/>
          <w:sz w:val="24"/>
        </w:rPr>
        <w:t xml:space="preserve">(1) did not act with bad faith or active or deliberate dishonesty, </w:t>
      </w:r>
      <w:bookmarkStart w:id="2689" w:name="_Ref209330391"/>
      <w:bookmarkEnd w:id="2689"/>
      <w:r>
        <w:rPr>
          <w:rFonts w:ascii="Times New Roman;Times;serif" w:hAnsi="Times New Roman;Times;serif"/>
          <w:sz w:val="24"/>
        </w:rPr>
        <w:t xml:space="preserve">(2) did not receive any improper personal benefit in money, property or services and </w:t>
      </w:r>
      <w:bookmarkStart w:id="2690" w:name="_Ref209330401"/>
      <w:bookmarkEnd w:id="2690"/>
      <w:r>
        <w:rPr>
          <w:rFonts w:ascii="Times New Roman;Times;serif" w:hAnsi="Times New Roman;Times;serif"/>
          <w:sz w:val="24"/>
        </w:rPr>
        <w:t>(3) in the case of any criminal proceeding, had no reasonable cause to believe that any act or omission by me was unlawful.</w:t>
      </w:r>
    </w:p>
    <w:p>
      <w:pPr>
        <w:pStyle w:val="TextBody"/>
        <w:bidi w:val="0"/>
        <w:spacing w:before="0" w:after="240"/>
        <w:ind w:left="0" w:right="0" w:hanging="0"/>
        <w:jc w:val="both"/>
        <w:rPr>
          <w:rFonts w:ascii="Times New Roman;Times;serif" w:hAnsi="Times New Roman;Times;serif"/>
          <w:sz w:val="24"/>
        </w:rPr>
      </w:pPr>
      <w:bookmarkStart w:id="2691" w:name="_Ref209330411"/>
      <w:bookmarkEnd w:id="2691"/>
      <w:r>
        <w:rPr>
          <w:rFonts w:ascii="Times New Roman;Times;serif" w:hAnsi="Times New Roman;Times;serif"/>
          <w:sz w:val="24"/>
        </w:rPr>
        <w:t>In consideration of the advance by the Company for Expenses incurred by me in connection with the Proceeding (the “</w:t>
      </w:r>
      <w:r>
        <w:rPr>
          <w:rFonts w:ascii="Times New Roman;Times;serif" w:hAnsi="Times New Roman;Times;serif"/>
          <w:b/>
          <w:sz w:val="24"/>
        </w:rPr>
        <w:t>Advanced Expenses</w:t>
      </w:r>
      <w:r>
        <w:rPr>
          <w:rFonts w:ascii="Times New Roman;Times;serif" w:hAnsi="Times New Roman;Times;serif"/>
          <w:sz w:val="24"/>
        </w:rPr>
        <w:t xml:space="preserve">”), I hereby agree that if, in connection with the Proceeding, it is established that </w:t>
      </w:r>
      <w:bookmarkStart w:id="2692" w:name="_Ref209330421"/>
      <w:bookmarkEnd w:id="2692"/>
      <w:r>
        <w:rPr>
          <w:rFonts w:ascii="Times New Roman;Times;serif" w:hAnsi="Times New Roman;Times;serif"/>
          <w:sz w:val="24"/>
        </w:rPr>
        <w:t xml:space="preserve">(1) an act or omission by me was material to the matter giving rise to the Proceeding and </w:t>
      </w:r>
      <w:bookmarkStart w:id="2693" w:name="_Ref209330431"/>
      <w:bookmarkEnd w:id="2693"/>
      <w:r>
        <w:rPr>
          <w:rFonts w:ascii="Times New Roman;Times;serif" w:hAnsi="Times New Roman;Times;serif"/>
          <w:sz w:val="24"/>
        </w:rPr>
        <w:t xml:space="preserve">(a) was committed in bad faith or </w:t>
      </w:r>
      <w:bookmarkStart w:id="2694" w:name="_Ref209330441"/>
      <w:bookmarkEnd w:id="2694"/>
      <w:r>
        <w:rPr>
          <w:rFonts w:ascii="Times New Roman;Times;serif" w:hAnsi="Times New Roman;Times;serif"/>
          <w:sz w:val="24"/>
        </w:rPr>
        <w:t xml:space="preserve">(b) was the result of active and deliberate dishonesty or </w:t>
      </w:r>
      <w:bookmarkStart w:id="2695" w:name="_Ref209330451"/>
      <w:bookmarkEnd w:id="2695"/>
      <w:r>
        <w:rPr>
          <w:rFonts w:ascii="Times New Roman;Times;serif" w:hAnsi="Times New Roman;Times;serif"/>
          <w:sz w:val="24"/>
        </w:rPr>
        <w:t xml:space="preserve">(2) I actually received an improper personal benefit in money, property or services or </w:t>
      </w:r>
      <w:bookmarkStart w:id="2696" w:name="_Ref209330461"/>
      <w:bookmarkEnd w:id="2696"/>
      <w:r>
        <w:rPr>
          <w:rFonts w:ascii="Times New Roman;Times;serif" w:hAnsi="Times New Roman;Times;serif"/>
          <w:sz w:val="24"/>
        </w:rPr>
        <w:t>(3) in the case of any criminal proceeding, I had reasonable cause to believe that the act or omission was unlawful, then I shall promptly reimburse the portion of the Advanced Expenses relating to the claims, issues or matters in the Proceeding as to which the foregoing findings have been established.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I have executed this Affirmation and Undertaking on this [●] day of [●], 20[●].</w:t>
      </w:r>
    </w:p>
    <w:p>
      <w:pPr>
        <w:pStyle w:val="TextBody"/>
        <w:bidi w:val="0"/>
        <w:spacing w:before="0" w:after="480"/>
        <w:ind w:left="4320" w:right="0" w:hanging="0"/>
        <w:jc w:val="left"/>
        <w:rPr>
          <w:rFonts w:ascii="Times New Roman;Times;serif" w:hAnsi="Times New Roman;Times;serif"/>
          <w:sz w:val="24"/>
          <w:u w:val="single"/>
        </w:rPr>
      </w:pPr>
      <w:r>
        <w:rPr>
          <w:rFonts w:ascii="Times New Roman;Times;serif" w:hAnsi="Times New Roman;Times;serif"/>
          <w:sz w:val="24"/>
          <w:u w:val="single"/>
        </w:rPr>
        <w:t>Signature of Indemnitee______________________</w:t>
      </w:r>
    </w:p>
    <w:p>
      <w:pPr>
        <w:pStyle w:val="TextBody"/>
        <w:bidi w:val="0"/>
        <w:spacing w:before="0" w:after="0"/>
        <w:ind w:left="4320" w:right="0" w:hanging="0"/>
        <w:jc w:val="left"/>
        <w:rPr/>
      </w:pPr>
      <w:r>
        <w:rPr/>
        <w:t>​</w:t>
      </w:r>
      <w:r>
        <mc:AlternateContent>
          <mc:Choice Requires="wps">
            <w:drawing>
              <wp:anchor behindDoc="0" distT="0" distB="0" distL="0" distR="0" simplePos="0" locked="0" layoutInCell="1" allowOverlap="1" relativeHeight="631">
                <wp:simplePos x="0" y="0"/>
                <wp:positionH relativeFrom="page">
                  <wp:posOffset>0</wp:posOffset>
                </wp:positionH>
                <wp:positionV relativeFrom="line">
                  <wp:posOffset>635</wp:posOffset>
                </wp:positionV>
                <wp:extent cx="6480175" cy="175895"/>
                <wp:effectExtent l="0" t="0" r="0" b="0"/>
                <wp:wrapNone/>
                <wp:docPr id="630" name="Frame6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Printed Name of Indemnitee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2697" w:name="pine-20241231xex19d1.htm"/>
      <w:bookmarkStart w:id="2698" w:name="kspine20241231xex19d1"/>
      <w:bookmarkEnd w:id="2697"/>
      <w:bookmarkEnd w:id="2698"/>
      <w:r>
        <w:rPr>
          <w:rFonts w:ascii="Times New Roman;Times;serif" w:hAnsi="Times New Roman;Times;serif"/>
          <w:b/>
          <w:sz w:val="24"/>
        </w:rPr>
        <w:t>Exhibit 19.1</w:t>
      </w:r>
      <w:r>
        <w:br w:type="page"/>
      </w:r>
    </w:p>
    <w:p>
      <w:pPr>
        <w:pStyle w:val="TextBody"/>
        <w:pBdr>
          <w:top w:val="dotted" w:sz="12" w:space="6" w:color="000000"/>
        </w:pBdr>
        <w:bidi w:val="0"/>
        <w:spacing w:before="0" w:after="0"/>
        <w:ind w:left="720" w:right="720" w:hanging="0"/>
        <w:jc w:val="center"/>
        <w:rPr>
          <w:rFonts w:ascii="Times New Roman;Times;serif" w:hAnsi="Times New Roman;Times;serif"/>
          <w:b/>
          <w:sz w:val="24"/>
        </w:rPr>
      </w:pPr>
      <w:bookmarkStart w:id="2699" w:name="_dxtcompanion_actionscomplete"/>
      <w:bookmarkStart w:id="2700" w:name="_mps654446270000000000000008620000000000"/>
      <w:bookmarkEnd w:id="2699"/>
      <w:bookmarkEnd w:id="2700"/>
      <w:r>
        <w:rPr>
          <w:rFonts w:ascii="Times New Roman;Times;serif" w:hAnsi="Times New Roman;Times;serif"/>
          <w:b/>
          <w:sz w:val="24"/>
        </w:rPr>
        <w:t>ALPINE INCOME PROPERTY TRUST, INC.</w:t>
      </w:r>
    </w:p>
    <w:p>
      <w:pPr>
        <w:pStyle w:val="TextBody"/>
        <w:pBdr>
          <w:bottom w:val="dotted" w:sz="12" w:space="6" w:color="000000"/>
        </w:pBdr>
        <w:bidi w:val="0"/>
        <w:spacing w:before="0" w:after="240"/>
        <w:ind w:left="720" w:right="720" w:hanging="0"/>
        <w:jc w:val="center"/>
        <w:rPr>
          <w:rFonts w:ascii="Times New Roman;Times;serif" w:hAnsi="Times New Roman;Times;serif"/>
          <w:b/>
          <w:sz w:val="24"/>
        </w:rPr>
      </w:pPr>
      <w:r>
        <w:rPr>
          <w:rFonts w:ascii="Times New Roman;Times;serif" w:hAnsi="Times New Roman;Times;serif"/>
          <w:b/>
          <w:sz w:val="24"/>
        </w:rPr>
        <w:t>INSIDER TRADING COMPLIANCE PROGRAM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order to take an active role in the prevention of insider trading violations by the directors, officers and employees, if any, of Alpine Income Property Trust, Inc. (the “Company”), Alpine Income Property Manager, LLC, the Company’s external manager (the “Manager”), CTO Realty Growth, Inc. (“CTO”), the sole member of the Manager, and the directors, officers and employees of CTO and other related individuals, the Company has adopted the policies and procedures described in this memorandum.</w:t>
      </w:r>
    </w:p>
    <w:tbl>
      <w:tblPr>
        <w:tblW w:w="3745" w:type="dxa"/>
        <w:jc w:val="left"/>
        <w:tblInd w:w="0" w:type="dxa"/>
        <w:tblLayout w:type="fixed"/>
        <w:tblCellMar>
          <w:top w:w="0" w:type="dxa"/>
          <w:left w:w="0" w:type="dxa"/>
          <w:bottom w:w="0" w:type="dxa"/>
          <w:right w:w="0" w:type="dxa"/>
        </w:tblCellMar>
      </w:tblPr>
      <w:tblGrid>
        <w:gridCol w:w="155"/>
        <w:gridCol w:w="3590"/>
      </w:tblGrid>
      <w:tr>
        <w:trPr/>
        <w:tc>
          <w:tcPr>
            <w:tcW w:w="15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359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Adoption of Insider Trading Policy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The Company has adopted the Insider Trading Policy attached hereto as </w:t>
      </w:r>
      <w:r>
        <w:rPr>
          <w:rFonts w:ascii="Times New Roman;Times;serif" w:hAnsi="Times New Roman;Times;serif"/>
          <w:sz w:val="24"/>
          <w:u w:val="single"/>
        </w:rPr>
        <w:t>Exhibit A</w:t>
      </w:r>
      <w:r>
        <w:rPr>
          <w:rFonts w:ascii="Times New Roman;Times;serif" w:hAnsi="Times New Roman;Times;serif"/>
          <w:sz w:val="24"/>
        </w:rPr>
        <w:t xml:space="preserve"> (the “Policy”), which prohibits trading in the Company’s common stock or any other traded security of the Company (collectively the “Company Securities”) based on material, nonpublic information regarding the Company (“Inside Information”). The Policy covers directors, officers and all other employees of the Company, the Manager and CTO, as well as family members of such directors, officers and employees, and certain other persons, in each case where such persons have or may have access to Inside Information (“Insiders”). The Policy is to be delivered to all new employees and consultants on the commencement of their relationships with the Company, the Manager and/or CTO, and is to be circulated to all directors, officers and employees of the Company, the Manager and CTO at least annually.</w:t>
      </w:r>
    </w:p>
    <w:tbl>
      <w:tblPr>
        <w:tblW w:w="3400" w:type="dxa"/>
        <w:jc w:val="left"/>
        <w:tblInd w:w="0" w:type="dxa"/>
        <w:tblLayout w:type="fixed"/>
        <w:tblCellMar>
          <w:top w:w="0" w:type="dxa"/>
          <w:left w:w="0" w:type="dxa"/>
          <w:bottom w:w="0" w:type="dxa"/>
          <w:right w:w="0" w:type="dxa"/>
        </w:tblCellMar>
      </w:tblPr>
      <w:tblGrid>
        <w:gridCol w:w="230"/>
        <w:gridCol w:w="3170"/>
      </w:tblGrid>
      <w:tr>
        <w:trPr/>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w:t>
            </w:r>
          </w:p>
        </w:tc>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Designation of Certain Persons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The Company has determined that those persons listed on </w:t>
      </w:r>
      <w:r>
        <w:rPr>
          <w:rFonts w:ascii="Times New Roman;Times;serif" w:hAnsi="Times New Roman;Times;serif"/>
          <w:sz w:val="24"/>
          <w:u w:val="single"/>
        </w:rPr>
        <w:t>Exhibit B</w:t>
      </w:r>
      <w:r>
        <w:rPr>
          <w:rFonts w:ascii="Times New Roman;Times;serif" w:hAnsi="Times New Roman;Times;serif"/>
          <w:sz w:val="24"/>
        </w:rPr>
        <w:t xml:space="preserve"> attached hereto are the directors and officers of the Company who are subject to the reporting and penalty provisions of Section 16 of the Securities Exchange Act of 1934, as amended (the “Exchange Act”), and the rules and regulations promulgated thereunder (“Section 16 Individuals”). </w:t>
      </w:r>
      <w:r>
        <w:rPr>
          <w:rFonts w:ascii="Times New Roman;Times;serif" w:hAnsi="Times New Roman;Times;serif"/>
          <w:sz w:val="24"/>
          <w:u w:val="single"/>
        </w:rPr>
        <w:t>Exhibit B</w:t>
      </w:r>
      <w:r>
        <w:rPr>
          <w:rFonts w:ascii="Times New Roman;Times;serif" w:hAnsi="Times New Roman;Times;serif"/>
          <w:sz w:val="24"/>
        </w:rPr>
        <w:t xml:space="preserve"> may be amended by the Company from time to time.</w:t>
      </w:r>
    </w:p>
    <w:tbl>
      <w:tblPr>
        <w:tblW w:w="3970" w:type="dxa"/>
        <w:jc w:val="left"/>
        <w:tblInd w:w="0" w:type="dxa"/>
        <w:tblLayout w:type="fixed"/>
        <w:tblCellMar>
          <w:top w:w="0" w:type="dxa"/>
          <w:left w:w="0" w:type="dxa"/>
          <w:bottom w:w="0" w:type="dxa"/>
          <w:right w:w="0" w:type="dxa"/>
        </w:tblCellMar>
      </w:tblPr>
      <w:tblGrid>
        <w:gridCol w:w="305"/>
        <w:gridCol w:w="3665"/>
      </w:tblGrid>
      <w:tr>
        <w:trPr/>
        <w:tc>
          <w:tcPr>
            <w:tcW w:w="30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III.</w:t>
            </w:r>
          </w:p>
        </w:tc>
        <w:tc>
          <w:tcPr>
            <w:tcW w:w="366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Appointment of Compliance Person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Company has appointed the General Counsel &amp; Corporate Secretary (or his/her successor in office), or such other person to whom the General Counsel &amp; Corporate Secretary shall designate and oversee, as the Company’s Insider Trading Compliance Officer (the “Compliance Officer”).</w:t>
      </w:r>
    </w:p>
    <w:tbl>
      <w:tblPr>
        <w:tblW w:w="3670" w:type="dxa"/>
        <w:jc w:val="left"/>
        <w:tblInd w:w="0" w:type="dxa"/>
        <w:tblLayout w:type="fixed"/>
        <w:tblCellMar>
          <w:top w:w="0" w:type="dxa"/>
          <w:left w:w="0" w:type="dxa"/>
          <w:bottom w:w="0" w:type="dxa"/>
          <w:right w:w="0" w:type="dxa"/>
        </w:tblCellMar>
      </w:tblPr>
      <w:tblGrid>
        <w:gridCol w:w="335"/>
        <w:gridCol w:w="3335"/>
      </w:tblGrid>
      <w:tr>
        <w:trPr/>
        <w:tc>
          <w:tcPr>
            <w:tcW w:w="33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IV.</w:t>
            </w:r>
          </w:p>
        </w:tc>
        <w:tc>
          <w:tcPr>
            <w:tcW w:w="333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Duties of the Compliance Officer</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duties of the Compliance Officer shall include, but not be limited to, the following:</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Pre-clearance of (i) all transactions, other than transactions made in compliance with an outstanding pre-cleared Trading Plan (as defined below), involving Company Securities by all Insiders, (ii) all contracts, instructions or written plans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 the purchase or sale of Company Securities intended to satisfy the affirmative defense conditions of Rule 10b5-1(c) under the Exchange Act (“Rule 10b5-1 Plans”) established by Insiders, and (iii) all other contracts, instructions or written plans for the purchase or sale of Company Securities (“Non-Rule 10b5-1 Plans” and, together with the Rule 10b5-1 Plans, “Trading Plans”) established by Insiders, in each case in order to ensure compliance with the Policy, insider trading laws, Sections 13 and 16 of the Exchange Act, Rule 144 promulgated under the Securities Act of 1933, as amended, and certain disclosure obligations related to Trading Plans. To ensure compliance, pre-clearance may require inquiry by the Compliance Officer and clearance may require up to 24 hours under normal circumstances.</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Monitoring established Trading Plans for compliance with the terms of such Trading Plans, the Policy, insider trading laws, and certain disclosure obligations related to Trading Plans.</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Assisting with the preparation of such disclosures regarding the Policy and the Trading Plans as may be required by the Exchange Act.</w:t>
            </w:r>
          </w:p>
        </w:tc>
      </w:tr>
    </w:tbl>
    <w:tbl>
      <w:tblPr>
        <w:tblW w:w="8073" w:type="dxa"/>
        <w:jc w:val="left"/>
        <w:tblInd w:w="0" w:type="dxa"/>
        <w:tblLayout w:type="fixed"/>
        <w:tblCellMar>
          <w:top w:w="0" w:type="dxa"/>
          <w:left w:w="0" w:type="dxa"/>
          <w:bottom w:w="0" w:type="dxa"/>
          <w:right w:w="0" w:type="dxa"/>
        </w:tblCellMar>
      </w:tblPr>
      <w:tblGrid>
        <w:gridCol w:w="23"/>
        <w:gridCol w:w="26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Preparation of Section 16 reports (Forms 3, 4 and 5) for all Section 16 Individuals.</w:t>
            </w:r>
          </w:p>
        </w:tc>
      </w:tr>
    </w:tbl>
    <w:tbl>
      <w:tblPr>
        <w:tblW w:w="10068" w:type="dxa"/>
        <w:jc w:val="left"/>
        <w:tblInd w:w="0" w:type="dxa"/>
        <w:tblLayout w:type="fixed"/>
        <w:tblCellMar>
          <w:top w:w="0" w:type="dxa"/>
          <w:left w:w="0" w:type="dxa"/>
          <w:bottom w:w="0" w:type="dxa"/>
          <w:right w:w="0" w:type="dxa"/>
        </w:tblCellMar>
      </w:tblPr>
      <w:tblGrid>
        <w:gridCol w:w="23"/>
        <w:gridCol w:w="230"/>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Annual distribution of reminders to all Section 16 Individuals regarding their SEC reporting obligations.</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Performance of cross-checks of available materials, which may include Director and Officer Questionnaires, Forms 3, 4 and 5, and Form 144, to determine trading activity by directors, officers and others who have, or may have, access to Inside Information.</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Circulation of the Policy to all employees of the Company, the Manager and CTO, including Section 16 Individuals, on an annual basis and provision of the Policy and other appropriate materials to new directors, officers and others who have, or may have, access to Inside Information. Each of the aforementioned persons shall provide signed confirmation of receipt that they have read and understood the Policy.</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H.</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Assisting the Company’s Board of Directors in the implementation of Sections I and II of this memorandum.</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Exhibit A</w:t>
      </w:r>
      <w:bookmarkStart w:id="2701" w:name="_Ref153831663"/>
      <w:bookmarkEnd w:id="2701"/>
      <w:r>
        <w:rPr>
          <w:rFonts w:ascii="Times New Roman;Times;serif" w:hAnsi="Times New Roman;Times;serif"/>
          <w:caps/>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ALPINE INCOME PROPERTY TRUST,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INSIDER TRADING POLICY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and Guidelines with Respect to</w:t>
        <w:br/>
        <w:t>Certain Transactions in Company Securities</w:t>
      </w:r>
    </w:p>
    <w:p>
      <w:pPr>
        <w:pStyle w:val="TextBody"/>
        <w:bidi w:val="0"/>
        <w:spacing w:before="0" w:after="240"/>
        <w:ind w:left="3240" w:right="3240" w:hanging="0"/>
        <w:jc w:val="center"/>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Policy provides guidelines to directors, officers and employees of Alpine Income Property Trust, Inc. (the “Company”), Alpine Income Property Manager, LLC the Company’s external manager (the “Manager”) and CTO Realty Growth, Inc., the sole member of the Manager (“CTO”), with respect to transactions in Company Securities (as defined below).</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Applicability of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Policy applies to all transactions in securities issued by the Company and its subsidiaries, including common stock, options for common stock and any other securities the Company and its subsidiaries may issue from time to time, such as preferred stock, warrants and convertible debentures, as well as derivative securities relating to the Company’s stock, whether or not issued by the Company, such as common units of limited partnership interest issued by Alpine Income Property OP, LP (“OP Units”) and exchange-traded options (collectively, the “Company Securities”). This Policy applies to all directors, officers and employees of the Company, the Manager and CTO and to consultants and contractors to the Company and its subsidiaries, the Manager and CTO who receive or have access to Material Nonpublic Information (as defined below) regarding the Company. This group of people, members of their immediate families, and members of their households are sometimes referred to in this Policy as “Insiders.” This Policy also applies to any person who receives Material Nonpublic Information from any Insider.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person who possesses Material Nonpublic Information regarding the Company is an Insider for so long as the information is not publicly known. Any employee can be an Insider from time to time, and would at those times be subject to this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Statement of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General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is the policy of the Company to prevent the unauthorized disclosure of any Material Nonpublic Information acquired in the workplace and the misuse of Material Nonpublic Information in securities trading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It is also the policy of the Company that the Company will not engage in transactions in the Company’s equity securities (as defined in the Securities Exchange Act of 1934 (the “</w:t>
      </w:r>
      <w:r>
        <w:rPr>
          <w:rFonts w:ascii="Times New Roman;Times;serif" w:hAnsi="Times New Roman;Times;serif"/>
          <w:sz w:val="24"/>
          <w:u w:val="single"/>
        </w:rPr>
        <w:t>Exchange Act</w:t>
      </w:r>
      <w:r>
        <w:rPr>
          <w:rFonts w:ascii="Times New Roman;Times;serif" w:hAnsi="Times New Roman;Times;serif"/>
          <w:sz w:val="24"/>
        </w:rPr>
        <w:t>”)) while aware of Material Nonpublic Information relating to the Company or its securities, except for: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plan participants (or their permitted assignees) pursuant to an equity-based compensation plan of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holders of outstanding options, warrants, rights, convertible securities or other derivative securities that are issued by the Company and that result from the holder’s exercise, conversion or other election pursuant to the terms of the security or result from the Company’s exercise, notice of redemption or conversion, or other election made pursuant to the terms of the security;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made pursuant to written plans for transacting in the Company’s securities that, at the time adopted, conform to all of the requirements of Exchange Act Rule 10b5-1 as then in effect;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counterparties who are at the time also aware of the Material Nonpublic Information or who acknowledge, agree or represent that they are aware that the Company may possess Material Nonpublic Information but are not relying on the disclosure or omission to disclose to them of any such information;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other transaction expressly authorized by the Board or any committee thereof, or by senior management in consultation with the Company’s Insider Trading Compliance Officer (the “Compliance Officer”).</w:t>
            </w:r>
          </w:p>
        </w:tc>
      </w:tr>
    </w:tbl>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1. Specific Policies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Trading on Material Nonpublic Information</w:t>
      </w:r>
      <w:r>
        <w:rPr>
          <w:rFonts w:ascii="Times New Roman;Times;serif" w:hAnsi="Times New Roman;Times;serif"/>
          <w:sz w:val="24"/>
        </w:rPr>
        <w:t>. No Insider shall engage in any transaction involving a purchase, sale or gift of Company Securities, including any offer to purchase or offer to sell, during any period commencing with the date that such Insider possesses Material Nonpublic Information concerning the Company, and ending at the close of business on the second Trading Day following the date of public disclosure of that information, or at such time as such nonpublic information is no longer material. As used herein, the term “Trading Day” shall mean a day on which national stock exchanges are open for trading. In addition, no Insider shall engage in any transaction involving a purchase, sale or gift of the securities of any other company if such person is aware of Material Nonpublic Information about such other company which the Insider obtained in the course of such Insider’s employment with the Company, the Manager or CTO. For example, no Insider may trade in the securities of another company with which the Company may be negotiating a major transaction while in possession of Material Nonpublic Information about such other company or the Company. Information that is not Material Nonpublic Information with respect to the Company may still be material to such other companies, and vice versa.</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Tipping</w:t>
      </w:r>
      <w:r>
        <w:rPr>
          <w:rFonts w:ascii="Times New Roman;Times;serif" w:hAnsi="Times New Roman;Times;serif"/>
          <w:sz w:val="24"/>
        </w:rPr>
        <w:t>.  No Insider shall disclose (“tip”) Material Nonpublic Information to any other person (including but not limited to any of the Insider’s family members) where such information may be used by such person to his or her profit by trading in Company Securities or the securities of other companies to which such information relates, nor shall such Insider or related person make recommendations or express opinions on the basis of Material Nonpublic Information as to trading in Company Securities.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Confidentiality of Nonpublic Information</w:t>
      </w:r>
      <w:r>
        <w:rPr>
          <w:rFonts w:ascii="Times New Roman;Times;serif" w:hAnsi="Times New Roman;Times;serif"/>
          <w:sz w:val="24"/>
        </w:rPr>
        <w:t>. Nonpublic information relating to the Company is the property of the Company, and the unauthorized disclosure of such information is strictly forbidden. In addition, the Company is required under Regulation FD of the federal securities laws and the Company’s Regulation FD Policy to avoid the selective disclosure of Material Nonpublic Information. The Company has established procedures for releasing Material Nonpublic Information in a manner that is designed to achieve broad public dissemination of the information immediately upon its release, which is consistent with the legal requirements applicable to the Company. Therefore, no Insider may disclose Material Nonpublic Information to anyone outside the Company, the Manager or CTO, including family members and friends, other than in accordance with those procedures. Also, no Insider may discuss the Company or its business in an internet “chat room” or message board or similar internet-based forum, or on any social media of any kind.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Hedging Activities Prohibited</w:t>
      </w:r>
      <w:r>
        <w:rPr>
          <w:rFonts w:ascii="Times New Roman;Times;serif" w:hAnsi="Times New Roman;Times;serif"/>
          <w:sz w:val="24"/>
        </w:rPr>
        <w:t>. No director, officer or employee of the Company, the Manager or CTO, or any designee of such person, is permitted to purchase financial instruments (including prepaid variable forward contracts, equity swaps, collars, and exchange funds) that are designed to hedge or offset any decrease in the market value of Company Securities that have been granted to such person by the Company as part of his/her compensation or that are directly or indirectly held by such person.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Pledging Activities Prohibited</w:t>
      </w:r>
      <w:r>
        <w:rPr>
          <w:rFonts w:ascii="Times New Roman;Times;serif" w:hAnsi="Times New Roman;Times;serif"/>
          <w:sz w:val="24"/>
        </w:rPr>
        <w:t>. No director, officer or employee of the Company, the Manager or CTO, or any designee of such person, is permitted to purchase on margin, borrow against on margin or pledge as collateral for a loan Company Securities that have been granted to such person by the Company as part of his/her compensation or that are directly or indirectly held by such person.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2. Potential Criminal and Civil Liability</w:t>
        <w:br/>
        <w:t>and/or Disciplinary Action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Liability for Insider Trading</w:t>
      </w:r>
      <w:r>
        <w:rPr>
          <w:rFonts w:ascii="Times New Roman;Times;serif" w:hAnsi="Times New Roman;Times;serif"/>
          <w:sz w:val="24"/>
        </w:rPr>
        <w:t>. Insiders may be subject to disgorging of the profit made or the loss avoided, civil penalties of up to three times the profit made or loss avoided, prejudgment interest, criminal fines of up to $5,000,000 and up to twenty years in jail when engaging in transactions in Company Securities at a time when they possess Material Nonpublic Information regarding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Liability for Tipping</w:t>
      </w:r>
      <w:r>
        <w:rPr>
          <w:rFonts w:ascii="Times New Roman;Times;serif" w:hAnsi="Times New Roman;Times;serif"/>
          <w:sz w:val="24"/>
        </w:rPr>
        <w:t>. Insiders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Company Securities. The Securities and Exchange Commission (the “SEC”) has imposed large penalties even when the disclosing person did not profit from the trading. The SEC, the stock exchanges and the Financial Industry Regulatory Authority, Inc. use sophisticated electronic surveillance techniques to uncover insider trading.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Possible Disciplinary Actions</w:t>
      </w:r>
      <w:r>
        <w:rPr>
          <w:rFonts w:ascii="Times New Roman;Times;serif" w:hAnsi="Times New Roman;Times;serif"/>
          <w:sz w:val="24"/>
        </w:rPr>
        <w:t>. Employees of the Company, the Manager or CTO who violate this Policy may also be subject to disciplinary action by the Company, the Manager or CTO, as applicable, up to and including termination.</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3. Recommended Guidelines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Trading Window</w:t>
      </w:r>
      <w:r>
        <w:rPr>
          <w:rFonts w:ascii="Times New Roman;Times;serif" w:hAnsi="Times New Roman;Times;serif"/>
          <w:sz w:val="24"/>
        </w:rPr>
        <w:t>. To ensure compliance with this Policy and applicable federal and state securities laws, all directors, officers and employees of the Company, the Manager or CTO having access to the Company’s internal financial statements, financial information, transactional documents or materials, financial models or projections or other materials that qualify as Material Nonpublic Information, must refrain from conducting transactions involving the purchase, sale or gift of Company Securities other than during the following period (hereinafter referred to as the “Trading Window”):</w:t>
      </w:r>
    </w:p>
    <w:p>
      <w:pPr>
        <w:pStyle w:val="TextBody"/>
        <w:bidi w:val="0"/>
        <w:spacing w:before="0" w:after="240"/>
        <w:ind w:left="720" w:right="720" w:hanging="0"/>
        <w:jc w:val="both"/>
        <w:rPr>
          <w:rFonts w:ascii="Times New Roman;Times;serif" w:hAnsi="Times New Roman;Times;serif"/>
          <w:sz w:val="24"/>
        </w:rPr>
      </w:pPr>
      <w:r>
        <w:rPr>
          <w:rFonts w:ascii="Times New Roman;Times;serif" w:hAnsi="Times New Roman;Times;serif"/>
          <w:sz w:val="24"/>
          <w:u w:val="single"/>
        </w:rPr>
        <w:t>Trading Window</w:t>
      </w:r>
      <w:r>
        <w:rPr>
          <w:rFonts w:ascii="Times New Roman;Times;serif" w:hAnsi="Times New Roman;Times;serif"/>
          <w:sz w:val="24"/>
        </w:rPr>
        <w:t>: The period in the current fiscal quarter commencing at the close of business on the second Trading Day following the date of public disclosure of the Company’s financial results for the prior fiscal quarter or year (in the case of the first fiscal quarter of the following year), and ending at the close of business on the last calendar day of the current fiscal quarter. If such public disclosure occurs on a Trading Day after the market open but before the markets close, then such date of disclosure shall be considered the first Trading Day following such public disclosure. If such public disclosure occurs on a Trading Day before the market open, then for purposes of determining the Trading Window, the public disclosure shall be deemed to have occurred on such Trading Day.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should be noted that even during the Trading Window, any person possessing Material Nonpublic Information concerning the Company should not engage in any transactions in Company Securities until such information has been known publicly for at least two Trading Days. Although the Company may from time to time recommend during a Trading Window that directors, officers, selected employees of the Company, the Manager and CTO and others suspend trading because of developments known to the Company and not yet disclosed to the public, each person is individually responsible at all times for compliance with the prohibitions against insider trading. Trading in Company Securities during the Trading Window should not be considered a “safe harbor,” and all directors, officers, employees of the Company, the Manager and CTO and other persons should use good judgment at all times in addition to adhering to the specific requirements of this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Pre-clearance of Trades</w:t>
      </w:r>
      <w:r>
        <w:rPr>
          <w:rFonts w:ascii="Times New Roman;Times;serif" w:hAnsi="Times New Roman;Times;serif"/>
          <w:sz w:val="24"/>
        </w:rPr>
        <w:t>. The Company has determined that all directors, officers and employees of the Company, the Manager and CTO must refrain from trading in Company Securities, even during the Trading Window, without first complying with the Company’s “preclearance” process. Each such employee, officer and director must contact the Compliance Officer prior to commencing any purchase, sale or gift of Company Securities, including the exercise of any stock options or the redemption of any OP Units. The Compliance Officer will evaluate all proposed transactions to determine if such transaction raises concerns regarding insider trading and this Policy or other concerns under federal or state securities laws and regulations. Any response to the pre-clearance request will relate solely to the restraints imposed by law and will not constitute advice regarding any aspect of the investment transaction, including the merit of executing the transaction or not. Clearance of a transaction is valid only for a 48-hour period. If the transaction order is not placed within that 48-hour period, clearance of the transaction must be re-requested. If clearance is denied by the Compliance Officer, the fact of such denial must be kept confidential by the person requesting such clearance.</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Clearance of a proposed trade by the Compliance Officer does not constitute legal advice or otherwise acknowledge that the recipient of clearance to trade does not possess Material Nonpublic Information about the Company. Insiders must ultimately make their own judgments regarding, and are personally responsible for determining, whether they are in possession of Material Nonpublic Information about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may also find it necessary, from time to time, to require compliance with the pre-clearance process from certain consultants and contractors other than and in addition to directors, officers and employees.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Individual Responsibility</w:t>
      </w:r>
      <w:r>
        <w:rPr>
          <w:rFonts w:ascii="Times New Roman;Times;serif" w:hAnsi="Times New Roman;Times;serif"/>
          <w:sz w:val="24"/>
        </w:rPr>
        <w:t>. Every officer, director and employee of the Company, the Manager and CTO has the individual responsibility to comply with this Policy to protect against insider trading, regardless of whether the Trading Window is open. Violations of this Policy will be viewed seriously, and may provide grounds for disciplinary actions up to and including dismissal.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 Insider may, from time to time, be required to forego a proposed transaction in Company Securities, even if he or she planned to enter into such transaction before learning of the Material Nonpublic Information, and/or even though the Insider believes he or she may suffer an economic loss or forego anticipated profit by delaying or foregoing consummation of the proposed transaction.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4. Definition of Material Nonpublic Information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is not possible to define all categories of information that would qualify as material. However, information should be regarded as material if (i) there is a reasonable likelihood that it would be considered important to a reasonable investor in making an investment decision regarding the purchase, sale or gift of Company Securities, or (ii) if disclosed, such information could be viewed by a reasonable investor as having significantly altered the total mix of information publicly available regarding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While it may be difficult under this standard to determine whether particular information is material, there are various categories of information that are particularly sensitive and, as a general rule, should always be considered material. Some examples of information pertaining to the Company that ordinarily would be regarded as material are:</w:t>
      </w:r>
    </w:p>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Projections of future earnings or losses, or other metrics associated with earnings guidance;</w:t>
            </w:r>
          </w:p>
        </w:tc>
      </w:tr>
    </w:tbl>
    <w:tbl>
      <w:tblPr>
        <w:tblW w:w="8913" w:type="dxa"/>
        <w:jc w:val="left"/>
        <w:tblInd w:w="0" w:type="dxa"/>
        <w:tblLayout w:type="fixed"/>
        <w:tblCellMar>
          <w:top w:w="0" w:type="dxa"/>
          <w:left w:w="0" w:type="dxa"/>
          <w:bottom w:w="0" w:type="dxa"/>
          <w:right w:w="0" w:type="dxa"/>
        </w:tblCellMar>
      </w:tblPr>
      <w:tblGrid>
        <w:gridCol w:w="23"/>
        <w:gridCol w:w="170"/>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Earnings that are inconsistent with the consensus expectations of the investment community;</w:t>
            </w:r>
          </w:p>
        </w:tc>
      </w:tr>
    </w:tbl>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pending or proposed merger, acquisition or tender offer;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pending or proposed joint venture or acquisition or disposition of a significant asset, or operating segment;</w:t>
            </w:r>
          </w:p>
        </w:tc>
      </w:tr>
    </w:tbl>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placement or pay-down or pay-off of any significant debt instrument, amendments thereto, or compliance matters involving one or more debt instruments;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change in executive management, composition of the Board of Directors or the Company’s relationship with the Manager, CTO or both the Manager and CTO;</w:t>
            </w:r>
          </w:p>
        </w:tc>
      </w:tr>
    </w:tbl>
    <w:tbl>
      <w:tblPr>
        <w:tblW w:w="6633" w:type="dxa"/>
        <w:jc w:val="left"/>
        <w:tblInd w:w="0" w:type="dxa"/>
        <w:tblLayout w:type="fixed"/>
        <w:tblCellMar>
          <w:top w:w="0" w:type="dxa"/>
          <w:left w:w="0" w:type="dxa"/>
          <w:bottom w:w="0" w:type="dxa"/>
          <w:right w:w="0" w:type="dxa"/>
        </w:tblCellMar>
      </w:tblPr>
      <w:tblGrid>
        <w:gridCol w:w="23"/>
        <w:gridCol w:w="170"/>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Impending bankruptcy or the existence of severe liquidity problems;</w:t>
            </w:r>
          </w:p>
        </w:tc>
      </w:tr>
    </w:tbl>
    <w:tbl>
      <w:tblPr>
        <w:tblW w:w="3393" w:type="dxa"/>
        <w:jc w:val="left"/>
        <w:tblInd w:w="0" w:type="dxa"/>
        <w:tblLayout w:type="fixed"/>
        <w:tblCellMar>
          <w:top w:w="0" w:type="dxa"/>
          <w:left w:w="0" w:type="dxa"/>
          <w:bottom w:w="0" w:type="dxa"/>
          <w:right w:w="0" w:type="dxa"/>
        </w:tblCellMar>
      </w:tblPr>
      <w:tblGrid>
        <w:gridCol w:w="23"/>
        <w:gridCol w:w="17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Cybersecurity risks and incidents;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the independent public accountant or auditor of the Company or auditor notification that the Company may no longer rely on an audit report issued by the auditor;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Events regarding Company Securities (e.g., defaults on senior securities, calls of securities for redemption, repurchase plans, stock splits or changes in dividends, changes to rights of security holders, public or private sales of additional securities or information related to any additional funding);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Regulatory approvals, denials or notifications of violation or non-compliance, or changes in regulations; or</w:t>
            </w:r>
          </w:p>
        </w:tc>
      </w:tr>
    </w:tbl>
    <w:tbl>
      <w:tblPr>
        <w:tblW w:w="7788" w:type="dxa"/>
        <w:jc w:val="left"/>
        <w:tblInd w:w="0" w:type="dxa"/>
        <w:tblLayout w:type="fixed"/>
        <w:tblCellMar>
          <w:top w:w="0" w:type="dxa"/>
          <w:left w:w="0" w:type="dxa"/>
          <w:bottom w:w="0" w:type="dxa"/>
          <w:right w:w="0" w:type="dxa"/>
        </w:tblCellMar>
      </w:tblPr>
      <w:tblGrid>
        <w:gridCol w:w="23"/>
        <w:gridCol w:w="170"/>
        <w:gridCol w:w="7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exposure due to actual or threatened litigation or other contingencies.</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Either favorable or unfavorable information may be deemed material.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Nonpublic information is information that has not been previously disclosed, and is otherwise not available, to the general public. In order for information to be considered public, it must be widely disseminated, in a manner which makes it generally available to all investors. The circulation of rumors, even if accurate and reported in the media, does not constitute effective or appropriate public dissemination. In addition, even after a public announcement of material information, a reasonable period of time must elapse in order for the market to react to the information. In order to ensure adequate public dissemination of information, directors, officers and employees of the Company, the Manager and CTO may not engage in transactions in Company Securities until the close of business on the second Trading Day following the date of public disclosure of the Material Nonpublic Information.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5. Certain Exceptions—Equity Incentive Plan Shares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For purposes of this Policy, the Company considers the exercise of stock options under the Company’s equity incentive plans to constitute an investment decision and thus would not be exempt from this Policy, even where the total option exercise price is paid in cash. However, upon the vesting of restricted stock under the Company’s equity incentive plans, where such vesting is not a voluntary decision of the recipient of such award, then the tendering to the Company of a portion of such shares to pay the payroll taxes resulting from such vesting would be exempt from this Policy and is therefore permitted.</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6. Prearranged Trading Plans (Rule 10b5-1 Plans)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Rule 10b5-1 Plans</w:t>
      </w:r>
      <w:r>
        <w:rPr>
          <w:rFonts w:ascii="Times New Roman;Times;serif" w:hAnsi="Times New Roman;Times;serif"/>
          <w:sz w:val="24"/>
        </w:rPr>
        <w:t>. Rule 10b5-1 (“Rule 10b5-1”) under the Exchange Act, provides a defense from insider trading liability if trades in Company Securities occur pursuant to a pre-arranged “trading plan” that meets certain conditions specified in Rule 10b5-1 (a “Rule 10b5-1 Plan”), including, but not limited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Rule 10b5-1 Plan must have been entered into at a time when the Insider was not in possession of Material Nonpublic Information;</w:t>
            </w:r>
          </w:p>
        </w:tc>
      </w:tr>
    </w:tbl>
    <w:tbl>
      <w:tblPr>
        <w:tblW w:w="2883" w:type="dxa"/>
        <w:jc w:val="left"/>
        <w:tblInd w:w="0" w:type="dxa"/>
        <w:tblLayout w:type="fixed"/>
        <w:tblCellMar>
          <w:top w:w="0" w:type="dxa"/>
          <w:left w:w="0" w:type="dxa"/>
          <w:bottom w:w="0" w:type="dxa"/>
          <w:right w:w="0" w:type="dxa"/>
        </w:tblCellMar>
      </w:tblPr>
      <w:tblGrid>
        <w:gridCol w:w="23"/>
        <w:gridCol w:w="170"/>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Rule 10b5-1 Plan must: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specify the amount of securities to be purchased or sold and the price at which and the date on which the securities were to be purchased or sold;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include a written formula or algorithm, or computer program, for determining the amount of securities to be purchased or sold and the price at which and the date on which the securities were to be purchased or sold;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permit the Insider to exercise any subsequent influence over how, when, or whether to effect purchases or sales; provided, in addition, that any other person who, pursuant to the Rule 10b5-1 Plan, did exercise such influence must not have been aware of Material Nonpublic Information when doing so;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Rule 10b5-1 Plan must be entered into in good faith and not as part of a plan or scheme to evade the prohibitions of Rule 10b5-1, and the Insider must have acted in good faith with respect to the Rule 10135-1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a director or officer (as defined in Rule 16a-1(f) under the Exchange Act (“Rule 16a-1(f)”)) of the Company, no purchases or sales may occur until expiration of a cooling-off period consisting of the later of:</w:t>
            </w:r>
          </w:p>
        </w:tc>
      </w:tr>
    </w:tbl>
    <w:tbl>
      <w:tblPr>
        <w:tblW w:w="5298" w:type="dxa"/>
        <w:jc w:val="left"/>
        <w:tblInd w:w="0" w:type="dxa"/>
        <w:tblLayout w:type="fixed"/>
        <w:tblCellMar>
          <w:top w:w="0" w:type="dxa"/>
          <w:left w:w="0" w:type="dxa"/>
          <w:bottom w:w="0" w:type="dxa"/>
          <w:right w:w="0" w:type="dxa"/>
        </w:tblCellMar>
      </w:tblPr>
      <w:tblGrid>
        <w:gridCol w:w="23"/>
        <w:gridCol w:w="170"/>
        <w:gridCol w:w="5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90 days after the adoption of the Rule 10b5-1 Plan,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two business days following the disclosure of the Company’s financial results in a Form 10-Q or Form 10-K for the completed fiscal quarter in which the Rule 10b5-1 Plan was adopted (but, in any event, this required cooling-off period is subject to a maximum of 120 days after adoption of the Rule 10b5-1 Plan);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not a director or officer (as defined in Rule 16a-1(f)) of the Company, no purchases or sales may occur until the expiration of a cooling-off period that is 30 days after the adoption of the Rule 10b5-1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a director or officer (as defined in Rule 16a-1(f)) of the Company, such director or officer included a representation in the Rule 10b5-1 Plan certifying that, on the date of adoption of the Rule 10b5-1 Plan:</w:t>
            </w:r>
          </w:p>
        </w:tc>
      </w:tr>
    </w:tbl>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7</w:t>
      </w:r>
    </w:p>
    <w:p>
      <w:pPr>
        <w:pStyle w:val="HorizontalLine"/>
        <w:pBdr>
          <w:bottom w:val="double" w:sz="2" w:space="0" w:color="808080"/>
        </w:pBdr>
        <w:bidi w:val="0"/>
        <w:spacing w:before="0" w:after="283"/>
        <w:jc w:val="left"/>
        <w:rPr/>
      </w:pPr>
      <w:r>
        <w:rPr/>
      </w:r>
    </w:p>
    <w:tbl>
      <w:tblPr>
        <w:tblW w:w="8613" w:type="dxa"/>
        <w:jc w:val="left"/>
        <w:tblInd w:w="0" w:type="dxa"/>
        <w:tblLayout w:type="fixed"/>
        <w:tblCellMar>
          <w:top w:w="0" w:type="dxa"/>
          <w:left w:w="0" w:type="dxa"/>
          <w:bottom w:w="0" w:type="dxa"/>
          <w:right w:w="0" w:type="dxa"/>
        </w:tblCellMar>
      </w:tblPr>
      <w:tblGrid>
        <w:gridCol w:w="23"/>
        <w:gridCol w:w="170"/>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8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individual director or officer is not aware of any Material Nonpublic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individual director or officer is adopting the plan in good faith and not as part of a plan or scheme to evade the prohibitions of Rule 10b5-1;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person who entered into the Rule 10b5-1 Plan has no outstanding (and does not subsequently enter into any additional) Rule 10b5-1 Plan that would qualify for the affirmative defense under paragraph (c)(1) of Rule 10b5-1 for purchases or sales of the Company’s securities on the open market (subject to certain exceptions set forth in Rule 10b5-1).</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Additionally, Rule 10b5-1 limits the ability of Insiders to rely on the affirmative defense for a single-trade plan to one such plan during any consecutive 12-month period.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 Insider with a Rule 10b5-1 Plan that satisfies the applicable conditions set forth in Rule 10b5-1 may claim an affirmative defense to insider trading liability if the transactions under such Rule 10b5-1 Plan occur at a time when such Insider has subsequently learned Material Nonpublic Information. The details of the rules and regulations regarding Rule 10b5-1 Plans are complex, and further information about them is available upon request from the Compliance Officer.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Non-Rule 10b5-1 Plans</w:t>
      </w:r>
      <w:r>
        <w:rPr>
          <w:rFonts w:ascii="Times New Roman;Times;serif" w:hAnsi="Times New Roman;Times;serif"/>
          <w:sz w:val="24"/>
        </w:rPr>
        <w:t>. In addition to the affirmative defense provided under Rule 10b5-1, Insiders may assert other defenses to liability under the Exchange Act for trades of Company Securities that occur when an Insider is in possession of Material Nonpublic Information. Accordingly, Insiders may choose to establish trading plans that are not Rule 10b5-1 Plans (a “Non-Rule 10b5-1 Plan” and, collectively with Rule 10b5-1 Plans, “Trading Plans”). Non-Rule 10b5-1 Plans must meet the requirements for a “non-Rule 10b5-1 trading arrangement” as defined in Item 408(c) of Regulation S-K under the Exchange Act,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non-Rule 10b5-1 trading arrangement must have been entered into at a time when the Insider was not in possession of Material Nonpublic Information; and</w:t>
            </w:r>
          </w:p>
        </w:tc>
      </w:tr>
    </w:tbl>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non-Rule 10b5-1 trading arrangement must: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specify the amount of securities to be purchased or sold and the price at which and the date on which the securities were to be purchased or sold;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include a written formula or algorithm, or computer program, for determining the amount of securities to be purchased or sold and the price at which and the date on which the securities were to be purchased or sold;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permit the Insider to exercise any subsequent influence over how, when, or whether to effect purchases or sales; provided, in addition, that any other person who, pursuant to the non-Rule 10b5-1 trading arrangement, did exercise such influence must not have been aware of Material Nonpublic Information when doing so.</w:t>
            </w:r>
          </w:p>
        </w:tc>
      </w:tr>
    </w:tbl>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rules and regulations regarding Non-Rule 10b5-1 Plans are complex, and further information about them is available upon request from the Compliance Officer.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Disclosure Requirements</w:t>
      </w:r>
      <w:r>
        <w:rPr>
          <w:rFonts w:ascii="Times New Roman;Times;serif" w:hAnsi="Times New Roman;Times;serif"/>
          <w:sz w:val="24"/>
        </w:rPr>
        <w:t>. The SEC has adopted certain disclosure requirements related to the use of Trading Plans, including with respect to the adoption and termination (including modification) of such plans. In addition, Forms 4 and 5 require filers to identify transactions made pursuant to Rule 10b5-1 Plans.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Pre-Clearance of Trading Plans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person subject to the pre-clearance requirements set forth in Section 3 of this Policy who wishes to implement, amend, modify, or terminate a Trading Plan (a “Trading Plan Action”) must first pre-clear the proposed Trading Plan Action with the Compliance Officer (such Trading Plan Action, as cleared by the Compliance Officer, a “Pre-Cleared Trading Plan”). To ensure compliance, pre-clearance may require inquiry by the Compliance Officer and clearance may require up to 24 hours under normal circumstances. Transactions that comply with a properly implemented Pre-Cleared Trading Plan will not require further pre-clearance at the time of the transaction. A purchase or sale of Company securities in accordance with a properly implemented Pre-Cleared Trading Plan shall not be deemed to be a violation of this Policy even though such trade takes place during a blackout period or while the director, officer or employee making such trade was aware of Material Nonpublic Information. Notwithstanding any pre-clearance of a Trading Plan Action, the Company, its officers and directors assume no liability for the consequences of any transaction made pursuant to a Pre-Cleared Trading Plan.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7. Additional Information - Directors and Officers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Directors and executive officers of the Company must also comply with the reporting obligations and limitations on short-swing transactions set forth in Section 16 of the Exchange Act. The practical effect of these provisions is that directors and officers who purchase and sell (or sell and purchase) Company Securities within a six-month period must disgorge all profits to the Company whether or not they had knowledge of any Material Nonpublic Information. The Company has provided, or will provide, separate memoranda and other appropriate materials to its directors and officers regarding compliance with Section 16 of the Exchange Act and its related rules.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8. Inquiries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Please direct your questions as to any of the provisions or procedures discussed in this Policy to the Compliance Officer. The Compliance Officer has full and exclusive power to construe and interpret this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9. Updates and Amendments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reserves the right to update or amend this Policy at any time.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A, Page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Exhibit B</w:t>
      </w:r>
      <w:bookmarkStart w:id="2702" w:name="_Ref153831674"/>
      <w:bookmarkEnd w:id="2702"/>
      <w:r>
        <w:rPr>
          <w:rFonts w:ascii="Times New Roman;Times;serif" w:hAnsi="Times New Roman;Times;serif"/>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Directors and Officers who are subject to the reporting and penalty provisions of Section 16 of the Securities Exchange Act of 1934, as amended, and the rules and regulations promulgated thereunder, include the following:</w:t>
      </w:r>
    </w:p>
    <w:tbl>
      <w:tblPr>
        <w:tblW w:w="6100" w:type="dxa"/>
        <w:jc w:val="left"/>
        <w:tblInd w:w="0" w:type="dxa"/>
        <w:tblLayout w:type="fixed"/>
        <w:tblCellMar>
          <w:top w:w="0" w:type="dxa"/>
          <w:left w:w="0" w:type="dxa"/>
          <w:bottom w:w="0" w:type="dxa"/>
          <w:right w:w="0" w:type="dxa"/>
        </w:tblCellMar>
      </w:tblPr>
      <w:tblGrid>
        <w:gridCol w:w="1580"/>
        <w:gridCol w:w="4520"/>
      </w:tblGrid>
      <w:tr>
        <w:trPr/>
        <w:tc>
          <w:tcPr>
            <w:tcW w:w="158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John P. Albright</w:t>
            </w:r>
          </w:p>
        </w:tc>
        <w:tc>
          <w:tcPr>
            <w:tcW w:w="452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President, Chief Executive Officer and Director</w:t>
            </w:r>
          </w:p>
        </w:tc>
      </w:tr>
    </w:tbl>
    <w:tbl>
      <w:tblPr>
        <w:tblW w:w="7030" w:type="dxa"/>
        <w:jc w:val="left"/>
        <w:tblInd w:w="0" w:type="dxa"/>
        <w:tblLayout w:type="fixed"/>
        <w:tblCellMar>
          <w:top w:w="0" w:type="dxa"/>
          <w:left w:w="0" w:type="dxa"/>
          <w:bottom w:w="0" w:type="dxa"/>
          <w:right w:w="0" w:type="dxa"/>
        </w:tblCellMar>
      </w:tblPr>
      <w:tblGrid>
        <w:gridCol w:w="1445"/>
        <w:gridCol w:w="5585"/>
      </w:tblGrid>
      <w:tr>
        <w:trPr/>
        <w:tc>
          <w:tcPr>
            <w:tcW w:w="144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Philip R. Mays</w:t>
            </w:r>
          </w:p>
        </w:tc>
        <w:tc>
          <w:tcPr>
            <w:tcW w:w="558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Chief Financial Officer &amp; Treasurer</w:t>
            </w:r>
          </w:p>
        </w:tc>
      </w:tr>
    </w:tbl>
    <w:tbl>
      <w:tblPr>
        <w:tblW w:w="7510" w:type="dxa"/>
        <w:jc w:val="left"/>
        <w:tblInd w:w="0" w:type="dxa"/>
        <w:tblLayout w:type="fixed"/>
        <w:tblCellMar>
          <w:top w:w="0" w:type="dxa"/>
          <w:left w:w="0" w:type="dxa"/>
          <w:bottom w:w="0" w:type="dxa"/>
          <w:right w:w="0" w:type="dxa"/>
        </w:tblCellMar>
      </w:tblPr>
      <w:tblGrid>
        <w:gridCol w:w="1535"/>
        <w:gridCol w:w="5975"/>
      </w:tblGrid>
      <w:tr>
        <w:trPr/>
        <w:tc>
          <w:tcPr>
            <w:tcW w:w="153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Daniel E. Smith</w:t>
            </w:r>
          </w:p>
        </w:tc>
        <w:tc>
          <w:tcPr>
            <w:tcW w:w="597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General Counsel &amp; Corporate Secretary</w:t>
            </w:r>
          </w:p>
        </w:tc>
      </w:tr>
    </w:tbl>
    <w:tbl>
      <w:tblPr>
        <w:tblW w:w="6820" w:type="dxa"/>
        <w:jc w:val="left"/>
        <w:tblInd w:w="0" w:type="dxa"/>
        <w:tblLayout w:type="fixed"/>
        <w:tblCellMar>
          <w:top w:w="0" w:type="dxa"/>
          <w:left w:w="0" w:type="dxa"/>
          <w:bottom w:w="0" w:type="dxa"/>
          <w:right w:w="0" w:type="dxa"/>
        </w:tblCellMar>
      </w:tblPr>
      <w:tblGrid>
        <w:gridCol w:w="2090"/>
        <w:gridCol w:w="4730"/>
      </w:tblGrid>
      <w:tr>
        <w:trPr/>
        <w:tc>
          <w:tcPr>
            <w:tcW w:w="209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Steven R. Greathouse</w:t>
            </w:r>
          </w:p>
        </w:tc>
        <w:tc>
          <w:tcPr>
            <w:tcW w:w="473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&amp; Chief Investment Officer</w:t>
            </w:r>
          </w:p>
        </w:tc>
      </w:tr>
    </w:tbl>
    <w:tbl>
      <w:tblPr>
        <w:tblW w:w="6580" w:type="dxa"/>
        <w:jc w:val="left"/>
        <w:tblInd w:w="0" w:type="dxa"/>
        <w:tblLayout w:type="fixed"/>
        <w:tblCellMar>
          <w:top w:w="0" w:type="dxa"/>
          <w:left w:w="0" w:type="dxa"/>
          <w:bottom w:w="0" w:type="dxa"/>
          <w:right w:w="0" w:type="dxa"/>
        </w:tblCellMar>
      </w:tblPr>
      <w:tblGrid>
        <w:gridCol w:w="1775"/>
        <w:gridCol w:w="4805"/>
      </w:tblGrid>
      <w:tr>
        <w:trPr/>
        <w:tc>
          <w:tcPr>
            <w:tcW w:w="177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Lisa M. Vorakoun</w:t>
            </w:r>
          </w:p>
        </w:tc>
        <w:tc>
          <w:tcPr>
            <w:tcW w:w="480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&amp; Chief Accounting Officer</w:t>
            </w:r>
          </w:p>
        </w:tc>
      </w:tr>
    </w:tbl>
    <w:tbl>
      <w:tblPr>
        <w:tblW w:w="2575" w:type="dxa"/>
        <w:jc w:val="left"/>
        <w:tblInd w:w="0" w:type="dxa"/>
        <w:tblLayout w:type="fixed"/>
        <w:tblCellMar>
          <w:top w:w="0" w:type="dxa"/>
          <w:left w:w="0" w:type="dxa"/>
          <w:bottom w:w="0" w:type="dxa"/>
          <w:right w:w="0" w:type="dxa"/>
        </w:tblCellMar>
      </w:tblPr>
      <w:tblGrid>
        <w:gridCol w:w="1775"/>
        <w:gridCol w:w="800"/>
      </w:tblGrid>
      <w:tr>
        <w:trPr/>
        <w:tc>
          <w:tcPr>
            <w:tcW w:w="177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Rachel Elias Wein</w:t>
            </w:r>
          </w:p>
        </w:tc>
        <w:tc>
          <w:tcPr>
            <w:tcW w:w="80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Director</w:t>
            </w:r>
          </w:p>
        </w:tc>
      </w:tr>
    </w:tbl>
    <w:tbl>
      <w:tblPr>
        <w:tblW w:w="2425" w:type="dxa"/>
        <w:jc w:val="left"/>
        <w:tblInd w:w="0" w:type="dxa"/>
        <w:tblLayout w:type="fixed"/>
        <w:tblCellMar>
          <w:top w:w="0" w:type="dxa"/>
          <w:left w:w="0" w:type="dxa"/>
          <w:bottom w:w="0" w:type="dxa"/>
          <w:right w:w="0" w:type="dxa"/>
        </w:tblCellMar>
      </w:tblPr>
      <w:tblGrid>
        <w:gridCol w:w="1625"/>
        <w:gridCol w:w="800"/>
      </w:tblGrid>
      <w:tr>
        <w:trPr/>
        <w:tc>
          <w:tcPr>
            <w:tcW w:w="162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M. Carson Good</w:t>
            </w:r>
          </w:p>
        </w:tc>
        <w:tc>
          <w:tcPr>
            <w:tcW w:w="80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Director</w:t>
            </w:r>
          </w:p>
        </w:tc>
      </w:tr>
    </w:tbl>
    <w:tbl>
      <w:tblPr>
        <w:tblW w:w="5380" w:type="dxa"/>
        <w:jc w:val="left"/>
        <w:tblInd w:w="0" w:type="dxa"/>
        <w:tblLayout w:type="fixed"/>
        <w:tblCellMar>
          <w:top w:w="0" w:type="dxa"/>
          <w:left w:w="0" w:type="dxa"/>
          <w:bottom w:w="0" w:type="dxa"/>
          <w:right w:w="0" w:type="dxa"/>
        </w:tblCellMar>
      </w:tblPr>
      <w:tblGrid>
        <w:gridCol w:w="2225"/>
        <w:gridCol w:w="3155"/>
      </w:tblGrid>
      <w:tr>
        <w:trPr/>
        <w:tc>
          <w:tcPr>
            <w:tcW w:w="222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Andrew C. Richardson</w:t>
            </w:r>
          </w:p>
        </w:tc>
        <w:tc>
          <w:tcPr>
            <w:tcW w:w="315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 xml:space="preserve">Director, Chairman of the Board </w:t>
            </w:r>
          </w:p>
        </w:tc>
      </w:tr>
    </w:tbl>
    <w:tbl>
      <w:tblPr>
        <w:tblW w:w="2785" w:type="dxa"/>
        <w:jc w:val="left"/>
        <w:tblInd w:w="0" w:type="dxa"/>
        <w:tblLayout w:type="fixed"/>
        <w:tblCellMar>
          <w:top w:w="0" w:type="dxa"/>
          <w:left w:w="0" w:type="dxa"/>
          <w:bottom w:w="0" w:type="dxa"/>
          <w:right w:w="0" w:type="dxa"/>
        </w:tblCellMar>
      </w:tblPr>
      <w:tblGrid>
        <w:gridCol w:w="1985"/>
        <w:gridCol w:w="800"/>
      </w:tblGrid>
      <w:tr>
        <w:trPr/>
        <w:tc>
          <w:tcPr>
            <w:tcW w:w="19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Brenna A. Wadleigh</w:t>
            </w:r>
          </w:p>
        </w:tc>
        <w:tc>
          <w:tcPr>
            <w:tcW w:w="8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Last Reviewed: January 30, 2025</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Last Amended: January 30, 2025</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Exhibit B, Page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703" w:name="pine-20241231xex21d1.htm"/>
      <w:bookmarkStart w:id="2704" w:name="kspine20241231xex21d1"/>
      <w:bookmarkEnd w:id="2703"/>
      <w:bookmarkEnd w:id="2704"/>
      <w:r>
        <w:rPr>
          <w:rFonts w:ascii="Times New Roman;Times;serif" w:hAnsi="Times New Roman;Times;serif"/>
          <w:b/>
          <w:sz w:val="20"/>
        </w:rPr>
        <w:t>Exhibit 21.1</w:t>
      </w:r>
      <w:r>
        <w:br w:type="page"/>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Subsidiaries of the Registrant: Alpine Income Property Trust, Inc.</w:t>
      </w:r>
    </w:p>
    <w:p>
      <w:pPr>
        <w:pStyle w:val="TextBody"/>
        <w:bidi w:val="0"/>
        <w:spacing w:before="0" w:after="0"/>
        <w:ind w:left="0" w:right="0" w:hanging="0"/>
        <w:jc w:val="both"/>
        <w:rPr/>
      </w:pPr>
      <w:r>
        <w:rPr/>
        <w:t>​</w:t>
      </w:r>
    </w:p>
    <w:tbl>
      <w:tblPr>
        <w:tblW w:w="7722" w:type="dxa"/>
        <w:jc w:val="left"/>
        <w:tblInd w:w="0" w:type="dxa"/>
        <w:tblLayout w:type="fixed"/>
        <w:tblCellMar>
          <w:top w:w="0" w:type="dxa"/>
          <w:left w:w="0" w:type="dxa"/>
          <w:bottom w:w="0" w:type="dxa"/>
          <w:right w:w="0" w:type="dxa"/>
        </w:tblCellMar>
      </w:tblPr>
      <w:tblGrid>
        <w:gridCol w:w="2611"/>
        <w:gridCol w:w="109"/>
        <w:gridCol w:w="2101"/>
        <w:gridCol w:w="109"/>
        <w:gridCol w:w="2476"/>
        <w:gridCol w:w="316"/>
      </w:tblGrid>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4135" cy="175260"/>
                      <wp:effectExtent l="0" t="0" r="0" b="0"/>
                      <wp:wrapNone/>
                      <wp:docPr id="631" name="Frame63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572260" cy="175260"/>
                      <wp:effectExtent l="0" t="0" r="0" b="0"/>
                      <wp:wrapNone/>
                      <wp:docPr id="632" name="Frame632"/>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Organized Under Laws of</w:t>
            </w:r>
          </w:p>
        </w:tc>
        <w:tc>
          <w:tcPr>
            <w:tcW w:w="109" w:type="dxa"/>
            <w:tcBorders/>
            <w:vAlign w:val="center"/>
          </w:tcPr>
          <w:p>
            <w:pPr>
              <w:pStyle w:val="TableContents"/>
              <w:bidi w:val="0"/>
              <w:spacing w:before="0" w:after="0"/>
              <w:ind w:left="0" w:right="0" w:hanging="0"/>
              <w:jc w:val="left"/>
              <w:rPr/>
            </w:pPr>
            <w:r>
              <w:rPr/>
              <w:t>​</w:t>
            </w:r>
          </w:p>
        </w:tc>
        <w:tc>
          <w:tcPr>
            <w:tcW w:w="247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Percentage of Voting Securities</w:t>
              <w:br/>
              <w:t>Owned by Immediate Parent</w:t>
            </w:r>
          </w:p>
        </w:tc>
        <w:tc>
          <w:tcPr>
            <w:tcW w:w="31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Alpine Income Property GP,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Alpine Income Property OP, LP</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CTLC18 Lynn MA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CTO16 Reno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CTO17 Brandon FL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CTO17 Hillsboro OR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Albany GA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Birmingham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Troy WI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Winston Salem NC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Indigo Henry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PINE MEX OH LLC </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PINE MEX OH 2 LLC </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Alpharetta GA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Georgetown TX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Slaughter Austin TX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Arden NC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Barker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Bingham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Blanding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Chazy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Cut &amp; Shoot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Del Rio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Hammond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Harrisville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Heuvelton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Highland KY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Howell MI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Hurst TX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Kermit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Limestone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Milford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Newtonsville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Odessa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Salem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Seguin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Severn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Somerville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Tacoma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Tyn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Willis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Winthrop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II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III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IV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IX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VII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VIII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X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Houston East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Houston West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Sports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ACQ 3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Caesar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PINE23 IN Lender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Malden MO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Maple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Wash Mo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PINE23 MM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bl>
    <w:p>
      <w:pPr>
        <w:pStyle w:val="HorizontalLine"/>
        <w:pBdr>
          <w:bottom w:val="double" w:sz="2" w:space="0" w:color="808080"/>
        </w:pBdr>
        <w:bidi w:val="0"/>
        <w:spacing w:before="0" w:after="283"/>
        <w:jc w:val="left"/>
        <w:rPr/>
      </w:pPr>
      <w:r>
        <w:rPr/>
      </w:r>
    </w:p>
    <w:tbl>
      <w:tblPr>
        <w:tblW w:w="5397" w:type="dxa"/>
        <w:jc w:val="left"/>
        <w:tblInd w:w="0" w:type="dxa"/>
        <w:tblLayout w:type="fixed"/>
        <w:tblCellMar>
          <w:top w:w="0" w:type="dxa"/>
          <w:left w:w="0" w:type="dxa"/>
          <w:bottom w:w="0" w:type="dxa"/>
          <w:right w:w="0" w:type="dxa"/>
        </w:tblCellMar>
      </w:tblPr>
      <w:tblGrid>
        <w:gridCol w:w="3571"/>
        <w:gridCol w:w="109"/>
        <w:gridCol w:w="781"/>
        <w:gridCol w:w="109"/>
        <w:gridCol w:w="511"/>
        <w:gridCol w:w="316"/>
      </w:tblGrid>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PINE23 TN Lender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Clear Creek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Concord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Coolray LLC fka PINE20 Sun WI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Downer's Grove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Knoxville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Mt Carmel OH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Oceanside BH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Oceanside MV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Oceanside SB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Short Pump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9603 Westheimer Road,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(1)    </w:t>
      </w:r>
      <w:r>
        <w:rPr>
          <w:rFonts w:ascii="Times New Roman;Times;serif" w:hAnsi="Times New Roman;Times;serif"/>
          <w:sz w:val="20"/>
        </w:rPr>
        <w:t>Alpine Income Property Trust, Inc. (the “Company”) is the sole member of Alpine Income Property GP, LLC (the “General Partner”).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(2)    </w:t>
      </w:r>
      <w:r>
        <w:rPr>
          <w:rFonts w:ascii="Times New Roman;Times;serif" w:hAnsi="Times New Roman;Times;serif"/>
          <w:sz w:val="20"/>
        </w:rPr>
        <w:t xml:space="preserve">The General Partner is the sole general partner of Alpine Income Property OP, LP (the “Operating Partnership”). The Company owns an approximate 92.3% ownership interest in the Operating Partnership, with CTO Realty Growth, Inc. holding, directly and indirectly, an approximate 7.7% ownership interest in the Operating Partnership.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(3)    </w:t>
      </w:r>
      <w:r>
        <w:rPr>
          <w:rFonts w:ascii="Times New Roman;Times;serif" w:hAnsi="Times New Roman;Times;serif"/>
          <w:sz w:val="20"/>
        </w:rPr>
        <w:t>The Operating Partnership is the sole member.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subsidiaries are included in the Consolidated and Combined Financial Statements of the Company and its subsidiaries appearing elsewhere in the Company’s Annual Report on Form 10-K for the year ended December 31, 2024.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705" w:name="pine-20241231xex23d1.htm"/>
      <w:bookmarkStart w:id="2706" w:name="kspine20241231xex23d1"/>
      <w:bookmarkEnd w:id="2705"/>
      <w:bookmarkEnd w:id="2706"/>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issued our report dated February 6, 2025 with respect to the consolidated financial statements included in the Annual Report of Alpine Income Property Trust, Inc. on Form 10-K for the year ended December 31, 2024. We consent to the incorporation by reference of said report in the Registration Statements of Alpine Income Property Trust, Inc. on Form S-3 (File No. 333-274724) and Form S-8 (File No 333-235256).</w:t>
      </w:r>
    </w:p>
    <w:p>
      <w:pPr>
        <w:pStyle w:val="TextBody"/>
        <w:bidi w:val="0"/>
        <w:spacing w:before="0" w:after="0"/>
        <w:ind w:left="0" w:right="0" w:hanging="0"/>
        <w:jc w:val="left"/>
        <w:rPr/>
      </w:pPr>
      <w:r>
        <w:rPr/>
        <w:t>​</w:t>
      </w:r>
    </w:p>
    <w:tbl>
      <w:tblPr>
        <w:tblW w:w="2202" w:type="dxa"/>
        <w:jc w:val="center"/>
        <w:tblInd w:w="0" w:type="dxa"/>
        <w:tblLayout w:type="fixed"/>
        <w:tblCellMar>
          <w:top w:w="0" w:type="dxa"/>
          <w:left w:w="0" w:type="dxa"/>
          <w:bottom w:w="0" w:type="dxa"/>
          <w:right w:w="0" w:type="dxa"/>
        </w:tblCellMar>
      </w:tblPr>
      <w:tblGrid>
        <w:gridCol w:w="2011"/>
        <w:gridCol w:w="19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276985" cy="29210"/>
                      <wp:effectExtent l="0" t="0" r="0" b="0"/>
                      <wp:wrapNone/>
                      <wp:docPr id="633" name="Frame633"/>
                      <a:graphic xmlns:a="http://schemas.openxmlformats.org/drawingml/2006/main">
                        <a:graphicData uri="http://schemas.microsoft.com/office/word/2010/wordprocessingShape">
                          <wps:wsp>
                            <wps:cNvSpPr txBox="1"/>
                            <wps:spPr>
                              <a:xfrm>
                                <a:off x="0" y="0"/>
                                <a:ext cx="1276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21920" cy="29210"/>
                      <wp:effectExtent l="0" t="0" r="0" b="0"/>
                      <wp:wrapNone/>
                      <wp:docPr id="634" name="Frame634"/>
                      <a:graphic xmlns:a="http://schemas.openxmlformats.org/drawingml/2006/main">
                        <a:graphicData uri="http://schemas.microsoft.com/office/word/2010/wordprocessingShape">
                          <wps:wsp>
                            <wps:cNvSpPr txBox="1"/>
                            <wps:spPr>
                              <a:xfrm>
                                <a:off x="0" y="0"/>
                                <a:ext cx="121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Orlando, Florida</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707" w:name="pine-20241231xex31d1.htm"/>
      <w:bookmarkStart w:id="2708" w:name="kspine20241231xex31d1"/>
      <w:bookmarkEnd w:id="2707"/>
      <w:bookmarkEnd w:id="2708"/>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John P. Albright, certify that: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1.    I have reviewed this annual report on Form 10-K of Alpine Income Property Trust, Inc.;</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718" w:type="dxa"/>
        <w:jc w:val="center"/>
        <w:tblInd w:w="0" w:type="dxa"/>
        <w:tblLayout w:type="fixed"/>
        <w:tblCellMar>
          <w:top w:w="0" w:type="dxa"/>
          <w:left w:w="0" w:type="dxa"/>
          <w:bottom w:w="0" w:type="dxa"/>
          <w:right w:w="0" w:type="dxa"/>
        </w:tblCellMar>
      </w:tblPr>
      <w:tblGrid>
        <w:gridCol w:w="1981"/>
        <w:gridCol w:w="406"/>
        <w:gridCol w:w="333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6, 2025</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3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98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98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r>
        <w:trPr/>
        <w:tc>
          <w:tcPr>
            <w:tcW w:w="198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709" w:name="pine-20241231xex31d2.htm"/>
      <w:bookmarkStart w:id="2710" w:name="kspine20241231xex31d2"/>
      <w:bookmarkEnd w:id="2709"/>
      <w:bookmarkEnd w:id="2710"/>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Philip R. Mays, certify that: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1.    I have reviewed this annual report on Form 10-K of Alpine Income Property Trust, Inc.;</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1981"/>
        <w:gridCol w:w="406"/>
        <w:gridCol w:w="436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257935" cy="350520"/>
                      <wp:effectExtent l="0" t="0" r="0" b="0"/>
                      <wp:wrapNone/>
                      <wp:docPr id="635" name="Frame635"/>
                      <a:graphic xmlns:a="http://schemas.openxmlformats.org/drawingml/2006/main">
                        <a:graphicData uri="http://schemas.microsoft.com/office/word/2010/wordprocessingShape">
                          <wps:wsp>
                            <wps:cNvSpPr txBox="1"/>
                            <wps:spPr>
                              <a:xfrm>
                                <a:off x="0" y="0"/>
                                <a:ext cx="1257935" cy="3505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772410" cy="29210"/>
                      <wp:effectExtent l="0" t="0" r="0" b="0"/>
                      <wp:wrapNone/>
                      <wp:docPr id="636" name="Frame636"/>
                      <a:graphic xmlns:a="http://schemas.openxmlformats.org/drawingml/2006/main">
                        <a:graphicData uri="http://schemas.microsoft.com/office/word/2010/wordprocessingShape">
                          <wps:wsp>
                            <wps:cNvSpPr txBox="1"/>
                            <wps:spPr>
                              <a:xfrm>
                                <a:off x="0" y="0"/>
                                <a:ext cx="2772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6,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PHILIP R. MAYS</w:t>
            </w:r>
          </w:p>
        </w:tc>
      </w:tr>
      <w:tr>
        <w:trPr/>
        <w:tc>
          <w:tcPr>
            <w:tcW w:w="19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Philip R. Mays</w:t>
            </w:r>
          </w:p>
        </w:tc>
      </w:tr>
      <w:tr>
        <w:trPr/>
        <w:tc>
          <w:tcPr>
            <w:tcW w:w="19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w:t>
            </w:r>
          </w:p>
        </w:tc>
      </w:tr>
      <w:tr>
        <w:trPr/>
        <w:tc>
          <w:tcPr>
            <w:tcW w:w="19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Treasurer</w:t>
            </w:r>
          </w:p>
        </w:tc>
      </w:tr>
      <w:tr>
        <w:trPr/>
        <w:tc>
          <w:tcPr>
            <w:tcW w:w="19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711" w:name="pine-20241231xex32d1.htm"/>
      <w:bookmarkStart w:id="2712" w:name="kspine20241231xex32d1"/>
      <w:bookmarkEnd w:id="2711"/>
      <w:bookmarkEnd w:id="2712"/>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of Alpine Income Property Trust, Inc. (the “Company”) on Form 10-K for the period ending December 31, 2024,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978" w:type="dxa"/>
        <w:jc w:val="center"/>
        <w:tblInd w:w="0" w:type="dxa"/>
        <w:tblLayout w:type="fixed"/>
        <w:tblCellMar>
          <w:top w:w="0" w:type="dxa"/>
          <w:left w:w="0" w:type="dxa"/>
          <w:bottom w:w="0" w:type="dxa"/>
          <w:right w:w="0" w:type="dxa"/>
        </w:tblCellMar>
      </w:tblPr>
      <w:tblGrid>
        <w:gridCol w:w="1501"/>
        <w:gridCol w:w="146"/>
        <w:gridCol w:w="333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146" w:type="dxa"/>
            <w:tcBorders/>
            <w:vAlign w:val="center"/>
          </w:tcPr>
          <w:p>
            <w:pPr>
              <w:pStyle w:val="TableContents"/>
              <w:bidi w:val="0"/>
              <w:spacing w:before="0" w:after="0"/>
              <w:ind w:left="0" w:right="0" w:hanging="0"/>
              <w:jc w:val="left"/>
              <w:rPr/>
            </w:pPr>
            <w:r>
              <w:rPr/>
              <w:t> </w:t>
            </w:r>
          </w:p>
        </w:tc>
        <w:tc>
          <w:tcPr>
            <w:tcW w:w="33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5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r>
        <w:trPr/>
        <w:tc>
          <w:tcPr>
            <w:tcW w:w="15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713" w:name="pine-20241231xex32d2.htm"/>
      <w:bookmarkStart w:id="2714" w:name="kspine20241231xex32d2"/>
      <w:bookmarkEnd w:id="2713"/>
      <w:bookmarkEnd w:id="2714"/>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of Alpine Income Property Trust, Inc. (the “Company”) on Form 10-K for the period ending December 31, 2024,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6782" w:type="dxa"/>
        <w:jc w:val="left"/>
        <w:tblInd w:w="0" w:type="dxa"/>
        <w:tblLayout w:type="fixed"/>
        <w:tblCellMar>
          <w:top w:w="0" w:type="dxa"/>
          <w:left w:w="0" w:type="dxa"/>
          <w:bottom w:w="0" w:type="dxa"/>
          <w:right w:w="0" w:type="dxa"/>
        </w:tblCellMar>
      </w:tblPr>
      <w:tblGrid>
        <w:gridCol w:w="1501"/>
        <w:gridCol w:w="528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5281" w:type="dxa"/>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6, 2025</w:t>
            </w:r>
          </w:p>
        </w:tc>
        <w:tc>
          <w:tcPr>
            <w:tcW w:w="528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PHILIP R. MAYS</w:t>
            </w:r>
          </w:p>
        </w:tc>
      </w:tr>
      <w:tr>
        <w:trPr/>
        <w:tc>
          <w:tcPr>
            <w:tcW w:w="1501" w:type="dxa"/>
            <w:tcBorders/>
            <w:vAlign w:val="center"/>
          </w:tcPr>
          <w:p>
            <w:pPr>
              <w:pStyle w:val="TableContents"/>
              <w:bidi w:val="0"/>
              <w:spacing w:before="0" w:after="0"/>
              <w:ind w:left="0" w:right="0" w:hanging="0"/>
              <w:jc w:val="left"/>
              <w:rPr/>
            </w:pPr>
            <w:r>
              <w:rPr/>
              <w:t> </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Philip R. Mays</w:t>
            </w:r>
          </w:p>
        </w:tc>
      </w:tr>
      <w:tr>
        <w:trPr/>
        <w:tc>
          <w:tcPr>
            <w:tcW w:w="1501" w:type="dxa"/>
            <w:tcBorders/>
            <w:vAlign w:val="center"/>
          </w:tcPr>
          <w:p>
            <w:pPr>
              <w:pStyle w:val="TableContents"/>
              <w:bidi w:val="0"/>
              <w:spacing w:before="0" w:after="0"/>
              <w:ind w:left="0" w:right="0" w:hanging="0"/>
              <w:jc w:val="left"/>
              <w:rPr/>
            </w:pPr>
            <w:r>
              <w:rPr/>
              <w:t>​</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 Treasurer</w:t>
            </w:r>
          </w:p>
        </w:tc>
      </w:tr>
      <w:tr>
        <w:trPr/>
        <w:tc>
          <w:tcPr>
            <w:tcW w:w="1501" w:type="dxa"/>
            <w:tcBorders/>
            <w:vAlign w:val="center"/>
          </w:tcPr>
          <w:p>
            <w:pPr>
              <w:pStyle w:val="TableContents"/>
              <w:bidi w:val="0"/>
              <w:spacing w:before="0" w:after="0"/>
              <w:ind w:left="0" w:right="0" w:hanging="0"/>
              <w:jc w:val="left"/>
              <w:rPr/>
            </w:pPr>
            <w:r>
              <w:rPr/>
              <w:t> </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120" w:after="0"/>
        <w:ind w:left="0" w:right="0" w:hanging="0"/>
        <w:jc w:val="right"/>
        <w:rPr>
          <w:rFonts w:ascii="Times New Roman;Times;serif" w:hAnsi="Times New Roman;Times;serif"/>
          <w:b/>
          <w:sz w:val="24"/>
        </w:rPr>
      </w:pPr>
      <w:bookmarkStart w:id="2715" w:name="_Hlk141974725"/>
      <w:bookmarkStart w:id="2716" w:name="pine-20241231xex97d1.htm"/>
      <w:bookmarkStart w:id="2717" w:name="kspine20241231xex97d1"/>
      <w:bookmarkEnd w:id="2715"/>
      <w:bookmarkEnd w:id="2716"/>
      <w:bookmarkEnd w:id="2717"/>
      <w:r>
        <w:rPr>
          <w:rFonts w:ascii="Times New Roman;Times;serif" w:hAnsi="Times New Roman;Times;serif"/>
          <w:b/>
          <w:sz w:val="24"/>
        </w:rPr>
        <w:t>Exhibit 97.1</w:t>
      </w:r>
      <w:r>
        <w:br w:type="page"/>
      </w:r>
    </w:p>
    <w:p>
      <w:pPr>
        <w:pStyle w:val="TextBody"/>
        <w:bidi w:val="0"/>
        <w:spacing w:before="120" w:after="0"/>
        <w:ind w:left="0" w:right="0" w:hanging="0"/>
        <w:jc w:val="center"/>
        <w:rPr>
          <w:rFonts w:ascii="Times New Roman;Times;serif" w:hAnsi="Times New Roman;Times;serif"/>
          <w:b/>
          <w:sz w:val="24"/>
        </w:rPr>
      </w:pPr>
      <w:r>
        <w:rPr>
          <w:rFonts w:ascii="Times New Roman;Times;serif" w:hAnsi="Times New Roman;Times;serif"/>
          <w:b/>
          <w:sz w:val="24"/>
        </w:rPr>
        <w:t>Alpine Income Property Trust,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Clawback Policy </w:t>
      </w:r>
    </w:p>
    <w:p>
      <w:pPr>
        <w:pStyle w:val="TextBody"/>
        <w:bidi w:val="0"/>
        <w:spacing w:before="0" w:after="0"/>
        <w:ind w:left="0" w:right="0" w:hanging="0"/>
        <w:jc w:val="center"/>
        <w:rPr>
          <w:rFonts w:ascii="CG Times" w:hAnsi="CG Times"/>
          <w:sz w:val="24"/>
        </w:rPr>
      </w:pPr>
      <w:r>
        <w:rPr>
          <w:rFonts w:ascii="Times New Roman;Times;serif" w:hAnsi="Times New Roman;Times;serif"/>
          <w:sz w:val="24"/>
        </w:rPr>
        <w:t>(this “</w:t>
      </w:r>
      <w:r>
        <w:rPr>
          <w:rFonts w:ascii="Times New Roman;Times;serif" w:hAnsi="Times New Roman;Times;serif"/>
          <w:b/>
          <w:sz w:val="24"/>
        </w:rPr>
        <w:t>Policy</w:t>
      </w:r>
      <w:r>
        <w:rPr>
          <w:rFonts w:ascii="CG Times" w:hAnsi="CG Times"/>
          <w:sz w:val="24"/>
        </w:rPr>
        <w: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CG Times" w:hAnsi="CG Times"/>
          <w:sz w:val="24"/>
        </w:rPr>
      </w:pPr>
      <w:r>
        <w:rPr>
          <w:rFonts w:ascii="Times New Roman;Times;serif" w:hAnsi="Times New Roman;Times;serif"/>
          <w:sz w:val="24"/>
        </w:rPr>
        <w:t>Adopted by the Board of Directors (the “</w:t>
      </w:r>
      <w:r>
        <w:rPr>
          <w:rFonts w:ascii="Times New Roman;Times;serif" w:hAnsi="Times New Roman;Times;serif"/>
          <w:b/>
          <w:sz w:val="24"/>
        </w:rPr>
        <w:t>Board</w:t>
      </w:r>
      <w:r>
        <w:rPr>
          <w:rFonts w:ascii="CG Times" w:hAnsi="CG Times"/>
          <w:sz w:val="24"/>
        </w:rPr>
        <w:t>”</w:t>
      </w:r>
      <w:r>
        <w:rPr>
          <w:rFonts w:ascii="Times New Roman;Times;serif" w:hAnsi="Times New Roman;Times;serif"/>
          <w:sz w:val="24"/>
        </w:rPr>
        <w:t>) of Alpine Income Property Trust, Inc. (the “</w:t>
      </w:r>
      <w:r>
        <w:rPr>
          <w:rFonts w:ascii="Times New Roman;Times;serif" w:hAnsi="Times New Roman;Times;serif"/>
          <w:b/>
          <w:sz w:val="24"/>
        </w:rPr>
        <w:t>Company</w:t>
      </w:r>
      <w:r>
        <w:rPr>
          <w:rFonts w:ascii="CG Times" w:hAnsi="CG Times"/>
          <w:sz w:val="24"/>
        </w:rPr>
        <w:t>”</w:t>
      </w:r>
      <w:r>
        <w:rPr>
          <w:rFonts w:ascii="Times New Roman;Times;serif" w:hAnsi="Times New Roman;Times;serif"/>
          <w:sz w:val="24"/>
        </w:rPr>
        <w:t>) on October 17, 2023.</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1.</w:t>
      </w:r>
      <w:r>
        <w:rPr>
          <w:rFonts w:ascii="CG Times" w:hAnsi="CG Times"/>
          <w:sz w:val="24"/>
        </w:rPr>
        <w:t>  </w:t>
      </w:r>
      <w:r>
        <w:rPr>
          <w:rFonts w:ascii="Times New Roman;Times;serif" w:hAnsi="Times New Roman;Times;serif"/>
          <w:b/>
          <w:sz w:val="24"/>
        </w:rPr>
        <w:t>Recoupment.  </w:t>
      </w:r>
      <w:r>
        <w:rPr>
          <w:rFonts w:ascii="Times New Roman;Times;serif" w:hAnsi="Times New Roman;Times;serif"/>
          <w:sz w:val="24"/>
        </w:rPr>
        <w:t>If the Company</w:t>
      </w:r>
      <w:r>
        <w:rPr>
          <w:rFonts w:ascii="CG Times" w:hAnsi="CG Times"/>
          <w:sz w:val="24"/>
        </w:rPr>
        <w:t xml:space="preserve"> </w:t>
      </w:r>
      <w:r>
        <w:rPr>
          <w:rFonts w:ascii="Times New Roman;Times;serif" w:hAnsi="Times New Roman;Times;serif"/>
          <w:sz w:val="24"/>
        </w:rPr>
        <w:t>is required to prepare a Restatement, the Compensation Committee</w:t>
      </w:r>
      <w:r>
        <w:rPr>
          <w:rFonts w:ascii="CG Times" w:hAnsi="CG Times"/>
          <w:sz w:val="24"/>
        </w:rPr>
        <w:t xml:space="preserve"> </w:t>
      </w:r>
      <w:r>
        <w:rPr>
          <w:rFonts w:ascii="Times New Roman;Times;serif" w:hAnsi="Times New Roman;Times;serif"/>
          <w:sz w:val="24"/>
        </w:rPr>
        <w:t>of the Board (the “</w:t>
      </w:r>
      <w:r>
        <w:rPr>
          <w:rFonts w:ascii="Times New Roman;Times;serif" w:hAnsi="Times New Roman;Times;serif"/>
          <w:b/>
          <w:sz w:val="24"/>
        </w:rPr>
        <w:t>Committee</w:t>
      </w:r>
      <w:r>
        <w:rPr>
          <w:rFonts w:ascii="CG Times" w:hAnsi="CG Times"/>
          <w:sz w:val="24"/>
        </w:rPr>
        <w:t>”</w:t>
      </w:r>
      <w:r>
        <w:rPr>
          <w:rFonts w:ascii="Times New Roman;Times;serif" w:hAnsi="Times New Roman;Times;serif"/>
          <w:sz w:val="24"/>
        </w:rPr>
        <w:t>) shall, unless</w:t>
      </w:r>
      <w:r>
        <w:rPr>
          <w:rFonts w:ascii="CG Times" w:hAnsi="CG Times"/>
          <w:sz w:val="24"/>
        </w:rPr>
        <w:t xml:space="preserve"> </w:t>
      </w:r>
      <w:r>
        <w:rPr>
          <w:rFonts w:ascii="Times New Roman;Times;serif" w:hAnsi="Times New Roman;Times;serif"/>
          <w:sz w:val="24"/>
        </w:rPr>
        <w:t>determined to be Impracticable, take</w:t>
      </w:r>
      <w:r>
        <w:rPr>
          <w:rFonts w:ascii="CG Times" w:hAnsi="CG Times"/>
          <w:sz w:val="24"/>
        </w:rPr>
        <w:t xml:space="preserve"> </w:t>
      </w:r>
      <w:r>
        <w:rPr>
          <w:rFonts w:ascii="Times New Roman;Times;serif" w:hAnsi="Times New Roman;Times;serif"/>
          <w:sz w:val="24"/>
        </w:rPr>
        <w:t>reasonably prompt action to recoup all Recoverable Compensation</w:t>
      </w:r>
      <w:r>
        <w:rPr>
          <w:rFonts w:ascii="CG Times" w:hAnsi="CG Times"/>
          <w:sz w:val="24"/>
        </w:rPr>
        <w:t xml:space="preserve"> </w:t>
      </w:r>
      <w:r>
        <w:rPr>
          <w:rFonts w:ascii="Times New Roman;Times;serif" w:hAnsi="Times New Roman;Times;serif"/>
          <w:sz w:val="24"/>
        </w:rPr>
        <w:t>from</w:t>
      </w:r>
      <w:r>
        <w:rPr>
          <w:rFonts w:ascii="CG Times" w:hAnsi="CG Times"/>
          <w:sz w:val="24"/>
        </w:rPr>
        <w:t xml:space="preserve"> </w:t>
      </w:r>
      <w:r>
        <w:rPr>
          <w:rFonts w:ascii="Times New Roman;Times;serif" w:hAnsi="Times New Roman;Times;serif"/>
          <w:sz w:val="24"/>
        </w:rPr>
        <w:t>any Covered Person. This Policy is in addition to (and not in lieu of) any right of repayment, forfeiture or off-set against</w:t>
      </w:r>
      <w:r>
        <w:rPr>
          <w:rFonts w:ascii="CG Times" w:hAnsi="CG Times"/>
          <w:sz w:val="24"/>
        </w:rPr>
        <w:t xml:space="preserve"> </w:t>
      </w:r>
      <w:r>
        <w:rPr>
          <w:rFonts w:ascii="Times New Roman;Times;serif" w:hAnsi="Times New Roman;Times;serif"/>
          <w:sz w:val="24"/>
        </w:rPr>
        <w:t>any Covered Person that may be available under applicable law or otherwise (whether</w:t>
      </w:r>
      <w:r>
        <w:rPr>
          <w:rFonts w:ascii="CG Times" w:hAnsi="CG Times"/>
          <w:sz w:val="24"/>
        </w:rPr>
        <w:t xml:space="preserve"> </w:t>
      </w:r>
      <w:r>
        <w:rPr>
          <w:rFonts w:ascii="Times New Roman;Times;serif" w:hAnsi="Times New Roman;Times;serif"/>
          <w:sz w:val="24"/>
        </w:rPr>
        <w:t>implemented prior to or after</w:t>
      </w:r>
      <w:r>
        <w:rPr>
          <w:rFonts w:ascii="CG Times" w:hAnsi="CG Times"/>
          <w:sz w:val="24"/>
        </w:rPr>
        <w:t xml:space="preserve"> </w:t>
      </w:r>
      <w:r>
        <w:rPr>
          <w:rFonts w:ascii="Times New Roman;Times;serif" w:hAnsi="Times New Roman;Times;serif"/>
          <w:sz w:val="24"/>
        </w:rPr>
        <w:t>adoption of this</w:t>
      </w:r>
      <w:r>
        <w:rPr>
          <w:rFonts w:ascii="CG Times" w:hAnsi="CG Times"/>
          <w:sz w:val="24"/>
        </w:rPr>
        <w:t xml:space="preserve"> </w:t>
      </w:r>
      <w:r>
        <w:rPr>
          <w:rFonts w:ascii="Times New Roman;Times;serif" w:hAnsi="Times New Roman;Times;serif"/>
          <w:sz w:val="24"/>
        </w:rPr>
        <w:t>Policy).  The</w:t>
      </w:r>
      <w:r>
        <w:rPr>
          <w:rFonts w:ascii="CG Times" w:hAnsi="CG Times"/>
          <w:sz w:val="24"/>
        </w:rPr>
        <w:t xml:space="preserve"> </w:t>
      </w:r>
      <w:r>
        <w:rPr>
          <w:rFonts w:ascii="Times New Roman;Times;serif" w:hAnsi="Times New Roman;Times;serif"/>
          <w:sz w:val="24"/>
        </w:rPr>
        <w:t>Committee</w:t>
      </w:r>
      <w:r>
        <w:rPr>
          <w:rFonts w:ascii="CG Times" w:hAnsi="CG Times"/>
          <w:sz w:val="24"/>
        </w:rPr>
        <w:t xml:space="preserve"> </w:t>
      </w:r>
      <w:r>
        <w:rPr>
          <w:rFonts w:ascii="Times New Roman;Times;serif" w:hAnsi="Times New Roman;Times;serif"/>
          <w:sz w:val="24"/>
        </w:rPr>
        <w:t>may, in its sole</w:t>
      </w:r>
      <w:r>
        <w:rPr>
          <w:rFonts w:ascii="CG Times" w:hAnsi="CG Times"/>
          <w:sz w:val="24"/>
        </w:rPr>
        <w:t xml:space="preserve"> </w:t>
      </w:r>
      <w:r>
        <w:rPr>
          <w:rFonts w:ascii="Times New Roman;Times;serif" w:hAnsi="Times New Roman;Times;serif"/>
          <w:sz w:val="24"/>
        </w:rPr>
        <w:t>discretion and in the exercise of its business judgment, determine whether and to what extent</w:t>
      </w:r>
      <w:r>
        <w:rPr>
          <w:rFonts w:ascii="CG Times" w:hAnsi="CG Times"/>
          <w:sz w:val="24"/>
        </w:rPr>
        <w:t xml:space="preserve"> </w:t>
      </w:r>
      <w:r>
        <w:rPr>
          <w:rFonts w:ascii="Times New Roman;Times;serif" w:hAnsi="Times New Roman;Times;serif"/>
          <w:sz w:val="24"/>
        </w:rPr>
        <w:t>additional action is appropriate to address the circumstances surrounding any</w:t>
      </w:r>
      <w:r>
        <w:rPr>
          <w:rFonts w:ascii="CG Times" w:hAnsi="CG Times"/>
          <w:sz w:val="24"/>
        </w:rPr>
        <w:t xml:space="preserve"> </w:t>
      </w:r>
      <w:r>
        <w:rPr>
          <w:rFonts w:ascii="Times New Roman;Times;serif" w:hAnsi="Times New Roman;Times;serif"/>
          <w:sz w:val="24"/>
        </w:rPr>
        <w:t xml:space="preserve">recovery of Recoverable Compensation tied to a Restatement and to impose such other discipline as it deems appropriate. </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2.  Method of Recoupment.</w:t>
      </w:r>
      <w:r>
        <w:rPr>
          <w:rFonts w:ascii="CG Times" w:hAnsi="CG Times"/>
          <w:sz w:val="24"/>
        </w:rPr>
        <w:t xml:space="preserve">  </w:t>
      </w:r>
      <w:r>
        <w:rPr>
          <w:rFonts w:ascii="Times New Roman;Times;serif" w:hAnsi="Times New Roman;Times;serif"/>
          <w:sz w:val="24"/>
        </w:rPr>
        <w:t>Subject to applicable law, the Committee</w:t>
      </w:r>
      <w:r>
        <w:rPr>
          <w:rFonts w:ascii="CG Times" w:hAnsi="CG Times"/>
          <w:sz w:val="24"/>
        </w:rPr>
        <w:t xml:space="preserve"> </w:t>
      </w:r>
      <w:r>
        <w:rPr>
          <w:rFonts w:ascii="Times New Roman;Times;serif" w:hAnsi="Times New Roman;Times;serif"/>
          <w:sz w:val="24"/>
        </w:rPr>
        <w:t>may seek to recoup Recoverable Compensation by (i) requiring a</w:t>
      </w:r>
      <w:r>
        <w:rPr>
          <w:rFonts w:ascii="CG Times" w:hAnsi="CG Times"/>
          <w:sz w:val="24"/>
        </w:rPr>
        <w:t xml:space="preserve"> </w:t>
      </w:r>
      <w:r>
        <w:rPr>
          <w:rFonts w:ascii="Times New Roman;Times;serif" w:hAnsi="Times New Roman;Times;serif"/>
          <w:sz w:val="24"/>
        </w:rPr>
        <w:t>Covered Person to repay such amount to the Company;</w:t>
      </w:r>
      <w:r>
        <w:rPr>
          <w:rFonts w:ascii="CG Times" w:hAnsi="CG Times"/>
          <w:sz w:val="24"/>
        </w:rPr>
        <w:t xml:space="preserve"> </w:t>
      </w:r>
      <w:r>
        <w:rPr>
          <w:rFonts w:ascii="Times New Roman;Times;serif" w:hAnsi="Times New Roman;Times;serif"/>
          <w:sz w:val="24"/>
        </w:rPr>
        <w:t>(ii) offsetting a Covered Person’s other</w:t>
      </w:r>
      <w:r>
        <w:rPr>
          <w:rFonts w:ascii="CG Times" w:hAnsi="CG Times"/>
          <w:sz w:val="24"/>
        </w:rPr>
        <w:t xml:space="preserve"> </w:t>
      </w:r>
      <w:r>
        <w:rPr>
          <w:rFonts w:ascii="Times New Roman;Times;serif" w:hAnsi="Times New Roman;Times;serif"/>
          <w:sz w:val="24"/>
        </w:rPr>
        <w:t>compensation;</w:t>
      </w:r>
      <w:r>
        <w:rPr>
          <w:rFonts w:ascii="CG Times" w:hAnsi="CG Times"/>
          <w:sz w:val="24"/>
        </w:rPr>
        <w:t xml:space="preserve"> </w:t>
      </w:r>
      <w:r>
        <w:rPr>
          <w:rFonts w:ascii="Times New Roman;Times;serif" w:hAnsi="Times New Roman;Times;serif"/>
          <w:sz w:val="24"/>
        </w:rPr>
        <w:t>or (iii) such other means or combination of means as the</w:t>
      </w:r>
      <w:r>
        <w:rPr>
          <w:rFonts w:ascii="CG Times" w:hAnsi="CG Times"/>
          <w:sz w:val="24"/>
        </w:rPr>
        <w:t xml:space="preserve"> </w:t>
      </w:r>
      <w:r>
        <w:rPr>
          <w:rFonts w:ascii="Times New Roman;Times;serif" w:hAnsi="Times New Roman;Times;serif"/>
          <w:sz w:val="24"/>
        </w:rPr>
        <w:t>Committee, in its sole discretion, determines to be appropriate.</w:t>
      </w:r>
      <w:r>
        <w:rPr>
          <w:rFonts w:ascii="CG Times" w:hAnsi="CG Times"/>
          <w:sz w:val="24"/>
        </w:rPr>
        <w:t xml:space="preserve">  </w:t>
      </w:r>
      <w:r>
        <w:rPr>
          <w:rFonts w:ascii="Times New Roman;Times;serif" w:hAnsi="Times New Roman;Times;serif"/>
          <w:sz w:val="24"/>
        </w:rPr>
        <w:t>To the extent that a Covered Person fails to repay all Recoverable Compensation to the Company as determined pursuant to this Policy, the Company shall take all actions reasonable and appropriate to recover such amount, subject to applicable law.  The applicable Covered Person shall be required to reimburse the Company for any and all expenses reasonably incurred (including legal fees) by the Company in recovering such amount.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3.</w:t>
      </w:r>
      <w:r>
        <w:rPr>
          <w:rFonts w:ascii="CG Times" w:hAnsi="CG Times"/>
          <w:sz w:val="24"/>
        </w:rPr>
        <w:t>  </w:t>
      </w:r>
      <w:r>
        <w:rPr>
          <w:rFonts w:ascii="Times New Roman;Times;serif" w:hAnsi="Times New Roman;Times;serif"/>
          <w:b/>
          <w:sz w:val="24"/>
        </w:rPr>
        <w:t>Administration of Policy.  </w:t>
      </w:r>
      <w:r>
        <w:rPr>
          <w:rFonts w:ascii="Times New Roman;Times;serif" w:hAnsi="Times New Roman;Times;serif"/>
          <w:sz w:val="24"/>
        </w:rPr>
        <w:t>The Committee</w:t>
      </w:r>
      <w:r>
        <w:rPr>
          <w:rFonts w:ascii="CG Times" w:hAnsi="CG Times"/>
          <w:sz w:val="24"/>
        </w:rPr>
        <w:t xml:space="preserve"> </w:t>
      </w:r>
      <w:r>
        <w:rPr>
          <w:rFonts w:ascii="Times New Roman;Times;serif" w:hAnsi="Times New Roman;Times;serif"/>
          <w:sz w:val="24"/>
        </w:rPr>
        <w:t>shall have full authority to administer, amend or terminate</w:t>
      </w:r>
      <w:r>
        <w:rPr>
          <w:rFonts w:ascii="CG Times" w:hAnsi="CG Times"/>
          <w:sz w:val="24"/>
        </w:rPr>
        <w:t xml:space="preserve"> </w:t>
      </w:r>
      <w:r>
        <w:rPr>
          <w:rFonts w:ascii="Times New Roman;Times;serif" w:hAnsi="Times New Roman;Times;serif"/>
          <w:sz w:val="24"/>
        </w:rPr>
        <w:t>this Policy. The Committee shall, subject to the provisions of this</w:t>
      </w:r>
      <w:r>
        <w:rPr>
          <w:rFonts w:ascii="CG Times" w:hAnsi="CG Times"/>
          <w:sz w:val="24"/>
        </w:rPr>
        <w:t xml:space="preserve"> </w:t>
      </w:r>
      <w:r>
        <w:rPr>
          <w:rFonts w:ascii="Times New Roman;Times;serif" w:hAnsi="Times New Roman;Times;serif"/>
          <w:sz w:val="24"/>
        </w:rPr>
        <w:t>Policy, make such determinations and interpretations and take such actions in connection with this Policy</w:t>
      </w:r>
      <w:r>
        <w:rPr>
          <w:rFonts w:ascii="CG Times" w:hAnsi="CG Times"/>
          <w:sz w:val="24"/>
        </w:rPr>
        <w:t xml:space="preserve"> </w:t>
      </w:r>
      <w:r>
        <w:rPr>
          <w:rFonts w:ascii="Times New Roman;Times;serif" w:hAnsi="Times New Roman;Times;serif"/>
          <w:sz w:val="24"/>
        </w:rPr>
        <w:t>as it deems necessary, appropriate or advisable.</w:t>
      </w:r>
      <w:r>
        <w:rPr>
          <w:rFonts w:ascii="CG Times" w:hAnsi="CG Times"/>
          <w:sz w:val="24"/>
        </w:rPr>
        <w:t xml:space="preserve"> </w:t>
      </w:r>
      <w:r>
        <w:rPr>
          <w:rFonts w:ascii="Times New Roman;Times;serif" w:hAnsi="Times New Roman;Times;serif"/>
          <w:sz w:val="24"/>
        </w:rPr>
        <w:t>All determinations and interpretations made by the Committee</w:t>
      </w:r>
      <w:r>
        <w:rPr>
          <w:rFonts w:ascii="CG Times" w:hAnsi="CG Times"/>
          <w:sz w:val="24"/>
        </w:rPr>
        <w:t xml:space="preserve"> </w:t>
      </w:r>
      <w:r>
        <w:rPr>
          <w:rFonts w:ascii="Times New Roman;Times;serif" w:hAnsi="Times New Roman;Times;serif"/>
          <w:sz w:val="24"/>
        </w:rPr>
        <w:t>shall be final, binding and conclusive.</w:t>
      </w:r>
      <w:r>
        <w:rPr>
          <w:rFonts w:ascii="CG Times" w:hAnsi="CG Times"/>
          <w:sz w:val="24"/>
        </w:rPr>
        <w:t xml:space="preserve">  </w:t>
      </w:r>
      <w:r>
        <w:rPr>
          <w:rFonts w:ascii="Times New Roman;Times;serif" w:hAnsi="Times New Roman;Times;serif"/>
          <w:sz w:val="24"/>
        </w:rPr>
        <w:t>Notwithstanding anything in this Section 3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Times;serif" w:hAnsi="Times New Roman;Times;serif"/>
          <w:b/>
          <w:sz w:val="24"/>
        </w:rPr>
        <w:t>SEC</w:t>
      </w:r>
      <w:r>
        <w:rPr>
          <w:rFonts w:ascii="CG Times" w:hAnsi="CG Times"/>
          <w:sz w:val="24"/>
        </w:rPr>
        <w:t>”</w:t>
      </w:r>
      <w:r>
        <w:rPr>
          <w:rFonts w:ascii="Times New Roman;Times;serif" w:hAnsi="Times New Roman;Times;serif"/>
          <w:sz w:val="24"/>
        </w:rPr>
        <w:t xml:space="preserve">) or the rules of any national securities exchange or national securities association on which the Company’s securities are then listed.  The Committee shall consult with the Company’s audit committee, chief financial officer and chief accounting officer, as applicable, as needed in order to properly administer and interpret any provision of this Policy. </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4.</w:t>
      </w:r>
      <w:r>
        <w:rPr>
          <w:rFonts w:ascii="CG Times" w:hAnsi="CG Times"/>
          <w:sz w:val="24"/>
        </w:rPr>
        <w:t>  </w:t>
      </w:r>
      <w:r>
        <w:rPr>
          <w:rFonts w:ascii="Times New Roman;Times;serif" w:hAnsi="Times New Roman;Times;serif"/>
          <w:b/>
          <w:sz w:val="24"/>
        </w:rPr>
        <w:t>Acknowledgement by Executive Officers.  </w:t>
      </w:r>
      <w:r>
        <w:rPr>
          <w:rFonts w:ascii="Times New Roman;Times;serif" w:hAnsi="Times New Roman;Times;serif"/>
          <w:sz w:val="24"/>
        </w:rPr>
        <w:t>The Committee may</w:t>
      </w:r>
      <w:r>
        <w:rPr>
          <w:rFonts w:ascii="CG Times" w:hAnsi="CG Times"/>
          <w:sz w:val="24"/>
        </w:rPr>
        <w:t xml:space="preserve"> </w:t>
      </w:r>
      <w:r>
        <w:rPr>
          <w:rFonts w:ascii="Times New Roman;Times;serif" w:hAnsi="Times New Roman;Times;serif"/>
          <w:sz w:val="24"/>
        </w:rPr>
        <w:t>provide notice to and seek written acknowledgement of this Policy from each</w:t>
      </w:r>
      <w:r>
        <w:rPr>
          <w:rFonts w:ascii="CG Times" w:hAnsi="CG Times"/>
          <w:sz w:val="24"/>
        </w:rPr>
        <w:t xml:space="preserve"> </w:t>
      </w:r>
      <w:r>
        <w:rPr>
          <w:rFonts w:ascii="Times New Roman;Times;serif" w:hAnsi="Times New Roman;Times;serif"/>
          <w:sz w:val="24"/>
        </w:rPr>
        <w:t>Executive Officer; provided that the failure to provide such notice or obtain such acknowledgement shall not affect the applicability or enforceability of this Policy.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5.</w:t>
      </w:r>
      <w:r>
        <w:rPr>
          <w:rFonts w:ascii="CG Times" w:hAnsi="CG Times"/>
          <w:sz w:val="24"/>
        </w:rPr>
        <w:t>  </w:t>
      </w:r>
      <w:r>
        <w:rPr>
          <w:rFonts w:ascii="Times New Roman;Times;serif" w:hAnsi="Times New Roman;Times;serif"/>
          <w:b/>
          <w:sz w:val="24"/>
        </w:rPr>
        <w:t>No Indemnification.  </w:t>
      </w:r>
      <w:r>
        <w:rPr>
          <w:rFonts w:ascii="Times New Roman;Times;serif" w:hAnsi="Times New Roman;Times;serif"/>
          <w:sz w:val="24"/>
        </w:rPr>
        <w:t>Notwithstanding the terms of any of the Company’s organizational documents, any corporate policy or any contract, the Company shall not indemnify any Covered Person against the loss of any Recoverable Compensation.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6.</w:t>
      </w:r>
      <w:r>
        <w:rPr>
          <w:rFonts w:ascii="CG Times" w:hAnsi="CG Times"/>
          <w:sz w:val="24"/>
        </w:rPr>
        <w:t>  </w:t>
      </w:r>
      <w:r>
        <w:rPr>
          <w:rFonts w:ascii="Times New Roman;Times;serif" w:hAnsi="Times New Roman;Times;serif"/>
          <w:b/>
          <w:sz w:val="24"/>
        </w:rPr>
        <w:t>Disclosures</w:t>
      </w:r>
      <w:r>
        <w:rPr>
          <w:rFonts w:ascii="CG Times" w:hAnsi="CG Times"/>
          <w:sz w:val="24"/>
        </w:rPr>
        <w:t xml:space="preserve"> </w:t>
      </w:r>
      <w:r>
        <w:rPr>
          <w:rFonts w:ascii="Times New Roman;Times;serif" w:hAnsi="Times New Roman;Times;serif"/>
          <w:b/>
          <w:sz w:val="24"/>
        </w:rPr>
        <w:t>and Record Keeping.  </w:t>
      </w:r>
      <w:r>
        <w:rPr>
          <w:rFonts w:ascii="Times New Roman;Times;serif" w:hAnsi="Times New Roman;Times;serif"/>
          <w:sz w:val="24"/>
        </w:rPr>
        <w:t>The Company shall make all disclosures and filings</w:t>
      </w:r>
      <w:r>
        <w:rPr>
          <w:rFonts w:ascii="CG Times" w:hAnsi="CG Times"/>
          <w:sz w:val="24"/>
        </w:rPr>
        <w:t xml:space="preserve"> </w:t>
      </w:r>
      <w:r>
        <w:rPr>
          <w:rFonts w:ascii="Times New Roman;Times;serif" w:hAnsi="Times New Roman;Times;serif"/>
          <w:sz w:val="24"/>
        </w:rPr>
        <w:t>with respect to this Policy</w:t>
      </w:r>
      <w:r>
        <w:rPr>
          <w:rFonts w:ascii="CG Times" w:hAnsi="CG Times"/>
          <w:sz w:val="24"/>
        </w:rPr>
        <w:t xml:space="preserve"> </w:t>
      </w:r>
      <w:r>
        <w:rPr>
          <w:rFonts w:ascii="Times New Roman;Times;serif" w:hAnsi="Times New Roman;Times;serif"/>
          <w:sz w:val="24"/>
        </w:rPr>
        <w:t>and maintain all documents and records</w:t>
      </w:r>
      <w:r>
        <w:rPr>
          <w:rFonts w:ascii="CG Times" w:hAnsi="CG Times"/>
          <w:sz w:val="24"/>
        </w:rPr>
        <w:t xml:space="preserve"> </w:t>
      </w:r>
      <w:r>
        <w:rPr>
          <w:rFonts w:ascii="Times New Roman;Times;serif" w:hAnsi="Times New Roman;Times;serif"/>
          <w:sz w:val="24"/>
        </w:rPr>
        <w:t>that are required by the applicable rules and forms of the SEC (including, without limitation, Rule</w:t>
      </w:r>
      <w:r>
        <w:rPr>
          <w:rFonts w:ascii="CG Times" w:hAnsi="CG Times"/>
          <w:sz w:val="24"/>
        </w:rPr>
        <w:t xml:space="preserve"> </w:t>
      </w:r>
      <w:r>
        <w:rPr>
          <w:rFonts w:ascii="Times New Roman;Times;serif" w:hAnsi="Times New Roman;Times;serif"/>
          <w:sz w:val="24"/>
        </w:rPr>
        <w:t>10D-1 under</w:t>
      </w:r>
      <w:r>
        <w:rPr>
          <w:rFonts w:ascii="CG Times" w:hAnsi="CG Times"/>
          <w:sz w:val="24"/>
        </w:rPr>
        <w:t xml:space="preserve"> </w:t>
      </w:r>
      <w:r>
        <w:rPr>
          <w:rFonts w:ascii="Times New Roman;Times;serif" w:hAnsi="Times New Roman;Times;serif"/>
          <w:sz w:val="24"/>
        </w:rPr>
        <w:t>the Securities Exchange Act of 1934</w:t>
      </w:r>
      <w:r>
        <w:rPr>
          <w:rFonts w:ascii="CG Times" w:hAnsi="CG Times"/>
          <w:sz w:val="24"/>
        </w:rPr>
        <w:t xml:space="preserve"> </w:t>
      </w:r>
      <w:r>
        <w:rPr>
          <w:rFonts w:ascii="Times New Roman;Times;serif" w:hAnsi="Times New Roman;Times;serif"/>
          <w:sz w:val="24"/>
        </w:rPr>
        <w:t>(the “</w:t>
      </w:r>
      <w:r>
        <w:rPr>
          <w:rFonts w:ascii="Times New Roman;Times;serif" w:hAnsi="Times New Roman;Times;serif"/>
          <w:b/>
          <w:sz w:val="24"/>
        </w:rPr>
        <w:t>Exchange Act</w:t>
      </w:r>
      <w:r>
        <w:rPr>
          <w:rFonts w:ascii="CG Times" w:hAnsi="CG Times"/>
          <w:sz w:val="24"/>
        </w:rPr>
        <w:t>”</w:t>
      </w:r>
      <w:r>
        <w:rPr>
          <w:rFonts w:ascii="Times New Roman;Times;serif" w:hAnsi="Times New Roman;Times;serif"/>
          <w:sz w:val="24"/>
        </w:rPr>
        <w:t>)) and any applicable exchange listing</w:t>
      </w:r>
      <w:r>
        <w:rPr>
          <w:rFonts w:ascii="CG Times" w:hAnsi="CG Times"/>
          <w:sz w:val="24"/>
        </w:rPr>
        <w:t xml:space="preserve"> </w:t>
      </w:r>
      <w:r>
        <w:rPr>
          <w:rFonts w:ascii="Times New Roman;Times;serif" w:hAnsi="Times New Roman;Times;serif"/>
          <w:sz w:val="24"/>
        </w:rPr>
        <w:t>standard.</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7.</w:t>
      </w:r>
      <w:r>
        <w:rPr>
          <w:rFonts w:ascii="CG Times" w:hAnsi="CG Times"/>
          <w:sz w:val="24"/>
        </w:rPr>
        <w:t>  </w:t>
      </w:r>
      <w:r>
        <w:rPr>
          <w:rFonts w:ascii="Times New Roman;Times;serif" w:hAnsi="Times New Roman;Times;serif"/>
          <w:b/>
          <w:sz w:val="24"/>
        </w:rPr>
        <w:t>Governing Law.  </w:t>
      </w:r>
      <w:r>
        <w:rPr>
          <w:rFonts w:ascii="Times New Roman;Times;serif" w:hAnsi="Times New Roman;Times;serif"/>
          <w:sz w:val="24"/>
        </w:rPr>
        <w:t xml:space="preserve">The validity, construction, and effect of this Policy and any determinations relating to this Policy shall be construed in accordance with the laws of the State of Maryland without regard to its conflicts of laws principles.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8.</w:t>
      </w:r>
      <w:r>
        <w:rPr>
          <w:rFonts w:ascii="CG Times" w:hAnsi="CG Times"/>
          <w:sz w:val="24"/>
        </w:rPr>
        <w:t>  </w:t>
      </w:r>
      <w:r>
        <w:rPr>
          <w:rFonts w:ascii="Times New Roman;Times;serif" w:hAnsi="Times New Roman;Times;serif"/>
          <w:b/>
          <w:sz w:val="24"/>
        </w:rPr>
        <w:t xml:space="preserve">Successors. </w:t>
      </w:r>
      <w:r>
        <w:rPr>
          <w:rFonts w:ascii="Times New Roman;Times;serif" w:hAnsi="Times New Roman;Times;serif"/>
          <w:sz w:val="24"/>
        </w:rPr>
        <w:t xml:space="preserve">This Policy shall be binding and enforceable against all Covered Persons and their beneficiaries, heirs, executors, administrators or other legal representatives.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9.  Definitions.  </w:t>
      </w:r>
      <w:r>
        <w:rPr>
          <w:rFonts w:ascii="Times New Roman;Times;serif" w:hAnsi="Times New Roman;Times;serif"/>
          <w:sz w:val="24"/>
        </w:rPr>
        <w:t>In addition to terms otherwise defined in this Policy, the following terms, when used in</w:t>
      </w:r>
      <w:r>
        <w:rPr>
          <w:rFonts w:ascii="CG Times" w:hAnsi="CG Times"/>
          <w:sz w:val="24"/>
        </w:rPr>
        <w:t xml:space="preserve"> </w:t>
      </w:r>
      <w:r>
        <w:rPr>
          <w:rFonts w:ascii="Times New Roman;Times;serif" w:hAnsi="Times New Roman;Times;serif"/>
          <w:sz w:val="24"/>
        </w:rPr>
        <w:t>this Policy, shall have the following meanings: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Applicable Period</w:t>
      </w:r>
      <w:r>
        <w:rPr>
          <w:rFonts w:ascii="CG Times" w:hAnsi="CG Times"/>
          <w:sz w:val="24"/>
        </w:rPr>
        <w:t xml:space="preserve">” </w:t>
      </w:r>
      <w:r>
        <w:rPr>
          <w:rFonts w:ascii="Times New Roman;Times;serif" w:hAnsi="Times New Roman;Times;serif"/>
          <w:sz w:val="24"/>
        </w:rPr>
        <w:t>means the three completed fiscal</w:t>
      </w:r>
      <w:r>
        <w:rPr>
          <w:rFonts w:ascii="CG Times" w:hAnsi="CG Times"/>
          <w:sz w:val="24"/>
        </w:rPr>
        <w:t xml:space="preserve"> </w:t>
      </w:r>
      <w:r>
        <w:rPr>
          <w:rFonts w:ascii="Times New Roman;Times;serif" w:hAnsi="Times New Roman;Times;serif"/>
          <w:sz w:val="24"/>
        </w:rPr>
        <w:t>years preceding the earlier of: (i) the</w:t>
      </w:r>
      <w:r>
        <w:rPr>
          <w:rFonts w:ascii="CG Times" w:hAnsi="CG Times"/>
          <w:sz w:val="24"/>
        </w:rPr>
        <w:t xml:space="preserve"> </w:t>
      </w:r>
      <w:r>
        <w:rPr>
          <w:rFonts w:ascii="Times New Roman;Times;serif" w:hAnsi="Times New Roman;Times;serif"/>
          <w:sz w:val="24"/>
        </w:rPr>
        <w:t>date</w:t>
      </w:r>
      <w:r>
        <w:rPr>
          <w:rFonts w:ascii="CG Times" w:hAnsi="CG Times"/>
          <w:sz w:val="24"/>
        </w:rPr>
        <w:t xml:space="preserve"> </w:t>
      </w:r>
      <w:r>
        <w:rPr>
          <w:rFonts w:ascii="Times New Roman;Times;serif" w:hAnsi="Times New Roman;Times;serif"/>
          <w:sz w:val="24"/>
        </w:rPr>
        <w:t>that</w:t>
      </w:r>
      <w:r>
        <w:rPr>
          <w:rFonts w:ascii="CG Times" w:hAnsi="CG Times"/>
          <w:sz w:val="24"/>
        </w:rPr>
        <w:t xml:space="preserve"> </w:t>
      </w:r>
      <w:r>
        <w:rPr>
          <w:rFonts w:ascii="Times New Roman;Times;serif" w:hAnsi="Times New Roman;Times;serif"/>
          <w:sz w:val="24"/>
        </w:rPr>
        <w:t>the Committee, or the officer or officers of the Company</w:t>
      </w:r>
      <w:r>
        <w:rPr>
          <w:rFonts w:ascii="CG Times" w:hAnsi="CG Times"/>
          <w:sz w:val="24"/>
        </w:rPr>
        <w:t xml:space="preserve"> </w:t>
      </w:r>
      <w:r>
        <w:rPr>
          <w:rFonts w:ascii="Times New Roman;Times;serif" w:hAnsi="Times New Roman;Times;serif"/>
          <w:sz w:val="24"/>
        </w:rPr>
        <w:t>authorized to take such action if</w:t>
      </w:r>
      <w:r>
        <w:rPr>
          <w:rFonts w:ascii="CG Times" w:hAnsi="CG Times"/>
          <w:sz w:val="24"/>
        </w:rPr>
        <w:t xml:space="preserve"> </w:t>
      </w:r>
      <w:r>
        <w:rPr>
          <w:rFonts w:ascii="Times New Roman;Times;serif" w:hAnsi="Times New Roman;Times;serif"/>
          <w:sz w:val="24"/>
        </w:rPr>
        <w:t>Committee action is not required, concludes, or reasonably should have concluded, that the Company</w:t>
      </w:r>
      <w:r>
        <w:rPr>
          <w:rFonts w:ascii="CG Times" w:hAnsi="CG Times"/>
          <w:sz w:val="24"/>
        </w:rPr>
        <w:t xml:space="preserve"> </w:t>
      </w:r>
      <w:r>
        <w:rPr>
          <w:rFonts w:ascii="Times New Roman;Times;serif" w:hAnsi="Times New Roman;Times;serif"/>
          <w:sz w:val="24"/>
        </w:rPr>
        <w:t>is required to prepare a</w:t>
      </w:r>
      <w:r>
        <w:rPr>
          <w:rFonts w:ascii="CG Times" w:hAnsi="CG Times"/>
          <w:sz w:val="24"/>
        </w:rPr>
        <w:t xml:space="preserve"> </w:t>
      </w:r>
      <w:r>
        <w:rPr>
          <w:rFonts w:ascii="Times New Roman;Times;serif" w:hAnsi="Times New Roman;Times;serif"/>
          <w:sz w:val="24"/>
        </w:rPr>
        <w:t>Restatement; or</w:t>
      </w:r>
      <w:r>
        <w:rPr>
          <w:rFonts w:ascii="CG Times" w:hAnsi="CG Times"/>
          <w:sz w:val="24"/>
        </w:rPr>
        <w:t xml:space="preserve"> </w:t>
      </w:r>
      <w:r>
        <w:rPr>
          <w:rFonts w:ascii="Times New Roman;Times;serif" w:hAnsi="Times New Roman;Times;serif"/>
          <w:sz w:val="24"/>
        </w:rPr>
        <w:t>(ii) the date a court, regulator, or other legally authorized body directs the Company to prepare a</w:t>
      </w:r>
      <w:r>
        <w:rPr>
          <w:rFonts w:ascii="CG Times" w:hAnsi="CG Times"/>
          <w:sz w:val="24"/>
        </w:rPr>
        <w:t xml:space="preserve"> </w:t>
      </w:r>
      <w:r>
        <w:rPr>
          <w:rFonts w:ascii="Times New Roman;Times;serif" w:hAnsi="Times New Roman;Times;serif"/>
          <w:sz w:val="24"/>
        </w:rPr>
        <w:t>Restatement.</w:t>
      </w:r>
      <w:r>
        <w:rPr>
          <w:rFonts w:ascii="CG Times" w:hAnsi="CG Times"/>
          <w:sz w:val="24"/>
        </w:rPr>
        <w:t xml:space="preserve">  </w:t>
      </w:r>
      <w:r>
        <w:rPr>
          <w:rFonts w:ascii="Times New Roman;Times;serif" w:hAnsi="Times New Roman;Times;serif"/>
          <w:sz w:val="24"/>
        </w:rPr>
        <w:t>The Applicable Period shall also include any transition period (that results from a change in the Company’s fiscal year) of less than nine months within or immediately following the three completed fiscal years.</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Covered Person</w:t>
      </w:r>
      <w:r>
        <w:rPr>
          <w:rFonts w:ascii="CG Times" w:hAnsi="CG Times"/>
          <w:sz w:val="24"/>
        </w:rPr>
        <w:t xml:space="preserve">” </w:t>
      </w:r>
      <w:r>
        <w:rPr>
          <w:rFonts w:ascii="Times New Roman;Times;serif" w:hAnsi="Times New Roman;Times;serif"/>
          <w:sz w:val="24"/>
        </w:rPr>
        <w:t>means any person who</w:t>
      </w:r>
      <w:r>
        <w:rPr>
          <w:rFonts w:ascii="CG Times" w:hAnsi="CG Times"/>
          <w:sz w:val="24"/>
        </w:rPr>
        <w:t xml:space="preserve"> </w:t>
      </w:r>
      <w:r>
        <w:rPr>
          <w:rFonts w:ascii="Times New Roman;Times;serif" w:hAnsi="Times New Roman;Times;serif"/>
          <w:sz w:val="24"/>
        </w:rPr>
        <w:t>receives Recoverable Compensation.</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Executive Officer”</w:t>
      </w:r>
      <w:r>
        <w:rPr>
          <w:rFonts w:ascii="CG Times" w:hAnsi="CG Times"/>
          <w:sz w:val="24"/>
        </w:rPr>
        <w:t xml:space="preserve"> </w:t>
      </w:r>
      <w:r>
        <w:rPr>
          <w:rFonts w:ascii="Times New Roman;Times;serif" w:hAnsi="Times New Roman;Times;serif"/>
          <w:sz w:val="24"/>
        </w:rPr>
        <w:t>includes</w:t>
      </w:r>
      <w:r>
        <w:rPr>
          <w:rFonts w:ascii="CG Times" w:hAnsi="CG Times"/>
          <w:sz w:val="24"/>
        </w:rPr>
        <w:t xml:space="preserve"> </w:t>
      </w:r>
      <w:r>
        <w:rPr>
          <w:rFonts w:ascii="Times New Roman;Times;serif" w:hAnsi="Times New Roman;Times;serif"/>
          <w:sz w:val="24"/>
        </w:rPr>
        <w:t>the Company’s president, principal financial officer, principal accounting officer</w:t>
      </w:r>
      <w:r>
        <w:rPr>
          <w:rFonts w:ascii="CG Times" w:hAnsi="CG Times"/>
          <w:sz w:val="24"/>
        </w:rPr>
        <w:t xml:space="preserve"> </w:t>
      </w:r>
      <w:r>
        <w:rPr>
          <w:rFonts w:ascii="Times New Roman;Times;serif" w:hAnsi="Times New Roman;Times;serif"/>
          <w:sz w:val="24"/>
        </w:rPr>
        <w:t>(or if there is no such accounting officer, the controller), any vice-president of the</w:t>
      </w:r>
      <w:r>
        <w:rPr>
          <w:rFonts w:ascii="CG Times" w:hAnsi="CG Times"/>
          <w:sz w:val="24"/>
        </w:rPr>
        <w:t xml:space="preserve"> </w:t>
      </w:r>
      <w:r>
        <w:rPr>
          <w:rFonts w:ascii="Times New Roman;Times;serif" w:hAnsi="Times New Roman;Times;serif"/>
          <w:sz w:val="24"/>
        </w:rPr>
        <w:t>Company in charge of a principal business unit, division, or function (such as sales, administration, or</w:t>
      </w:r>
      <w:r>
        <w:rPr>
          <w:rFonts w:ascii="CG Times" w:hAnsi="CG Times"/>
          <w:sz w:val="24"/>
        </w:rPr>
        <w:t xml:space="preserve"> </w:t>
      </w:r>
      <w:r>
        <w:rPr>
          <w:rFonts w:ascii="Times New Roman;Times;serif" w:hAnsi="Times New Roman;Times;serif"/>
          <w:sz w:val="24"/>
        </w:rPr>
        <w:t>finance), any other officer</w:t>
      </w:r>
      <w:r>
        <w:rPr>
          <w:rFonts w:ascii="CG Times" w:hAnsi="CG Times"/>
          <w:sz w:val="24"/>
        </w:rPr>
        <w:t xml:space="preserve"> </w:t>
      </w:r>
      <w:r>
        <w:rPr>
          <w:rFonts w:ascii="Times New Roman;Times;serif" w:hAnsi="Times New Roman;Times;serif"/>
          <w:sz w:val="24"/>
        </w:rPr>
        <w:t>who performs a policy-making function, or any other person (including any executive officer of the Company’s controlled affiliates) who performs</w:t>
      </w:r>
      <w:r>
        <w:rPr>
          <w:rFonts w:ascii="CG Times" w:hAnsi="CG Times"/>
          <w:sz w:val="24"/>
        </w:rPr>
        <w:t xml:space="preserve"> </w:t>
      </w:r>
      <w:r>
        <w:rPr>
          <w:rFonts w:ascii="Times New Roman;Times;serif" w:hAnsi="Times New Roman;Times;serif"/>
          <w:sz w:val="24"/>
        </w:rPr>
        <w:t>similar policy-making functions for the Company.</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Financial Reporting Measure</w:t>
      </w:r>
      <w:r>
        <w:rPr>
          <w:rFonts w:ascii="CG Times" w:hAnsi="CG Times"/>
          <w:sz w:val="24"/>
        </w:rPr>
        <w:t xml:space="preserve">” </w:t>
      </w:r>
      <w:r>
        <w:rPr>
          <w:rFonts w:ascii="Times New Roman;Times;serif" w:hAnsi="Times New Roman;Times;serif"/>
          <w:sz w:val="24"/>
        </w:rPr>
        <w:t>means a measure that is determined and</w:t>
      </w:r>
      <w:r>
        <w:rPr>
          <w:rFonts w:ascii="CG Times" w:hAnsi="CG Times"/>
          <w:sz w:val="24"/>
        </w:rPr>
        <w:t xml:space="preserve"> </w:t>
      </w:r>
      <w:r>
        <w:rPr>
          <w:rFonts w:ascii="Times New Roman;Times;serif" w:hAnsi="Times New Roman;Times;serif"/>
          <w:sz w:val="24"/>
        </w:rPr>
        <w:t>presented in accordance with the accounting principles used in preparing the Company’s financial statements (including “non-GAAP”</w:t>
      </w:r>
      <w:r>
        <w:rPr>
          <w:rFonts w:ascii="CG Times" w:hAnsi="CG Times"/>
          <w:sz w:val="24"/>
        </w:rPr>
        <w:t xml:space="preserve"> </w:t>
      </w:r>
      <w:r>
        <w:rPr>
          <w:rFonts w:ascii="Times New Roman;Times;serif" w:hAnsi="Times New Roman;Times;serif"/>
          <w:sz w:val="24"/>
        </w:rPr>
        <w:t>financial</w:t>
      </w:r>
      <w:r>
        <w:rPr>
          <w:rFonts w:ascii="CG Times" w:hAnsi="CG Times"/>
          <w:sz w:val="24"/>
        </w:rPr>
        <w:t xml:space="preserve"> </w:t>
      </w:r>
      <w:r>
        <w:rPr>
          <w:rFonts w:ascii="Times New Roman;Times;serif" w:hAnsi="Times New Roman;Times;serif"/>
          <w:sz w:val="24"/>
        </w:rPr>
        <w:t>measures, such as those appearing in earnings releases), and any measure that is derived wholly or in part from such measure. Stock price</w:t>
      </w:r>
      <w:r>
        <w:rPr>
          <w:rFonts w:ascii="CG Times" w:hAnsi="CG Times"/>
          <w:sz w:val="24"/>
        </w:rPr>
        <w:t xml:space="preserve"> </w:t>
      </w:r>
      <w:r>
        <w:rPr>
          <w:rFonts w:ascii="Times New Roman;Times;serif" w:hAnsi="Times New Roman;Times;serif"/>
          <w:sz w:val="24"/>
        </w:rPr>
        <w:t>and total shareholder return</w:t>
      </w:r>
      <w:r>
        <w:rPr>
          <w:rFonts w:ascii="CG Times" w:hAnsi="CG Times"/>
          <w:sz w:val="24"/>
        </w:rPr>
        <w:t xml:space="preserve"> </w:t>
      </w:r>
      <w:r>
        <w:rPr>
          <w:rFonts w:ascii="Times New Roman;Times;serif" w:hAnsi="Times New Roman;Times;serif"/>
          <w:sz w:val="24"/>
        </w:rPr>
        <w:t>(“</w:t>
      </w:r>
      <w:r>
        <w:rPr>
          <w:rFonts w:ascii="Times New Roman;Times;serif" w:hAnsi="Times New Roman;Times;serif"/>
          <w:b/>
          <w:sz w:val="24"/>
        </w:rPr>
        <w:t>TSR</w:t>
      </w:r>
      <w:r>
        <w:rPr>
          <w:rFonts w:ascii="CG Times" w:hAnsi="CG Times"/>
          <w:sz w:val="24"/>
        </w:rPr>
        <w:t>”</w:t>
      </w:r>
      <w:r>
        <w:rPr>
          <w:rFonts w:ascii="Times New Roman;Times;serif" w:hAnsi="Times New Roman;Times;serif"/>
          <w:sz w:val="24"/>
        </w:rPr>
        <w:t>)</w:t>
      </w:r>
      <w:r>
        <w:rPr>
          <w:rFonts w:ascii="CG Times" w:hAnsi="CG Times"/>
          <w:sz w:val="24"/>
        </w:rPr>
        <w:t xml:space="preserve"> </w:t>
      </w:r>
      <w:r>
        <w:rPr>
          <w:rFonts w:ascii="Times New Roman;Times;serif" w:hAnsi="Times New Roman;Times;serif"/>
          <w:sz w:val="24"/>
        </w:rPr>
        <w:t>are Financial Reporting Measures.</w:t>
      </w:r>
      <w:r>
        <w:rPr>
          <w:rFonts w:ascii="CG Times" w:hAnsi="CG Times"/>
          <w:sz w:val="24"/>
        </w:rPr>
        <w:t xml:space="preserve">  </w:t>
      </w:r>
      <w:r>
        <w:rPr>
          <w:rFonts w:ascii="Times New Roman;Times;serif" w:hAnsi="Times New Roman;Times;serif"/>
          <w:sz w:val="24"/>
        </w:rPr>
        <w:t>Examples of additional</w:t>
      </w:r>
      <w:r>
        <w:rPr>
          <w:rFonts w:ascii="CG Times" w:hAnsi="CG Times"/>
          <w:sz w:val="24"/>
        </w:rPr>
        <w:t xml:space="preserve"> </w:t>
      </w:r>
      <w:r>
        <w:rPr>
          <w:rFonts w:ascii="Times New Roman;Times;serif" w:hAnsi="Times New Roman;Times;serif"/>
          <w:sz w:val="24"/>
        </w:rPr>
        <w:t>Financial</w:t>
      </w:r>
      <w:r>
        <w:rPr>
          <w:rFonts w:ascii="CG Times" w:hAnsi="CG Times"/>
          <w:sz w:val="24"/>
        </w:rPr>
        <w:t xml:space="preserve"> </w:t>
      </w:r>
      <w:r>
        <w:rPr>
          <w:rFonts w:ascii="Times New Roman;Times;serif" w:hAnsi="Times New Roman;Times;serif"/>
          <w:sz w:val="24"/>
        </w:rPr>
        <w:t>Reporting Measures include measures based on: revenues;</w:t>
      </w:r>
      <w:r>
        <w:rPr>
          <w:rFonts w:ascii="CG Times" w:hAnsi="CG Times"/>
          <w:sz w:val="24"/>
        </w:rPr>
        <w:t xml:space="preserve"> </w:t>
      </w:r>
      <w:r>
        <w:rPr>
          <w:rFonts w:ascii="Times New Roman;Times;serif" w:hAnsi="Times New Roman;Times;serif"/>
          <w:sz w:val="24"/>
        </w:rPr>
        <w:t>net income;</w:t>
      </w:r>
      <w:r>
        <w:rPr>
          <w:rFonts w:ascii="CG Times" w:hAnsi="CG Times"/>
          <w:sz w:val="24"/>
        </w:rPr>
        <w:t xml:space="preserve"> </w:t>
      </w:r>
      <w:r>
        <w:rPr>
          <w:rFonts w:ascii="Times New Roman;Times;serif" w:hAnsi="Times New Roman;Times;serif"/>
          <w:sz w:val="24"/>
        </w:rPr>
        <w:t>funds from operations; core funds from operations; adjusted funds from operations; pro forma earnings before interest, taxes, depreciation and amortization; same property net operating income; or</w:t>
      </w:r>
      <w:r>
        <w:rPr>
          <w:rFonts w:ascii="CG Times" w:hAnsi="CG Times"/>
          <w:sz w:val="24"/>
        </w:rPr>
        <w:t xml:space="preserve"> </w:t>
      </w:r>
      <w:r>
        <w:rPr>
          <w:rFonts w:ascii="Times New Roman;Times;serif" w:hAnsi="Times New Roman;Times;serif"/>
          <w:sz w:val="24"/>
        </w:rPr>
        <w:t>liquidity measures.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Impracticable”</w:t>
      </w:r>
      <w:r>
        <w:rPr>
          <w:rFonts w:ascii="CG Times" w:hAnsi="CG Times"/>
          <w:sz w:val="24"/>
        </w:rPr>
        <w:t xml:space="preserve"> </w:t>
      </w:r>
      <w:r>
        <w:rPr>
          <w:rFonts w:ascii="Times New Roman;Times;serif" w:hAnsi="Times New Roman;Times;serif"/>
          <w:sz w:val="24"/>
        </w:rPr>
        <w:t>means,</w:t>
      </w:r>
      <w:r>
        <w:rPr>
          <w:rFonts w:ascii="CG Times" w:hAnsi="CG Times"/>
          <w:sz w:val="24"/>
        </w:rPr>
        <w:t xml:space="preserve"> </w:t>
      </w:r>
      <w:r>
        <w:rPr>
          <w:rFonts w:ascii="Times New Roman;Times;serif" w:hAnsi="Times New Roman;Times;serif"/>
          <w:sz w:val="24"/>
        </w:rPr>
        <w:t>after exercising a</w:t>
      </w:r>
      <w:r>
        <w:rPr>
          <w:rFonts w:ascii="CG Times" w:hAnsi="CG Times"/>
          <w:sz w:val="24"/>
        </w:rPr>
        <w:t xml:space="preserve"> </w:t>
      </w:r>
      <w:r>
        <w:rPr>
          <w:rFonts w:ascii="Times New Roman;Times;serif" w:hAnsi="Times New Roman;Times;serif"/>
          <w:sz w:val="24"/>
        </w:rPr>
        <w:t>review of all the relevant facts and circumstances and taking all steps required by Exchange Act Rule 10D-1 and any applicable exchange listing standard, the Committee determines that recovery of the Incentive-Based Compensation is impracticable because: (i) it has determined that the direct expense that the Company would pay to a third party to assist in recovering the Incentive-Based Compensation would exceed the amount to be recovered; (ii) 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Incentive-Based Compensation</w:t>
      </w:r>
      <w:r>
        <w:rPr>
          <w:rFonts w:ascii="CG Times" w:hAnsi="CG Times"/>
          <w:sz w:val="24"/>
        </w:rPr>
        <w:t xml:space="preserve">” </w:t>
      </w:r>
      <w:r>
        <w:rPr>
          <w:rFonts w:ascii="Times New Roman;Times;serif" w:hAnsi="Times New Roman;Times;serif"/>
          <w:sz w:val="24"/>
        </w:rPr>
        <w:t>includes</w:t>
      </w:r>
      <w:r>
        <w:rPr>
          <w:rFonts w:ascii="CG Times" w:hAnsi="CG Times"/>
          <w:sz w:val="24"/>
        </w:rPr>
        <w:t xml:space="preserve"> </w:t>
      </w:r>
      <w:r>
        <w:rPr>
          <w:rFonts w:ascii="Times New Roman;Times;serif" w:hAnsi="Times New Roman;Times;serif"/>
          <w:sz w:val="24"/>
        </w:rPr>
        <w:t>any compensation that is</w:t>
      </w:r>
      <w:r>
        <w:rPr>
          <w:rFonts w:ascii="CG Times" w:hAnsi="CG Times"/>
          <w:sz w:val="24"/>
        </w:rPr>
        <w:t xml:space="preserve"> </w:t>
      </w:r>
      <w:r>
        <w:rPr>
          <w:rFonts w:ascii="Times New Roman;Times;serif" w:hAnsi="Times New Roman;Times;serif"/>
          <w:sz w:val="24"/>
        </w:rPr>
        <w:t>granted, earned, or vested based wholly or in part upon the attainment of a</w:t>
      </w:r>
      <w:r>
        <w:rPr>
          <w:rFonts w:ascii="CG Times" w:hAnsi="CG Times"/>
          <w:sz w:val="24"/>
        </w:rPr>
        <w:t xml:space="preserve"> </w:t>
      </w:r>
      <w:r>
        <w:rPr>
          <w:rFonts w:ascii="Times New Roman;Times;serif" w:hAnsi="Times New Roman;Times;serif"/>
          <w:sz w:val="24"/>
        </w:rPr>
        <w:t>Financial Reporting Measure; however, Incentive-Based Compensation</w:t>
      </w:r>
      <w:r>
        <w:rPr>
          <w:rFonts w:ascii="CG Times" w:hAnsi="CG Times"/>
          <w:sz w:val="24"/>
        </w:rPr>
        <w:t xml:space="preserve"> </w:t>
      </w:r>
      <w:r>
        <w:rPr>
          <w:rFonts w:ascii="Times New Roman;Times;serif" w:hAnsi="Times New Roman;Times;serif"/>
          <w:sz w:val="24"/>
        </w:rPr>
        <w:t>does not include: (i) base salaries; (ii)</w:t>
      </w:r>
      <w:r>
        <w:rPr>
          <w:rFonts w:ascii="CG Times" w:hAnsi="CG Times"/>
          <w:sz w:val="24"/>
        </w:rPr>
        <w:t xml:space="preserve"> </w:t>
      </w:r>
      <w:r>
        <w:rPr>
          <w:rFonts w:ascii="Times New Roman;Times;serif" w:hAnsi="Times New Roman;Times;serif"/>
          <w:sz w:val="24"/>
        </w:rPr>
        <w:t>discretionary cash bonuses; (iii) awards (either cash or equity) that are based upon subjective, strategic or operational standards;</w:t>
      </w:r>
      <w:r>
        <w:rPr>
          <w:rFonts w:ascii="CG Times" w:hAnsi="CG Times"/>
          <w:sz w:val="24"/>
        </w:rPr>
        <w:t xml:space="preserve"> </w:t>
      </w:r>
      <w:r>
        <w:rPr>
          <w:rFonts w:ascii="Times New Roman;Times;serif" w:hAnsi="Times New Roman;Times;serif"/>
          <w:sz w:val="24"/>
        </w:rPr>
        <w:t>and (iv) equity</w:t>
      </w:r>
      <w:r>
        <w:rPr>
          <w:rFonts w:ascii="CG Times" w:hAnsi="CG Times"/>
          <w:sz w:val="24"/>
        </w:rPr>
        <w:t xml:space="preserve"> </w:t>
      </w:r>
      <w:r>
        <w:rPr>
          <w:rFonts w:ascii="Times New Roman;Times;serif" w:hAnsi="Times New Roman;Times;serif"/>
          <w:sz w:val="24"/>
        </w:rPr>
        <w:t>awards that vest solely on the passage of time.</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Received</w:t>
      </w:r>
      <w:r>
        <w:rPr>
          <w:rFonts w:ascii="CG Times" w:hAnsi="CG Times"/>
          <w:sz w:val="24"/>
        </w:rPr>
        <w:t xml:space="preserve">” – </w:t>
      </w:r>
      <w:r>
        <w:rPr>
          <w:rFonts w:ascii="Times New Roman;Times;serif" w:hAnsi="Times New Roman;Times;serif"/>
          <w:sz w:val="24"/>
        </w:rPr>
        <w:t>Incentive-Based Compensation is deemed “Received” in any</w:t>
      </w:r>
      <w:r>
        <w:rPr>
          <w:rFonts w:ascii="CG Times" w:hAnsi="CG Times"/>
          <w:sz w:val="24"/>
        </w:rPr>
        <w:t xml:space="preserve"> </w:t>
      </w:r>
      <w:r>
        <w:rPr>
          <w:rFonts w:ascii="Times New Roman;Times;serif" w:hAnsi="Times New Roman;Times;serif"/>
          <w:sz w:val="24"/>
        </w:rPr>
        <w:t>Company fiscal</w:t>
      </w:r>
      <w:r>
        <w:rPr>
          <w:rFonts w:ascii="CG Times" w:hAnsi="CG Times"/>
          <w:sz w:val="24"/>
        </w:rPr>
        <w:t xml:space="preserve"> </w:t>
      </w:r>
      <w:r>
        <w:rPr>
          <w:rFonts w:ascii="Times New Roman;Times;serif" w:hAnsi="Times New Roman;Times;serif"/>
          <w:sz w:val="24"/>
        </w:rPr>
        <w:t>period during</w:t>
      </w:r>
      <w:r>
        <w:rPr>
          <w:rFonts w:ascii="CG Times" w:hAnsi="CG Times"/>
          <w:sz w:val="24"/>
        </w:rPr>
        <w:t xml:space="preserve"> </w:t>
      </w:r>
      <w:r>
        <w:rPr>
          <w:rFonts w:ascii="Times New Roman;Times;serif" w:hAnsi="Times New Roman;Times;serif"/>
          <w:sz w:val="24"/>
        </w:rPr>
        <w:t>which the Financial Reporting Measure</w:t>
      </w:r>
      <w:r>
        <w:rPr>
          <w:rFonts w:ascii="CG Times" w:hAnsi="CG Times"/>
          <w:sz w:val="24"/>
        </w:rPr>
        <w:t xml:space="preserve"> </w:t>
      </w:r>
      <w:r>
        <w:rPr>
          <w:rFonts w:ascii="Times New Roman;Times;serif" w:hAnsi="Times New Roman;Times;serif"/>
          <w:sz w:val="24"/>
        </w:rPr>
        <w:t>specified</w:t>
      </w:r>
      <w:r>
        <w:rPr>
          <w:rFonts w:ascii="CG Times" w:hAnsi="CG Times"/>
          <w:sz w:val="24"/>
        </w:rPr>
        <w:t xml:space="preserve"> </w:t>
      </w:r>
      <w:r>
        <w:rPr>
          <w:rFonts w:ascii="Times New Roman;Times;serif" w:hAnsi="Times New Roman;Times;serif"/>
          <w:sz w:val="24"/>
        </w:rPr>
        <w:t>in the Incentive-Based Compensation award is attained,</w:t>
      </w:r>
      <w:r>
        <w:rPr>
          <w:rFonts w:ascii="CG Times" w:hAnsi="CG Times"/>
          <w:sz w:val="24"/>
        </w:rPr>
        <w:t xml:space="preserve"> </w:t>
      </w:r>
      <w:r>
        <w:rPr>
          <w:rFonts w:ascii="Times New Roman;Times;serif" w:hAnsi="Times New Roman;Times;serif"/>
          <w:sz w:val="24"/>
        </w:rPr>
        <w:t>even if the payment or grant of the Incentive-Based Compensation occurs after the end of that period.</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Recoverable Compensation</w:t>
      </w:r>
      <w:r>
        <w:rPr>
          <w:rFonts w:ascii="CG Times" w:hAnsi="CG Times"/>
          <w:sz w:val="24"/>
        </w:rPr>
        <w:t xml:space="preserve">” </w:t>
      </w:r>
      <w:r>
        <w:rPr>
          <w:rFonts w:ascii="Times New Roman;Times;serif" w:hAnsi="Times New Roman;Times;serif"/>
          <w:sz w:val="24"/>
        </w:rPr>
        <w:t>means all</w:t>
      </w:r>
      <w:r>
        <w:rPr>
          <w:rFonts w:ascii="CG Times" w:hAnsi="CG Times"/>
          <w:sz w:val="24"/>
        </w:rPr>
        <w:t xml:space="preserve"> </w:t>
      </w:r>
      <w:r>
        <w:rPr>
          <w:rFonts w:ascii="Times New Roman;Times;serif" w:hAnsi="Times New Roman;Times;serif"/>
          <w:sz w:val="24"/>
        </w:rPr>
        <w:t>Incentive-Based</w:t>
      </w:r>
      <w:r>
        <w:rPr>
          <w:rFonts w:ascii="CG Times" w:hAnsi="CG Times"/>
          <w:sz w:val="24"/>
        </w:rPr>
        <w:t xml:space="preserve"> </w:t>
      </w:r>
      <w:r>
        <w:rPr>
          <w:rFonts w:ascii="Times New Roman;Times;serif" w:hAnsi="Times New Roman;Times;serif"/>
          <w:sz w:val="24"/>
        </w:rPr>
        <w:t>Compensation (calculated on a pre-tax basis) Received after October 2, 2023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w:t>
      </w:r>
      <w:r>
        <w:rPr>
          <w:rFonts w:ascii="CG Times" w:hAnsi="CG Times"/>
          <w:sz w:val="24"/>
        </w:rPr>
        <w:t xml:space="preserve"> </w:t>
      </w:r>
      <w:r>
        <w:rPr>
          <w:rFonts w:ascii="Times New Roman;Times;serif" w:hAnsi="Times New Roman;Times;serif"/>
          <w:sz w:val="24"/>
        </w:rPr>
        <w:t>been determined based on the</w:t>
      </w:r>
      <w:r>
        <w:rPr>
          <w:rFonts w:ascii="CG Times" w:hAnsi="CG Times"/>
          <w:sz w:val="24"/>
        </w:rPr>
        <w:t xml:space="preserve"> </w:t>
      </w:r>
      <w:r>
        <w:rPr>
          <w:rFonts w:ascii="Times New Roman;Times;serif" w:hAnsi="Times New Roman;Times;serif"/>
          <w:sz w:val="24"/>
        </w:rPr>
        <w:t>Financial Reporting Measures, as reflected in the Restatement. With respect to Incentive-Based Compensation based on stock price or TSR, when</w:t>
      </w:r>
      <w:r>
        <w:rPr>
          <w:rFonts w:ascii="CG Times" w:hAnsi="CG Times"/>
          <w:sz w:val="24"/>
        </w:rPr>
        <w:t xml:space="preserve"> </w:t>
      </w:r>
      <w:r>
        <w:rPr>
          <w:rFonts w:ascii="Times New Roman;Times;serif" w:hAnsi="Times New Roman;Times;serif"/>
          <w:sz w:val="24"/>
        </w:rPr>
        <w:t>the</w:t>
      </w:r>
      <w:r>
        <w:rPr>
          <w:rFonts w:ascii="CG Times" w:hAnsi="CG Times"/>
          <w:sz w:val="24"/>
        </w:rPr>
        <w:t xml:space="preserve"> </w:t>
      </w:r>
      <w:r>
        <w:rPr>
          <w:rFonts w:ascii="Times New Roman;Times;serif" w:hAnsi="Times New Roman;Times;serif"/>
          <w:sz w:val="24"/>
        </w:rPr>
        <w:t>amount of erroneously awarded compensation is not subject to mathematical</w:t>
      </w:r>
      <w:r>
        <w:rPr>
          <w:rFonts w:ascii="CG Times" w:hAnsi="CG Times"/>
          <w:sz w:val="24"/>
        </w:rPr>
        <w:t xml:space="preserve"> </w:t>
      </w:r>
      <w:r>
        <w:rPr>
          <w:rFonts w:ascii="Times New Roman;Times;serif" w:hAnsi="Times New Roman;Times;serif"/>
          <w:sz w:val="24"/>
        </w:rPr>
        <w:t>recalculation directly from the information in a Restatement, the</w:t>
      </w:r>
      <w:r>
        <w:rPr>
          <w:rFonts w:ascii="CG Times" w:hAnsi="CG Times"/>
          <w:sz w:val="24"/>
        </w:rPr>
        <w:t xml:space="preserve"> </w:t>
      </w:r>
      <w:r>
        <w:rPr>
          <w:rFonts w:ascii="Times New Roman;Times;serif" w:hAnsi="Times New Roman;Times;serif"/>
          <w:sz w:val="24"/>
        </w:rPr>
        <w:t>amount</w:t>
      </w:r>
      <w:r>
        <w:rPr>
          <w:rFonts w:ascii="CG Times" w:hAnsi="CG Times"/>
          <w:sz w:val="24"/>
        </w:rPr>
        <w:t xml:space="preserve"> </w:t>
      </w:r>
      <w:r>
        <w:rPr>
          <w:rFonts w:ascii="Times New Roman;Times;serif" w:hAnsi="Times New Roman;Times;serif"/>
          <w:sz w:val="24"/>
        </w:rPr>
        <w:t>of Incentive-Based Compensation determined to have been erroneously awarded must be based on a reasonable estimate of the effect of the Restatement on the</w:t>
      </w:r>
      <w:r>
        <w:rPr>
          <w:rFonts w:ascii="CG Times" w:hAnsi="CG Times"/>
          <w:sz w:val="24"/>
        </w:rPr>
        <w:t xml:space="preserve"> </w:t>
      </w:r>
      <w:r>
        <w:rPr>
          <w:rFonts w:ascii="Times New Roman;Times;serif" w:hAnsi="Times New Roman;Times;serif"/>
          <w:sz w:val="24"/>
        </w:rPr>
        <w:t>stock price or TSR upon which the Incentive-Based compensation was received.</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Restatement</w:t>
      </w:r>
      <w:r>
        <w:rPr>
          <w:rFonts w:ascii="CG Times" w:hAnsi="CG Times"/>
          <w:sz w:val="24"/>
        </w:rPr>
        <w:t xml:space="preserve">” </w:t>
      </w:r>
      <w:r>
        <w:rPr>
          <w:rFonts w:ascii="Times New Roman;Times;serif" w:hAnsi="Times New Roman;Times;serif"/>
          <w:sz w:val="24"/>
        </w:rPr>
        <w:t>means an accounting restatement of any of the Company’s financial statements due to the Company’s material noncompliance</w:t>
      </w:r>
      <w:r>
        <w:rPr>
          <w:rFonts w:ascii="CG Times" w:hAnsi="CG Times"/>
          <w:sz w:val="24"/>
        </w:rPr>
        <w:t xml:space="preserve"> </w:t>
      </w:r>
      <w:r>
        <w:rPr>
          <w:rFonts w:ascii="Times New Roman;Times;serif" w:hAnsi="Times New Roman;Times;serif"/>
          <w:sz w:val="24"/>
        </w:rPr>
        <w:t>with any financial reporting requirement under U.S. securities laws, including any required accounting restatement to correct an error in previously issued financial statements that is material to the previously issued financial statements</w:t>
      </w:r>
      <w:r>
        <w:rPr>
          <w:rFonts w:ascii="CG Times" w:hAnsi="CG Times"/>
          <w:sz w:val="24"/>
        </w:rPr>
        <w:t xml:space="preserve"> </w:t>
      </w:r>
      <w:r>
        <w:rPr>
          <w:rFonts w:ascii="Times New Roman;Times;serif" w:hAnsi="Times New Roman;Times;serif"/>
          <w:sz w:val="24"/>
        </w:rPr>
        <w:t xml:space="preserve">(often referred to as a </w:t>
      </w:r>
      <w:r>
        <w:rPr>
          <w:rFonts w:ascii="CG Times" w:hAnsi="CG Times"/>
          <w:sz w:val="24"/>
        </w:rPr>
        <w:t>“</w:t>
      </w:r>
      <w:r>
        <w:rPr>
          <w:rFonts w:ascii="Times New Roman;Times;serif" w:hAnsi="Times New Roman;Times;serif"/>
          <w:sz w:val="24"/>
        </w:rPr>
        <w:t>Big R” restatement), or that would result in a material misstatement if the error were corrected in the current period or left uncorrected in the current period</w:t>
      </w:r>
      <w:r>
        <w:rPr>
          <w:rFonts w:ascii="CG Times" w:hAnsi="CG Times"/>
          <w:sz w:val="24"/>
        </w:rPr>
        <w:t xml:space="preserve"> </w:t>
      </w:r>
      <w:r>
        <w:rPr>
          <w:rFonts w:ascii="Times New Roman;Times;serif" w:hAnsi="Times New Roman;Times;serif"/>
          <w:sz w:val="24"/>
        </w:rPr>
        <w:t>(often</w:t>
      </w:r>
      <w:r>
        <w:rPr>
          <w:rFonts w:ascii="CG Times" w:hAnsi="CG Times"/>
          <w:sz w:val="24"/>
        </w:rPr>
        <w:t xml:space="preserve"> </w:t>
      </w:r>
      <w:r>
        <w:rPr>
          <w:rFonts w:ascii="Times New Roman;Times;serif" w:hAnsi="Times New Roman;Times;serif"/>
          <w:sz w:val="24"/>
        </w:rPr>
        <w:t xml:space="preserve">referred to as a </w:t>
      </w:r>
      <w:r>
        <w:rPr>
          <w:rFonts w:ascii="CG Times" w:hAnsi="CG Times"/>
          <w:sz w:val="24"/>
        </w:rPr>
        <w:t>“</w:t>
      </w:r>
      <w:r>
        <w:rPr>
          <w:rFonts w:ascii="Times New Roman;Times;serif" w:hAnsi="Times New Roman;Times;serif"/>
          <w:sz w:val="24"/>
        </w:rPr>
        <w:t xml:space="preserve">little r” restatement).  As of the effective date of this Policy (but subject to changes that may occur in accounting principles and rules following the effective date), a Restatement does not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CG Times" w:hAnsi="CG Times"/>
          <w:sz w:val="24"/>
        </w:rPr>
      </w:pPr>
      <w:r>
        <w:rPr>
          <w:rFonts w:ascii="Times New Roman;Times;serif" w:hAnsi="Times New Roman;Times;serif"/>
          <w:sz w:val="24"/>
        </w:rPr>
        <w:t>include situations in which financial statement changes did not result from material non-compliance</w:t>
      </w:r>
      <w:r>
        <w:rPr>
          <w:rFonts w:ascii="CG Times" w:hAnsi="CG Times"/>
          <w:sz w:val="24"/>
        </w:rPr>
        <w:t xml:space="preserve"> </w:t>
      </w:r>
      <w:r>
        <w:rPr>
          <w:rFonts w:ascii="Times New Roman;Times;serif" w:hAnsi="Times New Roman;Times;serif"/>
          <w:sz w:val="24"/>
        </w:rPr>
        <w:t>with financial reporting requirements, such as, but not limited to</w:t>
      </w:r>
      <w:r>
        <w:rPr>
          <w:rFonts w:ascii="CG Times" w:hAnsi="CG Times"/>
          <w:sz w:val="24"/>
        </w:rPr>
        <w:t xml:space="preserve"> </w:t>
      </w:r>
      <w:r>
        <w:rPr>
          <w:rFonts w:ascii="Times New Roman;Times;serif" w:hAnsi="Times New Roman;Times;serif"/>
          <w:sz w:val="24"/>
        </w:rPr>
        <w:t>retrospective: (i) application of</w:t>
      </w:r>
      <w:r>
        <w:rPr>
          <w:rFonts w:ascii="CG Times" w:hAnsi="CG Times"/>
          <w:sz w:val="24"/>
        </w:rPr>
        <w:t xml:space="preserve"> </w:t>
      </w:r>
      <w:r>
        <w:rPr>
          <w:rFonts w:ascii="Times New Roman;Times;serif" w:hAnsi="Times New Roman;Times;serif"/>
          <w:sz w:val="24"/>
        </w:rPr>
        <w:t>a change in accounting principles; (ii) revision to reportable segment information due to a change</w:t>
      </w:r>
      <w:r>
        <w:rPr>
          <w:rFonts w:ascii="CG Times" w:hAnsi="CG Times"/>
          <w:sz w:val="24"/>
        </w:rPr>
        <w:t xml:space="preserve"> </w:t>
      </w:r>
      <w:r>
        <w:rPr>
          <w:rFonts w:ascii="Times New Roman;Times;serif" w:hAnsi="Times New Roman;Times;serif"/>
          <w:sz w:val="24"/>
        </w:rPr>
        <w:t>in the structure of the Company’s internal organization; (iii) reclassification due to a discontinued</w:t>
      </w:r>
      <w:r>
        <w:rPr>
          <w:rFonts w:ascii="CG Times" w:hAnsi="CG Times"/>
          <w:sz w:val="24"/>
        </w:rPr>
        <w:t xml:space="preserve"> </w:t>
      </w:r>
      <w:r>
        <w:rPr>
          <w:rFonts w:ascii="Times New Roman;Times;serif" w:hAnsi="Times New Roman;Times;serif"/>
          <w:sz w:val="24"/>
        </w:rPr>
        <w:t>operation; (iv) application of a change in reporting entity, such as from a reorganization of entities</w:t>
      </w:r>
      <w:r>
        <w:rPr>
          <w:rFonts w:ascii="CG Times" w:hAnsi="CG Times"/>
          <w:sz w:val="24"/>
        </w:rPr>
        <w:t xml:space="preserve"> </w:t>
      </w:r>
      <w:r>
        <w:rPr>
          <w:rFonts w:ascii="Times New Roman;Times;serif" w:hAnsi="Times New Roman;Times;serif"/>
          <w:sz w:val="24"/>
        </w:rPr>
        <w:t>under common control; (v) adjustment to provision amounts in connection with a prior business</w:t>
      </w:r>
      <w:r>
        <w:rPr>
          <w:rFonts w:ascii="CG Times" w:hAnsi="CG Times"/>
          <w:sz w:val="24"/>
        </w:rPr>
        <w:t xml:space="preserve"> </w:t>
      </w:r>
      <w:r>
        <w:rPr>
          <w:rFonts w:ascii="Times New Roman;Times;serif" w:hAnsi="Times New Roman;Times;serif"/>
          <w:sz w:val="24"/>
        </w:rPr>
        <w:t>combination; and (vi) revision for stock splits,</w:t>
      </w:r>
      <w:r>
        <w:rPr>
          <w:rFonts w:ascii="CG Times" w:hAnsi="CG Times"/>
          <w:sz w:val="24"/>
        </w:rPr>
        <w:t xml:space="preserve"> </w:t>
      </w:r>
      <w:r>
        <w:rPr>
          <w:rFonts w:ascii="Times New Roman;Times;serif" w:hAnsi="Times New Roman;Times;serif"/>
          <w:sz w:val="24"/>
        </w:rPr>
        <w:t>stock dividends, reverse stock splits or other changes in capital structure.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Adopted: October 17, 2023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Last Amended: n/a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Last Reviewed: January 30, 2025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ItalicMT">
    <w:charset w:val="01"/>
    <w:family w:val="auto"/>
    <w:pitch w:val="default"/>
  </w:font>
  <w:font w:name="Times New Roman Bold">
    <w:charset w:val="01"/>
    <w:family w:val="auto"/>
    <w:pitch w:val="default"/>
  </w:font>
  <w:font w:name="Times">
    <w:altName w:val="Times New Roman"/>
    <w:charset w:val="01"/>
    <w:family w:val="auto"/>
    <w:pitch w:val="default"/>
  </w:font>
  <w:font w:name="TimesNewRoman">
    <w:charset w:val="01"/>
    <w:family w:val="auto"/>
    <w:pitch w:val="default"/>
  </w:font>
  <w:font w:name="Cambria">
    <w:charset w:val="01"/>
    <w:family w:val="auto"/>
    <w:pitch w:val="default"/>
  </w:font>
  <w:font w:name="Symbol">
    <w:charset w:val="01"/>
    <w:family w:val="auto"/>
    <w:pitch w:val="default"/>
  </w:font>
  <w:font w:name="Calibri">
    <w:altName w:val="Helvetica"/>
    <w:charset w:val="01"/>
    <w:family w:val="auto"/>
    <w:pitch w:val="default"/>
  </w:font>
  <w:font w:name="Courier New">
    <w:charset w:val="01"/>
    <w:family w:val="auto"/>
    <w:pitch w:val="default"/>
  </w:font>
  <w:font w:name="CG 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6117/000155837019011294/ex-3d1.htm" TargetMode="External"/><Relationship Id="rId3" Type="http://schemas.openxmlformats.org/officeDocument/2006/relationships/hyperlink" Target="https://www.sec.gov/Archives/edgar/data/1786117/000155837023000881/pine-20230201xex3d1.htm" TargetMode="External"/><Relationship Id="rId4" Type="http://schemas.openxmlformats.org/officeDocument/2006/relationships/hyperlink" Target="https://www.sec.gov/Archives/edgar/data/1786117/000155837023001074/pine-20221231xex4d1.htm" TargetMode="External"/><Relationship Id="rId5" Type="http://schemas.openxmlformats.org/officeDocument/2006/relationships/hyperlink" Target="https://www.sec.gov/Archives/edgar/data/1786117/000119312519277917/d793798dex41.htm" TargetMode="External"/><Relationship Id="rId6" Type="http://schemas.openxmlformats.org/officeDocument/2006/relationships/hyperlink" Target="https://www.sec.gov/Archives/edgar/data/1786117/000155837019011294/ex-10d1.htm" TargetMode="External"/><Relationship Id="rId7" Type="http://schemas.openxmlformats.org/officeDocument/2006/relationships/hyperlink" Target="https://www.sec.gov/Archives/edgar/data/1786117/000155837019011294/ex-10d2.htm" TargetMode="External"/><Relationship Id="rId8" Type="http://schemas.openxmlformats.org/officeDocument/2006/relationships/hyperlink" Target="https://www.sec.gov/Archives/edgar/data/1786117/000155837019011294/ex-10d3.htm" TargetMode="External"/><Relationship Id="rId9" Type="http://schemas.openxmlformats.org/officeDocument/2006/relationships/hyperlink" Target="https://www.sec.gov/Archives/edgar/data/1786117/000155837019011294/ex-10d4.htm" TargetMode="External"/><Relationship Id="rId10" Type="http://schemas.openxmlformats.org/officeDocument/2006/relationships/hyperlink" Target="https://www.sec.gov/Archives/edgar/data/1786117/000155837019011294/ex-10d5.htm" TargetMode="External"/><Relationship Id="rId11" Type="http://schemas.openxmlformats.org/officeDocument/2006/relationships/hyperlink" Target="https://www.sec.gov/Archives/edgar/data/1786117/000155837019011294/ex-10d6.htm" TargetMode="External"/><Relationship Id="rId12" Type="http://schemas.openxmlformats.org/officeDocument/2006/relationships/hyperlink" Target="https://www.sec.gov/Archives/edgar/data/1786117/000155837019011294/ex-10d8.htm" TargetMode="External"/><Relationship Id="rId13" Type="http://schemas.openxmlformats.org/officeDocument/2006/relationships/hyperlink" Target="https://www.sec.gov/Archives/edgar/data/1786117/000155837019011294/ex-10d10.htm" TargetMode="External"/><Relationship Id="rId14" Type="http://schemas.openxmlformats.org/officeDocument/2006/relationships/hyperlink" Target="https://www.sec.gov/Archives/edgar/data/1786117/000155837019011294/ex-10d11.htm" TargetMode="External"/><Relationship Id="rId15" Type="http://schemas.openxmlformats.org/officeDocument/2006/relationships/hyperlink" Target="https://www.sec.gov/Archives/edgar/data/1786117/000155837019011294/ex-10d13.htm" TargetMode="External"/><Relationship Id="rId16" Type="http://schemas.openxmlformats.org/officeDocument/2006/relationships/hyperlink" Target="https://www.sec.gov/Archives/edgar/data/1786117/000155837019011294/ex-10d14.htm" TargetMode="External"/><Relationship Id="rId17" Type="http://schemas.openxmlformats.org/officeDocument/2006/relationships/hyperlink" Target="https://www.sec.gov/Archives/edgar/data/1786117/000155837021000918/tmb-20210210xex10d1.htm" TargetMode="External"/><Relationship Id="rId18" Type="http://schemas.openxmlformats.org/officeDocument/2006/relationships/hyperlink" Target="https://www.sec.gov/Archives/edgar/data/1786117/000119312519300042/d839902dex101.htm" TargetMode="External"/><Relationship Id="rId19" Type="http://schemas.openxmlformats.org/officeDocument/2006/relationships/hyperlink" Target="https://www.sec.gov/Archives/edgar/data/1786117/000155837019011294/ex-10d17.htm" TargetMode="External"/><Relationship Id="rId20" Type="http://schemas.openxmlformats.org/officeDocument/2006/relationships/hyperlink" Target="https://www.sec.gov/Archives/edgar/data/1786117/000119312519287435/d793798dex1011.htm" TargetMode="External"/><Relationship Id="rId21" Type="http://schemas.openxmlformats.org/officeDocument/2006/relationships/hyperlink" Target="https://www.sec.gov/Archives/edgar/data/1786117/000155837021007720/tmb-20210519xex10d2.htm" TargetMode="External"/><Relationship Id="rId22" Type="http://schemas.openxmlformats.org/officeDocument/2006/relationships/hyperlink" Target="https://www.sec.gov/Archives/edgar/data/1786117/000155837022005535/pine-20220414xex10d2.htm" TargetMode="External"/><Relationship Id="rId23" Type="http://schemas.openxmlformats.org/officeDocument/2006/relationships/hyperlink" Target="https://www.sec.gov/Archives/edgar/data/1786117/000155837022014891/pine-20220930xex10d1.htm" TargetMode="External"/><Relationship Id="rId24" Type="http://schemas.openxmlformats.org/officeDocument/2006/relationships/hyperlink" Target="https://www.sec.gov/Archives/edgar/data/1786117/000155837022015143/pine-20220930xex10d2.htm" TargetMode="External"/><Relationship Id="rId25" Type="http://schemas.openxmlformats.org/officeDocument/2006/relationships/hyperlink" Target="https://www.sec.gov/Archives/edgar/data/1786117/000155837024009917/pine-20240718xex10d1.htm" TargetMode="External"/><Relationship Id="rId26" Type="http://schemas.openxmlformats.org/officeDocument/2006/relationships/hyperlink" Target="https://www.sec.gov/Archives/edgar/data/1786117/000155837024015523/pine-20241108xex10d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240395</Words>
  <Characters>1285083</Characters>
  <CharactersWithSpaces>1523590</CharactersWithSpaces>
  <Paragraphs>23478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