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83185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4"/>
          <w:szCs w:val="24"/>
          <w:color w:val="auto"/>
        </w:rPr>
      </w:pPr>
    </w:p>
    <w:p>
      <w:pPr>
        <w:ind w:left="440" w:right="180" w:hanging="430"/>
        <w:spacing w:after="0" w:line="267" w:lineRule="auto"/>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64" w:lineRule="exact"/>
        <w:rPr>
          <w:sz w:val="24"/>
          <w:szCs w:val="24"/>
          <w:color w:val="auto"/>
        </w:rPr>
      </w:pPr>
    </w:p>
    <w:p>
      <w:pPr>
        <w:ind w:left="440" w:right="180" w:hanging="430"/>
        <w:spacing w:after="0" w:line="267" w:lineRule="auto"/>
        <w:tabs>
          <w:tab w:leader="none" w:pos="4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60"/>
        <w:spacing w:after="0"/>
        <w:tabs>
          <w:tab w:leader="none" w:pos="6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93345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ALPINE INCOME PROPERTY TRUST,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0"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9"/>
              </w:rPr>
              <w:t>Maryland</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incorporation or organization)</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Identification No.)</w:t>
            </w:r>
          </w:p>
        </w:tc>
      </w:tr>
      <w:tr>
        <w:trPr>
          <w:trHeight w:val="289"/>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1140 N. Williamson Blvd., Suite 140</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92"/>
              </w:rPr>
              <w:t>Daytona Beach, Florida</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32114</w:t>
            </w:r>
          </w:p>
        </w:tc>
      </w:tr>
      <w:tr>
        <w:trPr>
          <w:trHeight w:val="210"/>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(Zip Code)</w:t>
            </w:r>
          </w:p>
        </w:tc>
      </w:tr>
      <w:tr>
        <w:trPr>
          <w:trHeight w:val="262"/>
        </w:trPr>
        <w:tc>
          <w:tcPr>
            <w:tcW w:w="5840" w:type="dxa"/>
            <w:vAlign w:val="bottom"/>
          </w:tcPr>
          <w:p>
            <w:pPr>
              <w:jc w:val="right"/>
              <w:ind w:right="1319"/>
              <w:spacing w:after="0"/>
              <w:rPr>
                <w:sz w:val="20"/>
                <w:szCs w:val="20"/>
                <w:color w:val="auto"/>
              </w:rPr>
            </w:pPr>
            <w:r>
              <w:rPr>
                <w:rFonts w:ascii="Arial" w:cs="Arial" w:eastAsia="Arial" w:hAnsi="Arial"/>
                <w:sz w:val="16"/>
                <w:szCs w:val="16"/>
                <w:b w:val="1"/>
                <w:bCs w:val="1"/>
                <w:color w:val="auto"/>
              </w:rPr>
              <w:t>(386) 274-2202</w:t>
            </w:r>
          </w:p>
        </w:tc>
        <w:tc>
          <w:tcPr>
            <w:tcW w:w="1380" w:type="dxa"/>
            <w:vAlign w:val="bottom"/>
          </w:tcPr>
          <w:p>
            <w:pPr>
              <w:spacing w:after="0"/>
              <w:rPr>
                <w:sz w:val="22"/>
                <w:szCs w:val="22"/>
                <w:color w:val="auto"/>
              </w:rPr>
            </w:pPr>
          </w:p>
        </w:tc>
      </w:tr>
      <w:tr>
        <w:trPr>
          <w:trHeight w:val="210"/>
        </w:trPr>
        <w:tc>
          <w:tcPr>
            <w:tcW w:w="584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75565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51"/>
        </w:trPr>
        <w:tc>
          <w:tcPr>
            <w:tcW w:w="41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9"/>
              </w:rPr>
              <w:t>Title of each class:</w:t>
            </w:r>
          </w:p>
        </w:tc>
        <w:tc>
          <w:tcPr>
            <w:tcW w:w="268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2"/>
              </w:rPr>
              <w:t>Trading Symbol</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NYSE</w:t>
            </w:r>
          </w:p>
        </w:tc>
      </w:tr>
    </w:tbl>
    <w:p>
      <w:pPr>
        <w:spacing w:after="0" w:line="222" w:lineRule="exact"/>
        <w:rPr>
          <w:sz w:val="24"/>
          <w:szCs w:val="24"/>
          <w:color w:val="auto"/>
        </w:rPr>
      </w:pPr>
    </w:p>
    <w:p>
      <w:pPr>
        <w:jc w:val="both"/>
        <w:ind w:left="20" w:firstLine="44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20" w:firstLine="441"/>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20" w:firstLine="44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9"/>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60" w:right="126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on April 15, 2021 was 7,932,510.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0" w:type="dxa"/>
            <w:vAlign w:val="bottom"/>
            <w:gridSpan w:val="9"/>
          </w:tcPr>
          <w:p>
            <w:pPr>
              <w:ind w:left="1120"/>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8040" w:type="dxa"/>
            <w:vAlign w:val="bottom"/>
            <w:gridSpan w:val="22"/>
            <w:vMerge w:val="restart"/>
          </w:tcPr>
          <w:p>
            <w:pPr>
              <w:spacing w:after="0"/>
              <w:rPr>
                <w:sz w:val="20"/>
                <w:szCs w:val="20"/>
                <w:color w:val="auto"/>
              </w:rPr>
            </w:pPr>
            <w:r>
              <w:rPr>
                <w:rFonts w:ascii="Arial" w:cs="Arial" w:eastAsia="Arial" w:hAnsi="Arial"/>
                <w:sz w:val="18"/>
                <w:szCs w:val="18"/>
                <w:color w:val="auto"/>
              </w:rPr>
              <w:t>PART I—FINANCIAL INFORMATION</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96"/>
        </w:trPr>
        <w:tc>
          <w:tcPr>
            <w:tcW w:w="8040" w:type="dxa"/>
            <w:vAlign w:val="bottom"/>
            <w:gridSpan w:val="22"/>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360" w:type="dxa"/>
            <w:vAlign w:val="bottom"/>
            <w:gridSpan w:val="20"/>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2021 (Unaudited) and December 31, 2020</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 Three months ended March 31, 2021 and 2020 (Unaudited)</w:t>
              </w:r>
            </w:hyperlink>
          </w:p>
        </w:tc>
        <w:tc>
          <w:tcPr>
            <w:tcW w:w="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 Three months ended March 31, 2021 and 2020</w:t>
              </w:r>
            </w:hyperlink>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 Three months ended March 31, 2021 and 2020</w:t>
              </w:r>
            </w:hyperlink>
          </w:p>
        </w:tc>
        <w:tc>
          <w:tcPr>
            <w:tcW w:w="6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1"/>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Cash Flows – Three months ended March 31, 2021 and 2020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260" w:type="dxa"/>
            <w:vAlign w:val="bottom"/>
            <w:tcBorders>
              <w:top w:val="single" w:sz="8" w:color="0000EE"/>
            </w:tcBorders>
            <w:gridSpan w:val="7"/>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804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4.   Controls and Procedures</w:t>
              </w:r>
            </w:hyperlink>
          </w:p>
        </w:tc>
        <w:tc>
          <w:tcPr>
            <w:tcW w:w="552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804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II—OTHER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w:t>
              </w:r>
            </w:hyperlink>
          </w:p>
        </w:tc>
        <w:tc>
          <w:tcPr>
            <w:tcW w:w="1380" w:type="dxa"/>
            <w:vAlign w:val="bottom"/>
            <w:tcBorders>
              <w:top w:val="single" w:sz="8" w:color="0000EE"/>
              <w:bottom w:val="single" w:sz="8" w:color="0000EE"/>
            </w:tcBorders>
            <w:gridSpan w:val="6"/>
          </w:tcPr>
          <w:p>
            <w:pPr>
              <w:ind w:left="4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1A.</w:t>
              </w:r>
            </w:hyperlink>
          </w:p>
        </w:tc>
        <w:tc>
          <w:tcPr>
            <w:tcW w:w="7360" w:type="dxa"/>
            <w:vAlign w:val="bottom"/>
            <w:gridSpan w:val="20"/>
          </w:tcPr>
          <w:p>
            <w:pPr>
              <w:ind w:left="40"/>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2.   Unregistered Sales of Equity Securities and Use of Proceeds</w:t>
              </w:r>
            </w:hyperlink>
          </w:p>
        </w:tc>
        <w:tc>
          <w:tcPr>
            <w:tcW w:w="2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804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Defaults Upon Senior Securities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4.   Mine Safety Disclosures</w:t>
              </w:r>
            </w:hyperlink>
          </w:p>
        </w:tc>
        <w:tc>
          <w:tcPr>
            <w:tcW w:w="540" w:type="dxa"/>
            <w:vAlign w:val="bottom"/>
            <w:tcBorders>
              <w:top w:val="single" w:sz="8" w:color="0000EE"/>
            </w:tcBorders>
            <w:gridSpan w:val="3"/>
          </w:tcPr>
          <w:p>
            <w:pPr>
              <w:spacing w:after="0"/>
              <w:rPr>
                <w:sz w:val="24"/>
                <w:szCs w:val="24"/>
                <w:color w:val="auto"/>
              </w:rPr>
            </w:pPr>
          </w:p>
        </w:tc>
        <w:tc>
          <w:tcPr>
            <w:tcW w:w="50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1360" w:type="dxa"/>
            <w:vAlign w:val="bottom"/>
            <w:tcBorders>
              <w:bottom w:val="single" w:sz="8" w:color="0000EE"/>
            </w:tcBorders>
            <w:gridSpan w:val="5"/>
          </w:tcPr>
          <w:p>
            <w:pPr>
              <w:ind w:left="40"/>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600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7360" w:type="dxa"/>
            <w:vAlign w:val="bottom"/>
            <w:gridSpan w:val="20"/>
          </w:tcPr>
          <w:p>
            <w:pPr>
              <w:ind w:left="40"/>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6"/>
                <w:szCs w:val="16"/>
                <w:color w:val="auto"/>
              </w:rPr>
            </w:pPr>
          </w:p>
        </w:tc>
        <w:tc>
          <w:tcPr>
            <w:tcW w:w="12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2021</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5840" w:type="dxa"/>
            <w:vAlign w:val="bottom"/>
            <w:tcBorders>
              <w:top w:val="single" w:sz="8" w:color="CCEEFF"/>
            </w:tcBorders>
            <w:shd w:val="clear" w:color="auto" w:fill="CCEEFF"/>
          </w:tcPr>
          <w:p>
            <w:pPr>
              <w:ind w:left="260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Building and Improvements, at cost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156,143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142,679</w:t>
            </w:r>
          </w:p>
        </w:tc>
        <w:tc>
          <w:tcPr>
            <w:tcW w:w="20" w:type="dxa"/>
            <w:vAlign w:val="bottom"/>
          </w:tcPr>
          <w:p>
            <w:pPr>
              <w:spacing w:after="0"/>
              <w:rPr>
                <w:sz w:val="18"/>
                <w:szCs w:val="18"/>
                <w:color w:val="auto"/>
              </w:rPr>
            </w:pPr>
          </w:p>
        </w:tc>
      </w:tr>
      <w:tr>
        <w:trPr>
          <w:trHeight w:val="20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(8,499)</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(6,550)</w:t>
            </w:r>
          </w:p>
        </w:tc>
        <w:tc>
          <w:tcPr>
            <w:tcW w:w="20" w:type="dxa"/>
            <w:vAlign w:val="bottom"/>
          </w:tcPr>
          <w:p>
            <w:pPr>
              <w:spacing w:after="0"/>
              <w:rPr>
                <w:sz w:val="18"/>
                <w:szCs w:val="18"/>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236,279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Assets—Net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Straight-Line Rent Adjustment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Pr>
          <w:p>
            <w:pPr>
              <w:spacing w:after="0"/>
              <w:rPr>
                <w:sz w:val="18"/>
                <w:szCs w:val="18"/>
                <w:color w:val="auto"/>
              </w:rPr>
            </w:pPr>
          </w:p>
        </w:tc>
      </w:tr>
      <w:tr>
        <w:trPr>
          <w:trHeight w:val="249"/>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280,937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262,240</w:t>
            </w:r>
          </w:p>
        </w:tc>
        <w:tc>
          <w:tcPr>
            <w:tcW w:w="20" w:type="dxa"/>
            <w:vAlign w:val="bottom"/>
          </w:tcPr>
          <w:p>
            <w:pPr>
              <w:spacing w:after="0"/>
              <w:rPr>
                <w:sz w:val="21"/>
                <w:szCs w:val="21"/>
                <w:color w:val="auto"/>
              </w:rPr>
            </w:pPr>
          </w:p>
        </w:tc>
      </w:tr>
      <w:tr>
        <w:trPr>
          <w:trHeight w:val="197"/>
        </w:trPr>
        <w:tc>
          <w:tcPr>
            <w:tcW w:w="5840" w:type="dxa"/>
            <w:vAlign w:val="bottom"/>
            <w:shd w:val="clear" w:color="auto" w:fill="CCEEFF"/>
          </w:tcPr>
          <w:p>
            <w:pPr>
              <w:ind w:left="1780"/>
              <w:spacing w:after="0" w:line="195" w:lineRule="exact"/>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Prepaid Rent and Deferred Revenue</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Lease Liabilities—Net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106,809</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113,147</w:t>
            </w:r>
          </w:p>
        </w:tc>
        <w:tc>
          <w:tcPr>
            <w:tcW w:w="2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color w:val="auto"/>
              </w:rPr>
              <w:t>Commitments and Contingencies—See Note 15</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5840" w:type="dxa"/>
            <w:vAlign w:val="bottom"/>
          </w:tcPr>
          <w:p>
            <w:pPr>
              <w:ind w:left="120"/>
              <w:spacing w:after="0" w:line="201" w:lineRule="exact"/>
              <w:rPr>
                <w:sz w:val="20"/>
                <w:szCs w:val="20"/>
                <w:color w:val="auto"/>
              </w:rPr>
            </w:pPr>
            <w:r>
              <w:rPr>
                <w:rFonts w:ascii="Arial" w:cs="Arial" w:eastAsia="Arial" w:hAnsi="Arial"/>
                <w:sz w:val="18"/>
                <w:szCs w:val="18"/>
                <w:color w:val="auto"/>
                <w:w w:val="92"/>
              </w:rPr>
              <w:t>Preferred Stock, $0.01 par value per share, 100 million shares authorized, no</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w w:val="92"/>
              </w:rPr>
              <w:t>shares issued and outstanding as of March 31, 2021 and December 31, 2020</w:t>
            </w:r>
          </w:p>
        </w:tc>
        <w:tc>
          <w:tcPr>
            <w:tcW w:w="1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5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Common Stock, $0.01 par value per share, 500 million shares authorized,</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7,896,542 shares issued and outstanding as of March 31, 2021 and 7,458,755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as of December 31, 2020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140,591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132,878</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in Excess of Net Income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126,759</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22,334</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149,093</w:t>
            </w:r>
          </w:p>
        </w:tc>
        <w:tc>
          <w:tcPr>
            <w:tcW w:w="20" w:type="dxa"/>
            <w:vAlign w:val="bottom"/>
          </w:tcPr>
          <w:p>
            <w:pPr>
              <w:spacing w:after="0"/>
              <w:rPr>
                <w:sz w:val="18"/>
                <w:szCs w:val="18"/>
                <w:color w:val="auto"/>
              </w:rPr>
            </w:pPr>
          </w:p>
        </w:tc>
      </w:tr>
      <w:tr>
        <w:trPr>
          <w:trHeight w:val="210"/>
        </w:trPr>
        <w:tc>
          <w:tcPr>
            <w:tcW w:w="58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280,937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262,240</w:t>
            </w: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980"/>
        <w:spacing w:after="0" w:line="286" w:lineRule="auto"/>
        <w:rPr>
          <w:sz w:val="20"/>
          <w:szCs w:val="20"/>
          <w:color w:val="auto"/>
        </w:rPr>
      </w:pPr>
      <w:r>
        <w:rPr>
          <w:rFonts w:ascii="Arial" w:cs="Arial" w:eastAsia="Arial" w:hAnsi="Arial"/>
          <w:sz w:val="17"/>
          <w:szCs w:val="17"/>
          <w:color w:val="auto"/>
        </w:rPr>
        <w:t>ALPINE INCOME PROPERTY TRUST, INC. CONSOLIDATED STATEMENTS OF OPERATIONS (Unaudited, in thousands, except share, per share and dividend data)</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ind w:left="80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March 31, 2021</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March 31, 2020</w:t>
            </w:r>
          </w:p>
        </w:tc>
        <w:tc>
          <w:tcPr>
            <w:tcW w:w="20" w:type="dxa"/>
            <w:vAlign w:val="bottom"/>
          </w:tcPr>
          <w:p>
            <w:pPr>
              <w:spacing w:after="0"/>
              <w:rPr>
                <w:sz w:val="18"/>
                <w:szCs w:val="18"/>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20" w:type="dxa"/>
            <w:vAlign w:val="bottom"/>
          </w:tcPr>
          <w:p>
            <w:pPr>
              <w:spacing w:after="0"/>
              <w:rPr>
                <w:sz w:val="18"/>
                <w:szCs w:val="18"/>
                <w:color w:val="auto"/>
              </w:rPr>
            </w:pPr>
          </w:p>
        </w:tc>
      </w:tr>
      <w:tr>
        <w:trPr>
          <w:trHeight w:val="21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20" w:type="dxa"/>
            <w:vAlign w:val="bottom"/>
          </w:tcPr>
          <w:p>
            <w:pPr>
              <w:spacing w:after="0"/>
              <w:rPr>
                <w:sz w:val="18"/>
                <w:szCs w:val="18"/>
                <w:color w:val="auto"/>
              </w:rPr>
            </w:pPr>
          </w:p>
        </w:tc>
      </w:tr>
      <w:tr>
        <w:trPr>
          <w:trHeight w:val="209"/>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8"/>
                <w:szCs w:val="18"/>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r>
      <w:tr>
        <w:trPr>
          <w:trHeight w:val="21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09"/>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Alpine Income Property Trust, Inc.</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Net Income Attributable to Alpine Income Property Trust, Inc.</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7,565,429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7,896,757</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8,789,283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9,120,611</w:t>
            </w:r>
          </w:p>
        </w:tc>
        <w:tc>
          <w:tcPr>
            <w:tcW w:w="2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860"/>
        <w:spacing w:after="0" w:line="263" w:lineRule="auto"/>
        <w:rPr>
          <w:sz w:val="20"/>
          <w:szCs w:val="20"/>
          <w:color w:val="auto"/>
        </w:rPr>
      </w:pPr>
      <w:r>
        <w:rPr>
          <w:rFonts w:ascii="Arial" w:cs="Arial" w:eastAsia="Arial" w:hAnsi="Arial"/>
          <w:sz w:val="18"/>
          <w:szCs w:val="18"/>
          <w:color w:val="auto"/>
        </w:rPr>
        <w:t>ALPINE INCOME PROPERTY TRUST, INC. CONSOLIDATED STATEMENTS OF COMPREHENSIVE INCOME (Unaudited,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r>
      <w:tr>
        <w:trPr>
          <w:trHeight w:val="198"/>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31, 2021</w:t>
            </w:r>
          </w:p>
        </w:tc>
        <w:tc>
          <w:tcPr>
            <w:tcW w:w="160" w:type="dxa"/>
            <w:vAlign w:val="bottom"/>
          </w:tcPr>
          <w:p>
            <w:pPr>
              <w:spacing w:after="0"/>
              <w:rPr>
                <w:sz w:val="17"/>
                <w:szCs w:val="17"/>
                <w:color w:val="auto"/>
              </w:rPr>
            </w:pPr>
          </w:p>
        </w:tc>
        <w:tc>
          <w:tcPr>
            <w:tcW w:w="1380" w:type="dxa"/>
            <w:vAlign w:val="bottom"/>
          </w:tcPr>
          <w:p>
            <w:pPr>
              <w:jc w:val="right"/>
              <w:ind w:right="115"/>
              <w:spacing w:after="0"/>
              <w:rPr>
                <w:sz w:val="20"/>
                <w:szCs w:val="20"/>
                <w:color w:val="auto"/>
              </w:rPr>
            </w:pPr>
            <w:r>
              <w:rPr>
                <w:rFonts w:ascii="Arial" w:cs="Arial" w:eastAsia="Arial" w:hAnsi="Arial"/>
                <w:sz w:val="17"/>
                <w:szCs w:val="17"/>
                <w:b w:val="1"/>
                <w:bCs w:val="1"/>
                <w:color w:val="auto"/>
                <w:w w:val="95"/>
              </w:rPr>
              <w:t>March 31, 2020</w:t>
            </w:r>
          </w:p>
        </w:tc>
      </w:tr>
      <w:tr>
        <w:trPr>
          <w:trHeight w:val="196"/>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Alpine Income Property Trust,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196"/>
        </w:trPr>
        <w:tc>
          <w:tcPr>
            <w:tcW w:w="568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Flow Hedging Derivative - Interest Rate Swap</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900"/>
        <w:spacing w:after="0" w:line="263" w:lineRule="auto"/>
        <w:rPr>
          <w:sz w:val="20"/>
          <w:szCs w:val="20"/>
          <w:color w:val="auto"/>
        </w:rPr>
      </w:pPr>
      <w:r>
        <w:rPr>
          <w:rFonts w:ascii="Arial" w:cs="Arial" w:eastAsia="Arial" w:hAnsi="Arial"/>
          <w:sz w:val="18"/>
          <w:szCs w:val="18"/>
          <w:color w:val="auto"/>
        </w:rPr>
        <w:t>ALPINE INCOME PROPERTY TRUST, INC. CONSOLIDATED STATEMENTS OF STOCKHOLDERS’ EQUITY (Unaudited, in thousands, except per share data)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March 31, 2021: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Dividends in</w:t>
            </w:r>
          </w:p>
        </w:tc>
        <w:tc>
          <w:tcPr>
            <w:tcW w:w="6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Excess of Net</w:t>
            </w: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254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Stock at Par</w:t>
            </w: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Income</w:t>
            </w:r>
          </w:p>
        </w:tc>
        <w:tc>
          <w:tcPr>
            <w:tcW w:w="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85"/>
              </w:rPr>
              <w:t>Total Equity</w:t>
            </w:r>
          </w:p>
        </w:tc>
      </w:tr>
      <w:tr>
        <w:trPr>
          <w:trHeight w:val="128"/>
        </w:trPr>
        <w:tc>
          <w:tcPr>
            <w:tcW w:w="25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132,878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(5,713)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126,759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22,334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149,093</w:t>
            </w: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440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440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511</w:t>
            </w:r>
          </w:p>
        </w:tc>
      </w:tr>
      <w:tr>
        <w:trPr>
          <w:trHeight w:val="27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Issuance to Directors</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270"/>
        </w:trPr>
        <w:tc>
          <w:tcPr>
            <w:tcW w:w="2540" w:type="dxa"/>
            <w:vAlign w:val="bottom"/>
          </w:tcPr>
          <w:p>
            <w:pPr>
              <w:ind w:left="20"/>
              <w:spacing w:after="0"/>
              <w:rPr>
                <w:sz w:val="20"/>
                <w:szCs w:val="20"/>
                <w:color w:val="auto"/>
              </w:rPr>
            </w:pPr>
            <w:r>
              <w:rPr>
                <w:rFonts w:ascii="Arial" w:cs="Arial" w:eastAsia="Arial" w:hAnsi="Arial"/>
                <w:sz w:val="13"/>
                <w:szCs w:val="13"/>
                <w:color w:val="auto"/>
              </w:rPr>
              <w:t>Stock Issuance Under 2020 ATM Program</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7,804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7,804</w:t>
            </w:r>
          </w:p>
        </w:tc>
      </w:tr>
      <w:tr>
        <w:trPr>
          <w:trHeight w:val="27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Issuance Costs</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270"/>
        </w:trPr>
        <w:tc>
          <w:tcPr>
            <w:tcW w:w="2540" w:type="dxa"/>
            <w:vAlign w:val="bottom"/>
          </w:tcPr>
          <w:p>
            <w:pPr>
              <w:ind w:left="20"/>
              <w:spacing w:after="0"/>
              <w:rPr>
                <w:sz w:val="20"/>
                <w:szCs w:val="20"/>
                <w:color w:val="auto"/>
              </w:rPr>
            </w:pPr>
            <w:r>
              <w:rPr>
                <w:rFonts w:ascii="Arial" w:cs="Arial" w:eastAsia="Arial" w:hAnsi="Arial"/>
                <w:sz w:val="13"/>
                <w:szCs w:val="13"/>
                <w:color w:val="auto"/>
              </w:rPr>
              <w:t>Cash Dividend ($0.24 per share)</w:t>
            </w:r>
          </w:p>
        </w:tc>
        <w:tc>
          <w:tcPr>
            <w:tcW w:w="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(1,896)</w:t>
            </w:r>
          </w:p>
        </w:tc>
        <w:tc>
          <w:tcPr>
            <w:tcW w:w="6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(1,896)</w:t>
            </w:r>
          </w:p>
        </w:tc>
        <w:tc>
          <w:tcPr>
            <w:tcW w:w="1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(293)</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(2,189)</w:t>
            </w:r>
          </w:p>
        </w:tc>
      </w:tr>
      <w:tr>
        <w:trPr>
          <w:trHeight w:val="135"/>
        </w:trPr>
        <w:tc>
          <w:tcPr>
            <w:tcW w:w="2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w:t>
            </w:r>
          </w:p>
        </w:tc>
      </w:tr>
      <w:tr>
        <w:trPr>
          <w:trHeight w:val="128"/>
        </w:trPr>
        <w:tc>
          <w:tcPr>
            <w:tcW w:w="2540" w:type="dxa"/>
            <w:vAlign w:val="bottom"/>
          </w:tcPr>
          <w:p>
            <w:pPr>
              <w:ind w:left="20"/>
              <w:spacing w:after="0" w:line="129" w:lineRule="exact"/>
              <w:rPr>
                <w:sz w:val="20"/>
                <w:szCs w:val="20"/>
                <w:color w:val="auto"/>
              </w:rPr>
            </w:pPr>
            <w:r>
              <w:rPr>
                <w:rFonts w:ascii="Arial" w:cs="Arial" w:eastAsia="Arial" w:hAnsi="Arial"/>
                <w:sz w:val="13"/>
                <w:szCs w:val="13"/>
                <w:color w:val="auto"/>
              </w:rPr>
              <w:t>Balance March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140,591</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(7,169)</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195</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133,696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22,112</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155,808</w:t>
            </w:r>
          </w:p>
        </w:tc>
      </w:tr>
      <w:tr>
        <w:trPr>
          <w:trHeight w:val="20"/>
        </w:trPr>
        <w:tc>
          <w:tcPr>
            <w:tcW w:w="2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March 31,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Dividends in</w:t>
            </w: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8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1"/>
              </w:rPr>
              <w:t>Excess of Net</w:t>
            </w:r>
          </w:p>
        </w:tc>
        <w:tc>
          <w:tcPr>
            <w:tcW w:w="9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6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256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Stock at Par</w:t>
            </w: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Income</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88"/>
              </w:rPr>
              <w:t>Total Equity</w:t>
            </w:r>
          </w:p>
        </w:tc>
      </w:tr>
      <w:tr>
        <w:trPr>
          <w:trHeight w:val="128"/>
        </w:trPr>
        <w:tc>
          <w:tcPr>
            <w:tcW w:w="2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137,948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ind w:left="6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137,529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23,176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160,705</w:t>
            </w:r>
          </w:p>
        </w:tc>
      </w:tr>
      <w:tr>
        <w:trPr>
          <w:trHeight w:val="135"/>
        </w:trPr>
        <w:tc>
          <w:tcPr>
            <w:tcW w:w="25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6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r>
      <w:tr>
        <w:trPr>
          <w:trHeight w:val="135"/>
        </w:trPr>
        <w:tc>
          <w:tcPr>
            <w:tcW w:w="2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(592)</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(592)</w:t>
            </w:r>
          </w:p>
        </w:tc>
      </w:tr>
      <w:tr>
        <w:trPr>
          <w:trHeight w:val="135"/>
        </w:trPr>
        <w:tc>
          <w:tcPr>
            <w:tcW w:w="2560" w:type="dxa"/>
            <w:vAlign w:val="bottom"/>
          </w:tcPr>
          <w:p>
            <w:pPr>
              <w:ind w:left="20"/>
              <w:spacing w:after="0" w:line="135" w:lineRule="exact"/>
              <w:rPr>
                <w:sz w:val="20"/>
                <w:szCs w:val="20"/>
                <w:color w:val="auto"/>
              </w:rPr>
            </w:pPr>
            <w:r>
              <w:rPr>
                <w:rFonts w:ascii="Arial" w:cs="Arial" w:eastAsia="Arial" w:hAnsi="Arial"/>
                <w:sz w:val="13"/>
                <w:szCs w:val="13"/>
                <w:color w:val="auto"/>
              </w:rPr>
              <w:t>Stock Issuance to Directors</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ind w:left="6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35"/>
        </w:trPr>
        <w:tc>
          <w:tcPr>
            <w:tcW w:w="2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Dividend ($0.20 per share)</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(1,578)</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(1,578)</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(245)</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(1,823)</w:t>
            </w:r>
          </w:p>
        </w:tc>
      </w:tr>
      <w:tr>
        <w:trPr>
          <w:trHeight w:val="129"/>
        </w:trPr>
        <w:tc>
          <w:tcPr>
            <w:tcW w:w="2560" w:type="dxa"/>
            <w:vAlign w:val="bottom"/>
          </w:tcPr>
          <w:p>
            <w:pPr>
              <w:ind w:left="20"/>
              <w:spacing w:after="0" w:line="129" w:lineRule="exact"/>
              <w:rPr>
                <w:sz w:val="20"/>
                <w:szCs w:val="20"/>
                <w:color w:val="auto"/>
              </w:rPr>
            </w:pPr>
            <w:r>
              <w:rPr>
                <w:rFonts w:ascii="Arial" w:cs="Arial" w:eastAsia="Arial" w:hAnsi="Arial"/>
                <w:sz w:val="13"/>
                <w:szCs w:val="13"/>
                <w:color w:val="auto"/>
              </w:rPr>
              <w:t>Balance March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137,393</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(2,063)</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ind w:left="6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135,409</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22,933</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158,342</w:t>
            </w:r>
          </w:p>
        </w:tc>
      </w:tr>
      <w:tr>
        <w:trPr>
          <w:trHeight w:val="20"/>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ind w:left="740"/>
              <w:spacing w:after="0"/>
              <w:rPr>
                <w:sz w:val="20"/>
                <w:szCs w:val="20"/>
                <w:color w:val="auto"/>
              </w:rPr>
            </w:pPr>
            <w:r>
              <w:rPr>
                <w:rFonts w:ascii="Arial" w:cs="Arial" w:eastAsia="Arial" w:hAnsi="Arial"/>
                <w:sz w:val="15"/>
                <w:szCs w:val="15"/>
                <w:b w:val="1"/>
                <w:bCs w:val="1"/>
                <w:color w:val="auto"/>
              </w:rPr>
              <w:t>Three Months Ended</w:t>
            </w:r>
          </w:p>
        </w:tc>
      </w:tr>
      <w:tr>
        <w:trPr>
          <w:trHeight w:val="156"/>
        </w:trPr>
        <w:tc>
          <w:tcPr>
            <w:tcW w:w="5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80"/>
              <w:spacing w:after="0" w:line="156" w:lineRule="exact"/>
              <w:rPr>
                <w:sz w:val="20"/>
                <w:szCs w:val="20"/>
                <w:color w:val="auto"/>
              </w:rPr>
            </w:pPr>
            <w:r>
              <w:rPr>
                <w:rFonts w:ascii="Arial" w:cs="Arial" w:eastAsia="Arial" w:hAnsi="Arial"/>
                <w:sz w:val="15"/>
                <w:szCs w:val="15"/>
                <w:b w:val="1"/>
                <w:bCs w:val="1"/>
                <w:color w:val="auto"/>
              </w:rPr>
              <w:t>March 31, 2021</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64"/>
              <w:spacing w:after="0" w:line="156" w:lineRule="exact"/>
              <w:rPr>
                <w:sz w:val="20"/>
                <w:szCs w:val="20"/>
                <w:color w:val="auto"/>
              </w:rPr>
            </w:pPr>
            <w:r>
              <w:rPr>
                <w:rFonts w:ascii="Arial" w:cs="Arial" w:eastAsia="Arial" w:hAnsi="Arial"/>
                <w:sz w:val="15"/>
                <w:szCs w:val="15"/>
                <w:b w:val="1"/>
                <w:bCs w:val="1"/>
                <w:color w:val="auto"/>
              </w:rPr>
              <w:t>March 31, 2020</w:t>
            </w:r>
          </w:p>
        </w:tc>
        <w:tc>
          <w:tcPr>
            <w:tcW w:w="20" w:type="dxa"/>
            <w:vAlign w:val="bottom"/>
          </w:tcPr>
          <w:p>
            <w:pPr>
              <w:spacing w:after="0"/>
              <w:rPr>
                <w:sz w:val="13"/>
                <w:szCs w:val="13"/>
                <w:color w:val="auto"/>
              </w:rPr>
            </w:pPr>
          </w:p>
        </w:tc>
      </w:tr>
      <w:tr>
        <w:trPr>
          <w:trHeight w:val="156"/>
        </w:trPr>
        <w:tc>
          <w:tcPr>
            <w:tcW w:w="5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Cash Flow from Operating Activities:</w:t>
            </w: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511</w:t>
            </w:r>
          </w:p>
        </w:tc>
        <w:tc>
          <w:tcPr>
            <w:tcW w:w="14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3,143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2,023</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Amortization of Intangible Lease Assets and Liabilities to Lease Income</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(41)</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Amortization of Deferred Financing Costs to Interest Expense</w:t>
            </w:r>
          </w:p>
        </w:tc>
        <w:tc>
          <w:tcPr>
            <w:tcW w:w="1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65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45</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Compensation</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w:t>
            </w: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Straight-Line Rent Adjustment</w:t>
            </w:r>
          </w:p>
        </w:tc>
        <w:tc>
          <w:tcPr>
            <w:tcW w:w="180" w:type="dxa"/>
            <w:vAlign w:val="bottom"/>
          </w:tcPr>
          <w:p>
            <w:pPr>
              <w:spacing w:after="0"/>
              <w:rPr>
                <w:sz w:val="14"/>
                <w:szCs w:val="14"/>
                <w:color w:val="auto"/>
              </w:rPr>
            </w:pPr>
          </w:p>
        </w:tc>
        <w:tc>
          <w:tcPr>
            <w:tcW w:w="15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(147)</w:t>
            </w: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(323)</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COVID-19 Rent Repayments</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(310)</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 Accrued Expenses, and Other Liabilities</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(350)</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646</w:t>
            </w:r>
          </w:p>
        </w:tc>
        <w:tc>
          <w:tcPr>
            <w:tcW w:w="20" w:type="dxa"/>
            <w:vAlign w:val="bottom"/>
          </w:tcPr>
          <w:p>
            <w:pPr>
              <w:spacing w:after="0"/>
              <w:rPr>
                <w:sz w:val="14"/>
                <w:szCs w:val="14"/>
                <w:color w:val="auto"/>
              </w:rPr>
            </w:pPr>
          </w:p>
        </w:tc>
      </w:tr>
      <w:tr>
        <w:trPr>
          <w:trHeight w:val="162"/>
        </w:trPr>
        <w:tc>
          <w:tcPr>
            <w:tcW w:w="5700" w:type="dxa"/>
            <w:vAlign w:val="bottom"/>
            <w:tcBorders>
              <w:bottom w:val="single" w:sz="8" w:color="CCEEFF"/>
            </w:tcBorders>
          </w:tcPr>
          <w:p>
            <w:pPr>
              <w:ind w:left="120"/>
              <w:spacing w:after="0" w:line="162" w:lineRule="exact"/>
              <w:rPr>
                <w:sz w:val="20"/>
                <w:szCs w:val="20"/>
                <w:color w:val="auto"/>
              </w:rPr>
            </w:pPr>
            <w:r>
              <w:rPr>
                <w:rFonts w:ascii="Arial" w:cs="Arial" w:eastAsia="Arial" w:hAnsi="Arial"/>
                <w:sz w:val="15"/>
                <w:szCs w:val="15"/>
                <w:color w:val="auto"/>
              </w:rPr>
              <w:t>Prepaid Rent and Deferred Revenue</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667</w:t>
            </w:r>
          </w:p>
        </w:tc>
        <w:tc>
          <w:tcPr>
            <w:tcW w:w="20" w:type="dxa"/>
            <w:vAlign w:val="bottom"/>
          </w:tcPr>
          <w:p>
            <w:pPr>
              <w:spacing w:after="0"/>
              <w:rPr>
                <w:sz w:val="14"/>
                <w:szCs w:val="14"/>
                <w:color w:val="auto"/>
              </w:rPr>
            </w:pPr>
          </w:p>
        </w:tc>
      </w:tr>
      <w:tr>
        <w:trPr>
          <w:trHeight w:val="155"/>
        </w:trPr>
        <w:tc>
          <w:tcPr>
            <w:tcW w:w="5700" w:type="dxa"/>
            <w:vAlign w:val="bottom"/>
            <w:shd w:val="clear" w:color="auto" w:fill="CCEEFF"/>
          </w:tcPr>
          <w:p>
            <w:pPr>
              <w:ind w:left="34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1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3,809</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2,811</w:t>
            </w:r>
          </w:p>
        </w:tc>
        <w:tc>
          <w:tcPr>
            <w:tcW w:w="20" w:type="dxa"/>
            <w:vAlign w:val="bottom"/>
          </w:tcPr>
          <w:p>
            <w:pPr>
              <w:spacing w:after="0"/>
              <w:rPr>
                <w:sz w:val="13"/>
                <w:szCs w:val="13"/>
                <w:color w:val="auto"/>
              </w:rPr>
            </w:pPr>
          </w:p>
        </w:tc>
      </w:tr>
      <w:tr>
        <w:trPr>
          <w:trHeight w:val="156"/>
        </w:trPr>
        <w:tc>
          <w:tcPr>
            <w:tcW w:w="5700" w:type="dxa"/>
            <w:vAlign w:val="bottom"/>
          </w:tcPr>
          <w:p>
            <w:pPr>
              <w:ind w:left="20"/>
              <w:spacing w:after="0" w:line="156" w:lineRule="exact"/>
              <w:rPr>
                <w:sz w:val="20"/>
                <w:szCs w:val="20"/>
                <w:color w:val="auto"/>
              </w:rPr>
            </w:pPr>
            <w:r>
              <w:rPr>
                <w:rFonts w:ascii="Arial" w:cs="Arial" w:eastAsia="Arial" w:hAnsi="Arial"/>
                <w:sz w:val="15"/>
                <w:szCs w:val="15"/>
                <w:color w:val="auto"/>
              </w:rPr>
              <w:t>Cash Flow from Investing Activities:</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Acquisition of Real Estate, Including Capitalized Expenditures</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(22,117)</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(47,379)</w:t>
            </w:r>
          </w:p>
        </w:tc>
        <w:tc>
          <w:tcPr>
            <w:tcW w:w="20" w:type="dxa"/>
            <w:vAlign w:val="bottom"/>
          </w:tcPr>
          <w:p>
            <w:pPr>
              <w:spacing w:after="0"/>
              <w:rPr>
                <w:sz w:val="14"/>
                <w:szCs w:val="14"/>
                <w:color w:val="auto"/>
              </w:rPr>
            </w:pPr>
          </w:p>
        </w:tc>
      </w:tr>
      <w:tr>
        <w:trPr>
          <w:trHeight w:val="156"/>
        </w:trPr>
        <w:tc>
          <w:tcPr>
            <w:tcW w:w="5700" w:type="dxa"/>
            <w:vAlign w:val="bottom"/>
            <w:tcBorders>
              <w:bottom w:val="single" w:sz="8" w:color="CCEEFF"/>
            </w:tcBorders>
          </w:tcPr>
          <w:p>
            <w:pPr>
              <w:ind w:left="340"/>
              <w:spacing w:after="0" w:line="156" w:lineRule="exact"/>
              <w:rPr>
                <w:sz w:val="20"/>
                <w:szCs w:val="20"/>
                <w:color w:val="auto"/>
              </w:rPr>
            </w:pPr>
            <w:r>
              <w:rPr>
                <w:rFonts w:ascii="Arial" w:cs="Arial" w:eastAsia="Arial" w:hAnsi="Arial"/>
                <w:sz w:val="15"/>
                <w:szCs w:val="15"/>
                <w:color w:val="auto"/>
              </w:rPr>
              <w:t>Net Cash Used In Investing Activities</w:t>
            </w: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(22,117)</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(47,379)</w:t>
            </w:r>
          </w:p>
        </w:tc>
        <w:tc>
          <w:tcPr>
            <w:tcW w:w="20" w:type="dxa"/>
            <w:vAlign w:val="bottom"/>
          </w:tcPr>
          <w:p>
            <w:pPr>
              <w:spacing w:after="0"/>
              <w:rPr>
                <w:sz w:val="13"/>
                <w:szCs w:val="13"/>
                <w:color w:val="auto"/>
              </w:rPr>
            </w:pPr>
          </w:p>
        </w:tc>
      </w:tr>
      <w:tr>
        <w:trPr>
          <w:trHeight w:val="156"/>
        </w:trPr>
        <w:tc>
          <w:tcPr>
            <w:tcW w:w="57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Cash Flow from Financing Activities:</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Draws on Credit Facility</w:t>
            </w:r>
          </w:p>
        </w:tc>
        <w:tc>
          <w:tcPr>
            <w:tcW w:w="1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12,500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57,000</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Repurchase of Common Stock</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(592)</w:t>
            </w: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Cash Paid for Equity Issuance Costs</w:t>
            </w:r>
          </w:p>
        </w:tc>
        <w:tc>
          <w:tcPr>
            <w:tcW w:w="180" w:type="dxa"/>
            <w:vAlign w:val="bottom"/>
          </w:tcPr>
          <w:p>
            <w:pPr>
              <w:spacing w:after="0"/>
              <w:rPr>
                <w:sz w:val="14"/>
                <w:szCs w:val="14"/>
                <w:color w:val="auto"/>
              </w:rPr>
            </w:pPr>
          </w:p>
        </w:tc>
        <w:tc>
          <w:tcPr>
            <w:tcW w:w="15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(153)</w:t>
            </w: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Proceeds From Stock Issuance Under 2020 ATM Program</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7,804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Dividends Paid</w:t>
            </w:r>
          </w:p>
        </w:tc>
        <w:tc>
          <w:tcPr>
            <w:tcW w:w="180" w:type="dxa"/>
            <w:vAlign w:val="bottom"/>
          </w:tcPr>
          <w:p>
            <w:pPr>
              <w:spacing w:after="0"/>
              <w:rPr>
                <w:sz w:val="14"/>
                <w:szCs w:val="14"/>
                <w:color w:val="auto"/>
              </w:rPr>
            </w:pPr>
          </w:p>
        </w:tc>
        <w:tc>
          <w:tcPr>
            <w:tcW w:w="15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(2,189)</w:t>
            </w:r>
          </w:p>
        </w:tc>
        <w:tc>
          <w:tcPr>
            <w:tcW w:w="16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(1,823)</w:t>
            </w:r>
          </w:p>
        </w:tc>
        <w:tc>
          <w:tcPr>
            <w:tcW w:w="20" w:type="dxa"/>
            <w:vAlign w:val="bottom"/>
          </w:tcPr>
          <w:p>
            <w:pPr>
              <w:spacing w:after="0"/>
              <w:rPr>
                <w:sz w:val="14"/>
                <w:szCs w:val="14"/>
                <w:color w:val="auto"/>
              </w:rPr>
            </w:pPr>
          </w:p>
        </w:tc>
      </w:tr>
      <w:tr>
        <w:trPr>
          <w:trHeight w:val="155"/>
        </w:trPr>
        <w:tc>
          <w:tcPr>
            <w:tcW w:w="5700" w:type="dxa"/>
            <w:vAlign w:val="bottom"/>
            <w:tcBorders>
              <w:top w:val="single" w:sz="8" w:color="CCEEFF"/>
            </w:tcBorders>
            <w:shd w:val="clear" w:color="auto" w:fill="CCEEFF"/>
          </w:tcPr>
          <w:p>
            <w:pPr>
              <w:ind w:left="34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17,962</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54,585</w:t>
            </w:r>
          </w:p>
        </w:tc>
        <w:tc>
          <w:tcPr>
            <w:tcW w:w="20" w:type="dxa"/>
            <w:vAlign w:val="bottom"/>
          </w:tcPr>
          <w:p>
            <w:pPr>
              <w:spacing w:after="0"/>
              <w:rPr>
                <w:sz w:val="13"/>
                <w:szCs w:val="13"/>
                <w:color w:val="auto"/>
              </w:rPr>
            </w:pPr>
          </w:p>
        </w:tc>
      </w:tr>
      <w:tr>
        <w:trPr>
          <w:trHeight w:val="155"/>
        </w:trPr>
        <w:tc>
          <w:tcPr>
            <w:tcW w:w="5700" w:type="dxa"/>
            <w:vAlign w:val="bottom"/>
          </w:tcPr>
          <w:p>
            <w:pPr>
              <w:ind w:left="20"/>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180" w:type="dxa"/>
            <w:vAlign w:val="bottom"/>
          </w:tcPr>
          <w:p>
            <w:pPr>
              <w:spacing w:after="0"/>
              <w:rPr>
                <w:sz w:val="13"/>
                <w:szCs w:val="13"/>
                <w:color w:val="auto"/>
              </w:rPr>
            </w:pPr>
          </w:p>
        </w:tc>
        <w:tc>
          <w:tcPr>
            <w:tcW w:w="1360" w:type="dxa"/>
            <w:vAlign w:val="bottom"/>
          </w:tcPr>
          <w:p>
            <w:pPr>
              <w:jc w:val="right"/>
              <w:spacing w:after="0" w:line="156" w:lineRule="exact"/>
              <w:rPr>
                <w:sz w:val="20"/>
                <w:szCs w:val="20"/>
                <w:color w:val="auto"/>
              </w:rPr>
            </w:pPr>
            <w:r>
              <w:rPr>
                <w:rFonts w:ascii="Arial" w:cs="Arial" w:eastAsia="Arial" w:hAnsi="Arial"/>
                <w:sz w:val="15"/>
                <w:szCs w:val="15"/>
                <w:color w:val="auto"/>
              </w:rPr>
              <w:t>(346)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line="156" w:lineRule="exact"/>
              <w:rPr>
                <w:sz w:val="20"/>
                <w:szCs w:val="20"/>
                <w:color w:val="auto"/>
              </w:rPr>
            </w:pPr>
            <w:r>
              <w:rPr>
                <w:rFonts w:ascii="Arial" w:cs="Arial" w:eastAsia="Arial" w:hAnsi="Arial"/>
                <w:sz w:val="15"/>
                <w:szCs w:val="15"/>
                <w:color w:val="auto"/>
              </w:rPr>
              <w:t>10,017</w:t>
            </w:r>
          </w:p>
        </w:tc>
        <w:tc>
          <w:tcPr>
            <w:tcW w:w="20" w:type="dxa"/>
            <w:vAlign w:val="bottom"/>
          </w:tcPr>
          <w:p>
            <w:pPr>
              <w:spacing w:after="0"/>
              <w:rPr>
                <w:sz w:val="13"/>
                <w:szCs w:val="13"/>
                <w:color w:val="auto"/>
              </w:rPr>
            </w:pPr>
          </w:p>
        </w:tc>
      </w:tr>
      <w:tr>
        <w:trPr>
          <w:trHeight w:val="162"/>
        </w:trPr>
        <w:tc>
          <w:tcPr>
            <w:tcW w:w="57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1,894</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12,342</w:t>
            </w:r>
          </w:p>
        </w:tc>
        <w:tc>
          <w:tcPr>
            <w:tcW w:w="20" w:type="dxa"/>
            <w:vAlign w:val="bottom"/>
          </w:tcPr>
          <w:p>
            <w:pPr>
              <w:spacing w:after="0"/>
              <w:rPr>
                <w:sz w:val="14"/>
                <w:szCs w:val="14"/>
                <w:color w:val="auto"/>
              </w:rPr>
            </w:pPr>
          </w:p>
        </w:tc>
      </w:tr>
      <w:tr>
        <w:trPr>
          <w:trHeight w:val="155"/>
        </w:trPr>
        <w:tc>
          <w:tcPr>
            <w:tcW w:w="5700" w:type="dxa"/>
            <w:vAlign w:val="bottom"/>
          </w:tcPr>
          <w:p>
            <w:pPr>
              <w:ind w:left="20"/>
              <w:spacing w:after="0" w:line="156" w:lineRule="exact"/>
              <w:rPr>
                <w:sz w:val="20"/>
                <w:szCs w:val="20"/>
                <w:color w:val="auto"/>
              </w:rPr>
            </w:pPr>
            <w:r>
              <w:rPr>
                <w:rFonts w:ascii="Arial" w:cs="Arial" w:eastAsia="Arial" w:hAnsi="Arial"/>
                <w:sz w:val="15"/>
                <w:szCs w:val="15"/>
                <w:color w:val="auto"/>
              </w:rPr>
              <w:t>Cash and Cash Equivalents, End of Period</w:t>
            </w: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1,548</w:t>
            </w: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22,359</w:t>
            </w:r>
          </w:p>
        </w:tc>
        <w:tc>
          <w:tcPr>
            <w:tcW w:w="20" w:type="dxa"/>
            <w:vAlign w:val="bottom"/>
          </w:tcPr>
          <w:p>
            <w:pPr>
              <w:spacing w:after="0"/>
              <w:rPr>
                <w:sz w:val="13"/>
                <w:szCs w:val="13"/>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40" w:right="2059" w:firstLine="1086"/>
        <w:spacing w:after="0" w:line="291" w:lineRule="auto"/>
        <w:rPr>
          <w:sz w:val="20"/>
          <w:szCs w:val="20"/>
          <w:color w:val="auto"/>
        </w:rPr>
      </w:pPr>
      <w:r>
        <w:rPr>
          <w:rFonts w:ascii="Arial" w:cs="Arial" w:eastAsia="Arial" w:hAnsi="Arial"/>
          <w:sz w:val="16"/>
          <w:szCs w:val="16"/>
          <w:color w:val="auto"/>
        </w:rPr>
        <w:t>ALPINE INCOME PROPERTY TRUST, INC. CONSOLIDATED STATEMENTS OF CASH FLOWS (Continued)</w:t>
      </w: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5"/>
                <w:szCs w:val="15"/>
                <w:b w:val="1"/>
                <w:bCs w:val="1"/>
                <w:color w:val="auto"/>
              </w:rPr>
              <w:t>Three Months Ended</w:t>
            </w:r>
          </w:p>
        </w:tc>
      </w:tr>
      <w:tr>
        <w:trPr>
          <w:trHeight w:val="156"/>
        </w:trPr>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March 31, 2021</w:t>
            </w:r>
          </w:p>
        </w:tc>
        <w:tc>
          <w:tcPr>
            <w:tcW w:w="160" w:type="dxa"/>
            <w:vAlign w:val="bottom"/>
          </w:tcPr>
          <w:p>
            <w:pPr>
              <w:spacing w:after="0"/>
              <w:rPr>
                <w:sz w:val="13"/>
                <w:szCs w:val="13"/>
                <w:color w:val="auto"/>
              </w:rPr>
            </w:pPr>
          </w:p>
        </w:tc>
        <w:tc>
          <w:tcPr>
            <w:tcW w:w="1360" w:type="dxa"/>
            <w:vAlign w:val="bottom"/>
          </w:tcPr>
          <w:p>
            <w:pPr>
              <w:jc w:val="right"/>
              <w:ind w:right="164"/>
              <w:spacing w:after="0" w:line="156" w:lineRule="exact"/>
              <w:rPr>
                <w:sz w:val="20"/>
                <w:szCs w:val="20"/>
                <w:color w:val="auto"/>
              </w:rPr>
            </w:pPr>
            <w:r>
              <w:rPr>
                <w:rFonts w:ascii="Arial" w:cs="Arial" w:eastAsia="Arial" w:hAnsi="Arial"/>
                <w:sz w:val="15"/>
                <w:szCs w:val="15"/>
                <w:b w:val="1"/>
                <w:bCs w:val="1"/>
                <w:color w:val="auto"/>
              </w:rPr>
              <w:t>March 31, 2020</w:t>
            </w:r>
          </w:p>
        </w:tc>
      </w:tr>
      <w:tr>
        <w:trPr>
          <w:trHeight w:val="156"/>
        </w:trPr>
        <w:tc>
          <w:tcPr>
            <w:tcW w:w="5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Supplemental Disclosure of Cash Flow Information:</w:t>
            </w: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2"/>
        </w:trPr>
        <w:tc>
          <w:tcPr>
            <w:tcW w:w="5700" w:type="dxa"/>
            <w:vAlign w:val="bottom"/>
          </w:tcPr>
          <w:p>
            <w:pPr>
              <w:ind w:left="120"/>
              <w:spacing w:after="0" w:line="162" w:lineRule="exact"/>
              <w:rPr>
                <w:sz w:val="20"/>
                <w:szCs w:val="20"/>
                <w:color w:val="auto"/>
              </w:rPr>
            </w:pPr>
            <w:r>
              <w:rPr>
                <w:rFonts w:ascii="Arial" w:cs="Arial" w:eastAsia="Arial" w:hAnsi="Arial"/>
                <w:sz w:val="15"/>
                <w:szCs w:val="15"/>
                <w:color w:val="auto"/>
              </w:rPr>
              <w:t>Cash Paid for Interest</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482</w:t>
            </w:r>
          </w:p>
        </w:tc>
        <w:tc>
          <w:tcPr>
            <w:tcW w:w="14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164</w:t>
            </w:r>
          </w:p>
        </w:tc>
      </w:tr>
      <w:tr>
        <w:trPr>
          <w:trHeight w:val="162"/>
        </w:trPr>
        <w:tc>
          <w:tcPr>
            <w:tcW w:w="5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2"/>
        </w:trPr>
        <w:tc>
          <w:tcPr>
            <w:tcW w:w="5700" w:type="dxa"/>
            <w:vAlign w:val="bottom"/>
          </w:tcPr>
          <w:p>
            <w:pPr>
              <w:ind w:left="20"/>
              <w:spacing w:after="0" w:line="162" w:lineRule="exact"/>
              <w:rPr>
                <w:sz w:val="20"/>
                <w:szCs w:val="20"/>
                <w:color w:val="auto"/>
              </w:rPr>
            </w:pPr>
            <w:r>
              <w:rPr>
                <w:rFonts w:ascii="Arial" w:cs="Arial" w:eastAsia="Arial" w:hAnsi="Arial"/>
                <w:sz w:val="15"/>
                <w:szCs w:val="15"/>
                <w:color w:val="auto"/>
              </w:rPr>
              <w:t>Supplemental Disclosure of Non-Cash Investing and Financing Activities: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7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Unrealized Gain on Cash Flow Hedge</w:t>
            </w:r>
          </w:p>
        </w:tc>
        <w:tc>
          <w:tcPr>
            <w:tcW w:w="18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portfolio consists of 53 net leased retail and office properties located in 38 markets in 19 states. All of the properties in our portfolio are subject to long-term, primarily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REIT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Net proceeds from the Offering and the concurrent CTO Private Placement (defined below) were used to purchase 15 properties from CTO. Additionally, CTO contributed to Alpine Income Property OP, LP, the Company’s operating partnership (the “Operating Partnership”), five additional properties in exchange for operating partnership units (“OP Units”).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The remaining five properties in our initial portfolio were contributed by CTO in exchange for 1,223,854 OP Units for a value of $23.3 million based on the IPO Price.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7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conduct the substantial majority of our operations through, and substantially all of our assets are held by, the Operating Partnership. Our wholly owned subsidiary, Alpine Income Property GP, LLC (“PINE GP”), is the sole general partner of the Operating Partnership. As of March 31, 2021, we have a total ownership interest in the Operating Partnership of 86.6%, with CTO holding, directly and indirectly, a 13.4%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Company has elected to be taxed as a real estate investment trust (“REIT”) for U.S. federal income tax purposes under the Internal Revenue Code of 1986, as amended (the “Internal Revenue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March 2020, the World Health Organization declared the outbreak of the novel coronavirus as a pandemic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collected 100% of the Contractual Base Rent (“CBR”) due for the three months ended March 31, 2021. CBR represents the amount owed to the Company under the current terms of its lease agreements. During the year ended December 31, 2020, the Company agreed to defer or abate certain CBR in exchange for additional lease term or other lease enhancing additions. Repayment of such deferred CBR began in the third quarter of 2020, with payments continuing, in some cases, through mid-year 2022. An assessment of the current or identifiable potential financial and operational impacts on the Company as a result of the COVID-19 Pandemic are as follows:</w:t>
      </w:r>
    </w:p>
    <w:p>
      <w:pPr>
        <w:spacing w:after="0" w:line="178" w:lineRule="exact"/>
        <w:rPr>
          <w:sz w:val="20"/>
          <w:szCs w:val="20"/>
          <w:color w:val="auto"/>
        </w:rPr>
      </w:pPr>
    </w:p>
    <w:p>
      <w:pPr>
        <w:jc w:val="both"/>
        <w:ind w:left="700" w:right="79" w:hanging="326"/>
        <w:spacing w:after="0" w:line="293"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first quarter of 2020, the Company completed the acquisition of nine properties for an aggregate purchase price of $46.8 million. When the pandemic was declared, given the uncertainties created by the COVID-19 Pandemic and the impact on the capital markets, the U.S. economy, and PINE’s tenants, the Company temporarily suspended its activities directed at identifying additional acquisition opportunities. Towards the end of the second quarter of 2020, the Company reached agreements with tenants for rent deferrals and abatements and the Company completed the acquisition of two properties for an aggregate purchase price of $28.6 million.</w:t>
      </w:r>
    </w:p>
    <w:p>
      <w:pPr>
        <w:spacing w:after="0" w:line="164" w:lineRule="exact"/>
        <w:rPr>
          <w:rFonts w:ascii="Arial" w:cs="Arial" w:eastAsia="Arial" w:hAnsi="Arial"/>
          <w:sz w:val="16"/>
          <w:szCs w:val="16"/>
          <w:color w:val="auto"/>
        </w:rPr>
      </w:pPr>
    </w:p>
    <w:p>
      <w:pPr>
        <w:jc w:val="both"/>
        <w:ind w:left="700" w:right="79" w:hanging="326"/>
        <w:spacing w:after="0" w:line="26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a result of the outbreak of the COVID-19 Pandemic, the Federal Government and the State of Florida issued orders encouraging everyone to remain at their residence and not go into work. In response to these orders and in the best interest of the employees of our Manager and the Board, our Manager implemented significant preventative measures to ensure the health and safety of its employees and the Board, including: conducting all meetings of the Board and Committees of the Board telephonically or via a visual conferencing service, permitting its employees to work from home at their election, enforcing appropriate social distancing practices in our Manager’s office, encouraging its employees to wash their hands often and use face masks and providing hand sanitizer and other disinfectant products throughout their office, requiring its employees who do not feel well, in any capacity, to stay at home, and requiring all third-party delivery services (e.g. mail, food delivery, etc.) to complete their service outside the front door of its offices. Our Manager also offered COVID-19 testing to its employees in our Manager’s office to ensure a safe working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Company follows Financial Accounting Standards Board (“FASB”) ASC Topic 360-10,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w:t>
      </w:r>
      <w:r>
        <w:rPr>
          <w:rFonts w:ascii="Arial" w:cs="Arial" w:eastAsia="Arial" w:hAnsi="Arial"/>
          <w:sz w:val="16"/>
          <w:szCs w:val="16"/>
          <w:color w:val="auto"/>
        </w:rPr>
        <w:t>in conducting its impairment analyses. The Company reviews the recoverability of long-lived assets,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45"/>
        <w:spacing w:after="0" w:line="287"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2"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income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March 31, 2021 and December 31, 2020, the Company had recorded an allowance for doubtful accounts of $0.1 million. As of March 31, 2020, no allowance for doubtful accounts was recorded.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March 31, 2021 and December 31, 2020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Effective April 30</w:t>
      </w:r>
      <w:r>
        <w:rPr>
          <w:rFonts w:ascii="Arial" w:cs="Arial" w:eastAsia="Arial" w:hAnsi="Arial"/>
          <w:sz w:val="18"/>
          <w:szCs w:val="18"/>
          <w:i w:val="1"/>
          <w:iCs w:val="1"/>
          <w:color w:val="auto"/>
        </w:rPr>
        <w:t>,</w:t>
      </w:r>
      <w:r>
        <w:rPr>
          <w:rFonts w:ascii="Arial" w:cs="Arial" w:eastAsia="Arial" w:hAnsi="Arial"/>
          <w:sz w:val="18"/>
          <w:szCs w:val="18"/>
          <w:color w:val="auto"/>
        </w:rPr>
        <w:t xml:space="preserve"> 2020, in conjunction with the variable-rate Credit Facility (hereinafter defined in Note 8, “Long-Term Debt”), the Company entered into an Interest Rate Swap to fix the interest rate on $50.0 million of the outstanding Credit Facility balance (the “Interest Rate Swap”). The Company accounts for its cash flow hedging derivative in accordance with FASB ASC Topic 815-20,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Depending upon the Interest Rate Swap’s value at each balance sheet date, the derivative is included in either other assets or accounts payable, accrued expenses, and other liabilities on the consolidated balance sheet at its fair value. On the date the Interest Rate Swap was entered into, the Company designated the derivative as a hedge of the variability of cash flows to be paid related to the recognized long-term debt liabilities.</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formally documented the relationship between the hedging instrument and the hedged item, as well as its risk-management objective and strategy for undertaking the hedge transaction. At the Interest Rate Swap’s inception, the Company formally assessed whether the derivative that is used in hedging the transaction is highly effective in offsetting changes in cash flows of the hedged item, and we will continue to do so on an ongoing basis. As the terms of the Interest Rate Swap and the associated debt are identical, the hedging instrument qualifies for the shortcut method, therefore, it is assumed that there is no hedge ineffectiveness throughout the entire term of the hedging instrument.</w:t>
      </w:r>
    </w:p>
    <w:p>
      <w:pPr>
        <w:spacing w:after="0" w:line="16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fair value of the hedging instrument that are highly effective and designated and qualified as cash-flow hedge are recorded in other comprehensive income and loss until earnings are affected by the variability in cash flows of the designated hedged item.</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included in other assets, accounts payable, and accrued expenses and other liabilities at March 31, 2021 and December 31, 2020, approximate fair value because of the short maturity of these instruments. The carrying value of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Credit Facility, hereinafter defined, approximates current market rates for revolving credit arrangements with similar risks and maturities.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98" w:lineRule="exact"/>
        <w:rPr>
          <w:rFonts w:ascii="Arial" w:cs="Arial" w:eastAsia="Arial" w:hAnsi="Arial"/>
          <w:sz w:val="18"/>
          <w:szCs w:val="18"/>
          <w:color w:val="auto"/>
        </w:rPr>
      </w:pPr>
    </w:p>
    <w:p>
      <w:pPr>
        <w:jc w:val="both"/>
        <w:ind w:left="700" w:right="79" w:hanging="326"/>
        <w:spacing w:after="0" w:line="24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4" w:lineRule="exact"/>
        <w:rPr>
          <w:rFonts w:ascii="Arial" w:cs="Arial" w:eastAsia="Arial" w:hAnsi="Arial"/>
          <w:sz w:val="18"/>
          <w:szCs w:val="18"/>
          <w:color w:val="auto"/>
        </w:rPr>
      </w:pPr>
    </w:p>
    <w:p>
      <w:pPr>
        <w:jc w:val="both"/>
        <w:ind w:left="700" w:right="79" w:hanging="326"/>
        <w:spacing w:after="0" w:line="24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CONCENTRATION OF RISK</w:t>
      </w:r>
    </w:p>
    <w:p>
      <w:pPr>
        <w:spacing w:after="0" w:line="21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Certain of the tenants in the portfolio of 53 properties accounted for more than 10% of total revenues during the three months ended March 31, 2021 and 2020, respectively.</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three months ended March 31, 2021, the properties leased to Wells Fargo Bank, NA and Hilton Grand Vacations represented 14% and 11% of total revenues, respectively. During the three months ended March 31, 2020, the properties leased to Wells Fargo Bank, NA and Hilton Grand Vacations represented 22% and 14% of total revenues, respectively.</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March 31, 2021 and December 31, 2020, based on square footage, 16% and 17%, respectively, of the Company’s real estate portfolio was located in the State of Florida and 12% and 13%, respectively, of the Company’s real estate portfolio was located in the State of Oregon. Additionally, as of March 31, 2021 and December 31, 2020, more than 10% of the Company’s real estate portfolio, based on square footage, was located in the States of North Carolina and Michigan,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Certain items in the consolidated balance sheet as of December 31, 2020 have been reclassified to conform to the presentation as of March 31, 2021. Specifically, in the first quarter of 2021, the Company reclassified deferred financing costs, net of accumulated amortization, as a component of other assets on the accompanying consolidated balance sheet. Accordingly, deferred financing costs of $0.9 million, net of accumulated amortization of $0.2 million, were reclassified from long-term debt to other assets as of December 31, 2020. Additionally, in the first quarter of 2021, the Company increased non-cash compensation for the three months ended March 31, 2020 by $0.03 million through a reclassification from accounts payable, accrued expenses, and other liabilities within operating activities on the accompanying consolidated statements of cash flows which is the result of timing related to the issuance of shares for director retainers.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INCOME PROPERTY PORTFOLIO</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March 31, 2021, the Company’s income property portfolio consisted of 53 properties with total square footage of 1.8 million.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Leasing revenue consists of long-term rental revenue from retail and office income properties, which is recognized as earned, using the straight-line method over the life of each lease.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34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2020</w:t>
            </w:r>
          </w:p>
        </w:tc>
        <w:tc>
          <w:tcPr>
            <w:tcW w:w="500" w:type="dxa"/>
            <w:vAlign w:val="bottom"/>
            <w:tcBorders>
              <w:bottom w:val="single" w:sz="8" w:color="auto"/>
            </w:tcBorders>
          </w:tcPr>
          <w:p>
            <w:pPr>
              <w:spacing w:after="0"/>
              <w:rPr>
                <w:sz w:val="18"/>
                <w:szCs w:val="18"/>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Income</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800" w:type="dxa"/>
            <w:vAlign w:val="bottom"/>
          </w:tcPr>
          <w:p>
            <w:pPr>
              <w:jc w:val="right"/>
              <w:ind w:right="16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5,446</w:t>
            </w:r>
          </w:p>
        </w:tc>
        <w:tc>
          <w:tcPr>
            <w:tcW w:w="240" w:type="dxa"/>
            <w:vAlign w:val="bottom"/>
          </w:tcPr>
          <w:p>
            <w:pPr>
              <w:spacing w:after="0"/>
              <w:rPr>
                <w:sz w:val="18"/>
                <w:szCs w:val="18"/>
                <w:color w:val="auto"/>
              </w:rPr>
            </w:pPr>
          </w:p>
        </w:tc>
        <w:tc>
          <w:tcPr>
            <w:tcW w:w="1800" w:type="dxa"/>
            <w:vAlign w:val="bottom"/>
          </w:tcPr>
          <w:p>
            <w:pPr>
              <w:jc w:val="right"/>
              <w:ind w:right="164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3,812</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180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5,890</w:t>
            </w:r>
          </w:p>
        </w:tc>
        <w:tc>
          <w:tcPr>
            <w:tcW w:w="240" w:type="dxa"/>
            <w:vAlign w:val="bottom"/>
          </w:tcPr>
          <w:p>
            <w:pPr>
              <w:spacing w:after="0"/>
              <w:rPr>
                <w:sz w:val="18"/>
                <w:szCs w:val="18"/>
                <w:color w:val="auto"/>
              </w:rPr>
            </w:pPr>
          </w:p>
        </w:tc>
        <w:tc>
          <w:tcPr>
            <w:tcW w:w="1800" w:type="dxa"/>
            <w:vAlign w:val="bottom"/>
            <w:tcBorders>
              <w:bottom w:val="single" w:sz="8" w:color="auto"/>
            </w:tcBorders>
          </w:tcPr>
          <w:p>
            <w:pPr>
              <w:jc w:val="right"/>
              <w:ind w:right="164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4,171</w:t>
            </w:r>
          </w:p>
        </w:tc>
      </w:tr>
      <w:tr>
        <w:trPr>
          <w:trHeight w:val="20"/>
        </w:trPr>
        <w:tc>
          <w:tcPr>
            <w:tcW w:w="40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rent and other lease payments that are not fixed and determinable, having remaining terms in excess of one year subsequent to March 31, 2021,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17,045</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22,681</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22,656</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22,188</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r>
      <w:tr>
        <w:trPr>
          <w:trHeight w:val="21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 (cumulative)</w:t>
            </w: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82,921</w:t>
            </w:r>
          </w:p>
        </w:tc>
      </w:tr>
      <w:tr>
        <w:trPr>
          <w:trHeight w:val="21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189,171</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83"/>
        <w:spacing w:after="0" w:line="272" w:lineRule="auto"/>
        <w:rPr>
          <w:sz w:val="20"/>
          <w:szCs w:val="20"/>
          <w:color w:val="auto"/>
        </w:rPr>
      </w:pPr>
      <w:r>
        <w:rPr>
          <w:rFonts w:ascii="Arial" w:cs="Arial" w:eastAsia="Arial" w:hAnsi="Arial"/>
          <w:sz w:val="17"/>
          <w:szCs w:val="17"/>
          <w:i w:val="1"/>
          <w:iCs w:val="1"/>
          <w:color w:val="auto"/>
        </w:rPr>
        <w:t xml:space="preserve">2021 Activity. </w:t>
      </w:r>
      <w:r>
        <w:rPr>
          <w:rFonts w:ascii="Arial" w:cs="Arial" w:eastAsia="Arial" w:hAnsi="Arial"/>
          <w:sz w:val="17"/>
          <w:szCs w:val="17"/>
          <w:color w:val="auto"/>
        </w:rPr>
        <w:t>During the three months ended March 31, 2021, the Company acquired five income properties for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combined purchase price of $21.9 million, or an acquisition cost of $22.1 million including capitalized acquisition costs. Of the total acquisition cost, $5.4 million was allocated to land, $13.4 million was allocated to buildings and improvements, $3.4 million was allocated to intangible assets pertaining to the in-place lease value, leasing fees, and above market lease value, and $0.1 million was allocated to intangible liabilities for the below market lease value. The weighted average amortization period for the intangible assets and liabilities was 9.2 years at acquisition. No income properties were disposed of during the three months ended March 31, 2021.</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net lease income properties acquired during the three months ended March 31, 2021 are described below:</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Purchase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 of</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780" w:type="dxa"/>
            <w:vAlign w:val="bottom"/>
            <w:gridSpan w:val="3"/>
          </w:tcPr>
          <w:p>
            <w:pPr>
              <w:ind w:left="20"/>
              <w:spacing w:after="0"/>
              <w:rPr>
                <w:sz w:val="20"/>
                <w:szCs w:val="20"/>
                <w:color w:val="auto"/>
              </w:rPr>
            </w:pPr>
            <w:r>
              <w:rPr>
                <w:rFonts w:ascii="Arial" w:cs="Arial" w:eastAsia="Arial" w:hAnsi="Arial"/>
                <w:sz w:val="16"/>
                <w:szCs w:val="16"/>
                <w:b w:val="1"/>
                <w:bCs w:val="1"/>
                <w:color w:val="auto"/>
              </w:rPr>
              <w:t>Tenant Description</w:t>
            </w: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Acquisition</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Square-Feet</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($000's)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Cut and Shoot,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780" w:type="dxa"/>
            <w:vAlign w:val="bottom"/>
            <w:gridSpan w:val="3"/>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Del Rio,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Seguin,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2"/>
        </w:trPr>
        <w:tc>
          <w:tcPr>
            <w:tcW w:w="2780" w:type="dxa"/>
            <w:vAlign w:val="bottom"/>
            <w:gridSpan w:val="3"/>
          </w:tcPr>
          <w:p>
            <w:pPr>
              <w:ind w:left="20"/>
              <w:spacing w:after="0"/>
              <w:rPr>
                <w:sz w:val="20"/>
                <w:szCs w:val="20"/>
                <w:color w:val="auto"/>
              </w:rPr>
            </w:pPr>
            <w:r>
              <w:rPr>
                <w:rFonts w:ascii="Arial" w:cs="Arial" w:eastAsia="Arial" w:hAnsi="Arial"/>
                <w:sz w:val="16"/>
                <w:szCs w:val="16"/>
                <w:color w:val="auto"/>
              </w:rPr>
              <w:t>At Home</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Canton,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89,902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Pet Supplies Plus</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Canton,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3"/>
        </w:trPr>
        <w:tc>
          <w:tcPr>
            <w:tcW w:w="2780" w:type="dxa"/>
            <w:vAlign w:val="bottom"/>
            <w:gridSpan w:val="3"/>
          </w:tcPr>
          <w:p>
            <w:pPr>
              <w:ind w:left="20"/>
              <w:spacing w:after="0"/>
              <w:rPr>
                <w:sz w:val="20"/>
                <w:szCs w:val="20"/>
                <w:color w:val="auto"/>
              </w:rPr>
            </w:pPr>
            <w:r>
              <w:rPr>
                <w:rFonts w:ascii="Arial" w:cs="Arial" w:eastAsia="Arial" w:hAnsi="Arial"/>
                <w:sz w:val="16"/>
                <w:szCs w:val="16"/>
                <w:color w:val="auto"/>
              </w:rPr>
              <w:t>Salon Lofts</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Canton,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Sportsman Warehouse</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Albuquerque, NM</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3/29/2021</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24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196"/>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jc w:val="right"/>
              <w:ind w:right="160"/>
              <w:spacing w:after="0"/>
              <w:rPr>
                <w:sz w:val="20"/>
                <w:szCs w:val="20"/>
                <w:color w:val="auto"/>
              </w:rPr>
            </w:pPr>
            <w:r>
              <w:rPr>
                <w:rFonts w:ascii="Arial" w:cs="Arial" w:eastAsia="Arial" w:hAnsi="Arial"/>
                <w:sz w:val="16"/>
                <w:szCs w:val="16"/>
                <w:color w:val="auto"/>
              </w:rPr>
              <w:t>Total / Weighted Average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178,746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These three tenants represent the acquisition of one property for a purchase price of $10.4 million which was allocated based on cash base rent in place at the time of acquisition.</w:t>
      </w:r>
    </w:p>
    <w:p>
      <w:pPr>
        <w:spacing w:after="0" w:line="178" w:lineRule="exact"/>
        <w:rPr>
          <w:sz w:val="20"/>
          <w:szCs w:val="20"/>
          <w:color w:val="auto"/>
        </w:rPr>
      </w:pPr>
    </w:p>
    <w:p>
      <w:pPr>
        <w:jc w:val="both"/>
        <w:ind w:left="60" w:right="59" w:firstLine="383"/>
        <w:spacing w:after="0" w:line="301" w:lineRule="auto"/>
        <w:rPr>
          <w:sz w:val="20"/>
          <w:szCs w:val="20"/>
          <w:color w:val="auto"/>
        </w:rPr>
      </w:pPr>
      <w:r>
        <w:rPr>
          <w:rFonts w:ascii="Arial" w:cs="Arial" w:eastAsia="Arial" w:hAnsi="Arial"/>
          <w:sz w:val="16"/>
          <w:szCs w:val="16"/>
          <w:i w:val="1"/>
          <w:iCs w:val="1"/>
          <w:color w:val="auto"/>
        </w:rPr>
        <w:t xml:space="preserve">2020 Activity. </w:t>
      </w:r>
      <w:r>
        <w:rPr>
          <w:rFonts w:ascii="Arial" w:cs="Arial" w:eastAsia="Arial" w:hAnsi="Arial"/>
          <w:sz w:val="16"/>
          <w:szCs w:val="16"/>
          <w:color w:val="auto"/>
        </w:rPr>
        <w:t>During the three months ended March 31, 2020, the Company acquired nine income properties for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purchase price of $46.8 million, or an acquisition cost of $47.0 million including capitalized acquisition costs. Of the total acquisition cost, $11.9 million was allocated to land, $29.3 million was allocated to buildings and improvements, $6.9 million was allocated to intangible assets pertaining to the in-place lease value, leasing fees, and above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market lease value, and $1.1 million was allocated to intangible liabilities for the below market lease value. The weighted average amortization period for the intangible assets and liabilities was 11.2 years at acquisition. No income properties were disposed of during the three months ended March 31, 2020.</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net lease income properties acquired during the three months ended March 31, 2020 are described below:</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Purchase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 of</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780" w:type="dxa"/>
            <w:vAlign w:val="bottom"/>
            <w:gridSpan w:val="2"/>
          </w:tcPr>
          <w:p>
            <w:pPr>
              <w:ind w:left="20"/>
              <w:spacing w:after="0"/>
              <w:rPr>
                <w:sz w:val="20"/>
                <w:szCs w:val="20"/>
                <w:color w:val="auto"/>
              </w:rPr>
            </w:pPr>
            <w:r>
              <w:rPr>
                <w:rFonts w:ascii="Arial" w:cs="Arial" w:eastAsia="Arial" w:hAnsi="Arial"/>
                <w:sz w:val="16"/>
                <w:szCs w:val="16"/>
                <w:b w:val="1"/>
                <w:bCs w:val="1"/>
                <w:color w:val="auto"/>
              </w:rPr>
              <w:t>Tenant Description</w:t>
            </w: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Acquisition</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Square-Feet</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($000's)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7-Eleven</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Austin,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1/13/2020</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7-Eleven</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Georgetown, TX</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1/13/2020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4,301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2"/>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Conn's HomePlus</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Hurst, TX</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1/10/2020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Lehigh Gas Wholesale Services, Inc.</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Highland Heights, KY</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2/03/2020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Multi-Cinema, Inc.</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Tyngsborough, MA</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2/19/2020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Hobby Lobby</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Tulsa, OK</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12,486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 John Silver's</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Tulsa, OK</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0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Old Time Pottery</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Orange Park, FL</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84,180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6,312</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Freddy's Frozen Custard</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Orange Park, FL</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2/28/2020</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4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96"/>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jc w:val="right"/>
              <w:ind w:right="160"/>
              <w:spacing w:after="0"/>
              <w:rPr>
                <w:sz w:val="20"/>
                <w:szCs w:val="20"/>
                <w:color w:val="auto"/>
              </w:rPr>
            </w:pPr>
            <w:r>
              <w:rPr>
                <w:rFonts w:ascii="Arial" w:cs="Arial" w:eastAsia="Arial" w:hAnsi="Arial"/>
                <w:sz w:val="16"/>
                <w:szCs w:val="16"/>
                <w:color w:val="auto"/>
              </w:rPr>
              <w:t>Total / Weighted Average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268,695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46,833</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FAIR VALUE OF FINANCIAL INSTRUMENTS</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the carrying value and estimated fair value of the Company’s financial instruments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December 31,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4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2021</w:t>
            </w:r>
          </w:p>
        </w:tc>
        <w:tc>
          <w:tcPr>
            <w:tcW w:w="400" w:type="dxa"/>
            <w:vAlign w:val="bottom"/>
          </w:tcPr>
          <w:p>
            <w:pPr>
              <w:spacing w:after="0"/>
              <w:rPr>
                <w:sz w:val="20"/>
                <w:szCs w:val="20"/>
                <w:color w:val="auto"/>
              </w:rPr>
            </w:pPr>
          </w:p>
        </w:tc>
        <w:tc>
          <w:tcPr>
            <w:tcW w:w="24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30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Estimated</w:t>
            </w:r>
          </w:p>
        </w:tc>
      </w:tr>
      <w:tr>
        <w:trPr>
          <w:trHeight w:val="234"/>
        </w:trPr>
        <w:tc>
          <w:tcPr>
            <w:tcW w:w="304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400" w:type="dxa"/>
            <w:vAlign w:val="bottom"/>
          </w:tcPr>
          <w:p>
            <w:pPr>
              <w:jc w:val="right"/>
              <w:ind w:right="24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119,309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119,309</w:t>
            </w:r>
          </w:p>
        </w:tc>
        <w:tc>
          <w:tcPr>
            <w:tcW w:w="1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106,809</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106,809</w:t>
            </w:r>
          </w:p>
        </w:tc>
      </w:tr>
    </w:tbl>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tables present the fair value of assets (liabilities) measured on a recurring basis by Level as of March 31, 2021 and December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Significant</w:t>
            </w:r>
          </w:p>
        </w:tc>
        <w:tc>
          <w:tcPr>
            <w:tcW w:w="6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Active Markets</w:t>
            </w: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for Identical</w:t>
            </w: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Observable Inputs</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Assets (Level 1)</w:t>
            </w:r>
          </w:p>
        </w:tc>
        <w:tc>
          <w:tcPr>
            <w:tcW w:w="24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3)</w:t>
            </w: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890"/>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3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March 31, 2021 and December 31,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March 31, 2021</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29,885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27,494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8"/>
                <w:szCs w:val="18"/>
                <w:color w:val="auto"/>
              </w:rPr>
            </w:pPr>
          </w:p>
        </w:tc>
      </w:tr>
      <w:tr>
        <w:trPr>
          <w:trHeight w:val="216"/>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20" w:type="dxa"/>
            <w:vAlign w:val="bottom"/>
          </w:tcPr>
          <w:p>
            <w:pPr>
              <w:spacing w:after="0"/>
              <w:rPr>
                <w:sz w:val="18"/>
                <w:szCs w:val="18"/>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20" w:type="dxa"/>
            <w:vAlign w:val="bottom"/>
          </w:tcPr>
          <w:p>
            <w:pPr>
              <w:spacing w:after="0"/>
              <w:rPr>
                <w:sz w:val="18"/>
                <w:szCs w:val="18"/>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w:t>
            </w:r>
          </w:p>
        </w:tc>
        <w:tc>
          <w:tcPr>
            <w:tcW w:w="20" w:type="dxa"/>
            <w:vAlign w:val="bottom"/>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Intangible Lease Liabilities: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(3,829)</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r>
      <w:tr>
        <w:trPr>
          <w:trHeight w:val="210"/>
        </w:trPr>
        <w:tc>
          <w:tcPr>
            <w:tcW w:w="518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09"/>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20" w:type="dxa"/>
            <w:vAlign w:val="bottom"/>
          </w:tcPr>
          <w:p>
            <w:pPr>
              <w:spacing w:after="0"/>
              <w:rPr>
                <w:sz w:val="18"/>
                <w:szCs w:val="18"/>
                <w:color w:val="auto"/>
              </w:rPr>
            </w:pPr>
          </w:p>
        </w:tc>
      </w:tr>
      <w:tr>
        <w:trPr>
          <w:trHeight w:val="21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reflects the net amortization of intangible assets and liabilities during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5"/>
          </w:tcPr>
          <w:p>
            <w:pPr>
              <w:ind w:left="84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8"/>
              </w:rPr>
              <w:t>March 31, 2021</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March 31, 2020</w:t>
            </w:r>
          </w:p>
        </w:tc>
        <w:tc>
          <w:tcPr>
            <w:tcW w:w="20" w:type="dxa"/>
            <w:vAlign w:val="bottom"/>
          </w:tcPr>
          <w:p>
            <w:pPr>
              <w:spacing w:after="0"/>
              <w:rPr>
                <w:sz w:val="18"/>
                <w:szCs w:val="18"/>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Increase to Income Properties Revenue</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Amortization of Intangible Assets and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Future Accretion to</w:t>
            </w: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Future Amortization</w:t>
            </w:r>
          </w:p>
        </w:tc>
        <w:tc>
          <w:tcPr>
            <w:tcW w:w="1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 Property</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4,898</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4,681</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2026 and thereafter</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13,070</w:t>
            </w:r>
          </w:p>
        </w:tc>
      </w:tr>
      <w:tr>
        <w:trPr>
          <w:trHeight w:val="209"/>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35,657</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March 31, 2021, the weighted average amortization period of both the total intangible assets and liabilities was 9.1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40" w:type="dxa"/>
            <w:vAlign w:val="bottom"/>
            <w:gridSpan w:val="4"/>
          </w:tcPr>
          <w:p>
            <w:pPr>
              <w:ind w:left="20"/>
              <w:spacing w:after="0"/>
              <w:rPr>
                <w:sz w:val="20"/>
                <w:szCs w:val="20"/>
                <w:color w:val="auto"/>
              </w:rPr>
            </w:pPr>
            <w:r>
              <w:rPr>
                <w:rFonts w:ascii="Arial" w:cs="Arial" w:eastAsia="Arial" w:hAnsi="Arial"/>
                <w:sz w:val="18"/>
                <w:szCs w:val="18"/>
                <w:b w:val="1"/>
                <w:bCs w:val="1"/>
                <w:color w:val="auto"/>
              </w:rPr>
              <w:t>NOTE 6. OTHER ASSETS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120" w:type="dxa"/>
            <w:vAlign w:val="bottom"/>
            <w:gridSpan w:val="3"/>
          </w:tcPr>
          <w:p>
            <w:pPr>
              <w:ind w:left="320"/>
              <w:spacing w:after="0"/>
              <w:rPr>
                <w:sz w:val="20"/>
                <w:szCs w:val="20"/>
                <w:color w:val="auto"/>
              </w:rPr>
            </w:pPr>
            <w:r>
              <w:rPr>
                <w:rFonts w:ascii="Arial" w:cs="Arial" w:eastAsia="Arial" w:hAnsi="Arial"/>
                <w:sz w:val="18"/>
                <w:szCs w:val="18"/>
                <w:color w:val="auto"/>
              </w:rPr>
              <w:t>Other assets consisted of the following (in thousands):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2020</w:t>
            </w:r>
          </w:p>
        </w:tc>
      </w:tr>
      <w:tr>
        <w:trPr>
          <w:trHeight w:val="209"/>
        </w:trPr>
        <w:tc>
          <w:tcPr>
            <w:tcW w:w="514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Tenant Receivables—Net </w:t>
            </w:r>
            <w:r>
              <w:rPr>
                <w:rFonts w:ascii="Arial" w:cs="Arial" w:eastAsia="Arial" w:hAnsi="Arial"/>
                <w:sz w:val="24"/>
                <w:szCs w:val="24"/>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Accrued Unbilled Tenant Receivables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5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Deposits on Acquisitions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Prepaid and Deposits—Other</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Deferred Financing Costs—Net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5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1"/>
          <w:szCs w:val="11"/>
          <w:color w:val="auto"/>
        </w:rPr>
      </w:pPr>
      <w:r>
        <w:rPr>
          <w:rFonts w:ascii="Arial" w:cs="Arial" w:eastAsia="Arial" w:hAnsi="Arial"/>
          <w:sz w:val="14"/>
          <w:szCs w:val="14"/>
          <w:color w:val="auto"/>
        </w:rPr>
        <w:t>As of March 31, 2021 and December 31, 2020, includes $0.1 million allowance for doubtful accounts.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CTO</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09"/>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Total Accounts Payable, Accrued Expenses, and Other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31, 2021, the Company’s outstanding indebtedness, at face value,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Face Value Debt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30-Day LIBOR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119,309</w:t>
            </w:r>
          </w:p>
        </w:tc>
        <w:tc>
          <w:tcPr>
            <w:tcW w:w="160" w:type="dxa"/>
            <w:vAlign w:val="bottom"/>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jc w:val="center"/>
              <w:ind w:right="350"/>
              <w:spacing w:after="0" w:line="230" w:lineRule="exact"/>
              <w:rPr>
                <w:sz w:val="20"/>
                <w:szCs w:val="20"/>
                <w:color w:val="auto"/>
              </w:rPr>
            </w:pPr>
            <w:r>
              <w:rPr>
                <w:rFonts w:ascii="Arial" w:cs="Arial" w:eastAsia="Arial" w:hAnsi="Arial"/>
                <w:sz w:val="18"/>
                <w:szCs w:val="18"/>
                <w:color w:val="auto"/>
              </w:rPr>
              <w:t xml:space="preserve">1.35% - 1.95% </w:t>
            </w:r>
            <w:r>
              <w:rPr>
                <w:rFonts w:ascii="Arial" w:cs="Arial" w:eastAsia="Arial" w:hAnsi="Arial"/>
                <w:sz w:val="26"/>
                <w:szCs w:val="26"/>
                <w:color w:val="auto"/>
                <w:vertAlign w:val="superscript"/>
              </w:rPr>
              <w:t>(1)</w:t>
            </w:r>
          </w:p>
        </w:tc>
        <w:tc>
          <w:tcPr>
            <w:tcW w:w="16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2023</w:t>
            </w:r>
          </w:p>
        </w:tc>
      </w:tr>
      <w:tr>
        <w:trPr>
          <w:trHeight w:val="21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119,309</w:t>
            </w:r>
          </w:p>
        </w:tc>
        <w:tc>
          <w:tcPr>
            <w:tcW w:w="160" w:type="dxa"/>
            <w:vAlign w:val="bottom"/>
          </w:tcPr>
          <w:p>
            <w:pPr>
              <w:spacing w:after="0"/>
              <w:rPr>
                <w:sz w:val="18"/>
                <w:szCs w:val="18"/>
                <w:color w:val="auto"/>
              </w:rPr>
            </w:pPr>
          </w:p>
        </w:tc>
        <w:tc>
          <w:tcPr>
            <w:tcW w:w="2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Effective April 30, 2020, the Company utilized an Interest Rate Swap to achieve a fixed interest rate of 0.48% plus the applicable spread on $50.0 million of the outstanding balance on the Credit Facility.</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November 26, 2019, the Company and the Operating Partnership entered into a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Agreement”) with a group of lenders for a senior unsecured revolving credit facility (the “Credit Facility”) in the maximum aggregate initial original principal amount of up to $100.0 million. The Credit Facility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October 16, 2020, the Company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Pursuant to the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Agreement. The Credit Facility also accrues a fee of 15 to 25 basis points for any unused portion of the borrowing capacity based on whether the unused portion is greater or less than 50% of the total borrowing capacity.</w:t>
      </w:r>
    </w:p>
    <w:p>
      <w:pPr>
        <w:spacing w:after="0" w:line="161" w:lineRule="exact"/>
        <w:rPr>
          <w:sz w:val="20"/>
          <w:szCs w:val="20"/>
          <w:color w:val="auto"/>
        </w:rPr>
      </w:pPr>
    </w:p>
    <w:p>
      <w:pPr>
        <w:jc w:val="both"/>
        <w:ind w:left="60" w:right="59" w:firstLine="383"/>
        <w:spacing w:after="0" w:line="271" w:lineRule="auto"/>
        <w:rPr>
          <w:sz w:val="20"/>
          <w:szCs w:val="20"/>
          <w:color w:val="auto"/>
        </w:rPr>
      </w:pPr>
      <w:r>
        <w:rPr>
          <w:rFonts w:ascii="Arial" w:cs="Arial" w:eastAsia="Arial" w:hAnsi="Arial"/>
          <w:sz w:val="17"/>
          <w:szCs w:val="17"/>
          <w:color w:val="auto"/>
        </w:rPr>
        <w:t>The Operating Partnership is subject to customary restrictive covenants under the Credit Facility, including, but not limited to, limitations on the Operating Partnership’s ability to: (a) incur indebtedness; (b) make certain investments; (c) incur certain liens; (d) engage in certain affiliate transactions; and (e) engage in certain major transactions such as mergers. The Credit Facility also contains financial covenants covering the Operating Partnership, including but not limited to, tangible net worth and fixed charge coverage ratios. In addition, the Operating Partnership is subject to additional financial maintenance covenants as described in the Credit Agreement. On June 30, 2020, the Company and the Operating Partnership entered into the first amendment to the Credit Agreement with the lenders whereby the tangible net worth covenant was adjusted to be more reflective of market terms.</w:t>
      </w:r>
    </w:p>
    <w:p>
      <w:pPr>
        <w:spacing w:after="0" w:line="17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At March 31, 2021, the current commitment level under the Credit Facility was $150.0 million and the Company had an outstanding balance of $119.3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as of March 31, 2021 and December 31, 2020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ind w:left="56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Pr>
          <w:p>
            <w:pPr>
              <w:spacing w:after="0"/>
              <w:rPr>
                <w:sz w:val="20"/>
                <w:szCs w:val="20"/>
                <w:color w:val="auto"/>
              </w:rPr>
            </w:pPr>
          </w:p>
        </w:tc>
        <w:tc>
          <w:tcPr>
            <w:tcW w:w="244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3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Due Within</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Due Within</w:t>
            </w:r>
          </w:p>
        </w:tc>
      </w:tr>
      <w:tr>
        <w:trPr>
          <w:trHeight w:val="234"/>
        </w:trPr>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One Year</w:t>
            </w:r>
          </w:p>
        </w:tc>
        <w:tc>
          <w:tcPr>
            <w:tcW w:w="26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One Year</w:t>
            </w: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106,809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31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5"/>
              </w:rPr>
              <w:t>106,809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Payments applicable to reduction of principal amounts as of March 31, 2021 will be required as follows (in</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1"/>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540" w:type="dxa"/>
            <w:vAlign w:val="bottom"/>
          </w:tcPr>
          <w:p>
            <w:pPr>
              <w:spacing w:after="0"/>
              <w:rPr>
                <w:sz w:val="24"/>
                <w:szCs w:val="24"/>
                <w:color w:val="auto"/>
              </w:rPr>
            </w:pP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color w:val="auto"/>
              </w:rPr>
              <w:t>Amount</w:t>
            </w:r>
          </w:p>
        </w:tc>
      </w:t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119,309</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119,309</w:t>
            </w: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324"/>
        <w:spacing w:after="0" w:line="231" w:lineRule="auto"/>
        <w:rPr>
          <w:sz w:val="20"/>
          <w:szCs w:val="20"/>
          <w:color w:val="auto"/>
        </w:rPr>
      </w:pPr>
      <w:r>
        <w:rPr>
          <w:rFonts w:ascii="Arial" w:cs="Arial" w:eastAsia="Arial" w:hAnsi="Arial"/>
          <w:sz w:val="18"/>
          <w:szCs w:val="18"/>
          <w:color w:val="auto"/>
        </w:rPr>
        <w:t>As of March 31, 2021, the Company had deferred financing costs of $0.9 million, net of accumulated amortization, of $0.3 million which is included in other assets on the consolidated balance sheets. These costs are amortized on a straight-line basis over the term of the Credit Facility and are included in interest expense in the accompanying consolidated statements of operations.</w:t>
      </w:r>
    </w:p>
    <w:p>
      <w:pPr>
        <w:spacing w:after="0" w:line="148" w:lineRule="exact"/>
        <w:rPr>
          <w:sz w:val="20"/>
          <w:szCs w:val="20"/>
          <w:color w:val="auto"/>
        </w:rPr>
      </w:pPr>
    </w:p>
    <w:p>
      <w:pPr>
        <w:ind w:left="60" w:right="59" w:firstLine="324"/>
        <w:spacing w:after="0" w:line="246" w:lineRule="auto"/>
        <w:rPr>
          <w:sz w:val="20"/>
          <w:szCs w:val="20"/>
          <w:color w:val="auto"/>
        </w:rPr>
      </w:pPr>
      <w:r>
        <w:rPr>
          <w:rFonts w:ascii="Arial" w:cs="Arial" w:eastAsia="Arial" w:hAnsi="Arial"/>
          <w:sz w:val="18"/>
          <w:szCs w:val="18"/>
          <w:color w:val="auto"/>
        </w:rPr>
        <w:t>The following table reflects a summary of interest expense incurred and paid during the three months ended March 31, 2021 and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r>
      <w:tr>
        <w:trPr>
          <w:trHeight w:val="209"/>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 2020</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Deferred Financing Costs to Interest Expense</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Paid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March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INTEREST RATE SWAP</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During April 2020, the Company entered into an Interest Rate Swap agreement to hedge cash flows tied to changes in the underlying floating interest rate tied to LIBOR for $50.0 million of the outstanding balance on the Credit Facility as discussed in Note 8, “Long-Term Debt.” During the three months ended March 31, 2021, the Interest Rate Swap agreement was 100% effective. Accordingly, the change in fair value on the Interest Rate Swap has been included in accumulated other comprehensive income (loss). As of March 31, 2021, the fair value of our Interest Rate Swap agreement, which was a gain of $0.2 million, was included in other assets on the consolidated balance sheets. The Interest Rate Swap was effective on April 30, 2020 and matures on November 26, 2024. The Interest Rate Swap fixed the variable rate debt on the notional amount of related debt of $50.0 million to a fixed rate of 0.48% plus the applicable spread.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19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December 14, 2020, the Company implemented a $100.0 million “at-the-market” equity offering program (the “2020 ATM Program”) pursuant to which the Company may sell, from time to time, shares of the Company’s common stock. Under the 2020 ATM Program, during the three months ended March 31, 2021, the Company sold 434,201 shares for $7.9 million at a weighted average price of $18.25 per share, generating net proceeds of $7.8 million due to $0.1 million of fees paid on the sales.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2021, the Company declared and paid cash dividends on its common stock and OP Units of $0.24 per share. See Note 16, “Subsequent Events” for disclosure related to the second quarter 2021 dividend.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COMMON STOCK AND EARNINGS PER SHARE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31, 2020</w:t>
            </w:r>
          </w:p>
        </w:tc>
      </w:tr>
      <w:tr>
        <w:trPr>
          <w:trHeight w:val="209"/>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Alpine Income Property Trust,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7,896,757</w:t>
            </w:r>
          </w:p>
        </w:tc>
      </w:tr>
      <w:tr>
        <w:trPr>
          <w:trHeight w:val="216"/>
        </w:trPr>
        <w:tc>
          <w:tcPr>
            <w:tcW w:w="57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7"/>
                <w:szCs w:val="17"/>
                <w:color w:val="auto"/>
              </w:rPr>
              <w:t xml:space="preserve">Common Shares Applicable to OP Units using Treasury Stock Method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r>
      <w:tr>
        <w:trPr>
          <w:trHeight w:val="21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Applicable to Diluted Earnings per Share</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8,789,283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9,120,611</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Income Attributable to Alpine Income Property Trust, Inc.</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9"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1"/>
          <w:szCs w:val="11"/>
          <w:color w:val="auto"/>
        </w:rPr>
      </w:pPr>
      <w:r>
        <w:rPr>
          <w:rFonts w:ascii="Arial" w:cs="Arial" w:eastAsia="Arial" w:hAnsi="Arial"/>
          <w:sz w:val="14"/>
          <w:szCs w:val="14"/>
          <w:color w:val="auto"/>
        </w:rPr>
        <w:t>Represents OP Units owned by CTO Realty Growth, Inc. issued in connection with our Formation Transactions.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SHARE REPURCHASES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STOCK-BASED COMPENSATION</w:t>
      </w:r>
    </w:p>
    <w:p>
      <w:pPr>
        <w:spacing w:after="0" w:line="229" w:lineRule="exact"/>
        <w:rPr>
          <w:sz w:val="20"/>
          <w:szCs w:val="20"/>
          <w:color w:val="auto"/>
        </w:rPr>
      </w:pPr>
    </w:p>
    <w:p>
      <w:pPr>
        <w:jc w:val="both"/>
        <w:ind w:left="60" w:right="59" w:firstLine="486"/>
        <w:spacing w:after="0" w:line="275" w:lineRule="auto"/>
        <w:rPr>
          <w:sz w:val="20"/>
          <w:szCs w:val="20"/>
          <w:color w:val="auto"/>
        </w:rPr>
      </w:pPr>
      <w:r>
        <w:rPr>
          <w:rFonts w:ascii="Arial" w:cs="Arial" w:eastAsia="Arial" w:hAnsi="Arial"/>
          <w:sz w:val="17"/>
          <w:szCs w:val="17"/>
          <w:color w:val="auto"/>
        </w:rPr>
        <w:t>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76" w:lineRule="exact"/>
        <w:rPr>
          <w:sz w:val="20"/>
          <w:szCs w:val="20"/>
          <w:color w:val="auto"/>
        </w:rPr>
      </w:pPr>
    </w:p>
    <w:p>
      <w:pPr>
        <w:jc w:val="both"/>
        <w:ind w:left="60" w:right="59" w:firstLine="492"/>
        <w:spacing w:after="0" w:line="251" w:lineRule="auto"/>
        <w:rPr>
          <w:sz w:val="20"/>
          <w:szCs w:val="20"/>
          <w:color w:val="auto"/>
        </w:rPr>
      </w:pPr>
      <w:r>
        <w:rPr>
          <w:rFonts w:ascii="Arial" w:cs="Arial" w:eastAsia="Arial" w:hAnsi="Arial"/>
          <w:sz w:val="17"/>
          <w:szCs w:val="17"/>
          <w:color w:val="auto"/>
        </w:rPr>
        <w:t>In connection with the closing of the IPO, on November 26, 2019, the Company granted restricted shares of common stock to each of the non-employee directors under the Individual Plan. Each of the non-employee directors received an award of 2,000 restricted shares of common stock on November 26, 2019. The restricted shares will vest in substantially equal installments on each of the first, second and third anniversaries of the grant date. As of March 31, 2021, the first increment of this award had vested, leaving 5,336 shares unvested.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grant of these 8,000 restricted shares of Common Stock,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 During each of the three months ended March 31, 2021 and 2020, the Company recognized stock compensation expense totaling $0.01 million which is included in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summary of activity for these awards during the three months ended March 31, 2021 is presented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Wtd. Avg. Fair Value</w:t>
            </w:r>
          </w:p>
        </w:tc>
      </w:tr>
      <w:tr>
        <w:trPr>
          <w:trHeight w:val="209"/>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Non-Vested at March 31, 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0"/>
        </w:trPr>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March 31, 2021, there was $0.1 million of unrecognized compensation cost related to the three-year vest restricted shares, which will be recognized over a remaining period of 1.7 years.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three months ended March 31, 2021, the expense recognized for the value of the Company’s common stock received by non-employee directors totaled $0.06 million, or 3,453 shares, which were issued on April 1, 2021. During the three months ended March 31, 2020, the expense recognized for the value of the Company’s common stock received by non-employee directors totaled $0.05 million, or 4,098 shares, which were issued on April 1, 2020.</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Stock compensation expense for the three months ended March 31, 2021 and 2020 is summarized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2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18"/>
                <w:szCs w:val="18"/>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 2020</w:t>
            </w:r>
          </w:p>
        </w:tc>
      </w:tr>
      <w:tr>
        <w:trPr>
          <w:trHeight w:val="210"/>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 Expense – Director Restricted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Stock Compensation Expense – Director Retainers Paid in Stock</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494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Stock Compensation Expense </w:t>
            </w:r>
            <w:r>
              <w:rPr>
                <w:rFonts w:ascii="Arial" w:cs="Arial" w:eastAsia="Arial" w:hAnsi="Arial"/>
                <w:sz w:val="24"/>
                <w:szCs w:val="24"/>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r>
    </w:tbl>
    <w:p>
      <w:pPr>
        <w:spacing w:after="0" w:line="62" w:lineRule="exact"/>
        <w:rPr>
          <w:sz w:val="20"/>
          <w:szCs w:val="20"/>
          <w:color w:val="auto"/>
        </w:rPr>
      </w:pPr>
    </w:p>
    <w:p>
      <w:pPr>
        <w:jc w:val="both"/>
        <w:ind w:left="380" w:right="79" w:hanging="330"/>
        <w:spacing w:after="0" w:line="238"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Director retainers are issued through additional paid in capital in arrears. Therefore, the change in additional paid in capital during the three months ended March 31, 2021 reported on the consolidated statements of stockholders’ equity does not agree to the total non-cash compensation reported on the consolidated statements of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RELATED PARTY MANAGEMENT COMPANY</w:t>
      </w:r>
    </w:p>
    <w:p>
      <w:pPr>
        <w:spacing w:after="0" w:line="202"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are externally managed by the Manager, a wholly owned subsidiary of CTO. In addition to the CTO Private Placement, CTO purchased from us $8.0 million in shares of our common stock, or 421,053 shares, in the IPO. Upon completion of the Formation Transactions, CTO owned 22.3% of our outstanding common stock (assuming the OP Units issued to CTO in the Formation Transactions are exchanged for shares of our common stock on a one-for-one basis).</w:t>
      </w:r>
    </w:p>
    <w:p>
      <w:pPr>
        <w:spacing w:after="0" w:line="15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7"/>
          <w:szCs w:val="17"/>
          <w:color w:val="auto"/>
        </w:rPr>
        <w:t>On November 26, 2019, we entered into the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6"/>
          <w:szCs w:val="16"/>
          <w:color w:val="auto"/>
        </w:rPr>
        <w:t>Our Manager has the ability to earn an annual incentive fee based on our total stockholder return exceeding an 8% cumulative annual hurdle rate (the “Outperformance Amount”) subject to a high-water mark price. We would pay our Manager an incentive fee to with respect to each annual measurement period in the amount of the greater of (i) $0.00 and</w:t>
      </w:r>
    </w:p>
    <w:p>
      <w:pPr>
        <w:ind w:left="60" w:right="59" w:hanging="10"/>
        <w:spacing w:after="0" w:line="243" w:lineRule="auto"/>
        <w:tabs>
          <w:tab w:leader="none" w:pos="3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of (a) 15% multiplied by (b) the Outperformance Amount multiplied by (c) the weighted average shares. No incentive fee was due for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7"/>
          <w:szCs w:val="17"/>
          <w:color w:val="auto"/>
        </w:rPr>
        <w:t>Our independent directors will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4"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will pay directly or reimburse our Manager for certain expenses, if incurred by our Manager. We will not reimburse any compensation expenses incurred by our Manager or its affiliates. Expense reimbursements to our Manager will be made in cash on a quarterly basis following the end of each quarter. In addition, we will pay all of our operating expenses, except those specifically required to be borne by our Manager pursuant to the Management Agreement.</w:t>
      </w:r>
    </w:p>
    <w:p>
      <w:pPr>
        <w:spacing w:after="0" w:line="142"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During each of the three months ended March 31, 2021 and 2020, the Company incurred management fee expenses which totaled $0.6 million. The Company also paid dividends on the common stock and OP Units owned by affiliates of the Manager in the amount of $0.5 million and $0.4 million for the three months ended March 31, 2021 and 2020, respectively.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from the Company to CTO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8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17"/>
                <w:szCs w:val="17"/>
                <w:color w:val="auto"/>
              </w:rPr>
            </w:pPr>
          </w:p>
        </w:tc>
        <w:tc>
          <w:tcPr>
            <w:tcW w:w="17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91"/>
              </w:rPr>
              <w:t>December 31,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Management Fee due to CTO</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1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bottom w:val="single" w:sz="8" w:color="CCEEFF"/>
            </w:tcBorders>
            <w:gridSpan w:val="3"/>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2"/>
                <w:szCs w:val="22"/>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3"/>
          <w:szCs w:val="13"/>
          <w:i w:val="1"/>
          <w:iCs w:val="1"/>
          <w:color w:val="auto"/>
        </w:rPr>
      </w:pPr>
      <w:r>
        <w:rPr>
          <w:rFonts w:ascii="Arial" w:cs="Arial" w:eastAsia="Arial" w:hAnsi="Arial"/>
          <w:sz w:val="14"/>
          <w:szCs w:val="14"/>
          <w:color w:val="auto"/>
        </w:rPr>
        <w:t>Included in Accrued Expenses, see Note 7, “Accounts Payable, Accrued Expenses, and Other Liabilities”.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Exclusivity and ROFO Agreement</w:t>
      </w:r>
    </w:p>
    <w:p>
      <w:pPr>
        <w:spacing w:after="0" w:line="198"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color w:val="auto"/>
        </w:rPr>
        <w:t>On November 26, 2019, we also entered into an exclusivity and right of first offer (“ROFO”) agreement with CTO. During the term of the exclusivity and ROFO agreement, CTO will not, and will cause each of its affiliates (which for purposes of the exclusivity and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76"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The terms of the exclusivity and ROFO agreement do not restrict CTO or any of its affiliates from providing financing for a third party’s acquisition of single-tenant, net leased properties or from developing and owning any single-tenant, net leased property.</w:t>
      </w:r>
    </w:p>
    <w:p>
      <w:pPr>
        <w:spacing w:after="0" w:line="168"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color w:val="auto"/>
        </w:rPr>
        <w:t>Pursuant to the exclusivity and ROFO agreement, neither CTO nor any of its affiliates (which for purposes of the exclusivity and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8"/>
          <w:szCs w:val="18"/>
          <w:color w:val="auto"/>
        </w:rPr>
        <w:t>The term of the exclusivity and ROFO agreement will continue for so long as the Management Agreement with our Manager is in effect.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Conflicts of Interest</w:t>
      </w:r>
    </w:p>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67" w:lineRule="exact"/>
        <w:rPr>
          <w:sz w:val="20"/>
          <w:szCs w:val="20"/>
          <w:color w:val="auto"/>
        </w:rPr>
      </w:pPr>
    </w:p>
    <w:p>
      <w:pPr>
        <w:jc w:val="both"/>
        <w:ind w:left="60" w:right="59" w:firstLine="324"/>
        <w:spacing w:after="0" w:line="274"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5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7"/>
          <w:szCs w:val="17"/>
          <w:color w:val="auto"/>
        </w:rPr>
        <w:t>We may acquire or sell single-tenant, net leased properties in which our Manager or its affiliates have or may have an interest. Similarly, our Manager or its affiliates may acquire or sell single-tenant, net leased properties in which we have or may have an interest. Although such acquisitions or dispositions may present conflicts of interest, we nonetheless may pursue and consummate such transactions. Additionally, we may engage in transactions directly with our Manager or its affiliates, including the purchase and sale of all or a portion of a portfolio asset. If we acquire a single-tenant, net leased property from CTO or one of its affiliates or sell a single-tenant,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70" w:lineRule="exact"/>
        <w:rPr>
          <w:sz w:val="20"/>
          <w:szCs w:val="20"/>
          <w:color w:val="auto"/>
        </w:rPr>
      </w:pPr>
    </w:p>
    <w:p>
      <w:pPr>
        <w:jc w:val="both"/>
        <w:ind w:left="60" w:right="59" w:firstLine="324"/>
        <w:spacing w:after="0" w:line="262"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59"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4"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Additionally, the exclusivity and ROFO agreement does contain exceptions to CTO’s exclusivity for opportunities that include only an incidental interest in single-tenant, net leased properties. Accordingly, the exclusivity and ROFO agreement will not prevent CTO from pursuing certain acquisition opportunities that otherwise satisfy our then-current investment criteria.</w:t>
      </w:r>
    </w:p>
    <w:p>
      <w:pPr>
        <w:spacing w:after="0" w:line="17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6"/>
          <w:szCs w:val="16"/>
          <w:color w:val="auto"/>
        </w:rPr>
        <w:t>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COMMITMENTS AND 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SUBSEQUENT EVENTS</w:t>
      </w:r>
    </w:p>
    <w:p>
      <w:pPr>
        <w:spacing w:after="0" w:line="202"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8"/>
          <w:szCs w:val="18"/>
          <w:color w:val="auto"/>
        </w:rPr>
        <w:t>The Company reviewed all subsequent events and transactions through April 22, 2021, the date the consolidated financial statements were issued.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Quarter 2021 Dividend</w:t>
      </w:r>
    </w:p>
    <w:p>
      <w:pPr>
        <w:spacing w:after="0" w:line="202"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The Company declared a second quarter 2021 cash dividend of $0.25 per share, representing a 4.2% increase from the first quarter of 2021. The dividend is payable on June 30, 2021 to stockholders of record as of the close of business on June 21,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and Sale Agreements</w:t>
      </w:r>
    </w:p>
    <w:p>
      <w:pPr>
        <w:spacing w:after="0" w:line="202" w:lineRule="exact"/>
        <w:rPr>
          <w:sz w:val="20"/>
          <w:szCs w:val="20"/>
          <w:color w:val="auto"/>
        </w:rPr>
      </w:pPr>
    </w:p>
    <w:p>
      <w:pPr>
        <w:jc w:val="both"/>
        <w:ind w:left="60" w:right="59" w:firstLine="324"/>
        <w:spacing w:after="0" w:line="276" w:lineRule="auto"/>
        <w:rPr>
          <w:sz w:val="20"/>
          <w:szCs w:val="20"/>
          <w:color w:val="auto"/>
        </w:rPr>
      </w:pPr>
      <w:r>
        <w:rPr>
          <w:rFonts w:ascii="Arial" w:cs="Arial" w:eastAsia="Arial" w:hAnsi="Arial"/>
          <w:sz w:val="16"/>
          <w:szCs w:val="16"/>
          <w:color w:val="auto"/>
        </w:rPr>
        <w:t>On April 2, 2021, the Company entered into a Purchase and Sale Agreement (the “PSA”) with CTO Realty Growth, Inc. and certain of its subsidiaries (the “Sellers”) for the acquisition of six retail net lease properties (the “Properties”), for which PINE paid a deposit in the amount of $1.0 million. The terms of the PSA provide that the total purchase price for the Properties will be $44.5 million. The deposit is refundable to PINE pursuant to the terms of the PSA during an inspection period. If the PSA is not terminated by the end of the inspection period by PINE, the deposit will become non-refundable. There can be no assurance at this time that the Company will in fact complete the acquisition of any or all of the Properties.</w:t>
      </w:r>
    </w:p>
    <w:p>
      <w:pPr>
        <w:spacing w:after="0" w:line="161" w:lineRule="exact"/>
        <w:rPr>
          <w:sz w:val="20"/>
          <w:szCs w:val="20"/>
          <w:color w:val="auto"/>
        </w:rPr>
      </w:pPr>
    </w:p>
    <w:p>
      <w:pPr>
        <w:jc w:val="both"/>
        <w:ind w:left="60" w:right="59" w:firstLine="324"/>
        <w:spacing w:after="0" w:line="262" w:lineRule="auto"/>
        <w:rPr>
          <w:sz w:val="20"/>
          <w:szCs w:val="20"/>
          <w:color w:val="auto"/>
        </w:rPr>
      </w:pPr>
      <w:r>
        <w:rPr>
          <w:rFonts w:ascii="Arial" w:cs="Arial" w:eastAsia="Arial" w:hAnsi="Arial"/>
          <w:sz w:val="17"/>
          <w:szCs w:val="17"/>
          <w:color w:val="auto"/>
        </w:rPr>
        <w:t>On April 6, 2021, the Company entered into a separate purchase and sale agreement with certain subsidiaries of CTO Realty Growth, Inc. for the acquisition of one net leased property (the “Single Property”) for a purchase price of $11.5 million. The acquisition of the Single Property is subject to certain closing conditions that are not currently satisfied, and there can be no assurance that the acquisition of the Single Property will be completed.</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Certain statements contained in this report (other than statements of historical fact) are forward-looking statements.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income properties; the impact of competitive real estate activity; the loss of any major income property tenants; the ultimate geographic spread, severity and duration of pandemics such as the outbreak of COVID-19,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See “Item 1A. Risk Factors” of the Company’s Annual Report on Form 10-K for the year ended December 31, 2020 for further discussion of these risks. Given these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are a real estate company that owns and operates a high-quality portfolio of commercial properties located in the United States. Our properties are generally leased on a long-term basis and located primarily in, or in close proximity to major metropolitan statistical areas, or MSAs, and in growth markets and other markets in the United States with favorable economic and demographic conditions. Our properties are primarily leased to industry leading, creditworthy tenants, many of which operate in industries we believe are resistant to the impact of e-commerce or defensive in nature against economic uncertainty or disruption. The properties in our portfolio are primarily triple-net leases which generally require the tenant to pay all of the property operating expenses such as real estate taxes, insurance, assessments and other governmental fees, utilities, repairs and maintenance and certain capital expenditures. Our portfolio consists of 53 net leased retail and office properties located in 38 markets in 19 states. The Formation Transactions, which represent the 20 properties our initial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portfolio, were acquired from CTO Realty Growth, Inc. (“CTO”), utilizing $125.9 million of proceeds from our initial public offering of our common stock (the “IPO”) and the issuance of 1,223,854 units of our operating partnership (the “OP Units”) that had an initial value of $23.3 million based on the IPO price of $19.00 per share (the “IPO Price”). The remaining 33 properties were acquired subsequent to the year ended December 31, 2019. Four properties in our portfolio are long-term ground leases where we are the lessor to the tenant.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seek to acquire, own and operate primarily freestanding, commercial real estate properties primarily located in our target markets leased primarily pursuant to triple-net, long-term leases. Within our target markets, we will focus on investments primarily in retail properties. We will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We also will seek to invest in properties that are net leased to tenants that we determine have attractive credit characteristics, stable operating histories and healthy rent coverage levels, are well-located within their market and have rent levels at or below market rent levels. Furthermore, we believe that the size of our company will, for at least the near term, allow us to focus our investment activities on the acquisition of single properties or smaller portfolios of properties that represent a transaction size that most of our publicly-traded net lease REIT peers will not pursue on a consistent basis.</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objective is to maximize cash flow and value per share by generating stable and growing cash flows and attractive risk-adjusted returns through owning, operating and growing a diversified portfolio of high-quality net leased commercial properties with strong long-term real estate fundamentals. The 53 properties in our portfolio are 100% occupied and represent 1.8 million of gross rentable square feet. As of March 31, 2021, our leases have a weighted-average lease term of 8.3 years based on annualized base rent.</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March 2020, the World Health Organization declared the outbreak of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collected 100% of the CBR due for the three months ended March 31, 2021. CBR represents the amount owed to the Company under the current terms of its lease agreements. During the year ended December 31, 2020, the Company agreed to defer or abate certain CBR in exchange for additional lease term or other lease enhancing additions. Repayment of such deferred CBR began in the third quarter of 2020, with payments continuing, in some cases, through mid-year 2022. An assessment of the current or identifiable potential financial and operational impacts on the Company as a result of the COVID-19 Pandemic are as follows:</w:t>
      </w:r>
    </w:p>
    <w:p>
      <w:pPr>
        <w:spacing w:after="0" w:line="178" w:lineRule="exact"/>
        <w:rPr>
          <w:sz w:val="20"/>
          <w:szCs w:val="20"/>
          <w:color w:val="auto"/>
        </w:rPr>
      </w:pPr>
    </w:p>
    <w:p>
      <w:pPr>
        <w:jc w:val="both"/>
        <w:ind w:left="700" w:right="79" w:hanging="326"/>
        <w:spacing w:after="0" w:line="293"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first quarter of 2020, the Company completed the acquisition of nine properties for an aggregate purchase price of $46.8 million. When the pandemic was declared, given the uncertainties created by the COVID-19 Pandemic and the impact on the capital markets, the U.S. economy, and PINE’s tenants, the Company temporarily suspended its activities directed at identifying additional acquisition opportunities. Towards the end of the second quarter of 2020, the Company reached agreements with tenants for rent deferrals and abatements and the Company completed the acquisition of two properties for an aggregate purchase price of $28.6 million.</w:t>
      </w:r>
    </w:p>
    <w:p>
      <w:pPr>
        <w:spacing w:after="0" w:line="164" w:lineRule="exact"/>
        <w:rPr>
          <w:rFonts w:ascii="Arial" w:cs="Arial" w:eastAsia="Arial" w:hAnsi="Arial"/>
          <w:sz w:val="16"/>
          <w:szCs w:val="16"/>
          <w:color w:val="auto"/>
        </w:rPr>
      </w:pPr>
    </w:p>
    <w:p>
      <w:pPr>
        <w:jc w:val="both"/>
        <w:ind w:left="700" w:right="79" w:hanging="326"/>
        <w:spacing w:after="0" w:line="269"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a result of the outbreak of the COVID-19 Pandemic, the Federal Government and the State of Florida issued orders encouraging everyone to remain at their residence and not go into work. In response to these orders and in the best interest of the employees of our Manager and the Board, our Manager implemented significant preventative measures to ensure the health and safety of its employees and the Board, including: conducting all meetings of the Board and Committees of the Board telephonically or via a visual conferencing service, permitting its employees to work from home at their election, enforcing appropriate social distancing practices in our Manager’s office, encouraging its employees to wash their hands often and use face masks and providing hand sanitizer and other disinfectant products throughout their office, requiring its employees who do not feel well, in any capacity, to stay at home, and requiring all third-party delivery services (e.g. mail, food delivery, etc.) to complete their service outside the front door of its offices. Our Manager also offered COVID-19 testing to its employees in our Manager’s office to ensure a safe working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0" w:firstLine="324"/>
        <w:spacing w:after="0" w:line="259" w:lineRule="auto"/>
        <w:rPr>
          <w:sz w:val="20"/>
          <w:szCs w:val="20"/>
          <w:color w:val="auto"/>
        </w:rPr>
      </w:pPr>
      <w:r>
        <w:rPr>
          <w:rFonts w:ascii="Arial" w:cs="Arial" w:eastAsia="Arial" w:hAnsi="Arial"/>
          <w:sz w:val="18"/>
          <w:szCs w:val="18"/>
          <w:color w:val="auto"/>
        </w:rPr>
        <w:t>As of March 31, 2021, the Company owned 53 income properties in 19 states. The following is a summary of these properties:</w:t>
      </w:r>
    </w:p>
    <w:tbl>
      <w:tblPr>
        <w:tblLayout w:type="fixed"/>
        <w:tblInd w:w="4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Tenant</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Extension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S&amp;P</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Remaining</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Options</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6"/>
              </w:rPr>
              <w:t>Contractual</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Credit</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Rentable</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Term</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(Number x</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Rent</w:t>
            </w: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w w:val="90"/>
              </w:rPr>
              <w:t>Annualized Base</w:t>
            </w:r>
          </w:p>
        </w:tc>
      </w:tr>
      <w:tr>
        <w:trPr>
          <w:trHeight w:val="161"/>
        </w:trPr>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Type</w:t>
            </w:r>
          </w:p>
        </w:tc>
        <w:tc>
          <w:tcPr>
            <w:tcW w:w="2060" w:type="dxa"/>
            <w:vAlign w:val="bottom"/>
            <w:gridSpan w:val="3"/>
          </w:tcPr>
          <w:p>
            <w:pPr>
              <w:spacing w:after="0"/>
              <w:rPr>
                <w:sz w:val="20"/>
                <w:szCs w:val="20"/>
                <w:color w:val="auto"/>
              </w:rPr>
            </w:pPr>
            <w:r>
              <w:rPr>
                <w:rFonts w:ascii="Arial" w:cs="Arial" w:eastAsia="Arial" w:hAnsi="Arial"/>
                <w:sz w:val="13"/>
                <w:szCs w:val="13"/>
                <w:b w:val="1"/>
                <w:bCs w:val="1"/>
                <w:color w:val="auto"/>
              </w:rPr>
              <w:t>Tenant</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w w:val="97"/>
              </w:rPr>
              <w:t xml:space="preserve">Rating </w:t>
            </w:r>
            <w:r>
              <w:rPr>
                <w:rFonts w:ascii="Arial" w:cs="Arial" w:eastAsia="Arial" w:hAnsi="Arial"/>
                <w:sz w:val="18"/>
                <w:szCs w:val="18"/>
                <w:b w:val="1"/>
                <w:bCs w:val="1"/>
                <w:color w:val="auto"/>
                <w:w w:val="97"/>
                <w:vertAlign w:val="superscript"/>
              </w:rPr>
              <w:t>(1)</w:t>
            </w:r>
          </w:p>
        </w:tc>
        <w:tc>
          <w:tcPr>
            <w:tcW w:w="1280" w:type="dxa"/>
            <w:vAlign w:val="bottom"/>
            <w:gridSpan w:val="2"/>
          </w:tcPr>
          <w:p>
            <w:pPr>
              <w:ind w:left="360"/>
              <w:spacing w:after="0"/>
              <w:rPr>
                <w:sz w:val="20"/>
                <w:szCs w:val="20"/>
                <w:color w:val="auto"/>
              </w:rPr>
            </w:pPr>
            <w:r>
              <w:rPr>
                <w:rFonts w:ascii="Arial" w:cs="Arial" w:eastAsia="Arial" w:hAnsi="Arial"/>
                <w:sz w:val="13"/>
                <w:szCs w:val="13"/>
                <w:b w:val="1"/>
                <w:bCs w:val="1"/>
                <w:color w:val="auto"/>
              </w:rPr>
              <w:t>Location</w:t>
            </w:r>
          </w:p>
        </w:tc>
        <w:tc>
          <w:tcPr>
            <w:tcW w:w="9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Square Feet</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(Years)</w:t>
            </w: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Years)</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Escalations</w:t>
            </w:r>
          </w:p>
        </w:tc>
        <w:tc>
          <w:tcPr>
            <w:tcW w:w="960" w:type="dxa"/>
            <w:vAlign w:val="bottom"/>
            <w:gridSpan w:val="2"/>
          </w:tcPr>
          <w:p>
            <w:pPr>
              <w:jc w:val="right"/>
              <w:spacing w:after="0" w:line="162" w:lineRule="exact"/>
              <w:rPr>
                <w:sz w:val="20"/>
                <w:szCs w:val="20"/>
                <w:color w:val="auto"/>
              </w:rPr>
            </w:pPr>
            <w:r>
              <w:rPr>
                <w:rFonts w:ascii="Arial" w:cs="Arial" w:eastAsia="Arial" w:hAnsi="Arial"/>
                <w:sz w:val="12"/>
                <w:szCs w:val="12"/>
                <w:b w:val="1"/>
                <w:bCs w:val="1"/>
                <w:color w:val="auto"/>
                <w:w w:val="99"/>
              </w:rPr>
              <w:t xml:space="preserve">Rent </w:t>
            </w:r>
            <w:r>
              <w:rPr>
                <w:rFonts w:ascii="Arial" w:cs="Arial" w:eastAsia="Arial" w:hAnsi="Arial"/>
                <w:sz w:val="18"/>
                <w:szCs w:val="18"/>
                <w:b w:val="1"/>
                <w:bCs w:val="1"/>
                <w:color w:val="auto"/>
                <w:w w:val="99"/>
                <w:vertAlign w:val="superscript"/>
              </w:rPr>
              <w:t>(2)</w:t>
            </w:r>
            <w:r>
              <w:rPr>
                <w:rFonts w:ascii="Arial" w:cs="Arial" w:eastAsia="Arial" w:hAnsi="Arial"/>
                <w:sz w:val="12"/>
                <w:szCs w:val="12"/>
                <w:b w:val="1"/>
                <w:bCs w:val="1"/>
                <w:color w:val="auto"/>
                <w:w w:val="99"/>
              </w:rPr>
              <w:t xml:space="preserve"> </w:t>
            </w:r>
            <w:r>
              <w:rPr>
                <w:rFonts w:ascii="Arial" w:cs="Arial" w:eastAsia="Arial" w:hAnsi="Arial"/>
                <w:sz w:val="12"/>
                <w:szCs w:val="12"/>
                <w:b w:val="1"/>
                <w:bCs w:val="1"/>
                <w:u w:val="single" w:color="auto"/>
                <w:color w:val="auto"/>
                <w:w w:val="99"/>
              </w:rPr>
              <w:t>($</w:t>
            </w:r>
            <w:r>
              <w:rPr>
                <w:rFonts w:ascii="Arial" w:cs="Arial" w:eastAsia="Arial" w:hAnsi="Arial"/>
                <w:sz w:val="12"/>
                <w:szCs w:val="12"/>
                <w:b w:val="1"/>
                <w:bCs w:val="1"/>
                <w:color w:val="auto"/>
                <w:w w:val="99"/>
              </w:rPr>
              <w:t>000's)</w:t>
            </w:r>
          </w:p>
        </w:tc>
      </w:tr>
      <w:tr>
        <w:trPr>
          <w:trHeight w:val="142"/>
        </w:trPr>
        <w:tc>
          <w:tcPr>
            <w:tcW w:w="6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Office</w:t>
            </w:r>
          </w:p>
        </w:tc>
        <w:tc>
          <w:tcPr>
            <w:tcW w:w="4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Wells Fargo</w:t>
            </w: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A+</w:t>
            </w: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Portland, OR</w:t>
            </w: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212,363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3x5</w:t>
            </w: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89"/>
              </w:rPr>
              <w:t>Yes</w:t>
            </w: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3,138</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Office</w:t>
            </w:r>
          </w:p>
        </w:tc>
        <w:tc>
          <w:tcPr>
            <w:tcW w:w="2060" w:type="dxa"/>
            <w:vAlign w:val="bottom"/>
            <w:gridSpan w:val="3"/>
          </w:tcPr>
          <w:p>
            <w:pPr>
              <w:spacing w:after="0"/>
              <w:rPr>
                <w:sz w:val="20"/>
                <w:szCs w:val="20"/>
                <w:color w:val="auto"/>
              </w:rPr>
            </w:pPr>
            <w:r>
              <w:rPr>
                <w:rFonts w:ascii="Arial" w:cs="Arial" w:eastAsia="Arial" w:hAnsi="Arial"/>
                <w:sz w:val="13"/>
                <w:szCs w:val="13"/>
                <w:color w:val="auto"/>
              </w:rPr>
              <w:t>Hilton Grand Vacations</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color w:val="auto"/>
              </w:rPr>
              <w:t>BB</w:t>
            </w:r>
          </w:p>
        </w:tc>
        <w:tc>
          <w:tcPr>
            <w:tcW w:w="1280" w:type="dxa"/>
            <w:vAlign w:val="bottom"/>
            <w:gridSpan w:val="2"/>
          </w:tcPr>
          <w:p>
            <w:pPr>
              <w:spacing w:after="0"/>
              <w:rPr>
                <w:sz w:val="20"/>
                <w:szCs w:val="20"/>
                <w:color w:val="auto"/>
              </w:rPr>
            </w:pPr>
            <w:r>
              <w:rPr>
                <w:rFonts w:ascii="Arial" w:cs="Arial" w:eastAsia="Arial" w:hAnsi="Arial"/>
                <w:sz w:val="13"/>
                <w:szCs w:val="13"/>
                <w:color w:val="auto"/>
              </w:rPr>
              <w:t>Orlando, FL</w:t>
            </w:r>
          </w:p>
        </w:tc>
        <w:tc>
          <w:tcPr>
            <w:tcW w:w="820" w:type="dxa"/>
            <w:vAlign w:val="bottom"/>
          </w:tcPr>
          <w:p>
            <w:pPr>
              <w:jc w:val="right"/>
              <w:spacing w:after="0"/>
              <w:rPr>
                <w:sz w:val="20"/>
                <w:szCs w:val="20"/>
                <w:color w:val="auto"/>
              </w:rPr>
            </w:pPr>
            <w:r>
              <w:rPr>
                <w:rFonts w:ascii="Arial" w:cs="Arial" w:eastAsia="Arial" w:hAnsi="Arial"/>
                <w:sz w:val="13"/>
                <w:szCs w:val="13"/>
                <w:color w:val="auto"/>
              </w:rPr>
              <w:t>102,019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1,826</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Walmart</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AA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Howell, MI</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5x5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LA Fitness</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CCC+</w:t>
            </w:r>
          </w:p>
        </w:tc>
        <w:tc>
          <w:tcPr>
            <w:tcW w:w="1280" w:type="dxa"/>
            <w:vAlign w:val="bottom"/>
            <w:gridSpan w:val="2"/>
          </w:tcPr>
          <w:p>
            <w:pPr>
              <w:spacing w:after="0"/>
              <w:rPr>
                <w:sz w:val="20"/>
                <w:szCs w:val="20"/>
                <w:color w:val="auto"/>
              </w:rPr>
            </w:pPr>
            <w:r>
              <w:rPr>
                <w:rFonts w:ascii="Arial" w:cs="Arial" w:eastAsia="Arial" w:hAnsi="Arial"/>
                <w:sz w:val="13"/>
                <w:szCs w:val="13"/>
                <w:color w:val="auto"/>
              </w:rPr>
              <w:t>Brandon, FL</w:t>
            </w:r>
          </w:p>
        </w:tc>
        <w:tc>
          <w:tcPr>
            <w:tcW w:w="820" w:type="dxa"/>
            <w:vAlign w:val="bottom"/>
          </w:tcPr>
          <w:p>
            <w:pPr>
              <w:jc w:val="right"/>
              <w:spacing w:after="0"/>
              <w:rPr>
                <w:sz w:val="20"/>
                <w:szCs w:val="20"/>
                <w:color w:val="auto"/>
              </w:rPr>
            </w:pPr>
            <w:r>
              <w:rPr>
                <w:rFonts w:ascii="Arial" w:cs="Arial" w:eastAsia="Arial" w:hAnsi="Arial"/>
                <w:sz w:val="13"/>
                <w:szCs w:val="13"/>
                <w:color w:val="auto"/>
              </w:rPr>
              <w:t>45,000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958</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Kohl's</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Glendale, AZ</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87,875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Hobby Lobby</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Tulsa, OK</w:t>
            </w:r>
          </w:p>
        </w:tc>
        <w:tc>
          <w:tcPr>
            <w:tcW w:w="820" w:type="dxa"/>
            <w:vAlign w:val="bottom"/>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842</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At Home</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Canton, OH</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89,902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At Home</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Raleigh, NC</w:t>
            </w:r>
          </w:p>
        </w:tc>
        <w:tc>
          <w:tcPr>
            <w:tcW w:w="820" w:type="dxa"/>
            <w:vAlign w:val="bottom"/>
          </w:tcPr>
          <w:p>
            <w:pPr>
              <w:jc w:val="right"/>
              <w:spacing w:after="0"/>
              <w:rPr>
                <w:sz w:val="20"/>
                <w:szCs w:val="20"/>
                <w:color w:val="auto"/>
              </w:rPr>
            </w:pPr>
            <w:r>
              <w:rPr>
                <w:rFonts w:ascii="Arial" w:cs="Arial" w:eastAsia="Arial" w:hAnsi="Arial"/>
                <w:sz w:val="13"/>
                <w:szCs w:val="13"/>
                <w:color w:val="auto"/>
              </w:rPr>
              <w:t>116,334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732</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Container Store</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1"/>
              </w:rPr>
              <w:t>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Phoenix, AZ</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23,329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2x5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Cinemark</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Reno, NV</w:t>
            </w:r>
          </w:p>
        </w:tc>
        <w:tc>
          <w:tcPr>
            <w:tcW w:w="820" w:type="dxa"/>
            <w:vAlign w:val="bottom"/>
          </w:tcPr>
          <w:p>
            <w:pPr>
              <w:jc w:val="right"/>
              <w:spacing w:after="0"/>
              <w:rPr>
                <w:sz w:val="20"/>
                <w:szCs w:val="20"/>
                <w:color w:val="auto"/>
              </w:rPr>
            </w:pPr>
            <w:r>
              <w:rPr>
                <w:rFonts w:ascii="Arial" w:cs="Arial" w:eastAsia="Arial" w:hAnsi="Arial"/>
                <w:sz w:val="13"/>
                <w:szCs w:val="13"/>
                <w:color w:val="auto"/>
              </w:rPr>
              <w:t>52,474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693</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Office</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Hilton Grand Vacations</w:t>
            </w: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Orlando, FL</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31,895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2x5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Live Nation Entertainment, Inc.</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w w:val="91"/>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East Troy, WI</w:t>
            </w:r>
          </w:p>
        </w:tc>
        <w:tc>
          <w:tcPr>
            <w:tcW w:w="960" w:type="dxa"/>
            <w:vAlign w:val="bottom"/>
            <w:gridSpan w:val="3"/>
          </w:tcPr>
          <w:p>
            <w:pPr>
              <w:ind w:left="560"/>
              <w:spacing w:after="0" w:line="149" w:lineRule="exact"/>
              <w:rPr>
                <w:sz w:val="20"/>
                <w:szCs w:val="20"/>
                <w:color w:val="auto"/>
              </w:rPr>
            </w:pPr>
            <w:r>
              <w:rPr>
                <w:rFonts w:ascii="Arial" w:cs="Arial" w:eastAsia="Arial" w:hAnsi="Arial"/>
                <w:sz w:val="12"/>
                <w:szCs w:val="12"/>
                <w:color w:val="auto"/>
              </w:rPr>
              <w:t xml:space="preserve">N/A </w:t>
            </w:r>
            <w:r>
              <w:rPr>
                <w:rFonts w:ascii="Arial" w:cs="Arial" w:eastAsia="Arial" w:hAnsi="Arial"/>
                <w:sz w:val="17"/>
                <w:szCs w:val="17"/>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Sportsman Warehouse</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Albuquerque, NM</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Hobby Lobby</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Winston-Salem, NC</w:t>
            </w:r>
          </w:p>
        </w:tc>
        <w:tc>
          <w:tcPr>
            <w:tcW w:w="820" w:type="dxa"/>
            <w:vAlign w:val="bottom"/>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562</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Hobby Lobby</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Arden, NC</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American Multi-Cinema, Inc.</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w w:val="98"/>
              </w:rPr>
              <w:t>CCC-</w:t>
            </w:r>
          </w:p>
        </w:tc>
        <w:tc>
          <w:tcPr>
            <w:tcW w:w="1280" w:type="dxa"/>
            <w:vAlign w:val="bottom"/>
            <w:gridSpan w:val="2"/>
          </w:tcPr>
          <w:p>
            <w:pPr>
              <w:spacing w:after="0"/>
              <w:rPr>
                <w:sz w:val="20"/>
                <w:szCs w:val="20"/>
                <w:color w:val="auto"/>
              </w:rPr>
            </w:pPr>
            <w:r>
              <w:rPr>
                <w:rFonts w:ascii="Arial" w:cs="Arial" w:eastAsia="Arial" w:hAnsi="Arial"/>
                <w:sz w:val="13"/>
                <w:szCs w:val="13"/>
                <w:color w:val="auto"/>
              </w:rPr>
              <w:t>Tyngsborough, MA</w:t>
            </w:r>
          </w:p>
        </w:tc>
        <w:tc>
          <w:tcPr>
            <w:tcW w:w="820" w:type="dxa"/>
            <w:vAlign w:val="bottom"/>
          </w:tcPr>
          <w:p>
            <w:pPr>
              <w:jc w:val="right"/>
              <w:spacing w:after="0"/>
              <w:rPr>
                <w:sz w:val="20"/>
                <w:szCs w:val="20"/>
                <w:color w:val="auto"/>
              </w:rPr>
            </w:pPr>
            <w:r>
              <w:rPr>
                <w:rFonts w:ascii="Arial" w:cs="Arial" w:eastAsia="Arial" w:hAnsi="Arial"/>
                <w:sz w:val="13"/>
                <w:szCs w:val="13"/>
                <w:color w:val="auto"/>
              </w:rPr>
              <w:t>39,474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507</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Dick's Sporting Goods</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McDonough, GA</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Jo-Ann Fabric</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tcPr>
          <w:p>
            <w:pPr>
              <w:spacing w:after="0"/>
              <w:rPr>
                <w:sz w:val="20"/>
                <w:szCs w:val="20"/>
                <w:color w:val="auto"/>
              </w:rPr>
            </w:pPr>
            <w:r>
              <w:rPr>
                <w:rFonts w:ascii="Arial" w:cs="Arial" w:eastAsia="Arial" w:hAnsi="Arial"/>
                <w:sz w:val="13"/>
                <w:szCs w:val="13"/>
                <w:color w:val="auto"/>
              </w:rPr>
              <w:t>Saugus, MA</w:t>
            </w:r>
          </w:p>
        </w:tc>
        <w:tc>
          <w:tcPr>
            <w:tcW w:w="820" w:type="dxa"/>
            <w:vAlign w:val="bottom"/>
          </w:tcPr>
          <w:p>
            <w:pPr>
              <w:jc w:val="right"/>
              <w:spacing w:after="0"/>
              <w:rPr>
                <w:sz w:val="20"/>
                <w:szCs w:val="20"/>
                <w:color w:val="auto"/>
              </w:rPr>
            </w:pPr>
            <w:r>
              <w:rPr>
                <w:rFonts w:ascii="Arial" w:cs="Arial" w:eastAsia="Arial" w:hAnsi="Arial"/>
                <w:sz w:val="13"/>
                <w:szCs w:val="13"/>
                <w:color w:val="auto"/>
              </w:rPr>
              <w:t>22,500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468</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Conn's HomePlus</w:t>
            </w:r>
          </w:p>
        </w:tc>
        <w:tc>
          <w:tcPr>
            <w:tcW w:w="7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Hurst, TX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37,957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Old Time Pottery</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Orange Park, FL</w:t>
            </w:r>
          </w:p>
        </w:tc>
        <w:tc>
          <w:tcPr>
            <w:tcW w:w="820" w:type="dxa"/>
            <w:vAlign w:val="bottom"/>
          </w:tcPr>
          <w:p>
            <w:pPr>
              <w:jc w:val="right"/>
              <w:spacing w:after="0"/>
              <w:rPr>
                <w:sz w:val="20"/>
                <w:szCs w:val="20"/>
                <w:color w:val="auto"/>
              </w:rPr>
            </w:pPr>
            <w:r>
              <w:rPr>
                <w:rFonts w:ascii="Arial" w:cs="Arial" w:eastAsia="Arial" w:hAnsi="Arial"/>
                <w:sz w:val="13"/>
                <w:szCs w:val="13"/>
                <w:color w:val="auto"/>
              </w:rPr>
              <w:t>84,180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439</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7-Eleven</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AA-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Austin, TX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Walgreens</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Birmingham, AL</w:t>
            </w:r>
          </w:p>
        </w:tc>
        <w:tc>
          <w:tcPr>
            <w:tcW w:w="820" w:type="dxa"/>
            <w:vAlign w:val="bottom"/>
          </w:tcPr>
          <w:p>
            <w:pPr>
              <w:jc w:val="right"/>
              <w:spacing w:after="0"/>
              <w:rPr>
                <w:sz w:val="20"/>
                <w:szCs w:val="20"/>
                <w:color w:val="auto"/>
              </w:rPr>
            </w:pPr>
            <w:r>
              <w:rPr>
                <w:rFonts w:ascii="Arial" w:cs="Arial" w:eastAsia="Arial" w:hAnsi="Arial"/>
                <w:sz w:val="13"/>
                <w:szCs w:val="13"/>
                <w:color w:val="auto"/>
              </w:rPr>
              <w:t>14,516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Walgreens</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Alpharetta, GA</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Best Buy</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McDonough, GA</w:t>
            </w:r>
          </w:p>
        </w:tc>
        <w:tc>
          <w:tcPr>
            <w:tcW w:w="820" w:type="dxa"/>
            <w:vAlign w:val="bottom"/>
          </w:tcPr>
          <w:p>
            <w:pPr>
              <w:jc w:val="right"/>
              <w:spacing w:after="0"/>
              <w:rPr>
                <w:sz w:val="20"/>
                <w:szCs w:val="20"/>
                <w:color w:val="auto"/>
              </w:rPr>
            </w:pPr>
            <w:r>
              <w:rPr>
                <w:rFonts w:ascii="Arial" w:cs="Arial" w:eastAsia="Arial" w:hAnsi="Arial"/>
                <w:sz w:val="13"/>
                <w:szCs w:val="13"/>
                <w:color w:val="auto"/>
              </w:rPr>
              <w:t>30,038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6"/>
              </w:rPr>
              <w:t>Lehigh Gas Wholesale Services, Inc.</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Highland Heights, KY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7-Eleven</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AA-</w:t>
            </w:r>
          </w:p>
        </w:tc>
        <w:tc>
          <w:tcPr>
            <w:tcW w:w="1280" w:type="dxa"/>
            <w:vAlign w:val="bottom"/>
            <w:gridSpan w:val="2"/>
          </w:tcPr>
          <w:p>
            <w:pPr>
              <w:spacing w:after="0"/>
              <w:rPr>
                <w:sz w:val="20"/>
                <w:szCs w:val="20"/>
                <w:color w:val="auto"/>
              </w:rPr>
            </w:pPr>
            <w:r>
              <w:rPr>
                <w:rFonts w:ascii="Arial" w:cs="Arial" w:eastAsia="Arial" w:hAnsi="Arial"/>
                <w:sz w:val="13"/>
                <w:szCs w:val="13"/>
                <w:color w:val="auto"/>
              </w:rPr>
              <w:t>Georgetown, TX</w:t>
            </w:r>
          </w:p>
        </w:tc>
        <w:tc>
          <w:tcPr>
            <w:tcW w:w="820" w:type="dxa"/>
            <w:vAlign w:val="bottom"/>
          </w:tcPr>
          <w:p>
            <w:pPr>
              <w:jc w:val="right"/>
              <w:spacing w:after="0"/>
              <w:rPr>
                <w:sz w:val="20"/>
                <w:szCs w:val="20"/>
                <w:color w:val="auto"/>
              </w:rPr>
            </w:pPr>
            <w:r>
              <w:rPr>
                <w:rFonts w:ascii="Arial" w:cs="Arial" w:eastAsia="Arial" w:hAnsi="Arial"/>
                <w:sz w:val="13"/>
                <w:szCs w:val="13"/>
                <w:color w:val="auto"/>
              </w:rPr>
              <w:t>7,726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276</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Walgreens</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Tacoma, WA</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6x5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Walgreens</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Albany, GA</w:t>
            </w:r>
          </w:p>
        </w:tc>
        <w:tc>
          <w:tcPr>
            <w:tcW w:w="820" w:type="dxa"/>
            <w:vAlign w:val="bottom"/>
          </w:tcPr>
          <w:p>
            <w:pPr>
              <w:jc w:val="right"/>
              <w:spacing w:after="0"/>
              <w:rPr>
                <w:sz w:val="20"/>
                <w:szCs w:val="20"/>
                <w:color w:val="auto"/>
              </w:rPr>
            </w:pPr>
            <w:r>
              <w:rPr>
                <w:rFonts w:ascii="Arial" w:cs="Arial" w:eastAsia="Arial" w:hAnsi="Arial"/>
                <w:sz w:val="13"/>
                <w:szCs w:val="13"/>
                <w:color w:val="auto"/>
              </w:rPr>
              <w:t>14,770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rPr>
              <w:t>N/A</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258</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Outback Steakhouse</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8"/>
              </w:rPr>
              <w:t>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Charlotte, NC</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Scrubbles Car Wash </w:t>
            </w:r>
            <w:r>
              <w:rPr>
                <w:rFonts w:ascii="Arial" w:cs="Arial" w:eastAsia="Arial" w:hAnsi="Arial"/>
                <w:sz w:val="17"/>
                <w:szCs w:val="17"/>
                <w:color w:val="auto"/>
                <w:vertAlign w:val="superscript"/>
              </w:rPr>
              <w:t>(4)</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Jacksonville, FL</w:t>
            </w:r>
          </w:p>
        </w:tc>
        <w:tc>
          <w:tcPr>
            <w:tcW w:w="820" w:type="dxa"/>
            <w:vAlign w:val="bottom"/>
          </w:tcPr>
          <w:p>
            <w:pPr>
              <w:jc w:val="right"/>
              <w:spacing w:after="0"/>
              <w:rPr>
                <w:sz w:val="20"/>
                <w:szCs w:val="20"/>
                <w:color w:val="auto"/>
              </w:rPr>
            </w:pPr>
            <w:r>
              <w:rPr>
                <w:rFonts w:ascii="Arial" w:cs="Arial" w:eastAsia="Arial" w:hAnsi="Arial"/>
                <w:sz w:val="13"/>
                <w:szCs w:val="13"/>
                <w:color w:val="auto"/>
              </w:rPr>
              <w:t>4,512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189</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color w:val="auto"/>
              </w:rPr>
              <w:t xml:space="preserve">Cheddar's </w:t>
            </w:r>
            <w:r>
              <w:rPr>
                <w:rFonts w:ascii="Arial" w:cs="Arial" w:eastAsia="Arial" w:hAnsi="Arial"/>
                <w:sz w:val="17"/>
                <w:szCs w:val="17"/>
                <w:color w:val="auto"/>
                <w:vertAlign w:val="superscript"/>
              </w:rPr>
              <w:t>(4)</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Jacksonville, FL</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Family Dollar</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Lynn, MA</w:t>
            </w:r>
          </w:p>
        </w:tc>
        <w:tc>
          <w:tcPr>
            <w:tcW w:w="820" w:type="dxa"/>
            <w:vAlign w:val="bottom"/>
          </w:tcPr>
          <w:p>
            <w:pPr>
              <w:jc w:val="right"/>
              <w:spacing w:after="0"/>
              <w:rPr>
                <w:sz w:val="20"/>
                <w:szCs w:val="20"/>
                <w:color w:val="auto"/>
              </w:rPr>
            </w:pPr>
            <w:r>
              <w:rPr>
                <w:rFonts w:ascii="Arial" w:cs="Arial" w:eastAsia="Arial" w:hAnsi="Arial"/>
                <w:sz w:val="13"/>
                <w:szCs w:val="13"/>
                <w:color w:val="auto"/>
              </w:rPr>
              <w:t>9,228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7x5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Advanced Auto Parts</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Severn, MD</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Kermit, TX</w:t>
            </w:r>
          </w:p>
        </w:tc>
        <w:tc>
          <w:tcPr>
            <w:tcW w:w="820" w:type="dxa"/>
            <w:vAlign w:val="bottom"/>
          </w:tcPr>
          <w:p>
            <w:pPr>
              <w:jc w:val="right"/>
              <w:spacing w:after="0"/>
              <w:rPr>
                <w:sz w:val="20"/>
                <w:szCs w:val="20"/>
                <w:color w:val="auto"/>
              </w:rPr>
            </w:pPr>
            <w:r>
              <w:rPr>
                <w:rFonts w:ascii="Arial" w:cs="Arial" w:eastAsia="Arial" w:hAnsi="Arial"/>
                <w:sz w:val="13"/>
                <w:szCs w:val="13"/>
                <w:color w:val="auto"/>
              </w:rPr>
              <w:t>10,920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Chazy, NY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Odessa, TX</w:t>
            </w:r>
          </w:p>
        </w:tc>
        <w:tc>
          <w:tcPr>
            <w:tcW w:w="820" w:type="dxa"/>
            <w:vAlign w:val="bottom"/>
          </w:tcPr>
          <w:p>
            <w:pPr>
              <w:jc w:val="right"/>
              <w:spacing w:after="0"/>
              <w:rPr>
                <w:sz w:val="20"/>
                <w:szCs w:val="20"/>
                <w:color w:val="auto"/>
              </w:rPr>
            </w:pPr>
            <w:r>
              <w:rPr>
                <w:rFonts w:ascii="Arial" w:cs="Arial" w:eastAsia="Arial" w:hAnsi="Arial"/>
                <w:sz w:val="13"/>
                <w:szCs w:val="13"/>
                <w:color w:val="auto"/>
              </w:rPr>
              <w:t>9,127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Willis, TX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Winthrop, NY</w:t>
            </w:r>
          </w:p>
        </w:tc>
        <w:tc>
          <w:tcPr>
            <w:tcW w:w="820" w:type="dxa"/>
            <w:vAlign w:val="bottom"/>
          </w:tcPr>
          <w:p>
            <w:pPr>
              <w:jc w:val="right"/>
              <w:spacing w:after="0"/>
              <w:rPr>
                <w:sz w:val="20"/>
                <w:szCs w:val="20"/>
                <w:color w:val="auto"/>
              </w:rPr>
            </w:pPr>
            <w:r>
              <w:rPr>
                <w:rFonts w:ascii="Arial" w:cs="Arial" w:eastAsia="Arial" w:hAnsi="Arial"/>
                <w:sz w:val="13"/>
                <w:szCs w:val="13"/>
                <w:color w:val="auto"/>
              </w:rPr>
              <w:t>9,167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Cut and Shoot, TX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Pet Supplies Plus</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Canton, OH</w:t>
            </w:r>
          </w:p>
        </w:tc>
        <w:tc>
          <w:tcPr>
            <w:tcW w:w="820" w:type="dxa"/>
            <w:vAlign w:val="bottom"/>
          </w:tcPr>
          <w:p>
            <w:pPr>
              <w:jc w:val="right"/>
              <w:spacing w:after="0"/>
              <w:rPr>
                <w:sz w:val="20"/>
                <w:szCs w:val="20"/>
                <w:color w:val="auto"/>
              </w:rPr>
            </w:pPr>
            <w:r>
              <w:rPr>
                <w:rFonts w:ascii="Arial" w:cs="Arial" w:eastAsia="Arial" w:hAnsi="Arial"/>
                <w:sz w:val="13"/>
                <w:szCs w:val="13"/>
                <w:color w:val="auto"/>
              </w:rPr>
              <w:t>8,400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2x5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Milford, ME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Salem, NY</w:t>
            </w:r>
          </w:p>
        </w:tc>
        <w:tc>
          <w:tcPr>
            <w:tcW w:w="820" w:type="dxa"/>
            <w:vAlign w:val="bottom"/>
          </w:tcPr>
          <w:p>
            <w:pPr>
              <w:jc w:val="right"/>
              <w:spacing w:after="0"/>
              <w:rPr>
                <w:sz w:val="20"/>
                <w:szCs w:val="20"/>
                <w:color w:val="auto"/>
              </w:rPr>
            </w:pPr>
            <w:r>
              <w:rPr>
                <w:rFonts w:ascii="Arial" w:cs="Arial" w:eastAsia="Arial" w:hAnsi="Arial"/>
                <w:sz w:val="13"/>
                <w:szCs w:val="13"/>
                <w:color w:val="auto"/>
              </w:rPr>
              <w:t>9,199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Bingham, ME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Harrisville, NY</w:t>
            </w:r>
          </w:p>
        </w:tc>
        <w:tc>
          <w:tcPr>
            <w:tcW w:w="820" w:type="dxa"/>
            <w:vAlign w:val="bottom"/>
          </w:tcPr>
          <w:p>
            <w:pPr>
              <w:jc w:val="right"/>
              <w:spacing w:after="0"/>
              <w:rPr>
                <w:sz w:val="20"/>
                <w:szCs w:val="20"/>
                <w:color w:val="auto"/>
              </w:rPr>
            </w:pPr>
            <w:r>
              <w:rPr>
                <w:rFonts w:ascii="Arial" w:cs="Arial" w:eastAsia="Arial" w:hAnsi="Arial"/>
                <w:sz w:val="13"/>
                <w:szCs w:val="13"/>
                <w:color w:val="auto"/>
              </w:rPr>
              <w:t>9,309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Heuvelton, NY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Barker, NY</w:t>
            </w:r>
          </w:p>
        </w:tc>
        <w:tc>
          <w:tcPr>
            <w:tcW w:w="820" w:type="dxa"/>
            <w:vAlign w:val="bottom"/>
          </w:tcPr>
          <w:p>
            <w:pPr>
              <w:jc w:val="right"/>
              <w:spacing w:after="0"/>
              <w:rPr>
                <w:sz w:val="20"/>
                <w:szCs w:val="20"/>
                <w:color w:val="auto"/>
              </w:rPr>
            </w:pPr>
            <w:r>
              <w:rPr>
                <w:rFonts w:ascii="Arial" w:cs="Arial" w:eastAsia="Arial" w:hAnsi="Arial"/>
                <w:sz w:val="13"/>
                <w:szCs w:val="13"/>
                <w:color w:val="auto"/>
              </w:rPr>
              <w:t>9,275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Limestone, ME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line="149" w:lineRule="exact"/>
              <w:rPr>
                <w:sz w:val="20"/>
                <w:szCs w:val="20"/>
                <w:color w:val="auto"/>
              </w:rPr>
            </w:pPr>
            <w:r>
              <w:rPr>
                <w:rFonts w:ascii="Arial" w:cs="Arial" w:eastAsia="Arial" w:hAnsi="Arial"/>
                <w:sz w:val="12"/>
                <w:szCs w:val="12"/>
                <w:color w:val="auto"/>
              </w:rPr>
              <w:t xml:space="preserve">Freddy's Frozen Custard </w:t>
            </w:r>
            <w:r>
              <w:rPr>
                <w:rFonts w:ascii="Arial" w:cs="Arial" w:eastAsia="Arial" w:hAnsi="Arial"/>
                <w:sz w:val="17"/>
                <w:szCs w:val="17"/>
                <w:color w:val="auto"/>
                <w:vertAlign w:val="superscript"/>
              </w:rPr>
              <w:t>(4)</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Orange Park, FL</w:t>
            </w:r>
          </w:p>
        </w:tc>
        <w:tc>
          <w:tcPr>
            <w:tcW w:w="820" w:type="dxa"/>
            <w:vAlign w:val="bottom"/>
          </w:tcPr>
          <w:p>
            <w:pPr>
              <w:jc w:val="right"/>
              <w:spacing w:after="0"/>
              <w:rPr>
                <w:sz w:val="20"/>
                <w:szCs w:val="20"/>
                <w:color w:val="auto"/>
              </w:rPr>
            </w:pPr>
            <w:r>
              <w:rPr>
                <w:rFonts w:ascii="Arial" w:cs="Arial" w:eastAsia="Arial" w:hAnsi="Arial"/>
                <w:sz w:val="13"/>
                <w:szCs w:val="13"/>
                <w:color w:val="auto"/>
              </w:rPr>
              <w:t>3,200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Hammond, NY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Somerville, TX</w:t>
            </w:r>
          </w:p>
        </w:tc>
        <w:tc>
          <w:tcPr>
            <w:tcW w:w="820" w:type="dxa"/>
            <w:vAlign w:val="bottom"/>
          </w:tcPr>
          <w:p>
            <w:pPr>
              <w:jc w:val="right"/>
              <w:spacing w:after="0"/>
              <w:rPr>
                <w:sz w:val="20"/>
                <w:szCs w:val="20"/>
                <w:color w:val="auto"/>
              </w:rPr>
            </w:pPr>
            <w:r>
              <w:rPr>
                <w:rFonts w:ascii="Arial" w:cs="Arial" w:eastAsia="Arial" w:hAnsi="Arial"/>
                <w:sz w:val="13"/>
                <w:szCs w:val="13"/>
                <w:color w:val="auto"/>
              </w:rPr>
              <w:t>9,252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4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Seguin, TX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48"/>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tcPr>
          <w:p>
            <w:pPr>
              <w:spacing w:after="0"/>
              <w:rPr>
                <w:sz w:val="20"/>
                <w:szCs w:val="20"/>
                <w:color w:val="auto"/>
              </w:rPr>
            </w:pPr>
            <w:r>
              <w:rPr>
                <w:rFonts w:ascii="Arial" w:cs="Arial" w:eastAsia="Arial" w:hAnsi="Arial"/>
                <w:sz w:val="13"/>
                <w:szCs w:val="13"/>
                <w:color w:val="auto"/>
              </w:rPr>
              <w:t>Newtonsville, OH</w:t>
            </w:r>
          </w:p>
        </w:tc>
        <w:tc>
          <w:tcPr>
            <w:tcW w:w="820" w:type="dxa"/>
            <w:vAlign w:val="bottom"/>
          </w:tcPr>
          <w:p>
            <w:pPr>
              <w:jc w:val="right"/>
              <w:spacing w:after="0"/>
              <w:rPr>
                <w:sz w:val="20"/>
                <w:szCs w:val="20"/>
                <w:color w:val="auto"/>
              </w:rPr>
            </w:pPr>
            <w:r>
              <w:rPr>
                <w:rFonts w:ascii="Arial" w:cs="Arial" w:eastAsia="Arial" w:hAnsi="Arial"/>
                <w:sz w:val="13"/>
                <w:szCs w:val="13"/>
                <w:color w:val="auto"/>
              </w:rPr>
              <w:t>9,290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5x5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Dollar General</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BBB</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Del Rio, TX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5"/>
              </w:rPr>
              <w:t>3x5</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r>
        <w:trPr>
          <w:trHeight w:val="149"/>
        </w:trPr>
        <w:tc>
          <w:tcPr>
            <w:tcW w:w="680" w:type="dxa"/>
            <w:vAlign w:val="bottom"/>
            <w:gridSpan w:val="2"/>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tcPr>
          <w:p>
            <w:pPr>
              <w:spacing w:after="0"/>
              <w:rPr>
                <w:sz w:val="20"/>
                <w:szCs w:val="20"/>
                <w:color w:val="auto"/>
              </w:rPr>
            </w:pPr>
            <w:r>
              <w:rPr>
                <w:rFonts w:ascii="Arial" w:cs="Arial" w:eastAsia="Arial" w:hAnsi="Arial"/>
                <w:sz w:val="13"/>
                <w:szCs w:val="13"/>
                <w:color w:val="auto"/>
              </w:rPr>
              <w:t>Salon Lofts</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tcPr>
          <w:p>
            <w:pPr>
              <w:spacing w:after="0"/>
              <w:rPr>
                <w:sz w:val="20"/>
                <w:szCs w:val="20"/>
                <w:color w:val="auto"/>
              </w:rPr>
            </w:pPr>
            <w:r>
              <w:rPr>
                <w:rFonts w:ascii="Arial" w:cs="Arial" w:eastAsia="Arial" w:hAnsi="Arial"/>
                <w:sz w:val="13"/>
                <w:szCs w:val="13"/>
                <w:color w:val="auto"/>
              </w:rPr>
              <w:t>Canton, OH</w:t>
            </w:r>
          </w:p>
        </w:tc>
        <w:tc>
          <w:tcPr>
            <w:tcW w:w="820" w:type="dxa"/>
            <w:vAlign w:val="bottom"/>
          </w:tcPr>
          <w:p>
            <w:pPr>
              <w:jc w:val="right"/>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4x5</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Yes</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48"/>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Retail</w:t>
            </w: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2"/>
                <w:szCs w:val="12"/>
                <w:color w:val="auto"/>
              </w:rPr>
              <w:t xml:space="preserve">Long John Silver's </w:t>
            </w:r>
            <w:r>
              <w:rPr>
                <w:rFonts w:ascii="Arial" w:cs="Arial" w:eastAsia="Arial" w:hAnsi="Arial"/>
                <w:sz w:val="17"/>
                <w:szCs w:val="17"/>
                <w:color w:val="auto"/>
                <w:vertAlign w:val="superscript"/>
              </w:rPr>
              <w:t>(4)</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rPr>
              <w:t>N/A</w:t>
            </w: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Tulsa, OK</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7"/>
                <w:szCs w:val="17"/>
                <w:color w:val="auto"/>
                <w:vertAlign w:val="subscript"/>
              </w:rPr>
              <w:t>MTM</w:t>
            </w:r>
            <w:r>
              <w:rPr>
                <w:rFonts w:ascii="Arial" w:cs="Arial" w:eastAsia="Arial" w:hAnsi="Arial"/>
                <w:sz w:val="8"/>
                <w:szCs w:val="8"/>
                <w:color w:val="auto"/>
              </w:rPr>
              <w:t xml:space="preserve"> (5)</w:t>
            </w: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N/A</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6"/>
              </w:rPr>
              <w:t>No</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42"/>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4"/>
          </w:tcPr>
          <w:p>
            <w:pPr>
              <w:ind w:left="520"/>
              <w:spacing w:after="0" w:line="142" w:lineRule="exact"/>
              <w:rPr>
                <w:sz w:val="20"/>
                <w:szCs w:val="20"/>
                <w:color w:val="auto"/>
              </w:rPr>
            </w:pPr>
            <w:r>
              <w:rPr>
                <w:rFonts w:ascii="Arial" w:cs="Arial" w:eastAsia="Arial" w:hAnsi="Arial"/>
                <w:sz w:val="13"/>
                <w:szCs w:val="13"/>
                <w:color w:val="auto"/>
                <w:w w:val="98"/>
              </w:rPr>
              <w:t>Total / Weighted Average</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1,775,500</w:t>
            </w: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22,919</w:t>
            </w: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8"/>
        </w:trPr>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Tenant, or tenant parent, credit rating as of March 31, 2021.</w:t>
      </w:r>
    </w:p>
    <w:p>
      <w:pPr>
        <w:ind w:left="380" w:hanging="330"/>
        <w:spacing w:after="0" w:line="221" w:lineRule="auto"/>
        <w:tabs>
          <w:tab w:leader="none" w:pos="3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Annualized straight-line base rental income in place as of March 31, 2021.</w:t>
      </w:r>
    </w:p>
    <w:p>
      <w:pPr>
        <w:ind w:left="380" w:right="120" w:hanging="330"/>
        <w:spacing w:after="0" w:line="221" w:lineRule="auto"/>
        <w:tabs>
          <w:tab w:leader="none" w:pos="3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Alpine Valley Music Theatre, leased to Live Nation Entertainment, Inc., is an entertainment venue consisting of a two-sided, open-air, 7,500-seat pavilion; an outdoor amphitheater with a capacity for 37,000; and over 150 acres of green space.</w:t>
      </w:r>
    </w:p>
    <w:p>
      <w:pPr>
        <w:ind w:left="380" w:right="120" w:hanging="330"/>
        <w:spacing w:after="0" w:line="221" w:lineRule="auto"/>
        <w:tabs>
          <w:tab w:leader="none" w:pos="3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We are the lessor in a ground lease with the tenant. Rentable square feet represents improvements on the property that revert to us at the expiration of the lease.</w:t>
      </w:r>
    </w:p>
    <w:p>
      <w:pPr>
        <w:ind w:left="380" w:hanging="330"/>
        <w:spacing w:after="0"/>
        <w:tabs>
          <w:tab w:leader="none" w:pos="3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Current lease agreement is month-to-month (“MTM”).</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three months ended March 31, 2021, as compared to the three months ended March 31, 2020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 Variance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3,306.7%</w:t>
            </w:r>
          </w:p>
        </w:tc>
        <w:tc>
          <w:tcPr>
            <w:tcW w:w="0" w:type="dxa"/>
            <w:vAlign w:val="bottom"/>
          </w:tcPr>
          <w:p>
            <w:pPr>
              <w:spacing w:after="0"/>
              <w:rPr>
                <w:sz w:val="1"/>
                <w:szCs w:val="1"/>
                <w:color w:val="auto"/>
              </w:rPr>
            </w:pPr>
          </w:p>
        </w:tc>
      </w:tr>
      <w:tr>
        <w:trPr>
          <w:trHeight w:val="202"/>
        </w:trPr>
        <w:tc>
          <w:tcPr>
            <w:tcW w:w="4300" w:type="dxa"/>
            <w:vAlign w:val="bottom"/>
          </w:tcPr>
          <w:p>
            <w:pPr>
              <w:ind w:left="22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980" w:type="dxa"/>
            <w:vAlign w:val="bottom"/>
          </w:tcPr>
          <w:p>
            <w:pPr>
              <w:jc w:val="right"/>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182"/>
        </w:trPr>
        <w:tc>
          <w:tcPr>
            <w:tcW w:w="43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3,284.6%</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Revenue from our income property operations during the three months ended March 31, 2021 and 2020, totaled $5.9 million and $4.2 million, respectively. The $1.7 million increase in revenues is reflective of the Company’s expanded income property portfolio, including the acquisition of 29 income properties during the year ended December 31, 2020, net of one income property disposition during the third quarter of 2020, in addition to the acquisition of five income properties during the three months ended March 31, 2021. The direct costs of revenues for our income property operations totaled $0.7 million and $0.6 million for the three months ended March 31, 2021 and 2020, respectively. The $0.01 million increase in the direct cost of revenues is also attributable to the Company’s expanded income property portfolio.</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represents the Company’s general and administrative expenses for the three months ended March 31, 2021, as compared to the three months ended March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 Variance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 Variance</w:t>
            </w: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General and administrative expenses totaled $1.0 million and $1.3 million during the three months ended March 31, 2021 and 2020, respectively. The $0.3 million decrease in general and administrative expenses is primarily attributable to the recognition of audit fees totaling $0.3 million during the three months ended March 31, 2020 which were related to the 2019 annual audit. The fees associated with our annual audit are recognized as the services are incurred, which typically occurs ratably throughout the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299"/>
        <w:spacing w:after="0" w:line="263" w:lineRule="auto"/>
        <w:rPr>
          <w:sz w:val="20"/>
          <w:szCs w:val="20"/>
          <w:color w:val="auto"/>
        </w:rPr>
      </w:pPr>
      <w:r>
        <w:rPr>
          <w:rFonts w:ascii="Arial" w:cs="Arial" w:eastAsia="Arial" w:hAnsi="Arial"/>
          <w:sz w:val="18"/>
          <w:szCs w:val="18"/>
          <w:color w:val="auto"/>
        </w:rPr>
        <w:t>Depreciation and amortization expense totaled $3.1 million and $2.0 million during the three months ended March 31, 2021 and 2020, respectively. The $1.1 million increase in the depreciation and amortization expense is reflective of the Company’s expanded income property portfolio, as described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Interest expense totaled $0.5 million and $0.2 million during the three months ended March 31, 2021 and 2020, respectively. The $0.3 million increase in interest expense is attributable to the higher outstanding balance on the Company’s Credit Facility, as further described in Note 8 “Long-Term Debt”, of which increase was utilized to fund the acquisition of 29 income properties during 2020 in addition to the acquisition of five income properties during the first quarter of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 totaled $0.5 million and $0.01 million for the three months ended March 31, 2021 and 2020, respectively.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net income is attributable to the factors described above.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totaled $1.5 million at March 31, 2021, and we had no restricted cash.</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As of March 31, 2021, the Company had $30.7 million available on the Credit Facility. See Note 8,</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Debt” for the Company’s disclosure related to its long-term debt balance at March 31, 2021.</w:t>
      </w:r>
    </w:p>
    <w:p>
      <w:pPr>
        <w:spacing w:after="0" w:line="14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Acquisitions and Investments. </w:t>
      </w:r>
      <w:r>
        <w:rPr>
          <w:rFonts w:ascii="Arial" w:cs="Arial" w:eastAsia="Arial" w:hAnsi="Arial"/>
          <w:sz w:val="16"/>
          <w:szCs w:val="16"/>
          <w:color w:val="auto"/>
        </w:rPr>
        <w:t>As noted previously, the Company acquired five income properties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2021 for an aggregate purchase price of $21.9 million. These acquisitions included the following:</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Purchase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Lease Term at</w:t>
            </w:r>
          </w:p>
        </w:tc>
      </w:tr>
      <w:tr>
        <w:trPr>
          <w:trHeight w:val="203"/>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Date of</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w:t>
            </w:r>
          </w:p>
        </w:tc>
      </w:tr>
      <w:tr>
        <w:trPr>
          <w:trHeight w:val="213"/>
        </w:trPr>
        <w:tc>
          <w:tcPr>
            <w:tcW w:w="2780" w:type="dxa"/>
            <w:vAlign w:val="bottom"/>
            <w:gridSpan w:val="3"/>
          </w:tcPr>
          <w:p>
            <w:pPr>
              <w:ind w:left="20"/>
              <w:spacing w:after="0"/>
              <w:rPr>
                <w:sz w:val="20"/>
                <w:szCs w:val="20"/>
                <w:color w:val="auto"/>
              </w:rPr>
            </w:pPr>
            <w:r>
              <w:rPr>
                <w:rFonts w:ascii="Arial" w:cs="Arial" w:eastAsia="Arial" w:hAnsi="Arial"/>
                <w:sz w:val="16"/>
                <w:szCs w:val="16"/>
                <w:b w:val="1"/>
                <w:bCs w:val="1"/>
                <w:color w:val="auto"/>
              </w:rPr>
              <w:t>Tenant Description</w:t>
            </w: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Acquisition</w:t>
            </w: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Square-Feet</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($000's)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Date (in years)</w:t>
            </w:r>
          </w:p>
        </w:tc>
      </w:tr>
      <w:tr>
        <w:trPr>
          <w:trHeight w:val="199"/>
        </w:trPr>
        <w:tc>
          <w:tcPr>
            <w:tcW w:w="2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Cut and Shoot, TX</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3"/>
        </w:trPr>
        <w:tc>
          <w:tcPr>
            <w:tcW w:w="2780" w:type="dxa"/>
            <w:vAlign w:val="bottom"/>
            <w:gridSpan w:val="3"/>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Del Rio, TX</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1,403</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03"/>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Dollar General</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Seguin, TX</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1/25/2021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3"/>
        </w:trPr>
        <w:tc>
          <w:tcPr>
            <w:tcW w:w="2780" w:type="dxa"/>
            <w:vAlign w:val="bottom"/>
            <w:gridSpan w:val="3"/>
          </w:tcPr>
          <w:p>
            <w:pPr>
              <w:ind w:left="20"/>
              <w:spacing w:after="0"/>
              <w:rPr>
                <w:sz w:val="20"/>
                <w:szCs w:val="20"/>
                <w:color w:val="auto"/>
              </w:rPr>
            </w:pPr>
            <w:r>
              <w:rPr>
                <w:rFonts w:ascii="Arial" w:cs="Arial" w:eastAsia="Arial" w:hAnsi="Arial"/>
                <w:sz w:val="16"/>
                <w:szCs w:val="16"/>
                <w:color w:val="auto"/>
              </w:rPr>
              <w:t>At Home</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Canton,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89,902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8,571</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Pet Supplies Plus</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Canton, OH</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3"/>
        </w:trPr>
        <w:tc>
          <w:tcPr>
            <w:tcW w:w="2780" w:type="dxa"/>
            <w:vAlign w:val="bottom"/>
            <w:gridSpan w:val="3"/>
          </w:tcPr>
          <w:p>
            <w:pPr>
              <w:ind w:left="20"/>
              <w:spacing w:after="0"/>
              <w:rPr>
                <w:sz w:val="20"/>
                <w:szCs w:val="20"/>
                <w:color w:val="auto"/>
              </w:rPr>
            </w:pPr>
            <w:r>
              <w:rPr>
                <w:rFonts w:ascii="Arial" w:cs="Arial" w:eastAsia="Arial" w:hAnsi="Arial"/>
                <w:sz w:val="16"/>
                <w:szCs w:val="16"/>
                <w:color w:val="auto"/>
              </w:rPr>
              <w:t>Salon Lofts</w:t>
            </w:r>
          </w:p>
        </w:tc>
        <w:tc>
          <w:tcPr>
            <w:tcW w:w="1740" w:type="dxa"/>
            <w:vAlign w:val="bottom"/>
            <w:gridSpan w:val="2"/>
          </w:tcPr>
          <w:p>
            <w:pPr>
              <w:ind w:left="20"/>
              <w:spacing w:after="0"/>
              <w:rPr>
                <w:sz w:val="20"/>
                <w:szCs w:val="20"/>
                <w:color w:val="auto"/>
              </w:rPr>
            </w:pPr>
            <w:r>
              <w:rPr>
                <w:rFonts w:ascii="Arial" w:cs="Arial" w:eastAsia="Arial" w:hAnsi="Arial"/>
                <w:sz w:val="16"/>
                <w:szCs w:val="16"/>
                <w:color w:val="auto"/>
              </w:rPr>
              <w:t>Canton, OH</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3/9/2021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jc w:val="right"/>
              <w:ind w:right="19"/>
              <w:spacing w:after="0"/>
              <w:rPr>
                <w:sz w:val="20"/>
                <w:szCs w:val="20"/>
                <w:color w:val="auto"/>
              </w:rPr>
            </w:pPr>
            <w:r>
              <w:rPr>
                <w:rFonts w:ascii="Arial" w:cs="Arial" w:eastAsia="Arial" w:hAnsi="Arial"/>
                <w:sz w:val="12"/>
                <w:szCs w:val="12"/>
                <w:color w:val="auto"/>
                <w:w w:val="95"/>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Sportsman Warehouse</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Albuquerque, NM</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3/29/2021</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24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196"/>
        </w:trPr>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jc w:val="right"/>
              <w:ind w:right="160"/>
              <w:spacing w:after="0"/>
              <w:rPr>
                <w:sz w:val="20"/>
                <w:szCs w:val="20"/>
                <w:color w:val="auto"/>
              </w:rPr>
            </w:pPr>
            <w:r>
              <w:rPr>
                <w:rFonts w:ascii="Arial" w:cs="Arial" w:eastAsia="Arial" w:hAnsi="Arial"/>
                <w:sz w:val="16"/>
                <w:szCs w:val="16"/>
                <w:color w:val="auto"/>
              </w:rPr>
              <w:t>Total / Weighted Average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178,746</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2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These three tenants represent the acquisition of one property for a purchase price of $10.4 million which was allocated based on cash base rent in place at the time of acquisition.</w:t>
      </w:r>
    </w:p>
    <w:p>
      <w:pPr>
        <w:spacing w:after="0" w:line="17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Through March 31, 2021, the Company incurred $0.9 million of tenant improvements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property leased to 7-Eleven in Georgetown, Texas, of which the tenant reimbursed $0.4 million during the three months ended March 31, 2021 pursuant to the lease. As of March 31, 2021, there was no remaining commitment.</w:t>
      </w:r>
    </w:p>
    <w:p>
      <w:pPr>
        <w:spacing w:after="0" w:line="16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$30.7 million of available capacity on the existing $150.0 million Credit Facility, based on our current borrowing base of income properties, as of March 31, 2021.</w:t>
      </w:r>
    </w:p>
    <w:p>
      <w:pPr>
        <w:spacing w:after="0" w:line="187" w:lineRule="exact"/>
        <w:rPr>
          <w:sz w:val="20"/>
          <w:szCs w:val="20"/>
          <w:color w:val="auto"/>
        </w:rPr>
      </w:pPr>
    </w:p>
    <w:p>
      <w:pPr>
        <w:jc w:val="both"/>
        <w:ind w:left="60" w:right="79" w:firstLine="368"/>
        <w:spacing w:after="0" w:line="342" w:lineRule="auto"/>
        <w:rPr>
          <w:sz w:val="20"/>
          <w:szCs w:val="20"/>
          <w:color w:val="auto"/>
        </w:rPr>
      </w:pPr>
      <w:r>
        <w:rPr>
          <w:rFonts w:ascii="Arial" w:cs="Arial" w:eastAsia="Arial" w:hAnsi="Arial"/>
          <w:sz w:val="16"/>
          <w:szCs w:val="16"/>
          <w:color w:val="auto"/>
        </w:rPr>
        <w:t>The Board and management consistently review the allocation of capital with the goal of providing the best long-term return for our stockholders. These reviews consider various alternatives, including increasing or decreasing regular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dividends, repurchasing the Company’s securities, and retaining funds for reinvestment. Annually, the Board reviews our business plan and corporate strategies, and makes adjustments as circumstances warrant. Management’s focus is to continue our strategy of investing in net leased income properties by utilizing the capital we raised in the IPO and available borrowing capacity from the Credit Facility to increase our portfolio of income-producing properties, providing stabilized cash flows with strong risk-adjusted returns primarily in larger metropolitan areas and growth markets.</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Non-GAAP Financial Measures</w:t>
      </w:r>
    </w:p>
    <w:p>
      <w:pPr>
        <w:spacing w:after="0" w:line="243"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reported results are presented in accordance with GAAP. We also disclose Funds From Operations (“FFO”) and Adjusted Funds From Operations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20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capitalized lease incentives and above- and below-market lease related intangibles, and non-cash compensation. Such items may cause short-term fluctuations in net income but have no impact on operating cash flows or long-term operating performance. We use AFFO as one measure of our performance when we formulate corporate goals.</w:t>
      </w:r>
    </w:p>
    <w:p>
      <w:pPr>
        <w:spacing w:after="0" w:line="18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5"/>
          </w:tcPr>
          <w:p>
            <w:pPr>
              <w:ind w:left="82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March 31, 2021</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March 31, 2020</w:t>
            </w:r>
          </w:p>
        </w:tc>
        <w:tc>
          <w:tcPr>
            <w:tcW w:w="20" w:type="dxa"/>
            <w:vAlign w:val="bottom"/>
          </w:tcPr>
          <w:p>
            <w:pPr>
              <w:spacing w:after="0"/>
              <w:rPr>
                <w:sz w:val="18"/>
                <w:szCs w:val="18"/>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COVID-19 Rent Repayments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 to Interest Expense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Amortization of Intangible Assets and Liabilities to Lease Income</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Accretion of Tenant Contribution</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Capital Expenditures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Funds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21"/>
                <w:szCs w:val="21"/>
                <w:color w:val="auto"/>
              </w:rPr>
            </w:pPr>
          </w:p>
        </w:tc>
      </w:tr>
      <w:tr>
        <w:trPr>
          <w:trHeight w:val="196"/>
        </w:trPr>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7,565,429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7,896,757</w:t>
            </w:r>
          </w:p>
        </w:tc>
        <w:tc>
          <w:tcPr>
            <w:tcW w:w="20" w:type="dxa"/>
            <w:vAlign w:val="bottom"/>
          </w:tcPr>
          <w:p>
            <w:pPr>
              <w:spacing w:after="0"/>
              <w:rPr>
                <w:sz w:val="18"/>
                <w:szCs w:val="18"/>
                <w:color w:val="auto"/>
              </w:rPr>
            </w:pPr>
          </w:p>
        </w:tc>
      </w:tr>
      <w:tr>
        <w:trPr>
          <w:trHeight w:val="230"/>
        </w:trPr>
        <w:tc>
          <w:tcPr>
            <w:tcW w:w="52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8,789,283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9,120,611</w:t>
            </w:r>
          </w:p>
        </w:tc>
        <w:tc>
          <w:tcPr>
            <w:tcW w:w="20" w:type="dxa"/>
            <w:vAlign w:val="bottom"/>
          </w:tcPr>
          <w:p>
            <w:pPr>
              <w:spacing w:after="0"/>
              <w:rPr>
                <w:sz w:val="20"/>
                <w:szCs w:val="20"/>
                <w:color w:val="auto"/>
              </w:rPr>
            </w:pPr>
          </w:p>
        </w:tc>
      </w:tr>
      <w:tr>
        <w:trPr>
          <w:trHeight w:val="418"/>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Other Data (in thousands, except per share data):</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5"/>
          </w:tcPr>
          <w:p>
            <w:pPr>
              <w:ind w:left="820"/>
              <w:spacing w:after="0"/>
              <w:rPr>
                <w:sz w:val="20"/>
                <w:szCs w:val="20"/>
                <w:color w:val="auto"/>
              </w:rPr>
            </w:pPr>
            <w:r>
              <w:rPr>
                <w:rFonts w:ascii="Arial" w:cs="Arial" w:eastAsia="Arial" w:hAnsi="Arial"/>
                <w:sz w:val="18"/>
                <w:szCs w:val="18"/>
                <w:b w:val="1"/>
                <w:bCs w:val="1"/>
                <w:color w:val="auto"/>
              </w:rPr>
              <w:t>Three Months Ended</w:t>
            </w:r>
          </w:p>
        </w:tc>
      </w:tr>
      <w:tr>
        <w:trPr>
          <w:trHeight w:val="209"/>
        </w:trPr>
        <w:tc>
          <w:tcPr>
            <w:tcW w:w="5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March 31, 2021</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March 31, 2020</w:t>
            </w:r>
          </w:p>
        </w:tc>
        <w:tc>
          <w:tcPr>
            <w:tcW w:w="20" w:type="dxa"/>
            <w:vAlign w:val="bottom"/>
          </w:tcPr>
          <w:p>
            <w:pPr>
              <w:spacing w:after="0"/>
              <w:rPr>
                <w:sz w:val="18"/>
                <w:szCs w:val="18"/>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AFFO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3,850</w:t>
            </w:r>
          </w:p>
        </w:tc>
        <w:tc>
          <w:tcPr>
            <w:tcW w:w="1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per diluted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70"/>
        <w:spacing w:after="0" w:line="257"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significant accounting policies are summarized in Note 2, “Summary of Significant Accounting Policies” included in this Quarterly Report on Form 10-Q and more fully described in the notes to the consolidated and combined financial statements included in our Annual Report on Form 10-K for the year ended December 31, 2020. Judgments and estimates of uncertainties are required in applying our accounting policies in many areas. During the three months ended March 31, 2021, there have been no material changes to the critical accounting policies affecting the application of those accounting policies as noted in our Annual Report on Form 10-K for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under the Exchange Act, was carried out under the supervision and with the participation of the Company’s management, including our Chief Executive Officer (“CEO”) and Chief Financial Officer (“CFO”), of the effectiveness of the Company’s disclosure controls and procedures (as defined in Rules 13a-15(e) or 15d-15(e) under the Exchange Act). Based on that evaluation, our CEO and CFO have concluded that the design and operation of the Company’s disclosure controls and procedures were effective as of March 31, 2021, to ensure that information required to be disclosed by the Company in reports that it files or submits under the Exchange Act is recorded, processed, summarized, and reported within the time periods specified in the Securities and Exchange Commission’s rules and forms, and to provide reasonable assurance that information required to be disclosed by the Company in such reports is accumulated and communicated to the Company’s management, including our CEO and CFO, as appropriate to allow timely decisions regarding required disclosure. There were no changes in the Company’s internal control over financial reporting (as defined in Rules 13a-15(f) or 15d-15(f) under the Exchange Act) during the three months ended March 31, 2021,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For a discussion of the Company’s potential risks and uncertainties, see the information under the heading Part II, “Item 1A. Risk Factors” in the Company’s Annual Report on Form 10-K for the year ended December 31, 2020. The risks described in the Annual Report on Form 10-K are not the only risks facing the Company. Additional risks and uncertainties not currently known to the Company or that the Company currently deems to be immaterial also may materially adversely affect the Company.</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March 31, 2021, there have been no material changes in our risk factors from those set forth within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Exhibits: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17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7160" w:type="dxa"/>
            <w:vAlign w:val="bottom"/>
            <w:gridSpan w:val="27"/>
          </w:tcPr>
          <w:p>
            <w:pPr>
              <w:spacing w:after="0"/>
              <w:rPr>
                <w:rFonts w:ascii="Arial" w:cs="Arial" w:eastAsia="Arial" w:hAnsi="Arial"/>
                <w:sz w:val="18"/>
                <w:szCs w:val="18"/>
                <w:color w:val="0000EE"/>
                <w:w w:val="94"/>
              </w:rPr>
            </w:pPr>
            <w:hyperlink r:id="rId51">
              <w:r>
                <w:rPr>
                  <w:rFonts w:ascii="Arial" w:cs="Arial" w:eastAsia="Arial" w:hAnsi="Arial"/>
                  <w:sz w:val="18"/>
                  <w:szCs w:val="18"/>
                  <w:color w:val="0000EE"/>
                  <w:w w:val="94"/>
                </w:rPr>
                <w:t>Articles of Amendment and Restatement of Alpine Income Property Trust, Inc. (incorporated by</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40" w:type="dxa"/>
            <w:vAlign w:val="bottom"/>
            <w:tcBorders>
              <w:top w:val="single" w:sz="8" w:color="0000EE"/>
            </w:tcBorders>
            <w:gridSpan w:val="18"/>
          </w:tcPr>
          <w:p>
            <w:pPr>
              <w:spacing w:after="0" w:line="169"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reference to Exhibit 3.1 to the Company’s Current Report on Form 8-K filed on December 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0000EE"/>
              <w:bottom w:val="single" w:sz="8" w:color="0000EE"/>
            </w:tcBorders>
          </w:tcPr>
          <w:p>
            <w:pPr>
              <w:spacing w:after="0" w:line="169"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2019).</w:t>
              </w:r>
            </w:hyperlink>
          </w:p>
        </w:tc>
        <w:tc>
          <w:tcPr>
            <w:tcW w:w="114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74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7160" w:type="dxa"/>
            <w:vAlign w:val="bottom"/>
            <w:gridSpan w:val="27"/>
          </w:tcPr>
          <w:p>
            <w:pP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Amended and Restated Bylaws of Alpine Income Property Trust, Inc. (incorporated by reference</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00" w:type="dxa"/>
            <w:vAlign w:val="bottom"/>
            <w:tcBorders>
              <w:top w:val="single" w:sz="8" w:color="0000EE"/>
              <w:bottom w:val="single" w:sz="8" w:color="0000EE"/>
            </w:tcBorders>
            <w:gridSpan w:val="10"/>
          </w:tcPr>
          <w:p>
            <w:pPr>
              <w:spacing w:after="0" w:line="169"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to Exhibit 3.2 to the Company’s Current Report on Form 8-K filed on December 3, 2019).</w:t>
              </w:r>
            </w:hyperlink>
          </w:p>
        </w:tc>
        <w:tc>
          <w:tcPr>
            <w:tcW w:w="480" w:type="dxa"/>
            <w:vAlign w:val="bottom"/>
            <w:tcBorders>
              <w:top w:val="single" w:sz="8" w:color="0000EE"/>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74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7160" w:type="dxa"/>
            <w:vAlign w:val="bottom"/>
            <w:gridSpan w:val="27"/>
          </w:tcPr>
          <w:p>
            <w:pPr>
              <w:spacing w:after="0"/>
              <w:rPr>
                <w:rFonts w:ascii="Arial" w:cs="Arial" w:eastAsia="Arial" w:hAnsi="Arial"/>
                <w:sz w:val="18"/>
                <w:szCs w:val="18"/>
                <w:color w:val="0000EE"/>
                <w:w w:val="98"/>
              </w:rPr>
            </w:pPr>
            <w:hyperlink r:id="rId53">
              <w:r>
                <w:rPr>
                  <w:rFonts w:ascii="Arial" w:cs="Arial" w:eastAsia="Arial" w:hAnsi="Arial"/>
                  <w:sz w:val="18"/>
                  <w:szCs w:val="18"/>
                  <w:color w:val="0000EE"/>
                  <w:w w:val="98"/>
                </w:rPr>
                <w:t>Specimen Common Stock Certificate of Alpine Income Property Trust, Inc. (incorporated by</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80" w:type="dxa"/>
            <w:vAlign w:val="bottom"/>
            <w:tcBorders>
              <w:top w:val="single" w:sz="8" w:color="0000EE"/>
            </w:tcBorders>
            <w:gridSpan w:val="13"/>
          </w:tcPr>
          <w:p>
            <w:pPr>
              <w:spacing w:after="0" w:line="169"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reference to Exhibit 4.1 to the Registrant’s Registration Statement on Form S-11/A (File No.</w:t>
              </w:r>
            </w:hyperlink>
          </w:p>
        </w:tc>
        <w:tc>
          <w:tcPr>
            <w:tcW w:w="380" w:type="dxa"/>
            <w:vAlign w:val="bottom"/>
            <w:gridSpan w:val="9"/>
          </w:tcPr>
          <w:p>
            <w:pPr>
              <w:jc w:val="right"/>
              <w:ind w:right="20"/>
              <w:spacing w:after="0" w:line="169"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tcBorders>
              <w:top w:val="single" w:sz="8" w:color="0000EE"/>
              <w:bottom w:val="single" w:sz="8" w:color="0000EE"/>
            </w:tcBorders>
            <w:gridSpan w:val="7"/>
          </w:tcPr>
          <w:p>
            <w:pPr>
              <w:spacing w:after="0" w:line="169"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234304) filed with the Commission on October 29, 2019).</w:t>
              </w:r>
            </w:hyperlink>
          </w:p>
        </w:tc>
        <w:tc>
          <w:tcPr>
            <w:tcW w:w="284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9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7160" w:type="dxa"/>
            <w:vAlign w:val="bottom"/>
            <w:gridSpan w:val="27"/>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Indemnification Agreement, dated February 10, 2021, between Alpine Income Property Trust, Inc.</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40" w:type="dxa"/>
            <w:vAlign w:val="bottom"/>
            <w:tcBorders>
              <w:top w:val="single" w:sz="8" w:color="0000EE"/>
            </w:tcBorders>
            <w:gridSpan w:val="26"/>
          </w:tcPr>
          <w:p>
            <w:pPr>
              <w:spacing w:after="0" w:line="169"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and Rachel E. Wein (incorporated by reference to Exhibit 10.1 to the Company’s Current Report</w:t>
              </w:r>
            </w:hyperlink>
          </w:p>
        </w:tc>
        <w:tc>
          <w:tcPr>
            <w:tcW w:w="20" w:type="dxa"/>
            <w:vAlign w:val="bottom"/>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60" w:type="dxa"/>
            <w:vAlign w:val="bottom"/>
            <w:tcBorders>
              <w:top w:val="single" w:sz="8" w:color="0000EE"/>
            </w:tcBorders>
            <w:gridSpan w:val="19"/>
          </w:tcPr>
          <w:p>
            <w:pPr>
              <w:spacing w:after="0" w:line="169" w:lineRule="exact"/>
              <w:rPr>
                <w:rFonts w:ascii="Arial" w:cs="Arial" w:eastAsia="Arial" w:hAnsi="Arial"/>
                <w:sz w:val="18"/>
                <w:szCs w:val="18"/>
                <w:color w:val="0000EE"/>
              </w:rPr>
            </w:pPr>
            <w:hyperlink r:id="rId54">
              <w:r>
                <w:rPr>
                  <w:rFonts w:ascii="Arial" w:cs="Arial" w:eastAsia="Arial" w:hAnsi="Arial"/>
                  <w:sz w:val="18"/>
                  <w:szCs w:val="18"/>
                  <w:color w:val="0000EE"/>
                </w:rPr>
                <w:t>on Form 8-K filed on February 11, 2021).*</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740" w:type="dxa"/>
            <w:vAlign w:val="bottom"/>
            <w:gridSpan w:val="2"/>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8"/>
        </w:trPr>
        <w:tc>
          <w:tcPr>
            <w:tcW w:w="174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7160" w:type="dxa"/>
            <w:vAlign w:val="bottom"/>
            <w:gridSpan w:val="27"/>
          </w:tcPr>
          <w:p>
            <w:pPr>
              <w:spacing w:after="0"/>
              <w:rPr>
                <w:rFonts w:ascii="Arial" w:cs="Arial" w:eastAsia="Arial" w:hAnsi="Arial"/>
                <w:sz w:val="18"/>
                <w:szCs w:val="18"/>
                <w:color w:val="0000EE"/>
                <w:w w:val="97"/>
              </w:rPr>
            </w:pPr>
            <w:hyperlink r:id="rId55">
              <w:r>
                <w:rPr>
                  <w:rFonts w:ascii="Arial" w:cs="Arial" w:eastAsia="Arial" w:hAnsi="Arial"/>
                  <w:sz w:val="18"/>
                  <w:szCs w:val="18"/>
                  <w:color w:val="0000EE"/>
                  <w:w w:val="97"/>
                </w:rPr>
                <w:t>Purchase and Sale Agreement, dated April 2, 2021, among Alpine Income Property OP, LP,</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0" w:type="dxa"/>
            <w:vAlign w:val="bottom"/>
            <w:tcBorders>
              <w:top w:val="single" w:sz="8" w:color="0000EE"/>
            </w:tcBorders>
            <w:gridSpan w:val="11"/>
          </w:tcPr>
          <w:p>
            <w:pPr>
              <w:spacing w:after="0" w:line="169"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Bluebird Arrowhead Phoenix LLC, Golden Arrow Clermont FL LLC, Bluebird Germantown</w:t>
              </w:r>
            </w:hyperlink>
          </w:p>
        </w:tc>
        <w:tc>
          <w:tcPr>
            <w:tcW w:w="20" w:type="dxa"/>
            <w:vAlign w:val="bottom"/>
          </w:tcPr>
          <w:p>
            <w:pPr>
              <w:spacing w:after="0"/>
              <w:rPr>
                <w:sz w:val="14"/>
                <w:szCs w:val="14"/>
                <w:color w:val="auto"/>
              </w:rPr>
            </w:pPr>
          </w:p>
        </w:tc>
        <w:tc>
          <w:tcPr>
            <w:tcW w:w="540" w:type="dxa"/>
            <w:vAlign w:val="bottom"/>
            <w:gridSpan w:val="15"/>
          </w:tcPr>
          <w:p>
            <w:pPr>
              <w:ind w:left="140"/>
              <w:spacing w:after="0" w:line="169" w:lineRule="exact"/>
              <w:rPr>
                <w:rFonts w:ascii="Arial" w:cs="Arial" w:eastAsia="Arial" w:hAnsi="Arial"/>
                <w:sz w:val="18"/>
                <w:szCs w:val="18"/>
                <w:color w:val="0000EE"/>
              </w:rPr>
            </w:pPr>
            <w:hyperlink r:id="rId55">
              <w:r>
                <w:rPr>
                  <w:rFonts w:ascii="Arial" w:cs="Arial" w:eastAsia="Arial" w:hAnsi="Arial"/>
                  <w:sz w:val="18"/>
                  <w:szCs w:val="18"/>
                  <w:color w:val="0000EE"/>
                </w:rPr>
                <w:t>MD</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60" w:type="dxa"/>
            <w:vAlign w:val="bottom"/>
            <w:tcBorders>
              <w:top w:val="single" w:sz="8" w:color="0000EE"/>
            </w:tcBorders>
            <w:gridSpan w:val="22"/>
          </w:tcPr>
          <w:p>
            <w:pPr>
              <w:spacing w:after="0" w:line="169"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LLC, Golden Arrow Charlotte NC LLC, CTLC Golden Arrow Katy LLC, and Bluebird Renton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80" w:type="dxa"/>
            <w:vAlign w:val="bottom"/>
            <w:tcBorders>
              <w:top w:val="single" w:sz="8" w:color="0000EE"/>
            </w:tcBorders>
            <w:gridSpan w:val="15"/>
          </w:tcPr>
          <w:p>
            <w:pPr>
              <w:spacing w:after="0" w:line="169"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WA LLC (incorporated by reference to Exhibit 2.1 to the Company’s Current Report on Form 8</w:t>
              </w:r>
            </w:hyperlink>
          </w:p>
        </w:tc>
        <w:tc>
          <w:tcPr>
            <w:tcW w:w="20" w:type="dxa"/>
            <w:vAlign w:val="bottom"/>
          </w:tcPr>
          <w:p>
            <w:pPr>
              <w:spacing w:after="0"/>
              <w:rPr>
                <w:sz w:val="14"/>
                <w:szCs w:val="14"/>
                <w:color w:val="auto"/>
              </w:rPr>
            </w:pPr>
          </w:p>
        </w:tc>
        <w:tc>
          <w:tcPr>
            <w:tcW w:w="260" w:type="dxa"/>
            <w:vAlign w:val="bottom"/>
            <w:gridSpan w:val="11"/>
          </w:tcPr>
          <w:p>
            <w:pPr>
              <w:spacing w:after="0" w:line="169" w:lineRule="exact"/>
              <w:rPr>
                <w:rFonts w:ascii="Arial" w:cs="Arial" w:eastAsia="Arial" w:hAnsi="Arial"/>
                <w:sz w:val="18"/>
                <w:szCs w:val="18"/>
                <w:color w:val="0000EE"/>
              </w:rPr>
            </w:pPr>
            <w:hyperlink r:id="rId55">
              <w:r>
                <w:rPr>
                  <w:rFonts w:ascii="Arial" w:cs="Arial" w:eastAsia="Arial" w:hAnsi="Arial"/>
                  <w:sz w:val="18"/>
                  <w:szCs w:val="18"/>
                  <w:color w:val="0000EE"/>
                </w:rPr>
                <w:t>-K</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00" w:type="dxa"/>
            <w:vAlign w:val="bottom"/>
            <w:tcBorders>
              <w:top w:val="single" w:sz="8" w:color="0000EE"/>
            </w:tcBorders>
            <w:gridSpan w:val="24"/>
          </w:tcPr>
          <w:p>
            <w:pPr>
              <w:spacing w:after="0" w:line="169" w:lineRule="exact"/>
              <w:rPr>
                <w:rFonts w:ascii="Arial" w:cs="Arial" w:eastAsia="Arial" w:hAnsi="Arial"/>
                <w:sz w:val="18"/>
                <w:szCs w:val="18"/>
                <w:color w:val="0000EE"/>
              </w:rPr>
            </w:pPr>
            <w:hyperlink r:id="rId55">
              <w:r>
                <w:rPr>
                  <w:rFonts w:ascii="Arial" w:cs="Arial" w:eastAsia="Arial" w:hAnsi="Arial"/>
                  <w:sz w:val="18"/>
                  <w:szCs w:val="18"/>
                  <w:color w:val="0000EE"/>
                </w:rPr>
                <w:t>filed on April 6, 2021)</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740" w:type="dxa"/>
            <w:vAlign w:val="bottom"/>
            <w:gridSpan w:val="2"/>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8"/>
        </w:trPr>
        <w:tc>
          <w:tcPr>
            <w:tcW w:w="1740" w:type="dxa"/>
            <w:vAlign w:val="bottom"/>
            <w:gridSpan w:val="2"/>
          </w:tcPr>
          <w:p>
            <w:pPr>
              <w:spacing w:after="0"/>
              <w:rPr>
                <w:sz w:val="20"/>
                <w:szCs w:val="20"/>
                <w:color w:val="auto"/>
              </w:rPr>
            </w:pPr>
            <w:r>
              <w:rPr>
                <w:rFonts w:ascii="Arial" w:cs="Arial" w:eastAsia="Arial" w:hAnsi="Arial"/>
                <w:sz w:val="18"/>
                <w:szCs w:val="18"/>
                <w:color w:val="auto"/>
              </w:rPr>
              <w:t>Exhibit 2.1a</w:t>
            </w:r>
          </w:p>
        </w:tc>
        <w:tc>
          <w:tcPr>
            <w:tcW w:w="66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First Amendment to the Purchase and Sale Agreement, dated April 20, 2021, among Alpine</w:t>
              </w:r>
            </w:hyperlink>
          </w:p>
        </w:tc>
        <w:tc>
          <w:tcPr>
            <w:tcW w:w="540" w:type="dxa"/>
            <w:vAlign w:val="bottom"/>
            <w:gridSpan w:val="15"/>
          </w:tcPr>
          <w:p>
            <w:pPr>
              <w:spacing w:after="0"/>
              <w:rPr>
                <w:sz w:val="24"/>
                <w:szCs w:val="24"/>
                <w:color w:val="auto"/>
              </w:rPr>
            </w:pPr>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60" w:type="dxa"/>
            <w:vAlign w:val="bottom"/>
            <w:gridSpan w:val="27"/>
          </w:tcPr>
          <w:p>
            <w:pPr>
              <w:spacing w:after="0" w:line="169"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Income Property OP, LP, Bluebird Arrowhead Phoenix LLC, Golden Arrow Clermont FL LLC,</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16"/>
          </w:tcPr>
          <w:p>
            <w:pPr>
              <w:spacing w:after="0" w:line="169"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Bluebird Germantown MD LLC, Golden Arrow Charlotte NC LLC, CTLC Golden Arrow Katy</w:t>
              </w:r>
            </w:hyperlink>
          </w:p>
        </w:tc>
        <w:tc>
          <w:tcPr>
            <w:tcW w:w="20" w:type="dxa"/>
            <w:vAlign w:val="bottom"/>
            <w:tcBorders>
              <w:bottom w:val="single" w:sz="8" w:color="0000EE"/>
            </w:tcBorders>
          </w:tcPr>
          <w:p>
            <w:pPr>
              <w:spacing w:after="0"/>
              <w:rPr>
                <w:sz w:val="14"/>
                <w:szCs w:val="14"/>
                <w:color w:val="auto"/>
              </w:rPr>
            </w:pPr>
          </w:p>
        </w:tc>
        <w:tc>
          <w:tcPr>
            <w:tcW w:w="16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60" w:type="dxa"/>
            <w:vAlign w:val="bottom"/>
            <w:gridSpan w:val="27"/>
          </w:tcPr>
          <w:p>
            <w:pPr>
              <w:spacing w:after="0" w:line="169"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LLC, and Bluebird Renton WA LLC, filed as Exhibit 2.1a with this Quarterly Report on Form 10-</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 for the quarter ended March 31, 2021.</w:t>
              </w:r>
            </w:hyperlink>
          </w:p>
        </w:tc>
        <w:tc>
          <w:tcPr>
            <w:tcW w:w="4160" w:type="dxa"/>
            <w:vAlign w:val="bottom"/>
            <w:tcBorders>
              <w:top w:val="single" w:sz="8" w:color="0000EE"/>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8"/>
        </w:trPr>
        <w:tc>
          <w:tcPr>
            <w:tcW w:w="174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16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filed pursuant to Section 302 of the Sarbanes-Oxley Act of 2002.</w:t>
              </w:r>
            </w:hyperlink>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5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filed pursuant to Section 302 of Sarbanes-Oxley Act of 2002.</w:t>
              </w:r>
            </w:hyperlink>
          </w:p>
        </w:tc>
        <w:tc>
          <w:tcPr>
            <w:tcW w:w="260" w:type="dxa"/>
            <w:vAlign w:val="bottom"/>
            <w:tcBorders>
              <w:top w:val="single" w:sz="8" w:color="0000EE"/>
            </w:tcBorders>
          </w:tcPr>
          <w:p>
            <w:pPr>
              <w:spacing w:after="0"/>
              <w:rPr>
                <w:sz w:val="24"/>
                <w:szCs w:val="24"/>
                <w:color w:val="auto"/>
              </w:rPr>
            </w:pPr>
          </w:p>
        </w:tc>
        <w:tc>
          <w:tcPr>
            <w:tcW w:w="1520" w:type="dxa"/>
            <w:vAlign w:val="bottom"/>
            <w:gridSpan w:val="18"/>
          </w:tcPr>
          <w:p>
            <w:pPr>
              <w:spacing w:after="0"/>
              <w:rPr>
                <w:sz w:val="24"/>
                <w:szCs w:val="24"/>
                <w:color w:val="auto"/>
              </w:rPr>
            </w:pPr>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Exhibit 32.1</w:t>
            </w:r>
          </w:p>
        </w:tc>
        <w:tc>
          <w:tcPr>
            <w:tcW w:w="7160" w:type="dxa"/>
            <w:vAlign w:val="bottom"/>
            <w:gridSpan w:val="27"/>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furnished pursuant to 18 U.S.C. Section 1350, as Adopted pursuant to Section 906 of</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the Sarbanes-Oxley Act of 2002.</w:t>
              </w:r>
            </w:hyperlink>
          </w:p>
        </w:tc>
        <w:tc>
          <w:tcPr>
            <w:tcW w:w="4740" w:type="dxa"/>
            <w:vAlign w:val="bottom"/>
            <w:tcBorders>
              <w:top w:val="single" w:sz="8" w:color="0000EE"/>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77"/>
        </w:trPr>
        <w:tc>
          <w:tcPr>
            <w:tcW w:w="1740" w:type="dxa"/>
            <w:vAlign w:val="bottom"/>
            <w:gridSpan w:val="2"/>
          </w:tcPr>
          <w:p>
            <w:pPr>
              <w:spacing w:after="0"/>
              <w:rPr>
                <w:sz w:val="20"/>
                <w:szCs w:val="20"/>
                <w:color w:val="auto"/>
              </w:rPr>
            </w:pPr>
            <w:r>
              <w:rPr>
                <w:rFonts w:ascii="Arial" w:cs="Arial" w:eastAsia="Arial" w:hAnsi="Arial"/>
                <w:sz w:val="18"/>
                <w:szCs w:val="18"/>
                <w:color w:val="auto"/>
              </w:rPr>
              <w:t>Exhibit 32.2</w:t>
            </w:r>
          </w:p>
        </w:tc>
        <w:tc>
          <w:tcPr>
            <w:tcW w:w="7160" w:type="dxa"/>
            <w:vAlign w:val="bottom"/>
            <w:gridSpan w:val="27"/>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furnished pursuant to 18 U.S.C. Section 1350, as Adopted pursuant to Section 906 of</w:t>
              </w:r>
            </w:hyperlink>
          </w:p>
        </w:tc>
      </w:tr>
      <w:tr>
        <w:trPr>
          <w:trHeight w:val="169"/>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tcBorders>
              <w:top w:val="single" w:sz="8" w:color="0000EE"/>
            </w:tcBorders>
            <w:gridSpan w:val="25"/>
          </w:tcPr>
          <w:p>
            <w:pPr>
              <w:spacing w:after="0" w:line="169" w:lineRule="exact"/>
              <w:rPr>
                <w:rFonts w:ascii="Arial" w:cs="Arial" w:eastAsia="Arial" w:hAnsi="Arial"/>
                <w:sz w:val="18"/>
                <w:szCs w:val="18"/>
                <w:color w:val="0000EE"/>
              </w:rPr>
            </w:pPr>
            <w:hyperlink w:anchor="page47">
              <w:r>
                <w:rPr>
                  <w:rFonts w:ascii="Arial" w:cs="Arial" w:eastAsia="Arial" w:hAnsi="Arial"/>
                  <w:sz w:val="18"/>
                  <w:szCs w:val="18"/>
                  <w:color w:val="0000EE"/>
                </w:rPr>
                <w:t>the Sarbanes-Oxley Act of 2002.</w:t>
              </w:r>
            </w:hyperlink>
          </w:p>
        </w:tc>
        <w:tc>
          <w:tcPr>
            <w:tcW w:w="40" w:type="dxa"/>
            <w:vAlign w:val="bottom"/>
            <w:gridSpan w:val="2"/>
          </w:tcPr>
          <w:p>
            <w:pPr>
              <w:spacing w:after="0"/>
              <w:rPr>
                <w:sz w:val="14"/>
                <w:szCs w:val="14"/>
                <w:color w:val="auto"/>
              </w:rPr>
            </w:pPr>
          </w:p>
        </w:tc>
      </w:tr>
      <w:tr>
        <w:trPr>
          <w:trHeight w:val="31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23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4800" w:type="dxa"/>
            <w:vAlign w:val="bottom"/>
            <w:gridSpan w:val="24"/>
          </w:tcPr>
          <w:p>
            <w:pPr>
              <w:spacing w:after="0"/>
              <w:rPr>
                <w:sz w:val="24"/>
                <w:szCs w:val="24"/>
                <w:color w:val="auto"/>
              </w:rPr>
            </w:pPr>
          </w:p>
        </w:tc>
      </w:tr>
      <w:tr>
        <w:trPr>
          <w:trHeight w:val="33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716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716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7160" w:type="dxa"/>
            <w:vAlign w:val="bottom"/>
            <w:gridSpan w:val="27"/>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33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716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74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716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76835</wp:posOffset>
            </wp:positionV>
            <wp:extent cx="13373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68" w:lineRule="exact"/>
        <w:rPr>
          <w:sz w:val="20"/>
          <w:szCs w:val="20"/>
          <w:color w:val="auto"/>
        </w:rPr>
      </w:pPr>
    </w:p>
    <w:p>
      <w:pPr>
        <w:ind w:left="560" w:hanging="412"/>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560" w:right="479" w:hanging="412"/>
        <w:spacing w:after="0" w:line="255"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8"/>
          <w:szCs w:val="18"/>
          <w:color w:val="auto"/>
        </w:rPr>
        <w:t>Portions of this exhibit have been redacted in compliance with Regulation S-K Item 601(b)(2). The omitted information is not material and is the type of information that the Company customarily and actually treats as private and confidential.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April 22, 2021</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April 22, 2021</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Matthew M. Partridge, Senior Vice President and</w:t>
      </w:r>
    </w:p>
    <w:p>
      <w:pPr>
        <w:spacing w:after="0" w:line="3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April 22, 2021</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jc w:val="right"/>
        <w:ind w:right="219"/>
        <w:spacing w:after="0"/>
        <w:rPr>
          <w:sz w:val="20"/>
          <w:szCs w:val="20"/>
          <w:color w:val="auto"/>
        </w:rPr>
      </w:pPr>
      <w:r>
        <w:rPr>
          <w:rFonts w:ascii="Arial" w:cs="Arial" w:eastAsia="Arial" w:hAnsi="Arial"/>
          <w:sz w:val="21"/>
          <w:szCs w:val="21"/>
          <w:b w:val="1"/>
          <w:bCs w:val="1"/>
          <w:color w:val="auto"/>
        </w:rPr>
        <w:t>Exhibit 2.1a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FIRST AMENDMENT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PURCHASE AND SALE AGREEMENT</w:t>
      </w:r>
    </w:p>
    <w:p>
      <w:pPr>
        <w:spacing w:after="0" w:line="194"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FIRST AMENDMENT TO PURCHASE AND SALE AGREEMENT</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is made and entered into as of April 20, 2021 (the “</w:t>
      </w:r>
      <w:r>
        <w:rPr>
          <w:rFonts w:ascii="Arial" w:cs="Arial" w:eastAsia="Arial" w:hAnsi="Arial"/>
          <w:sz w:val="21"/>
          <w:szCs w:val="21"/>
          <w:u w:val="single" w:color="auto"/>
          <w:color w:val="auto"/>
        </w:rPr>
        <w:t>Amendment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ALPINE INCOME PROPERTY OP, LP,</w:t>
      </w:r>
      <w:r>
        <w:rPr>
          <w:rFonts w:ascii="Arial" w:cs="Arial" w:eastAsia="Arial" w:hAnsi="Arial"/>
          <w:sz w:val="21"/>
          <w:szCs w:val="21"/>
          <w:color w:val="auto"/>
        </w:rPr>
        <w:t xml:space="preserve"> a Delaware limited partnership (the “</w:t>
      </w:r>
      <w:r>
        <w:rPr>
          <w:rFonts w:ascii="Arial" w:cs="Arial" w:eastAsia="Arial" w:hAnsi="Arial"/>
          <w:sz w:val="21"/>
          <w:szCs w:val="21"/>
          <w:u w:val="single" w:color="auto"/>
          <w:color w:val="auto"/>
        </w:rPr>
        <w:t>Purchaser</w:t>
      </w:r>
      <w:r>
        <w:rPr>
          <w:rFonts w:ascii="Arial" w:cs="Arial" w:eastAsia="Arial" w:hAnsi="Arial"/>
          <w:sz w:val="21"/>
          <w:szCs w:val="21"/>
          <w:color w:val="auto"/>
        </w:rPr>
        <w:t xml:space="preserve">”) and </w:t>
      </w:r>
      <w:r>
        <w:rPr>
          <w:rFonts w:ascii="Arial" w:cs="Arial" w:eastAsia="Arial" w:hAnsi="Arial"/>
          <w:sz w:val="21"/>
          <w:szCs w:val="21"/>
          <w:b w:val="1"/>
          <w:bCs w:val="1"/>
          <w:color w:val="auto"/>
        </w:rPr>
        <w:t>BLUEBIRD ARROWHEAD PHOENIX LLC</w:t>
      </w:r>
      <w:r>
        <w:rPr>
          <w:rFonts w:ascii="Arial" w:cs="Arial" w:eastAsia="Arial" w:hAnsi="Arial"/>
          <w:sz w:val="21"/>
          <w:szCs w:val="21"/>
          <w:color w:val="auto"/>
        </w:rPr>
        <w:t xml:space="preserve">, a Delaware limited liability company, </w:t>
      </w:r>
      <w:r>
        <w:rPr>
          <w:rFonts w:ascii="Arial" w:cs="Arial" w:eastAsia="Arial" w:hAnsi="Arial"/>
          <w:sz w:val="21"/>
          <w:szCs w:val="21"/>
          <w:b w:val="1"/>
          <w:bCs w:val="1"/>
          <w:color w:val="auto"/>
        </w:rPr>
        <w:t>GOLDEN</w:t>
      </w:r>
      <w:r>
        <w:rPr>
          <w:rFonts w:ascii="Arial" w:cs="Arial" w:eastAsia="Arial" w:hAnsi="Arial"/>
          <w:sz w:val="21"/>
          <w:szCs w:val="21"/>
          <w:color w:val="auto"/>
        </w:rPr>
        <w:t xml:space="preserve"> </w:t>
      </w:r>
      <w:r>
        <w:rPr>
          <w:rFonts w:ascii="Arial" w:cs="Arial" w:eastAsia="Arial" w:hAnsi="Arial"/>
          <w:sz w:val="21"/>
          <w:szCs w:val="21"/>
          <w:b w:val="1"/>
          <w:bCs w:val="1"/>
          <w:color w:val="auto"/>
        </w:rPr>
        <w:t>ARROW CLERMONT FL LLC</w:t>
      </w:r>
      <w:r>
        <w:rPr>
          <w:rFonts w:ascii="Arial" w:cs="Arial" w:eastAsia="Arial" w:hAnsi="Arial"/>
          <w:sz w:val="21"/>
          <w:szCs w:val="21"/>
          <w:color w:val="auto"/>
        </w:rPr>
        <w:t>, a Delaware limited liability company,</w:t>
      </w:r>
      <w:r>
        <w:rPr>
          <w:rFonts w:ascii="Arial" w:cs="Arial" w:eastAsia="Arial" w:hAnsi="Arial"/>
          <w:sz w:val="21"/>
          <w:szCs w:val="21"/>
          <w:b w:val="1"/>
          <w:bCs w:val="1"/>
          <w:color w:val="auto"/>
        </w:rPr>
        <w:t xml:space="preserve"> BLUEBIRD GERMANTOWN MD LLC</w:t>
      </w:r>
      <w:r>
        <w:rPr>
          <w:rFonts w:ascii="Arial" w:cs="Arial" w:eastAsia="Arial" w:hAnsi="Arial"/>
          <w:sz w:val="21"/>
          <w:szCs w:val="21"/>
          <w:color w:val="auto"/>
        </w:rPr>
        <w:t>, a Delaware limited liability company,</w:t>
      </w:r>
      <w:r>
        <w:rPr>
          <w:rFonts w:ascii="Arial" w:cs="Arial" w:eastAsia="Arial" w:hAnsi="Arial"/>
          <w:sz w:val="21"/>
          <w:szCs w:val="21"/>
          <w:b w:val="1"/>
          <w:bCs w:val="1"/>
          <w:color w:val="auto"/>
        </w:rPr>
        <w:t xml:space="preserve"> GOLDEN ARROW CHARLOTTE NC LLC</w:t>
      </w:r>
      <w:r>
        <w:rPr>
          <w:rFonts w:ascii="Arial" w:cs="Arial" w:eastAsia="Arial" w:hAnsi="Arial"/>
          <w:sz w:val="21"/>
          <w:szCs w:val="21"/>
          <w:color w:val="auto"/>
        </w:rPr>
        <w:t>, a Delaware limited liability company,</w:t>
      </w:r>
      <w:r>
        <w:rPr>
          <w:rFonts w:ascii="Arial" w:cs="Arial" w:eastAsia="Arial" w:hAnsi="Arial"/>
          <w:sz w:val="21"/>
          <w:szCs w:val="21"/>
          <w:b w:val="1"/>
          <w:bCs w:val="1"/>
          <w:color w:val="auto"/>
        </w:rPr>
        <w:t xml:space="preserve"> CTLC GOLDEN ARROW KATY LLC</w:t>
      </w:r>
      <w:r>
        <w:rPr>
          <w:rFonts w:ascii="Arial" w:cs="Arial" w:eastAsia="Arial" w:hAnsi="Arial"/>
          <w:sz w:val="21"/>
          <w:szCs w:val="21"/>
          <w:color w:val="auto"/>
        </w:rPr>
        <w:t>, a Delaware limited liability company, and</w:t>
      </w:r>
      <w:r>
        <w:rPr>
          <w:rFonts w:ascii="Arial" w:cs="Arial" w:eastAsia="Arial" w:hAnsi="Arial"/>
          <w:sz w:val="21"/>
          <w:szCs w:val="21"/>
          <w:b w:val="1"/>
          <w:bCs w:val="1"/>
          <w:color w:val="auto"/>
        </w:rPr>
        <w:t xml:space="preserve"> BLUEBIRD RENTON WA LLC</w:t>
      </w:r>
      <w:r>
        <w:rPr>
          <w:rFonts w:ascii="Arial" w:cs="Arial" w:eastAsia="Arial" w:hAnsi="Arial"/>
          <w:sz w:val="21"/>
          <w:szCs w:val="21"/>
          <w:color w:val="auto"/>
        </w:rPr>
        <w:t>, a Delaware</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(collectively, the “</w:t>
      </w:r>
      <w:r>
        <w:rPr>
          <w:rFonts w:ascii="Arial" w:cs="Arial" w:eastAsia="Arial" w:hAnsi="Arial"/>
          <w:sz w:val="21"/>
          <w:szCs w:val="21"/>
          <w:u w:val="single" w:color="auto"/>
          <w:color w:val="auto"/>
        </w:rPr>
        <w:t>Seller</w:t>
      </w:r>
      <w:r>
        <w:rPr>
          <w:rFonts w:ascii="Arial" w:cs="Arial" w:eastAsia="Arial" w:hAnsi="Arial"/>
          <w:sz w:val="21"/>
          <w:szCs w:val="21"/>
          <w:color w:val="auto"/>
        </w:rPr>
        <w:t>” or “</w:t>
      </w:r>
      <w:r>
        <w:rPr>
          <w:rFonts w:ascii="Arial" w:cs="Arial" w:eastAsia="Arial" w:hAnsi="Arial"/>
          <w:sz w:val="21"/>
          <w:szCs w:val="21"/>
          <w:u w:val="single" w:color="auto"/>
          <w:color w:val="auto"/>
        </w:rPr>
        <w:t>Sellers</w:t>
      </w:r>
      <w:r>
        <w:rPr>
          <w:rFonts w:ascii="Arial" w:cs="Arial" w:eastAsia="Arial" w:hAnsi="Arial"/>
          <w:sz w:val="21"/>
          <w:szCs w:val="21"/>
          <w:color w:val="auto"/>
        </w:rPr>
        <w: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 I T N E S S E T H:</w:t>
      </w:r>
    </w:p>
    <w:p>
      <w:pPr>
        <w:spacing w:after="0" w:line="212" w:lineRule="exact"/>
        <w:rPr>
          <w:sz w:val="20"/>
          <w:szCs w:val="20"/>
          <w:color w:val="auto"/>
        </w:rPr>
      </w:pPr>
    </w:p>
    <w:p>
      <w:pPr>
        <w:jc w:val="both"/>
        <w:ind w:left="200" w:right="219" w:firstLine="648"/>
        <w:spacing w:after="0" w:line="29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Seller and Purchaser entered into that certain Purchase and Sale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April 2, 2021 (collectively, the “</w:t>
      </w:r>
      <w:r>
        <w:rPr>
          <w:rFonts w:ascii="Arial" w:cs="Arial" w:eastAsia="Arial" w:hAnsi="Arial"/>
          <w:sz w:val="19"/>
          <w:szCs w:val="19"/>
          <w:u w:val="single" w:color="auto"/>
          <w:color w:val="auto"/>
        </w:rPr>
        <w:t>Contract</w:t>
      </w:r>
      <w:r>
        <w:rPr>
          <w:rFonts w:ascii="Arial" w:cs="Arial" w:eastAsia="Arial" w:hAnsi="Arial"/>
          <w:sz w:val="19"/>
          <w:szCs w:val="19"/>
          <w:color w:val="auto"/>
        </w:rPr>
        <w:t>”), for those certain six (6) separate premises of property owned by Seller and located in the Cities and States more particularly described in the Contract; and</w:t>
      </w:r>
    </w:p>
    <w:p>
      <w:pPr>
        <w:spacing w:after="0" w:line="139"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Seller and Purchaser desire to amend and modify the Contract as more</w:t>
      </w:r>
      <w:r>
        <w:rPr>
          <w:rFonts w:ascii="Arial" w:cs="Arial" w:eastAsia="Arial" w:hAnsi="Arial"/>
          <w:sz w:val="21"/>
          <w:szCs w:val="21"/>
          <w:b w:val="1"/>
          <w:bCs w:val="1"/>
          <w:color w:val="auto"/>
        </w:rPr>
        <w:t xml:space="preserve"> </w:t>
      </w:r>
      <w:r>
        <w:rPr>
          <w:rFonts w:ascii="Arial" w:cs="Arial" w:eastAsia="Arial" w:hAnsi="Arial"/>
          <w:sz w:val="21"/>
          <w:szCs w:val="21"/>
          <w:color w:val="auto"/>
        </w:rPr>
        <w:t>particularly set forth herein.</w:t>
      </w:r>
    </w:p>
    <w:p>
      <w:pPr>
        <w:spacing w:after="0" w:line="159"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and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do hereby agree as follows:</w:t>
      </w:r>
    </w:p>
    <w:p>
      <w:pPr>
        <w:spacing w:after="0" w:line="175" w:lineRule="exact"/>
        <w:rPr>
          <w:sz w:val="20"/>
          <w:szCs w:val="20"/>
          <w:color w:val="auto"/>
        </w:rPr>
      </w:pPr>
    </w:p>
    <w:p>
      <w:pPr>
        <w:jc w:val="both"/>
        <w:ind w:left="200" w:right="219" w:firstLine="657"/>
        <w:spacing w:after="0" w:line="255" w:lineRule="auto"/>
        <w:tabs>
          <w:tab w:leader="none" w:pos="14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Recitals</w:t>
      </w:r>
      <w:r>
        <w:rPr>
          <w:rFonts w:ascii="Arial" w:cs="Arial" w:eastAsia="Arial" w:hAnsi="Arial"/>
          <w:sz w:val="21"/>
          <w:szCs w:val="21"/>
          <w:color w:val="auto"/>
        </w:rPr>
        <w:t>. The foregoing recitals are true and correct and are incorporated herein by</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 All capitalized terms not defined herein shall have the same meanings ascribed to said terms as set forth under the Contract.</w:t>
      </w:r>
    </w:p>
    <w:p>
      <w:pPr>
        <w:spacing w:after="0" w:line="175" w:lineRule="exact"/>
        <w:rPr>
          <w:rFonts w:ascii="Arial" w:cs="Arial" w:eastAsia="Arial" w:hAnsi="Arial"/>
          <w:sz w:val="21"/>
          <w:szCs w:val="21"/>
          <w:color w:val="auto"/>
        </w:rPr>
      </w:pPr>
    </w:p>
    <w:p>
      <w:pPr>
        <w:ind w:left="200" w:right="219" w:firstLine="657"/>
        <w:spacing w:after="0" w:line="270" w:lineRule="auto"/>
        <w:tabs>
          <w:tab w:leader="none" w:pos="14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Purchase Price</w:t>
      </w:r>
      <w:r>
        <w:rPr>
          <w:rFonts w:ascii="Arial" w:cs="Arial" w:eastAsia="Arial" w:hAnsi="Arial"/>
          <w:sz w:val="21"/>
          <w:szCs w:val="21"/>
          <w:color w:val="auto"/>
        </w:rPr>
        <w:t>. The Purchase Price is hereby reduced to Forty-Four Million Five</w:t>
      </w:r>
      <w:r>
        <w:rPr>
          <w:rFonts w:ascii="Arial" w:cs="Arial" w:eastAsia="Arial" w:hAnsi="Arial"/>
          <w:sz w:val="21"/>
          <w:szCs w:val="21"/>
          <w:b w:val="1"/>
          <w:bCs w:val="1"/>
          <w:color w:val="auto"/>
        </w:rPr>
        <w:t xml:space="preserve"> </w:t>
      </w:r>
      <w:r>
        <w:rPr>
          <w:rFonts w:ascii="Arial" w:cs="Arial" w:eastAsia="Arial" w:hAnsi="Arial"/>
          <w:sz w:val="21"/>
          <w:szCs w:val="21"/>
          <w:color w:val="auto"/>
        </w:rPr>
        <w:t>Hundred Thousand and 00/100 Dollars ($44,500,000).</w:t>
      </w:r>
    </w:p>
    <w:p>
      <w:pPr>
        <w:spacing w:after="0" w:line="158" w:lineRule="exact"/>
        <w:rPr>
          <w:rFonts w:ascii="Arial" w:cs="Arial" w:eastAsia="Arial" w:hAnsi="Arial"/>
          <w:sz w:val="21"/>
          <w:szCs w:val="21"/>
          <w:color w:val="auto"/>
        </w:rPr>
      </w:pPr>
    </w:p>
    <w:p>
      <w:pPr>
        <w:jc w:val="both"/>
        <w:ind w:left="200" w:right="219" w:firstLine="657"/>
        <w:spacing w:after="0" w:line="251" w:lineRule="auto"/>
        <w:tabs>
          <w:tab w:leader="none" w:pos="14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Additional Modifications; Ratification of Contract</w:t>
      </w:r>
      <w:r>
        <w:rPr>
          <w:rFonts w:ascii="Arial" w:cs="Arial" w:eastAsia="Arial" w:hAnsi="Arial"/>
          <w:sz w:val="21"/>
          <w:szCs w:val="21"/>
          <w:color w:val="auto"/>
        </w:rPr>
        <w:t>. Except as expressly</w:t>
      </w:r>
      <w:r>
        <w:rPr>
          <w:rFonts w:ascii="Arial" w:cs="Arial" w:eastAsia="Arial" w:hAnsi="Arial"/>
          <w:sz w:val="21"/>
          <w:szCs w:val="21"/>
          <w:b w:val="1"/>
          <w:bCs w:val="1"/>
          <w:color w:val="auto"/>
        </w:rPr>
        <w:t xml:space="preserve"> </w:t>
      </w:r>
      <w:r>
        <w:rPr>
          <w:rFonts w:ascii="Arial" w:cs="Arial" w:eastAsia="Arial" w:hAnsi="Arial"/>
          <w:sz w:val="21"/>
          <w:szCs w:val="21"/>
          <w:color w:val="auto"/>
        </w:rPr>
        <w:t>modified in this Amendment, the Contract is not modified and shall continue in full force and effect according to its existing terms. Purchaser and Seller hereby ratify and affirm all of their respective rights and obligations under the Contract.</w:t>
      </w:r>
    </w:p>
    <w:p>
      <w:pPr>
        <w:spacing w:after="0" w:line="177" w:lineRule="exact"/>
        <w:rPr>
          <w:rFonts w:ascii="Arial" w:cs="Arial" w:eastAsia="Arial" w:hAnsi="Arial"/>
          <w:sz w:val="21"/>
          <w:szCs w:val="21"/>
          <w:color w:val="auto"/>
        </w:rPr>
      </w:pPr>
    </w:p>
    <w:p>
      <w:pPr>
        <w:jc w:val="both"/>
        <w:ind w:left="200" w:right="219" w:firstLine="657"/>
        <w:spacing w:after="0" w:line="251" w:lineRule="auto"/>
        <w:tabs>
          <w:tab w:leader="none" w:pos="1496"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Conflicts</w:t>
      </w:r>
      <w:r>
        <w:rPr>
          <w:rFonts w:ascii="Arial" w:cs="Arial" w:eastAsia="Arial" w:hAnsi="Arial"/>
          <w:sz w:val="21"/>
          <w:szCs w:val="21"/>
          <w:color w:val="auto"/>
        </w:rPr>
        <w:t>. In the event of any conflict between the terms of the Contract and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Amendment, the terms of this Amendment shall govern. This Amendment shall be binding upon, and shall inure to the benefit of, the parties hereto and their respective heirs, executors, administrators, successors and assigns.</w:t>
      </w:r>
    </w:p>
    <w:p>
      <w:pPr>
        <w:spacing w:after="0" w:line="177" w:lineRule="exact"/>
        <w:rPr>
          <w:rFonts w:ascii="Arial" w:cs="Arial" w:eastAsia="Arial" w:hAnsi="Arial"/>
          <w:sz w:val="21"/>
          <w:szCs w:val="21"/>
          <w:color w:val="auto"/>
        </w:rPr>
      </w:pPr>
    </w:p>
    <w:p>
      <w:pPr>
        <w:jc w:val="both"/>
        <w:ind w:left="200" w:right="219" w:firstLine="657"/>
        <w:spacing w:after="0" w:line="285" w:lineRule="auto"/>
        <w:tabs>
          <w:tab w:leader="none" w:pos="1496" w:val="left"/>
        </w:tabs>
        <w:numPr>
          <w:ilvl w:val="0"/>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Amendment may be executed in one or more counterparts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become effective when one or more counterparts have been signed by all of the parties; each counterpart shall be deemed an original but all counterparts shall constitute a single instrument. Delivery of this instrument may be accomplished by facsimile transmission or other electronic means.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36" w:name="page37"/>
    <w:bookmarkEnd w:id="36"/>
    <w:p>
      <w:pPr>
        <w:ind w:left="200" w:right="299"/>
        <w:spacing w:after="0" w:line="250" w:lineRule="auto"/>
        <w:rPr>
          <w:sz w:val="20"/>
          <w:szCs w:val="20"/>
          <w:color w:val="auto"/>
        </w:rPr>
      </w:pPr>
      <w:r>
        <w:rPr>
          <w:rFonts w:ascii="Arial" w:cs="Arial" w:eastAsia="Arial" w:hAnsi="Arial"/>
          <w:sz w:val="21"/>
          <w:szCs w:val="21"/>
          <w:color w:val="auto"/>
        </w:rPr>
        <w:t>IN WITNESS WHEREOF, Seller and Purchaser have caused this Amendment to be executed effective as of the Amendment Date.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21"/>
          <w:szCs w:val="21"/>
          <w:b w:val="1"/>
          <w:bCs w:val="1"/>
          <w:u w:val="single" w:color="auto"/>
          <w:color w:val="auto"/>
        </w:rPr>
        <w:t>PURCHASER</w:t>
      </w:r>
      <w:r>
        <w:rPr>
          <w:rFonts w:ascii="Arial" w:cs="Arial" w:eastAsia="Arial" w:hAnsi="Arial"/>
          <w:sz w:val="21"/>
          <w:szCs w:val="21"/>
          <w:b w:val="1"/>
          <w:bCs w:val="1"/>
          <w:color w:val="auto"/>
        </w:rPr>
        <w:t>:</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21"/>
          <w:szCs w:val="21"/>
          <w:b w:val="1"/>
          <w:bCs w:val="1"/>
          <w:color w:val="auto"/>
        </w:rPr>
        <w:t>ALPINE INCOME PROPERTY OP, LP</w:t>
      </w:r>
      <w:r>
        <w:rPr>
          <w:rFonts w:ascii="Arial" w:cs="Arial" w:eastAsia="Arial" w:hAnsi="Arial"/>
          <w:sz w:val="21"/>
          <w:szCs w:val="21"/>
          <w:color w:val="auto"/>
        </w:rPr>
        <w:t>,</w:t>
      </w:r>
    </w:p>
    <w:p>
      <w:pPr>
        <w:spacing w:after="0" w:line="26" w:lineRule="exact"/>
        <w:rPr>
          <w:sz w:val="20"/>
          <w:szCs w:val="20"/>
          <w:color w:val="auto"/>
        </w:rPr>
      </w:pPr>
    </w:p>
    <w:p>
      <w:pPr>
        <w:ind w:left="4180"/>
        <w:spacing w:after="0"/>
        <w:rPr>
          <w:sz w:val="20"/>
          <w:szCs w:val="20"/>
          <w:color w:val="auto"/>
        </w:rPr>
      </w:pPr>
      <w:r>
        <w:rPr>
          <w:rFonts w:ascii="Arial" w:cs="Arial" w:eastAsia="Arial" w:hAnsi="Arial"/>
          <w:sz w:val="21"/>
          <w:szCs w:val="21"/>
          <w:color w:val="auto"/>
        </w:rPr>
        <w:t>a Delaware limited partnership</w:t>
      </w:r>
    </w:p>
    <w:p>
      <w:pPr>
        <w:spacing w:after="0" w:line="227" w:lineRule="exact"/>
        <w:rPr>
          <w:sz w:val="20"/>
          <w:szCs w:val="20"/>
          <w:color w:val="auto"/>
        </w:rPr>
      </w:pPr>
    </w:p>
    <w:tbl>
      <w:tblPr>
        <w:tblLayout w:type="fixed"/>
        <w:tblInd w:w="4180" w:type="dxa"/>
        <w:tblCellMar>
          <w:top w:w="0" w:type="dxa"/>
          <w:left w:w="0" w:type="dxa"/>
          <w:bottom w:w="0" w:type="dxa"/>
          <w:right w:w="0" w:type="dxa"/>
        </w:tblCellMar>
      </w:tblPr>
      <w:tr>
        <w:trPr>
          <w:trHeight w:val="243"/>
        </w:trPr>
        <w:tc>
          <w:tcPr>
            <w:tcW w:w="480" w:type="dxa"/>
            <w:vAlign w:val="bottom"/>
          </w:tcPr>
          <w:p>
            <w:pPr>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60"/>
              <w:spacing w:after="0"/>
              <w:rPr>
                <w:sz w:val="20"/>
                <w:szCs w:val="20"/>
                <w:color w:val="auto"/>
              </w:rPr>
            </w:pPr>
            <w:r>
              <w:rPr>
                <w:rFonts w:ascii="Arial" w:cs="Arial" w:eastAsia="Arial" w:hAnsi="Arial"/>
                <w:sz w:val="21"/>
                <w:szCs w:val="21"/>
                <w:color w:val="auto"/>
              </w:rPr>
              <w:t>Alpine Income Property GP, LLC,</w:t>
            </w:r>
          </w:p>
        </w:tc>
      </w:tr>
      <w:tr>
        <w:trPr>
          <w:trHeight w:val="243"/>
        </w:trPr>
        <w:tc>
          <w:tcPr>
            <w:tcW w:w="480" w:type="dxa"/>
            <w:vAlign w:val="bottom"/>
          </w:tcPr>
          <w:p>
            <w:pPr>
              <w:spacing w:after="0"/>
              <w:rPr>
                <w:sz w:val="21"/>
                <w:szCs w:val="21"/>
                <w:color w:val="auto"/>
              </w:rPr>
            </w:pPr>
          </w:p>
        </w:tc>
        <w:tc>
          <w:tcPr>
            <w:tcW w:w="3400" w:type="dxa"/>
            <w:vAlign w:val="bottom"/>
            <w:gridSpan w:val="3"/>
          </w:tcPr>
          <w:p>
            <w:pPr>
              <w:ind w:left="160"/>
              <w:spacing w:after="0"/>
              <w:rPr>
                <w:sz w:val="20"/>
                <w:szCs w:val="20"/>
                <w:color w:val="auto"/>
              </w:rPr>
            </w:pPr>
            <w:r>
              <w:rPr>
                <w:rFonts w:ascii="Arial" w:cs="Arial" w:eastAsia="Arial" w:hAnsi="Arial"/>
                <w:sz w:val="21"/>
                <w:szCs w:val="21"/>
                <w:color w:val="auto"/>
                <w:w w:val="95"/>
              </w:rPr>
              <w:t>a Delaware limited liability company,</w:t>
            </w:r>
          </w:p>
        </w:tc>
      </w:tr>
      <w:tr>
        <w:trPr>
          <w:trHeight w:val="264"/>
        </w:trPr>
        <w:tc>
          <w:tcPr>
            <w:tcW w:w="480" w:type="dxa"/>
            <w:vAlign w:val="bottom"/>
          </w:tcPr>
          <w:p>
            <w:pPr>
              <w:spacing w:after="0"/>
              <w:rPr>
                <w:sz w:val="22"/>
                <w:szCs w:val="22"/>
                <w:color w:val="auto"/>
              </w:rPr>
            </w:pPr>
          </w:p>
        </w:tc>
        <w:tc>
          <w:tcPr>
            <w:tcW w:w="3400" w:type="dxa"/>
            <w:vAlign w:val="bottom"/>
            <w:gridSpan w:val="3"/>
          </w:tcPr>
          <w:p>
            <w:pPr>
              <w:ind w:left="160"/>
              <w:spacing w:after="0"/>
              <w:rPr>
                <w:sz w:val="20"/>
                <w:szCs w:val="20"/>
                <w:color w:val="auto"/>
              </w:rPr>
            </w:pPr>
            <w:r>
              <w:rPr>
                <w:rFonts w:ascii="Arial" w:cs="Arial" w:eastAsia="Arial" w:hAnsi="Arial"/>
                <w:sz w:val="21"/>
                <w:szCs w:val="21"/>
                <w:color w:val="auto"/>
              </w:rPr>
              <w:t>its general partner</w:t>
            </w:r>
          </w:p>
        </w:tc>
      </w:tr>
      <w:tr>
        <w:trPr>
          <w:trHeight w:val="465"/>
        </w:trPr>
        <w:tc>
          <w:tcPr>
            <w:tcW w:w="480" w:type="dxa"/>
            <w:vAlign w:val="bottom"/>
          </w:tcPr>
          <w:p>
            <w:pPr>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60"/>
              <w:spacing w:after="0"/>
              <w:rPr>
                <w:sz w:val="20"/>
                <w:szCs w:val="20"/>
                <w:color w:val="auto"/>
              </w:rPr>
            </w:pPr>
            <w:r>
              <w:rPr>
                <w:rFonts w:ascii="Arial" w:cs="Arial" w:eastAsia="Arial" w:hAnsi="Arial"/>
                <w:sz w:val="21"/>
                <w:szCs w:val="21"/>
                <w:color w:val="auto"/>
                <w:w w:val="99"/>
              </w:rPr>
              <w:t>Alpine Income Property Trust, Inc.,</w:t>
            </w:r>
          </w:p>
        </w:tc>
      </w:tr>
      <w:tr>
        <w:trPr>
          <w:trHeight w:val="243"/>
        </w:trPr>
        <w:tc>
          <w:tcPr>
            <w:tcW w:w="480" w:type="dxa"/>
            <w:vAlign w:val="bottom"/>
          </w:tcPr>
          <w:p>
            <w:pPr>
              <w:spacing w:after="0"/>
              <w:rPr>
                <w:sz w:val="21"/>
                <w:szCs w:val="21"/>
                <w:color w:val="auto"/>
              </w:rPr>
            </w:pPr>
          </w:p>
        </w:tc>
        <w:tc>
          <w:tcPr>
            <w:tcW w:w="3400" w:type="dxa"/>
            <w:vAlign w:val="bottom"/>
            <w:gridSpan w:val="3"/>
          </w:tcPr>
          <w:p>
            <w:pPr>
              <w:ind w:left="160"/>
              <w:spacing w:after="0"/>
              <w:rPr>
                <w:sz w:val="20"/>
                <w:szCs w:val="20"/>
                <w:color w:val="auto"/>
              </w:rPr>
            </w:pPr>
            <w:r>
              <w:rPr>
                <w:rFonts w:ascii="Arial" w:cs="Arial" w:eastAsia="Arial" w:hAnsi="Arial"/>
                <w:sz w:val="21"/>
                <w:szCs w:val="21"/>
                <w:color w:val="auto"/>
              </w:rPr>
              <w:t>a Maryland corporation,</w:t>
            </w:r>
          </w:p>
        </w:tc>
      </w:tr>
      <w:tr>
        <w:trPr>
          <w:trHeight w:val="264"/>
        </w:trPr>
        <w:tc>
          <w:tcPr>
            <w:tcW w:w="480" w:type="dxa"/>
            <w:vAlign w:val="bottom"/>
          </w:tcPr>
          <w:p>
            <w:pPr>
              <w:spacing w:after="0"/>
              <w:rPr>
                <w:sz w:val="22"/>
                <w:szCs w:val="22"/>
                <w:color w:val="auto"/>
              </w:rPr>
            </w:pPr>
          </w:p>
        </w:tc>
        <w:tc>
          <w:tcPr>
            <w:tcW w:w="3400" w:type="dxa"/>
            <w:vAlign w:val="bottom"/>
            <w:gridSpan w:val="3"/>
          </w:tcPr>
          <w:p>
            <w:pPr>
              <w:ind w:left="160"/>
              <w:spacing w:after="0"/>
              <w:rPr>
                <w:sz w:val="20"/>
                <w:szCs w:val="20"/>
                <w:color w:val="auto"/>
              </w:rPr>
            </w:pPr>
            <w:r>
              <w:rPr>
                <w:rFonts w:ascii="Arial" w:cs="Arial" w:eastAsia="Arial" w:hAnsi="Arial"/>
                <w:sz w:val="21"/>
                <w:szCs w:val="21"/>
                <w:color w:val="auto"/>
              </w:rPr>
              <w:t>its sole member</w:t>
            </w:r>
          </w:p>
        </w:tc>
      </w:tr>
      <w:tr>
        <w:trPr>
          <w:trHeight w:val="680"/>
        </w:trPr>
        <w:tc>
          <w:tcPr>
            <w:tcW w:w="4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Arial" w:cs="Arial" w:eastAsia="Arial" w:hAnsi="Arial"/>
                <w:sz w:val="21"/>
                <w:szCs w:val="21"/>
                <w:color w:val="auto"/>
                <w:w w:val="98"/>
              </w:rPr>
              <w:t>By:</w:t>
            </w:r>
          </w:p>
        </w:tc>
        <w:tc>
          <w:tcPr>
            <w:tcW w:w="2920" w:type="dxa"/>
            <w:vAlign w:val="bottom"/>
          </w:tcPr>
          <w:p>
            <w:pPr>
              <w:ind w:left="340"/>
              <w:spacing w:after="0"/>
              <w:rPr>
                <w:sz w:val="20"/>
                <w:szCs w:val="20"/>
                <w:color w:val="auto"/>
              </w:rPr>
            </w:pPr>
            <w:r>
              <w:rPr>
                <w:rFonts w:ascii="Arial" w:cs="Arial" w:eastAsia="Arial" w:hAnsi="Arial"/>
                <w:sz w:val="21"/>
                <w:szCs w:val="21"/>
                <w:color w:val="auto"/>
              </w:rPr>
              <w:t>/s/ Steven R. Greathouse</w:t>
            </w:r>
          </w:p>
        </w:tc>
      </w:tr>
      <w:tr>
        <w:trPr>
          <w:trHeight w:val="250"/>
        </w:trPr>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tcPr>
          <w:p>
            <w:pPr>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7" w:name="page38"/>
    <w:bookmarkEnd w:id="37"/>
    <w:p>
      <w:pPr>
        <w:ind w:left="386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45"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BLUEBIRD ARROWHEAD PHOENIX LLC</w:t>
      </w:r>
      <w:r>
        <w:rPr>
          <w:rFonts w:ascii="Arial" w:cs="Arial" w:eastAsia="Arial" w:hAnsi="Arial"/>
          <w:sz w:val="21"/>
          <w:szCs w:val="21"/>
          <w:color w:val="auto"/>
        </w:rPr>
        <w:t>,</w:t>
      </w:r>
    </w:p>
    <w:p>
      <w:pPr>
        <w:spacing w:after="0" w:line="26"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386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Arial" w:cs="Arial" w:eastAsia="Arial" w:hAnsi="Arial"/>
                <w:sz w:val="21"/>
                <w:szCs w:val="21"/>
                <w:color w:val="auto"/>
              </w:rPr>
              <w:t>By:</w:t>
            </w: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Golden Arrow 6 LLC,</w:t>
            </w:r>
          </w:p>
        </w:tc>
      </w:tr>
      <w:tr>
        <w:trPr>
          <w:trHeight w:val="243"/>
        </w:trPr>
        <w:tc>
          <w:tcPr>
            <w:tcW w:w="460" w:type="dxa"/>
            <w:vAlign w:val="bottom"/>
          </w:tcPr>
          <w:p>
            <w:pPr>
              <w:spacing w:after="0"/>
              <w:rPr>
                <w:sz w:val="21"/>
                <w:szCs w:val="21"/>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a Delaware limited liability company,</w:t>
            </w:r>
          </w:p>
        </w:tc>
      </w:tr>
      <w:tr>
        <w:trPr>
          <w:trHeight w:val="264"/>
        </w:trPr>
        <w:tc>
          <w:tcPr>
            <w:tcW w:w="460" w:type="dxa"/>
            <w:vAlign w:val="bottom"/>
          </w:tcPr>
          <w:p>
            <w:pPr>
              <w:spacing w:after="0"/>
              <w:rPr>
                <w:sz w:val="22"/>
                <w:szCs w:val="22"/>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its sole member</w:t>
            </w:r>
          </w:p>
        </w:tc>
      </w:tr>
      <w:tr>
        <w:trPr>
          <w:trHeight w:val="465"/>
        </w:trPr>
        <w:tc>
          <w:tcPr>
            <w:tcW w:w="4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Maryland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successor-by-merger with</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Florida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w w:val="91"/>
              </w:rPr>
              <w:t>f/k/a Consolidated-Tomoka Land Co.,</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its sole member</w:t>
            </w:r>
          </w:p>
        </w:tc>
      </w:tr>
      <w:tr>
        <w:trPr>
          <w:trHeight w:val="43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21"/>
                <w:szCs w:val="21"/>
                <w:color w:val="auto"/>
                <w:w w:val="92"/>
              </w:rPr>
              <w:t>By:</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Steven R. Greathouse</w:t>
            </w:r>
          </w:p>
        </w:tc>
      </w:tr>
      <w:tr>
        <w:trPr>
          <w:trHeight w:val="250"/>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460"/>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38" w:name="page39"/>
    <w:bookmarkEnd w:id="38"/>
    <w:p>
      <w:pPr>
        <w:ind w:left="394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45" w:lineRule="exact"/>
        <w:rPr>
          <w:sz w:val="20"/>
          <w:szCs w:val="20"/>
          <w:color w:val="auto"/>
        </w:rPr>
      </w:pPr>
    </w:p>
    <w:p>
      <w:pPr>
        <w:ind w:left="3940"/>
        <w:spacing w:after="0"/>
        <w:rPr>
          <w:sz w:val="20"/>
          <w:szCs w:val="20"/>
          <w:color w:val="auto"/>
        </w:rPr>
      </w:pPr>
      <w:r>
        <w:rPr>
          <w:rFonts w:ascii="Arial" w:cs="Arial" w:eastAsia="Arial" w:hAnsi="Arial"/>
          <w:sz w:val="21"/>
          <w:szCs w:val="21"/>
          <w:b w:val="1"/>
          <w:bCs w:val="1"/>
          <w:color w:val="auto"/>
        </w:rPr>
        <w:t>GOLDEN ARROW CLERMONT FL LLC</w:t>
      </w:r>
      <w:r>
        <w:rPr>
          <w:rFonts w:ascii="Arial" w:cs="Arial" w:eastAsia="Arial" w:hAnsi="Arial"/>
          <w:sz w:val="21"/>
          <w:szCs w:val="21"/>
          <w:color w:val="auto"/>
        </w:rPr>
        <w:t>,</w:t>
      </w:r>
    </w:p>
    <w:p>
      <w:pPr>
        <w:spacing w:after="0" w:line="26"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3940" w:type="dxa"/>
        <w:tblCellMar>
          <w:top w:w="0" w:type="dxa"/>
          <w:left w:w="0" w:type="dxa"/>
          <w:bottom w:w="0" w:type="dxa"/>
          <w:right w:w="0" w:type="dxa"/>
        </w:tblCellMar>
      </w:tblPr>
      <w:tr>
        <w:trPr>
          <w:trHeight w:val="243"/>
        </w:trPr>
        <w:tc>
          <w:tcPr>
            <w:tcW w:w="480" w:type="dxa"/>
            <w:vAlign w:val="bottom"/>
          </w:tcPr>
          <w:p>
            <w:pPr>
              <w:spacing w:after="0"/>
              <w:rPr>
                <w:sz w:val="20"/>
                <w:szCs w:val="20"/>
                <w:color w:val="auto"/>
              </w:rPr>
            </w:pPr>
            <w:r>
              <w:rPr>
                <w:rFonts w:ascii="Arial" w:cs="Arial" w:eastAsia="Arial" w:hAnsi="Arial"/>
                <w:sz w:val="21"/>
                <w:szCs w:val="21"/>
                <w:color w:val="auto"/>
              </w:rPr>
              <w:t>By:</w:t>
            </w:r>
          </w:p>
        </w:tc>
        <w:tc>
          <w:tcPr>
            <w:tcW w:w="4040" w:type="dxa"/>
            <w:vAlign w:val="bottom"/>
            <w:gridSpan w:val="4"/>
          </w:tcPr>
          <w:p>
            <w:pPr>
              <w:ind w:left="160"/>
              <w:spacing w:after="0"/>
              <w:rPr>
                <w:sz w:val="20"/>
                <w:szCs w:val="20"/>
                <w:color w:val="auto"/>
              </w:rPr>
            </w:pPr>
            <w:r>
              <w:rPr>
                <w:rFonts w:ascii="Arial" w:cs="Arial" w:eastAsia="Arial" w:hAnsi="Arial"/>
                <w:sz w:val="21"/>
                <w:szCs w:val="21"/>
                <w:color w:val="auto"/>
              </w:rPr>
              <w:t>Golden Arrow 6 LLC,</w:t>
            </w:r>
          </w:p>
        </w:tc>
      </w:tr>
      <w:tr>
        <w:trPr>
          <w:trHeight w:val="243"/>
        </w:trPr>
        <w:tc>
          <w:tcPr>
            <w:tcW w:w="480" w:type="dxa"/>
            <w:vAlign w:val="bottom"/>
          </w:tcPr>
          <w:p>
            <w:pPr>
              <w:spacing w:after="0"/>
              <w:rPr>
                <w:sz w:val="21"/>
                <w:szCs w:val="21"/>
                <w:color w:val="auto"/>
              </w:rPr>
            </w:pPr>
          </w:p>
        </w:tc>
        <w:tc>
          <w:tcPr>
            <w:tcW w:w="4040" w:type="dxa"/>
            <w:vAlign w:val="bottom"/>
            <w:gridSpan w:val="4"/>
          </w:tcPr>
          <w:p>
            <w:pPr>
              <w:ind w:left="160"/>
              <w:spacing w:after="0"/>
              <w:rPr>
                <w:sz w:val="20"/>
                <w:szCs w:val="20"/>
                <w:color w:val="auto"/>
              </w:rPr>
            </w:pPr>
            <w:r>
              <w:rPr>
                <w:rFonts w:ascii="Arial" w:cs="Arial" w:eastAsia="Arial" w:hAnsi="Arial"/>
                <w:sz w:val="21"/>
                <w:szCs w:val="21"/>
                <w:color w:val="auto"/>
              </w:rPr>
              <w:t>a Delaware limited liability company,</w:t>
            </w:r>
          </w:p>
        </w:tc>
      </w:tr>
      <w:tr>
        <w:trPr>
          <w:trHeight w:val="264"/>
        </w:trPr>
        <w:tc>
          <w:tcPr>
            <w:tcW w:w="480" w:type="dxa"/>
            <w:vAlign w:val="bottom"/>
          </w:tcPr>
          <w:p>
            <w:pPr>
              <w:spacing w:after="0"/>
              <w:rPr>
                <w:sz w:val="22"/>
                <w:szCs w:val="22"/>
                <w:color w:val="auto"/>
              </w:rPr>
            </w:pPr>
          </w:p>
        </w:tc>
        <w:tc>
          <w:tcPr>
            <w:tcW w:w="4040" w:type="dxa"/>
            <w:vAlign w:val="bottom"/>
            <w:gridSpan w:val="4"/>
          </w:tcPr>
          <w:p>
            <w:pPr>
              <w:ind w:left="160"/>
              <w:spacing w:after="0"/>
              <w:rPr>
                <w:sz w:val="20"/>
                <w:szCs w:val="20"/>
                <w:color w:val="auto"/>
              </w:rPr>
            </w:pPr>
            <w:r>
              <w:rPr>
                <w:rFonts w:ascii="Arial" w:cs="Arial" w:eastAsia="Arial" w:hAnsi="Arial"/>
                <w:sz w:val="21"/>
                <w:szCs w:val="21"/>
                <w:color w:val="auto"/>
              </w:rPr>
              <w:t>its sole member</w:t>
            </w:r>
          </w:p>
        </w:tc>
      </w:tr>
      <w:tr>
        <w:trPr>
          <w:trHeight w:val="465"/>
        </w:trPr>
        <w:tc>
          <w:tcPr>
            <w:tcW w:w="48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Maryland corporation,</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successor-by-merger with</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Florida corporation,</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w w:val="91"/>
              </w:rPr>
              <w:t>f/k/a Consolidated-Tomoka Land Co.,</w:t>
            </w:r>
          </w:p>
        </w:tc>
      </w:tr>
      <w:tr>
        <w:trPr>
          <w:trHeight w:val="264"/>
        </w:trPr>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its sole member</w:t>
            </w:r>
          </w:p>
        </w:tc>
      </w:tr>
      <w:tr>
        <w:trPr>
          <w:trHeight w:val="681"/>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21"/>
                <w:szCs w:val="21"/>
                <w:color w:val="auto"/>
                <w:w w:val="92"/>
              </w:rPr>
              <w:t>By:</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Steven R. Greathouse</w:t>
            </w:r>
          </w:p>
        </w:tc>
      </w:tr>
      <w:tr>
        <w:trPr>
          <w:trHeight w:val="250"/>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0" w:type="dxa"/>
            <w:vAlign w:val="bottom"/>
            <w:gridSpan w:val="3"/>
          </w:tcPr>
          <w:p>
            <w:pPr>
              <w:ind w:left="460"/>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06" w:right="1440" w:bottom="1440" w:gutter="0" w:footer="0" w:header="0"/>
        </w:sectPr>
      </w:pPr>
    </w:p>
    <w:bookmarkStart w:id="39" w:name="page40"/>
    <w:bookmarkEnd w:id="39"/>
    <w:p>
      <w:pPr>
        <w:ind w:left="386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45"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BLUEBIRD GERMANTOWN MD LLC</w:t>
      </w:r>
      <w:r>
        <w:rPr>
          <w:rFonts w:ascii="Arial" w:cs="Arial" w:eastAsia="Arial" w:hAnsi="Arial"/>
          <w:sz w:val="21"/>
          <w:szCs w:val="21"/>
          <w:color w:val="auto"/>
        </w:rPr>
        <w:t>,</w:t>
      </w:r>
    </w:p>
    <w:p>
      <w:pPr>
        <w:spacing w:after="0" w:line="2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386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Arial" w:cs="Arial" w:eastAsia="Arial" w:hAnsi="Arial"/>
                <w:sz w:val="21"/>
                <w:szCs w:val="21"/>
                <w:color w:val="auto"/>
              </w:rPr>
              <w:t>By:</w:t>
            </w: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Golden Arrow 6 LLC,</w:t>
            </w:r>
          </w:p>
        </w:tc>
      </w:tr>
      <w:tr>
        <w:trPr>
          <w:trHeight w:val="243"/>
        </w:trPr>
        <w:tc>
          <w:tcPr>
            <w:tcW w:w="460" w:type="dxa"/>
            <w:vAlign w:val="bottom"/>
          </w:tcPr>
          <w:p>
            <w:pPr>
              <w:spacing w:after="0"/>
              <w:rPr>
                <w:sz w:val="21"/>
                <w:szCs w:val="21"/>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a Delaware limited liability company,</w:t>
            </w:r>
          </w:p>
        </w:tc>
      </w:tr>
      <w:tr>
        <w:trPr>
          <w:trHeight w:val="264"/>
        </w:trPr>
        <w:tc>
          <w:tcPr>
            <w:tcW w:w="460" w:type="dxa"/>
            <w:vAlign w:val="bottom"/>
          </w:tcPr>
          <w:p>
            <w:pPr>
              <w:spacing w:after="0"/>
              <w:rPr>
                <w:sz w:val="22"/>
                <w:szCs w:val="22"/>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its sole member</w:t>
            </w:r>
          </w:p>
        </w:tc>
      </w:tr>
      <w:tr>
        <w:trPr>
          <w:trHeight w:val="465"/>
        </w:trPr>
        <w:tc>
          <w:tcPr>
            <w:tcW w:w="4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Maryland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successor-by-merger with</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Florida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w w:val="91"/>
              </w:rPr>
              <w:t>f/k/a Consolidated-Tomoka Land Co.,</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its sole member</w:t>
            </w:r>
          </w:p>
        </w:tc>
      </w:tr>
      <w:tr>
        <w:trPr>
          <w:trHeight w:val="680"/>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21"/>
                <w:szCs w:val="21"/>
                <w:color w:val="auto"/>
                <w:w w:val="92"/>
              </w:rPr>
              <w:t>By:</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Steven R. Greathouse</w:t>
            </w:r>
          </w:p>
        </w:tc>
      </w:tr>
      <w:tr>
        <w:trPr>
          <w:trHeight w:val="250"/>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460"/>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0" w:name="page41"/>
    <w:bookmarkEnd w:id="40"/>
    <w:p>
      <w:pPr>
        <w:ind w:left="386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45"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GOLDEN ARROW CHARLOTTE NC LLC</w:t>
      </w:r>
      <w:r>
        <w:rPr>
          <w:rFonts w:ascii="Arial" w:cs="Arial" w:eastAsia="Arial" w:hAnsi="Arial"/>
          <w:sz w:val="21"/>
          <w:szCs w:val="21"/>
          <w:color w:val="auto"/>
        </w:rPr>
        <w:t>,</w:t>
      </w:r>
    </w:p>
    <w:p>
      <w:pPr>
        <w:spacing w:after="0" w:line="2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386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Arial" w:cs="Arial" w:eastAsia="Arial" w:hAnsi="Arial"/>
                <w:sz w:val="21"/>
                <w:szCs w:val="21"/>
                <w:color w:val="auto"/>
              </w:rPr>
              <w:t>By:</w:t>
            </w: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Golden Arrow 6 LLC,</w:t>
            </w:r>
          </w:p>
        </w:tc>
      </w:tr>
      <w:tr>
        <w:trPr>
          <w:trHeight w:val="243"/>
        </w:trPr>
        <w:tc>
          <w:tcPr>
            <w:tcW w:w="460" w:type="dxa"/>
            <w:vAlign w:val="bottom"/>
          </w:tcPr>
          <w:p>
            <w:pPr>
              <w:spacing w:after="0"/>
              <w:rPr>
                <w:sz w:val="21"/>
                <w:szCs w:val="21"/>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a Delaware limited liability company,</w:t>
            </w:r>
          </w:p>
        </w:tc>
      </w:tr>
      <w:tr>
        <w:trPr>
          <w:trHeight w:val="264"/>
        </w:trPr>
        <w:tc>
          <w:tcPr>
            <w:tcW w:w="460" w:type="dxa"/>
            <w:vAlign w:val="bottom"/>
          </w:tcPr>
          <w:p>
            <w:pPr>
              <w:spacing w:after="0"/>
              <w:rPr>
                <w:sz w:val="22"/>
                <w:szCs w:val="22"/>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its sole member</w:t>
            </w:r>
          </w:p>
        </w:tc>
      </w:tr>
      <w:tr>
        <w:trPr>
          <w:trHeight w:val="465"/>
        </w:trPr>
        <w:tc>
          <w:tcPr>
            <w:tcW w:w="4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Maryland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successor-by-merger with</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Florida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w w:val="91"/>
              </w:rPr>
              <w:t>f/k/a Consolidated-Tomoka Land Co.,</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its sole member</w:t>
            </w:r>
          </w:p>
        </w:tc>
      </w:tr>
      <w:tr>
        <w:trPr>
          <w:trHeight w:val="681"/>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21"/>
                <w:szCs w:val="21"/>
                <w:color w:val="auto"/>
                <w:w w:val="92"/>
              </w:rPr>
              <w:t>By:</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Steven R. Greathouse</w:t>
            </w:r>
          </w:p>
        </w:tc>
      </w:tr>
      <w:tr>
        <w:trPr>
          <w:trHeight w:val="250"/>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460"/>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1" w:name="page42"/>
    <w:bookmarkEnd w:id="41"/>
    <w:p>
      <w:pPr>
        <w:ind w:left="378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45"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CTLC GOLDEN ARROW KATY LLC</w:t>
      </w:r>
      <w:r>
        <w:rPr>
          <w:rFonts w:ascii="Arial" w:cs="Arial" w:eastAsia="Arial" w:hAnsi="Arial"/>
          <w:sz w:val="21"/>
          <w:szCs w:val="21"/>
          <w:color w:val="auto"/>
        </w:rPr>
        <w:t>,</w:t>
      </w:r>
    </w:p>
    <w:p>
      <w:pPr>
        <w:spacing w:after="0" w:line="2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378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Arial" w:cs="Arial" w:eastAsia="Arial" w:hAnsi="Arial"/>
                <w:sz w:val="21"/>
                <w:szCs w:val="21"/>
                <w:color w:val="auto"/>
              </w:rPr>
              <w:t>By:</w:t>
            </w: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Golden Arrow 6 LLC,</w:t>
            </w:r>
          </w:p>
        </w:tc>
      </w:tr>
      <w:tr>
        <w:trPr>
          <w:trHeight w:val="243"/>
        </w:trPr>
        <w:tc>
          <w:tcPr>
            <w:tcW w:w="460" w:type="dxa"/>
            <w:vAlign w:val="bottom"/>
          </w:tcPr>
          <w:p>
            <w:pPr>
              <w:spacing w:after="0"/>
              <w:rPr>
                <w:sz w:val="21"/>
                <w:szCs w:val="21"/>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a Delaware limited liability company,</w:t>
            </w:r>
          </w:p>
        </w:tc>
      </w:tr>
      <w:tr>
        <w:trPr>
          <w:trHeight w:val="264"/>
        </w:trPr>
        <w:tc>
          <w:tcPr>
            <w:tcW w:w="460" w:type="dxa"/>
            <w:vAlign w:val="bottom"/>
          </w:tcPr>
          <w:p>
            <w:pPr>
              <w:spacing w:after="0"/>
              <w:rPr>
                <w:sz w:val="22"/>
                <w:szCs w:val="22"/>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its sole member</w:t>
            </w:r>
          </w:p>
        </w:tc>
      </w:tr>
      <w:tr>
        <w:trPr>
          <w:trHeight w:val="465"/>
        </w:trPr>
        <w:tc>
          <w:tcPr>
            <w:tcW w:w="4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Maryland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successor-by-merger with</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Florida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w w:val="91"/>
              </w:rPr>
              <w:t>f/k/a Consolidated-Tomoka Land Co.,</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its sole member</w:t>
            </w:r>
          </w:p>
        </w:tc>
      </w:tr>
      <w:tr>
        <w:trPr>
          <w:trHeight w:val="681"/>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21"/>
                <w:szCs w:val="21"/>
                <w:color w:val="auto"/>
                <w:w w:val="92"/>
              </w:rPr>
              <w:t>By:</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Steven R. Greathouse</w:t>
            </w:r>
          </w:p>
        </w:tc>
      </w:tr>
      <w:tr>
        <w:trPr>
          <w:trHeight w:val="250"/>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460"/>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2" w:name="page43"/>
    <w:bookmarkEnd w:id="42"/>
    <w:p>
      <w:pPr>
        <w:ind w:left="3860"/>
        <w:spacing w:after="0"/>
        <w:rPr>
          <w:sz w:val="20"/>
          <w:szCs w:val="20"/>
          <w:color w:val="auto"/>
        </w:rPr>
      </w:pPr>
      <w:r>
        <w:rPr>
          <w:rFonts w:ascii="Arial" w:cs="Arial" w:eastAsia="Arial" w:hAnsi="Arial"/>
          <w:sz w:val="21"/>
          <w:szCs w:val="21"/>
          <w:b w:val="1"/>
          <w:bCs w:val="1"/>
          <w:u w:val="single" w:color="auto"/>
          <w:color w:val="auto"/>
        </w:rPr>
        <w:t>SELLER</w:t>
      </w:r>
      <w:r>
        <w:rPr>
          <w:rFonts w:ascii="Arial" w:cs="Arial" w:eastAsia="Arial" w:hAnsi="Arial"/>
          <w:sz w:val="21"/>
          <w:szCs w:val="21"/>
          <w:b w:val="1"/>
          <w:bCs w:val="1"/>
          <w:color w:val="auto"/>
        </w:rPr>
        <w:t>:</w:t>
      </w:r>
    </w:p>
    <w:p>
      <w:pPr>
        <w:spacing w:after="0" w:line="245"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BLUEBIRD RENTON WA LLC</w:t>
      </w:r>
      <w:r>
        <w:rPr>
          <w:rFonts w:ascii="Arial" w:cs="Arial" w:eastAsia="Arial" w:hAnsi="Arial"/>
          <w:sz w:val="21"/>
          <w:szCs w:val="21"/>
          <w:color w:val="auto"/>
        </w:rPr>
        <w:t>,</w:t>
      </w:r>
    </w:p>
    <w:p>
      <w:pPr>
        <w:spacing w:after="0" w:line="2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a Delaware limited liability company</w:t>
      </w:r>
    </w:p>
    <w:p>
      <w:pPr>
        <w:spacing w:after="0" w:line="227" w:lineRule="exact"/>
        <w:rPr>
          <w:sz w:val="20"/>
          <w:szCs w:val="20"/>
          <w:color w:val="auto"/>
        </w:rPr>
      </w:pPr>
    </w:p>
    <w:tbl>
      <w:tblPr>
        <w:tblLayout w:type="fixed"/>
        <w:tblInd w:w="386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Arial" w:cs="Arial" w:eastAsia="Arial" w:hAnsi="Arial"/>
                <w:sz w:val="21"/>
                <w:szCs w:val="21"/>
                <w:color w:val="auto"/>
              </w:rPr>
              <w:t>By:</w:t>
            </w: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Golden Arrow 6 LLC,</w:t>
            </w:r>
          </w:p>
        </w:tc>
      </w:tr>
      <w:tr>
        <w:trPr>
          <w:trHeight w:val="243"/>
        </w:trPr>
        <w:tc>
          <w:tcPr>
            <w:tcW w:w="460" w:type="dxa"/>
            <w:vAlign w:val="bottom"/>
          </w:tcPr>
          <w:p>
            <w:pPr>
              <w:spacing w:after="0"/>
              <w:rPr>
                <w:sz w:val="21"/>
                <w:szCs w:val="21"/>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a Delaware limited liability company,</w:t>
            </w:r>
          </w:p>
        </w:tc>
      </w:tr>
      <w:tr>
        <w:trPr>
          <w:trHeight w:val="264"/>
        </w:trPr>
        <w:tc>
          <w:tcPr>
            <w:tcW w:w="460" w:type="dxa"/>
            <w:vAlign w:val="bottom"/>
          </w:tcPr>
          <w:p>
            <w:pPr>
              <w:spacing w:after="0"/>
              <w:rPr>
                <w:sz w:val="22"/>
                <w:szCs w:val="22"/>
                <w:color w:val="auto"/>
              </w:rPr>
            </w:pPr>
          </w:p>
        </w:tc>
        <w:tc>
          <w:tcPr>
            <w:tcW w:w="4060" w:type="dxa"/>
            <w:vAlign w:val="bottom"/>
            <w:gridSpan w:val="4"/>
          </w:tcPr>
          <w:p>
            <w:pPr>
              <w:ind w:left="180"/>
              <w:spacing w:after="0"/>
              <w:rPr>
                <w:sz w:val="20"/>
                <w:szCs w:val="20"/>
                <w:color w:val="auto"/>
              </w:rPr>
            </w:pPr>
            <w:r>
              <w:rPr>
                <w:rFonts w:ascii="Arial" w:cs="Arial" w:eastAsia="Arial" w:hAnsi="Arial"/>
                <w:sz w:val="21"/>
                <w:szCs w:val="21"/>
                <w:color w:val="auto"/>
              </w:rPr>
              <w:t>its sole member</w:t>
            </w:r>
          </w:p>
        </w:tc>
      </w:tr>
      <w:tr>
        <w:trPr>
          <w:trHeight w:val="465"/>
        </w:trPr>
        <w:tc>
          <w:tcPr>
            <w:tcW w:w="4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21"/>
                <w:szCs w:val="21"/>
                <w:color w:val="auto"/>
              </w:rPr>
              <w:t>By:</w:t>
            </w: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Maryland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successor-by-merger with</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CTO Realty Growth, Inc.,</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a Florida corporation,</w:t>
            </w:r>
          </w:p>
        </w:tc>
      </w:tr>
      <w:tr>
        <w:trPr>
          <w:trHeight w:val="243"/>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w w:val="91"/>
              </w:rPr>
              <w:t>f/k/a Consolidated-Tomoka Land Co.,</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180"/>
              <w:spacing w:after="0"/>
              <w:rPr>
                <w:sz w:val="20"/>
                <w:szCs w:val="20"/>
                <w:color w:val="auto"/>
              </w:rPr>
            </w:pPr>
            <w:r>
              <w:rPr>
                <w:rFonts w:ascii="Arial" w:cs="Arial" w:eastAsia="Arial" w:hAnsi="Arial"/>
                <w:sz w:val="21"/>
                <w:szCs w:val="21"/>
                <w:color w:val="auto"/>
              </w:rPr>
              <w:t>its sole member</w:t>
            </w:r>
          </w:p>
        </w:tc>
      </w:tr>
      <w:tr>
        <w:trPr>
          <w:trHeight w:val="681"/>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21"/>
                <w:szCs w:val="21"/>
                <w:color w:val="auto"/>
                <w:w w:val="92"/>
              </w:rPr>
              <w:t>By:</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Steven R. Greathouse</w:t>
            </w:r>
          </w:p>
        </w:tc>
      </w:tr>
      <w:tr>
        <w:trPr>
          <w:trHeight w:val="250"/>
        </w:trPr>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Arial" w:cs="Arial" w:eastAsia="Arial" w:hAnsi="Arial"/>
                <w:sz w:val="21"/>
                <w:szCs w:val="21"/>
                <w:color w:val="auto"/>
              </w:rPr>
              <w:t>Steven R. Greathouse</w:t>
            </w:r>
          </w:p>
        </w:tc>
      </w:tr>
      <w:tr>
        <w:trPr>
          <w:trHeight w:val="264"/>
        </w:trPr>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0" w:type="dxa"/>
            <w:vAlign w:val="bottom"/>
            <w:gridSpan w:val="3"/>
          </w:tcPr>
          <w:p>
            <w:pPr>
              <w:ind w:left="460"/>
              <w:spacing w:after="0"/>
              <w:rPr>
                <w:sz w:val="20"/>
                <w:szCs w:val="20"/>
                <w:color w:val="auto"/>
              </w:rPr>
            </w:pPr>
            <w:r>
              <w:rPr>
                <w:rFonts w:ascii="Arial" w:cs="Arial" w:eastAsia="Arial" w:hAnsi="Arial"/>
                <w:sz w:val="21"/>
                <w:szCs w:val="21"/>
                <w:color w:val="auto"/>
              </w:rPr>
              <w:t>Chief 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11030132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3" w:name="page44"/>
    <w:bookmarkEnd w:id="43"/>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22,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22, 2021</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In connection with the Quarterly Report of Alpine Income Property Trust, Inc. (the “Company”) on Form 10-Q for the period ended March 31,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1340" w:right="359" w:hanging="642"/>
        <w:spacing w:after="0" w:line="27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22, 2021</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In connection with the Quarterly Report of Alpine Income Property Trust, Inc. (the “Company”) on Form 10-Q for the period ended March 31, 2021, as filed with the Securities and Exchange Commission on the date hereof (the “Report”), I, Matthew M. Partridge,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22, 2021</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Roman"/>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51" Type="http://schemas.openxmlformats.org/officeDocument/2006/relationships/hyperlink" Target="https://www.sec.gov/Archives/edgar/data/0001786117/000155837019011294/ex-3d1.htm" TargetMode="External"/><Relationship Id="rId52" Type="http://schemas.openxmlformats.org/officeDocument/2006/relationships/hyperlink" Target="https://www.sec.gov/Archives/edgar/data/0001786117/000155837019011294/ex-3d2.htm" TargetMode="External"/><Relationship Id="rId53" Type="http://schemas.openxmlformats.org/officeDocument/2006/relationships/hyperlink" Target="https://www.sec.gov/Archives/edgar/data/0001786117/000119312519277917/d793798dex41.htm" TargetMode="External"/><Relationship Id="rId54" Type="http://schemas.openxmlformats.org/officeDocument/2006/relationships/hyperlink" Target="https://www.sec.gov/Archives/edgar/data/1786117/000155837021000918/tmb-20210210xex10d1.htm" TargetMode="External"/><Relationship Id="rId55" Type="http://schemas.openxmlformats.org/officeDocument/2006/relationships/hyperlink" Target="https://www.sec.gov/Archives/edgar/data/1786117/000155837021004006/tmb-20210402x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2021-04-22T15:45:52Z</dcterms:created>
  <dcterms:modified xsi:type="dcterms:W3CDTF">2021-04-22T15:45:52Z</dcterms:modified>
</cp:coreProperties>
</file>