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86995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ind w:left="440" w:right="180" w:hanging="430"/>
        <w:spacing w:after="0" w:line="273" w:lineRule="auto"/>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440" w:right="180" w:hanging="430"/>
        <w:spacing w:after="0" w:line="273" w:lineRule="auto"/>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95885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ALPINE INCOME PROPERTY TRUST,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8"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30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278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84-2769895</w:t>
            </w:r>
          </w:p>
        </w:tc>
      </w:tr>
      <w:tr>
        <w:trPr>
          <w:trHeight w:val="203"/>
        </w:trPr>
        <w:tc>
          <w:tcPr>
            <w:tcW w:w="30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780" w:type="dxa"/>
            <w:vAlign w:val="bottom"/>
          </w:tcPr>
          <w:p>
            <w:pPr>
              <w:spacing w:after="0"/>
              <w:rPr>
                <w:sz w:val="17"/>
                <w:szCs w:val="17"/>
                <w:color w:val="auto"/>
              </w:rPr>
            </w:pP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0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780" w:type="dxa"/>
            <w:vAlign w:val="bottom"/>
          </w:tcPr>
          <w:p>
            <w:pPr>
              <w:spacing w:after="0"/>
              <w:rPr>
                <w:sz w:val="18"/>
                <w:szCs w:val="18"/>
                <w:color w:val="auto"/>
              </w:rPr>
            </w:pP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7"/>
        </w:trPr>
        <w:tc>
          <w:tcPr>
            <w:tcW w:w="30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369 N. New York Avenue, Suite 201</w:t>
            </w:r>
          </w:p>
        </w:tc>
        <w:tc>
          <w:tcPr>
            <w:tcW w:w="2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0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2780" w:type="dxa"/>
            <w:vAlign w:val="bottom"/>
          </w:tcPr>
          <w:p>
            <w:pPr>
              <w:spacing w:after="0"/>
              <w:rPr>
                <w:sz w:val="17"/>
                <w:szCs w:val="17"/>
                <w:color w:val="auto"/>
              </w:rPr>
            </w:pP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306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780" w:type="dxa"/>
            <w:vAlign w:val="bottom"/>
          </w:tcPr>
          <w:p>
            <w:pPr>
              <w:spacing w:after="0"/>
              <w:rPr>
                <w:sz w:val="18"/>
                <w:szCs w:val="18"/>
                <w:color w:val="auto"/>
              </w:rPr>
            </w:pP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60"/>
        </w:trPr>
        <w:tc>
          <w:tcPr>
            <w:tcW w:w="3060" w:type="dxa"/>
            <w:vAlign w:val="bottom"/>
          </w:tcPr>
          <w:p>
            <w:pPr>
              <w:spacing w:after="0"/>
              <w:rPr>
                <w:sz w:val="22"/>
                <w:szCs w:val="22"/>
                <w:color w:val="auto"/>
              </w:rPr>
            </w:pPr>
          </w:p>
        </w:tc>
        <w:tc>
          <w:tcPr>
            <w:tcW w:w="2780" w:type="dxa"/>
            <w:vAlign w:val="bottom"/>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(407) 904-3324</w:t>
            </w:r>
          </w:p>
        </w:tc>
        <w:tc>
          <w:tcPr>
            <w:tcW w:w="1380" w:type="dxa"/>
            <w:vAlign w:val="bottom"/>
          </w:tcPr>
          <w:p>
            <w:pPr>
              <w:spacing w:after="0"/>
              <w:rPr>
                <w:sz w:val="22"/>
                <w:szCs w:val="22"/>
                <w:color w:val="auto"/>
              </w:rPr>
            </w:pPr>
          </w:p>
        </w:tc>
      </w:tr>
      <w:tr>
        <w:trPr>
          <w:trHeight w:val="212"/>
        </w:trPr>
        <w:tc>
          <w:tcPr>
            <w:tcW w:w="5840" w:type="dxa"/>
            <w:vAlign w:val="bottom"/>
            <w:gridSpan w:val="2"/>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80" w:type="dxa"/>
            <w:vAlign w:val="bottom"/>
          </w:tcPr>
          <w:p>
            <w:pPr>
              <w:spacing w:after="0"/>
              <w:rPr>
                <w:sz w:val="18"/>
                <w:szCs w:val="18"/>
                <w:color w:val="auto"/>
              </w:rPr>
            </w:pPr>
          </w:p>
        </w:tc>
      </w:tr>
    </w:tbl>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2560" w:type="dxa"/>
            <w:vAlign w:val="bottom"/>
          </w:tcPr>
          <w:p>
            <w:pPr>
              <w:jc w:val="center"/>
              <w:ind w:right="405"/>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Name of each exchange on which registered:</w:t>
            </w:r>
          </w:p>
        </w:tc>
        <w:tc>
          <w:tcPr>
            <w:tcW w:w="0" w:type="dxa"/>
            <w:vAlign w:val="bottom"/>
          </w:tcPr>
          <w:p>
            <w:pPr>
              <w:spacing w:after="0"/>
              <w:rPr>
                <w:sz w:val="1"/>
                <w:szCs w:val="1"/>
                <w:color w:val="auto"/>
              </w:rPr>
            </w:pPr>
          </w:p>
        </w:tc>
      </w:tr>
      <w:tr>
        <w:trPr>
          <w:trHeight w:val="187"/>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center"/>
              <w:ind w:right="405"/>
              <w:spacing w:after="0"/>
              <w:rPr>
                <w:sz w:val="20"/>
                <w:szCs w:val="20"/>
                <w:color w:val="auto"/>
              </w:rPr>
            </w:pPr>
            <w:r>
              <w:rPr>
                <w:rFonts w:ascii="Times New Roman" w:cs="Times New Roman" w:eastAsia="Times New Roman" w:hAnsi="Times New Roman"/>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NYSE</w:t>
            </w:r>
          </w:p>
        </w:tc>
        <w:tc>
          <w:tcPr>
            <w:tcW w:w="0" w:type="dxa"/>
            <w:vAlign w:val="bottom"/>
          </w:tcPr>
          <w:p>
            <w:pPr>
              <w:spacing w:after="0"/>
              <w:rPr>
                <w:sz w:val="1"/>
                <w:szCs w:val="1"/>
                <w:color w:val="auto"/>
              </w:rPr>
            </w:pPr>
          </w:p>
        </w:tc>
      </w:tr>
      <w:tr>
        <w:trPr>
          <w:trHeight w:val="339"/>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8.000% SERIES A CUMULATIVE REDEEMABLE</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60" w:type="dxa"/>
            <w:vAlign w:val="bottom"/>
            <w:vMerge w:val="restart"/>
          </w:tcPr>
          <w:p>
            <w:pPr>
              <w:jc w:val="center"/>
              <w:ind w:right="405"/>
              <w:spacing w:after="0"/>
              <w:rPr>
                <w:sz w:val="20"/>
                <w:szCs w:val="20"/>
                <w:color w:val="auto"/>
              </w:rPr>
            </w:pPr>
            <w:r>
              <w:rPr>
                <w:rFonts w:ascii="Times New Roman" w:cs="Times New Roman" w:eastAsia="Times New Roman" w:hAnsi="Times New Roman"/>
                <w:sz w:val="14"/>
                <w:szCs w:val="14"/>
                <w:b w:val="1"/>
                <w:bCs w:val="1"/>
                <w:color w:val="auto"/>
                <w:w w:val="99"/>
              </w:rPr>
              <w:t>PINE/PA</w:t>
            </w:r>
          </w:p>
        </w:tc>
        <w:tc>
          <w:tcPr>
            <w:tcW w:w="200" w:type="dxa"/>
            <w:vAlign w:val="bottom"/>
          </w:tcPr>
          <w:p>
            <w:pPr>
              <w:spacing w:after="0"/>
              <w:rPr>
                <w:sz w:val="24"/>
                <w:szCs w:val="24"/>
                <w:color w:val="auto"/>
              </w:rPr>
            </w:pPr>
          </w:p>
        </w:tc>
        <w:tc>
          <w:tcPr>
            <w:tcW w:w="338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NYSE</w:t>
            </w:r>
          </w:p>
        </w:tc>
        <w:tc>
          <w:tcPr>
            <w:tcW w:w="0" w:type="dxa"/>
            <w:vAlign w:val="bottom"/>
          </w:tcPr>
          <w:p>
            <w:pPr>
              <w:spacing w:after="0"/>
              <w:rPr>
                <w:sz w:val="1"/>
                <w:szCs w:val="1"/>
                <w:color w:val="auto"/>
              </w:rPr>
            </w:pPr>
          </w:p>
        </w:tc>
      </w:tr>
      <w:tr>
        <w:trPr>
          <w:trHeight w:val="190"/>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 $0.01 PAR VALUE</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60" w:right="126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on April 16, 2026 was 16,524,709.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INDEX</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0000EE"/>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EE"/>
                <w:w w:val="97"/>
              </w:rPr>
              <w:t>PART I—FINANCIAL INFORMATION</w:t>
            </w:r>
          </w:p>
        </w:tc>
        <w:tc>
          <w:tcPr>
            <w:tcW w:w="5080" w:type="dxa"/>
            <w:vAlign w:val="bottom"/>
            <w:gridSpan w:val="10"/>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Balance Sheets – March 31, 2026 (Unaudited) and December 31,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months ended March 31, 2026 and 2025 (Unaudited)</w:t>
            </w:r>
          </w:p>
        </w:tc>
        <w:tc>
          <w:tcPr>
            <w:tcW w:w="44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months ended March 31, 2026 and 2025</w:t>
            </w:r>
          </w:p>
        </w:tc>
        <w:tc>
          <w:tcPr>
            <w:tcW w:w="4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1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months ended March 31, 2026 and 2025</w:t>
            </w:r>
          </w:p>
        </w:tc>
        <w:tc>
          <w:tcPr>
            <w:tcW w:w="62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Statements of Cash Flows – Three months ended March 31, 2026 and 2025 (Unaudited)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260" w:type="dxa"/>
            <w:vAlign w:val="bottom"/>
            <w:tcBorders>
              <w:top w:val="single" w:sz="8" w:color="0000EE"/>
            </w:tcBorders>
            <w:gridSpan w:val="7"/>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52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1380" w:type="dxa"/>
            <w:vAlign w:val="bottom"/>
            <w:tcBorders>
              <w:top w:val="single" w:sz="8" w:color="0000EE"/>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80" w:type="dxa"/>
            <w:vAlign w:val="bottom"/>
            <w:tcBorders>
              <w:top w:val="single" w:sz="8" w:color="0000EE"/>
            </w:tcBorders>
            <w:gridSpan w:val="4"/>
          </w:tcPr>
          <w:p>
            <w:pPr>
              <w:spacing w:after="0"/>
              <w:rPr>
                <w:sz w:val="24"/>
                <w:szCs w:val="24"/>
                <w:color w:val="auto"/>
              </w:rPr>
            </w:pPr>
          </w:p>
        </w:tc>
        <w:tc>
          <w:tcPr>
            <w:tcW w:w="540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1A.</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96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12"/>
        </w:trPr>
        <w:tc>
          <w:tcPr>
            <w:tcW w:w="80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360" w:type="dxa"/>
            <w:vAlign w:val="bottom"/>
            <w:tcBorders>
              <w:bottom w:val="single" w:sz="8" w:color="0000EE"/>
            </w:tcBorders>
            <w:gridSpan w:val="5"/>
          </w:tcPr>
          <w:p>
            <w:pPr>
              <w:ind w:left="4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0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at Cost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154,668</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342,371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438,453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745,126</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60" w:type="dxa"/>
            <w:vAlign w:val="bottom"/>
          </w:tcPr>
          <w:p>
            <w:pPr>
              <w:spacing w:after="0"/>
              <w:rPr>
                <w:sz w:val="18"/>
                <w:szCs w:val="18"/>
                <w:color w:val="auto"/>
              </w:rPr>
            </w:pP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Obligation Under Participation Agreement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Debt—Net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359,428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Contingencies—See Note 20</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100 million shares authorized, $0.01 par value, 8.00% Series A</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Redeemable Preferred Stock, $25.00 Per Share Liquidation Preference,</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2,269,566 shares issued and outstanding as of March 31, 2026 and 2,083,328 shares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December 31, 2025</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 million shares authorized,</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16,450,757 shares issued and outstanding as of March 31, 2026 and 14,783,419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December 31, 2025</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349,884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in Excess of Net Income</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18"/>
                <w:szCs w:val="18"/>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r>
      <w:tr>
        <w:trPr>
          <w:trHeight w:val="209"/>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20" w:type="dxa"/>
            <w:vAlign w:val="bottom"/>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 w:type="dxa"/>
            <w:vAlign w:val="bottom"/>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20" w:type="dxa"/>
            <w:vAlign w:val="bottom"/>
          </w:tcPr>
          <w:p>
            <w:pPr>
              <w:spacing w:after="0"/>
              <w:rPr>
                <w:sz w:val="18"/>
                <w:szCs w:val="18"/>
                <w:color w:val="auto"/>
              </w:rPr>
            </w:pPr>
          </w:p>
        </w:tc>
      </w:tr>
      <w:tr>
        <w:trPr>
          <w:trHeight w:val="209"/>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8"/>
                <w:szCs w:val="18"/>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0" w:type="dxa"/>
            <w:vAlign w:val="bottom"/>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(4,353)</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 w:type="dxa"/>
            <w:vAlign w:val="bottom"/>
          </w:tcPr>
          <w:p>
            <w:pPr>
              <w:spacing w:after="0"/>
              <w:rPr>
                <w:sz w:val="18"/>
                <w:szCs w:val="18"/>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Alpine Income Property Trust, Inc.</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Distributions to Preferred Stockholders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(1,122)</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5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21"/>
                <w:szCs w:val="21"/>
                <w:color w:val="auto"/>
              </w:rPr>
            </w:pPr>
          </w:p>
        </w:tc>
      </w:tr>
      <w:tr>
        <w:trPr>
          <w:trHeight w:val="196"/>
        </w:trPr>
        <w:tc>
          <w:tcPr>
            <w:tcW w:w="5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15,544,745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14,628,921</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16,768,599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15,852,775</w:t>
            </w: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80" w:right="140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COMPREHENSIVE INCOME (LOSS) (Unaudited,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 Hedging Derivative - Interest Rate Swaps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Less: Comprehensive Loss (Income) Attributable to Noncontrolling</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Comprehensive Loss (Income) Attributable to</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260" w:type="dxa"/>
            <w:vAlign w:val="bottom"/>
          </w:tcPr>
          <w:p>
            <w:pPr>
              <w:ind w:left="220"/>
              <w:spacing w:after="0" w:line="242" w:lineRule="exact"/>
              <w:rPr>
                <w:sz w:val="20"/>
                <w:szCs w:val="20"/>
                <w:color w:val="auto"/>
              </w:rPr>
            </w:pPr>
            <w:r>
              <w:rPr>
                <w:rFonts w:ascii="Times New Roman" w:cs="Times New Roman" w:eastAsia="Times New Roman" w:hAnsi="Times New Roman"/>
                <w:sz w:val="18"/>
                <w:szCs w:val="18"/>
                <w:color w:val="auto"/>
              </w:rPr>
              <w:t xml:space="preserve">Noncontrolling Interest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 (Income) Attributable to Noncontrolling Interest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2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Comprehensive Income (Loss) Attributable to Alpine Income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60" w:type="dxa"/>
            <w:vAlign w:val="bottom"/>
          </w:tcPr>
          <w:p>
            <w:pPr>
              <w:spacing w:after="0"/>
              <w:rPr>
                <w:sz w:val="15"/>
                <w:szCs w:val="15"/>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(3,387)</w:t>
            </w:r>
          </w:p>
        </w:tc>
        <w:tc>
          <w:tcPr>
            <w:tcW w:w="0" w:type="dxa"/>
            <w:vAlign w:val="bottom"/>
          </w:tcPr>
          <w:p>
            <w:pPr>
              <w:spacing w:after="0"/>
              <w:rPr>
                <w:sz w:val="1"/>
                <w:szCs w:val="1"/>
                <w:color w:val="auto"/>
              </w:rPr>
            </w:pPr>
          </w:p>
        </w:tc>
      </w:tr>
      <w:tr>
        <w:trPr>
          <w:trHeight w:val="221"/>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1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(Unaudited, in thousands, except per share data)</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March 31, 2026:</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Excess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1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2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Par</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Par</w:t>
            </w: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Capital</w:t>
            </w: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Equity</w:t>
            </w:r>
          </w:p>
        </w:tc>
        <w:tc>
          <w:tcPr>
            <w:tcW w:w="0" w:type="dxa"/>
            <w:vAlign w:val="bottom"/>
          </w:tcPr>
          <w:p>
            <w:pPr>
              <w:spacing w:after="0"/>
              <w:rPr>
                <w:sz w:val="1"/>
                <w:szCs w:val="1"/>
                <w:color w:val="auto"/>
              </w:rPr>
            </w:pPr>
          </w:p>
        </w:tc>
      </w:tr>
      <w:tr>
        <w:trPr>
          <w:trHeight w:val="175"/>
        </w:trPr>
        <w:tc>
          <w:tcPr>
            <w:tcW w:w="130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Balance January 1,</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$ 313,690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(35,276)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279,876</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$ 301,256</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Issuances to</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Stock Issuance, Net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of Equity Issuance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Costs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36,099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36,118</w:t>
            </w: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($0.500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share)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Dividends ($0.300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per share)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0" w:type="dxa"/>
            <w:vAlign w:val="bottom"/>
          </w:tcPr>
          <w:p>
            <w:pPr>
              <w:spacing w:after="0"/>
              <w:rPr>
                <w:sz w:val="1"/>
                <w:szCs w:val="1"/>
                <w:color w:val="auto"/>
              </w:rPr>
            </w:pPr>
          </w:p>
        </w:tc>
      </w:tr>
      <w:tr>
        <w:trPr>
          <w:trHeight w:val="19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March 31,</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$ 349,884</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(39,120)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312,461</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21,201</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$ 333,662</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March 31, 2025:</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82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Excess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6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1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2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w:t>
            </w: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Capital</w:t>
            </w: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Equity</w:t>
            </w:r>
          </w:p>
        </w:tc>
        <w:tc>
          <w:tcPr>
            <w:tcW w:w="0" w:type="dxa"/>
            <w:vAlign w:val="bottom"/>
          </w:tcPr>
          <w:p>
            <w:pPr>
              <w:spacing w:after="0"/>
              <w:rPr>
                <w:sz w:val="1"/>
                <w:szCs w:val="1"/>
                <w:color w:val="auto"/>
              </w:rPr>
            </w:pPr>
          </w:p>
        </w:tc>
      </w:tr>
      <w:tr>
        <w:trPr>
          <w:trHeight w:val="20"/>
        </w:trPr>
        <w:tc>
          <w:tcPr>
            <w:tcW w:w="13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40" w:type="dxa"/>
            <w:vAlign w:val="bottom"/>
            <w:tcBorders>
              <w:right w:val="single" w:sz="8" w:color="CCEEFF"/>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$ 261,831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(15,722)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253,027</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$ 276,495</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189"/>
        </w:trPr>
        <w:tc>
          <w:tcPr>
            <w:tcW w:w="1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Issuances to</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5"/>
        </w:trPr>
        <w:tc>
          <w:tcPr>
            <w:tcW w:w="1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Equity</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Dividends ($0.285</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per share)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0" w:type="dxa"/>
            <w:vAlign w:val="bottom"/>
          </w:tcPr>
          <w:p>
            <w:pPr>
              <w:spacing w:after="0"/>
              <w:rPr>
                <w:sz w:val="1"/>
                <w:szCs w:val="1"/>
                <w:color w:val="auto"/>
              </w:rPr>
            </w:pPr>
          </w:p>
        </w:tc>
      </w:tr>
      <w:tr>
        <w:trPr>
          <w:trHeight w:val="195"/>
        </w:trPr>
        <w:tc>
          <w:tcPr>
            <w:tcW w:w="1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169"/>
        </w:trPr>
        <w:tc>
          <w:tcPr>
            <w:tcW w:w="13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March 31,</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$ 257,290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(21,048)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240,949</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22,836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$ 263,785</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11" w:lineRule="exact"/>
        <w:rPr>
          <w:sz w:val="20"/>
          <w:szCs w:val="20"/>
          <w:color w:val="auto"/>
        </w:rPr>
      </w:pPr>
    </w:p>
    <w:tbl>
      <w:tblPr>
        <w:tblLayout w:type="fixed"/>
        <w:tblInd w:w="5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2"/>
                <w:szCs w:val="12"/>
                <w:color w:val="auto"/>
              </w:rPr>
            </w:pPr>
          </w:p>
        </w:tc>
      </w:tr>
      <w:tr>
        <w:trPr>
          <w:trHeight w:val="142"/>
        </w:trPr>
        <w:tc>
          <w:tcPr>
            <w:tcW w:w="572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1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2,357</w:t>
            </w:r>
          </w:p>
        </w:tc>
        <w:tc>
          <w:tcPr>
            <w:tcW w:w="14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7,307</w:t>
            </w:r>
          </w:p>
        </w:tc>
        <w:tc>
          <w:tcPr>
            <w:tcW w:w="20" w:type="dxa"/>
            <w:vAlign w:val="bottom"/>
          </w:tcPr>
          <w:p>
            <w:pPr>
              <w:spacing w:after="0"/>
              <w:rPr>
                <w:sz w:val="12"/>
                <w:szCs w:val="12"/>
                <w:color w:val="auto"/>
              </w:rPr>
            </w:pPr>
          </w:p>
        </w:tc>
      </w:tr>
      <w:tr>
        <w:trPr>
          <w:trHeight w:val="149"/>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Intangible Lease Assets and Liabilities to Lease Income</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Commercial Loans and Investments Origination Fees</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Paid-In-Kind Accrued Interest</w:t>
            </w:r>
          </w:p>
        </w:tc>
        <w:tc>
          <w:tcPr>
            <w:tcW w:w="18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Impairment</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20" w:type="dxa"/>
            <w:vAlign w:val="bottom"/>
          </w:tcPr>
          <w:p>
            <w:pPr>
              <w:spacing w:after="0"/>
              <w:rPr>
                <w:sz w:val="12"/>
                <w:szCs w:val="12"/>
                <w:color w:val="auto"/>
              </w:rPr>
            </w:pPr>
          </w:p>
        </w:tc>
      </w:tr>
      <w:tr>
        <w:trPr>
          <w:trHeight w:val="149"/>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Straight-Line Rent Adjustment</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(1,871)</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Rent and Deferred Revenue</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(2,989)</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w:t>
            </w:r>
          </w:p>
        </w:tc>
        <w:tc>
          <w:tcPr>
            <w:tcW w:w="20" w:type="dxa"/>
            <w:vAlign w:val="bottom"/>
          </w:tcPr>
          <w:p>
            <w:pPr>
              <w:spacing w:after="0"/>
              <w:rPr>
                <w:sz w:val="12"/>
                <w:szCs w:val="12"/>
                <w:color w:val="auto"/>
              </w:rPr>
            </w:pPr>
          </w:p>
        </w:tc>
      </w:tr>
      <w:tr>
        <w:trPr>
          <w:trHeight w:val="142"/>
        </w:trPr>
        <w:tc>
          <w:tcPr>
            <w:tcW w:w="572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4,360</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5,828</w:t>
            </w:r>
          </w:p>
        </w:tc>
        <w:tc>
          <w:tcPr>
            <w:tcW w:w="20" w:type="dxa"/>
            <w:vAlign w:val="bottom"/>
          </w:tcPr>
          <w:p>
            <w:pPr>
              <w:spacing w:after="0"/>
              <w:rPr>
                <w:sz w:val="12"/>
                <w:szCs w:val="12"/>
                <w:color w:val="auto"/>
              </w:rPr>
            </w:pPr>
          </w:p>
        </w:tc>
      </w:tr>
      <w:tr>
        <w:trPr>
          <w:trHeight w:val="142"/>
        </w:trPr>
        <w:tc>
          <w:tcPr>
            <w:tcW w:w="572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Real Estate Including Intangible Lease Assets and Liabilities</w:t>
            </w:r>
          </w:p>
        </w:tc>
        <w:tc>
          <w:tcPr>
            <w:tcW w:w="18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(39,988)</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Disposition of Assets</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11,149</w:t>
            </w: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Commercial Loans and Investments</w:t>
            </w:r>
          </w:p>
        </w:tc>
        <w:tc>
          <w:tcPr>
            <w:tcW w:w="18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(57,529)</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(21,383)</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Loans and Investments</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20" w:type="dxa"/>
            <w:vAlign w:val="bottom"/>
          </w:tcPr>
          <w:p>
            <w:pPr>
              <w:spacing w:after="0"/>
              <w:rPr>
                <w:sz w:val="12"/>
                <w:szCs w:val="12"/>
                <w:color w:val="auto"/>
              </w:rPr>
            </w:pPr>
          </w:p>
        </w:tc>
      </w:tr>
      <w:tr>
        <w:trPr>
          <w:trHeight w:val="149"/>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Participation Interest</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Participation Obligation</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20" w:type="dxa"/>
            <w:vAlign w:val="bottom"/>
          </w:tcPr>
          <w:p>
            <w:pPr>
              <w:spacing w:after="0"/>
              <w:rPr>
                <w:sz w:val="12"/>
                <w:szCs w:val="12"/>
                <w:color w:val="auto"/>
              </w:rPr>
            </w:pPr>
          </w:p>
        </w:tc>
      </w:tr>
      <w:tr>
        <w:trPr>
          <w:trHeight w:val="149"/>
        </w:trPr>
        <w:tc>
          <w:tcPr>
            <w:tcW w:w="572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Received for Commercial Loan Reserves</w:t>
            </w: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8,179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2,073</w:t>
            </w:r>
          </w:p>
        </w:tc>
        <w:tc>
          <w:tcPr>
            <w:tcW w:w="20" w:type="dxa"/>
            <w:vAlign w:val="bottom"/>
          </w:tcPr>
          <w:p>
            <w:pPr>
              <w:spacing w:after="0"/>
              <w:rPr>
                <w:sz w:val="12"/>
                <w:szCs w:val="12"/>
                <w:color w:val="auto"/>
              </w:rPr>
            </w:pPr>
          </w:p>
        </w:tc>
      </w:tr>
      <w:tr>
        <w:trPr>
          <w:trHeight w:val="142"/>
        </w:trPr>
        <w:tc>
          <w:tcPr>
            <w:tcW w:w="5720" w:type="dxa"/>
            <w:vAlign w:val="bottom"/>
            <w:tcBorders>
              <w:left w:val="single" w:sz="8" w:color="CCEEFF"/>
            </w:tcBorders>
            <w:gridSpan w:val="2"/>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(25,305)</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(48,093)</w:t>
            </w:r>
          </w:p>
        </w:tc>
        <w:tc>
          <w:tcPr>
            <w:tcW w:w="20" w:type="dxa"/>
            <w:vAlign w:val="bottom"/>
          </w:tcPr>
          <w:p>
            <w:pPr>
              <w:spacing w:after="0"/>
              <w:rPr>
                <w:sz w:val="12"/>
                <w:szCs w:val="12"/>
                <w:color w:val="auto"/>
              </w:rPr>
            </w:pPr>
          </w:p>
        </w:tc>
      </w:tr>
      <w:tr>
        <w:trPr>
          <w:trHeight w:val="142"/>
        </w:trPr>
        <w:tc>
          <w:tcPr>
            <w:tcW w:w="5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240,088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56,500</w:t>
            </w: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8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(256,588)</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(4,229)</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2"/>
                <w:szCs w:val="12"/>
                <w:color w:val="auto"/>
              </w:rPr>
            </w:pPr>
          </w:p>
        </w:tc>
      </w:tr>
      <w:tr>
        <w:trPr>
          <w:trHeight w:val="149"/>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18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(4,482)</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Stock Issuances, Net</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36,118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2"/>
                <w:szCs w:val="12"/>
                <w:color w:val="auto"/>
              </w:rPr>
            </w:pPr>
          </w:p>
        </w:tc>
      </w:tr>
      <w:tr>
        <w:trPr>
          <w:trHeight w:val="148"/>
        </w:trPr>
        <w:tc>
          <w:tcPr>
            <w:tcW w:w="57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Paid - Preferred Stock</w:t>
            </w:r>
          </w:p>
        </w:tc>
        <w:tc>
          <w:tcPr>
            <w:tcW w:w="18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(1,122)</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9"/>
        </w:trPr>
        <w:tc>
          <w:tcPr>
            <w:tcW w:w="572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Paid - Common Stock</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(5,275)</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(4,495)</w:t>
            </w:r>
          </w:p>
        </w:tc>
        <w:tc>
          <w:tcPr>
            <w:tcW w:w="20" w:type="dxa"/>
            <w:vAlign w:val="bottom"/>
          </w:tcPr>
          <w:p>
            <w:pPr>
              <w:spacing w:after="0"/>
              <w:rPr>
                <w:sz w:val="12"/>
                <w:szCs w:val="12"/>
                <w:color w:val="auto"/>
              </w:rPr>
            </w:pPr>
          </w:p>
        </w:tc>
      </w:tr>
      <w:tr>
        <w:trPr>
          <w:trHeight w:val="142"/>
        </w:trPr>
        <w:tc>
          <w:tcPr>
            <w:tcW w:w="572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8,992</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45,886</w:t>
            </w:r>
          </w:p>
        </w:tc>
        <w:tc>
          <w:tcPr>
            <w:tcW w:w="20" w:type="dxa"/>
            <w:vAlign w:val="bottom"/>
          </w:tcPr>
          <w:p>
            <w:pPr>
              <w:spacing w:after="0"/>
              <w:rPr>
                <w:sz w:val="12"/>
                <w:szCs w:val="12"/>
                <w:color w:val="auto"/>
              </w:rPr>
            </w:pPr>
          </w:p>
        </w:tc>
      </w:tr>
      <w:tr>
        <w:trPr>
          <w:trHeight w:val="142"/>
        </w:trPr>
        <w:tc>
          <w:tcPr>
            <w:tcW w:w="572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(11,953)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3,621</w:t>
            </w:r>
          </w:p>
        </w:tc>
        <w:tc>
          <w:tcPr>
            <w:tcW w:w="20" w:type="dxa"/>
            <w:vAlign w:val="bottom"/>
          </w:tcPr>
          <w:p>
            <w:pPr>
              <w:spacing w:after="0"/>
              <w:rPr>
                <w:sz w:val="12"/>
                <w:szCs w:val="12"/>
                <w:color w:val="auto"/>
              </w:rPr>
            </w:pPr>
          </w:p>
        </w:tc>
      </w:tr>
      <w:tr>
        <w:trPr>
          <w:trHeight w:val="149"/>
        </w:trPr>
        <w:tc>
          <w:tcPr>
            <w:tcW w:w="57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38,999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7,951</w:t>
            </w:r>
          </w:p>
        </w:tc>
        <w:tc>
          <w:tcPr>
            <w:tcW w:w="20" w:type="dxa"/>
            <w:vAlign w:val="bottom"/>
          </w:tcPr>
          <w:p>
            <w:pPr>
              <w:spacing w:after="0"/>
              <w:rPr>
                <w:sz w:val="12"/>
                <w:szCs w:val="12"/>
                <w:color w:val="auto"/>
              </w:rPr>
            </w:pPr>
          </w:p>
        </w:tc>
      </w:tr>
      <w:tr>
        <w:trPr>
          <w:trHeight w:val="142"/>
        </w:trPr>
        <w:tc>
          <w:tcPr>
            <w:tcW w:w="572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27,046</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11,572</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2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2,618</w:t>
            </w:r>
          </w:p>
        </w:tc>
        <w:tc>
          <w:tcPr>
            <w:tcW w:w="14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6,138</w:t>
            </w:r>
          </w:p>
        </w:tc>
        <w:tc>
          <w:tcPr>
            <w:tcW w:w="20" w:type="dxa"/>
            <w:vAlign w:val="bottom"/>
          </w:tcPr>
          <w:p>
            <w:pPr>
              <w:spacing w:after="0"/>
              <w:rPr>
                <w:sz w:val="12"/>
                <w:szCs w:val="12"/>
                <w:color w:val="auto"/>
              </w:rPr>
            </w:pPr>
          </w:p>
        </w:tc>
      </w:tr>
      <w:tr>
        <w:trPr>
          <w:trHeight w:val="148"/>
        </w:trPr>
        <w:tc>
          <w:tcPr>
            <w:tcW w:w="572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24,428</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5,434</w:t>
            </w:r>
          </w:p>
        </w:tc>
        <w:tc>
          <w:tcPr>
            <w:tcW w:w="20" w:type="dxa"/>
            <w:vAlign w:val="bottom"/>
          </w:tcPr>
          <w:p>
            <w:pPr>
              <w:spacing w:after="0"/>
              <w:rPr>
                <w:sz w:val="12"/>
                <w:szCs w:val="12"/>
                <w:color w:val="auto"/>
              </w:rPr>
            </w:pPr>
          </w:p>
        </w:tc>
      </w:tr>
      <w:tr>
        <w:trPr>
          <w:trHeight w:val="142"/>
        </w:trPr>
        <w:tc>
          <w:tcPr>
            <w:tcW w:w="5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27,046</w:t>
            </w:r>
          </w:p>
        </w:tc>
        <w:tc>
          <w:tcPr>
            <w:tcW w:w="14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11,572</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40" w:right="184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CASH FLOWS (Continued) (Unaudited,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2"/>
                <w:szCs w:val="12"/>
                <w:color w:val="auto"/>
              </w:rPr>
            </w:pPr>
          </w:p>
        </w:tc>
      </w:tr>
      <w:tr>
        <w:trPr>
          <w:trHeight w:val="142"/>
        </w:trPr>
        <w:tc>
          <w:tcPr>
            <w:tcW w:w="56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4,816</w:t>
            </w:r>
          </w:p>
        </w:tc>
        <w:tc>
          <w:tcPr>
            <w:tcW w:w="160" w:type="dxa"/>
            <w:vAlign w:val="bottom"/>
          </w:tcPr>
          <w:p>
            <w:pPr>
              <w:spacing w:after="0"/>
              <w:rPr>
                <w:sz w:val="12"/>
                <w:szCs w:val="12"/>
                <w:color w:val="auto"/>
              </w:rPr>
            </w:pPr>
          </w:p>
        </w:tc>
        <w:tc>
          <w:tcPr>
            <w:tcW w:w="2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3,173</w:t>
            </w:r>
          </w:p>
        </w:tc>
        <w:tc>
          <w:tcPr>
            <w:tcW w:w="20" w:type="dxa"/>
            <w:vAlign w:val="bottom"/>
          </w:tcPr>
          <w:p>
            <w:pPr>
              <w:spacing w:after="0"/>
              <w:rPr>
                <w:sz w:val="12"/>
                <w:szCs w:val="12"/>
                <w:color w:val="auto"/>
              </w:rPr>
            </w:pPr>
          </w:p>
        </w:tc>
      </w:tr>
      <w:tr>
        <w:trPr>
          <w:trHeight w:val="148"/>
        </w:trPr>
        <w:tc>
          <w:tcPr>
            <w:tcW w:w="5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(Loss) on Cash Flow Hedge</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(2,393)</w:t>
            </w:r>
          </w:p>
        </w:tc>
        <w:tc>
          <w:tcPr>
            <w:tcW w:w="20" w:type="dxa"/>
            <w:vAlign w:val="bottom"/>
          </w:tcPr>
          <w:p>
            <w:pPr>
              <w:spacing w:after="0"/>
              <w:rPr>
                <w:sz w:val="12"/>
                <w:szCs w:val="12"/>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BUSINESS AND ORGANIZATION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Alpine Income Property Trust, Inc. (the “Company” or “PINE”) is a real estate investment trust (“REIT”) that owns and operates a high-quality portfolio of commercial net lease properties complemented by a portfolio of commercial loan investments. The terms “us,” “we,” “our,” and “the Company” as used in this report refer to Alpine Income Property Trust, Inc. together with our consolidated subsidiaries.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income property portfolio consists of 125 net leased properties located in 31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also originates and acquires commercial loans and investments. Our investments in commercial loans are generally secured by real estate or the borrower’s pledge of its ownership interest in an entity that owns real estate. As more fully described in Note 4, “Commercial Loans and Investments,” the four Sale-Leaseback Properties (defined in Note 4 below), which were purchased through sale-leaseback transactions that include tenant repurchase options are, for GAAP purposes, accounted for as financing arrangements. However, because the Sale-Leaseback Properties constitute real estate assets for both legal and tax purposes, we include the Sale-Leaseback Properties in the property portfolio when describing our property portfolio and for purposes of providing statistics related thereto.</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Maryland corporation that was formed on August 19, 2019. On November 26, 2019, the Company closed its initial public offering (“IPO”). We are externally managed by our Manager and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March 31, 2026, we have a total common ownership interest in the Operating Partnership of 93.1%, with CTO holding, directly and indirectly, a 6.9% common ownership interest in the Operating Partnership. We also own 100% of the Series A Preferred Units of the Operating Partnership underlying the Series A Preferred Stock (hereinafter defined).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All inter-company balances and transactions have been eliminated in the consolidated financial statements.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5"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 xml:space="preserve">Financial Accounting Standards Board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(“FASB ASC”) Topic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establishes standards related to the manner in which enterprises report operating segment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(“CODM”), reviews financial information on a disaggregated basis for purposes of allocating and evaluating financial performance.</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FINANCIAL STATEMENTS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7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14"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The Company’s real estate assets are comprised of the properties in its portfolio, and are carried at cost, less accumulated depreciation, amortization, and impairment losses, if any.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three months ended March 31, 2026 and 2025, was $4.6 million and $4.8 million, respectively.</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5" w:lineRule="exact"/>
        <w:rPr>
          <w:sz w:val="20"/>
          <w:szCs w:val="20"/>
          <w:color w:val="auto"/>
        </w:rPr>
      </w:pPr>
    </w:p>
    <w:p>
      <w:pPr>
        <w:jc w:val="both"/>
        <w:ind w:left="60" w:right="59" w:firstLine="396"/>
        <w:spacing w:after="0" w:line="265" w:lineRule="auto"/>
        <w:rPr>
          <w:sz w:val="20"/>
          <w:szCs w:val="20"/>
          <w:color w:val="auto"/>
        </w:rPr>
      </w:pPr>
      <w:r>
        <w:rPr>
          <w:rFonts w:ascii="Times New Roman" w:cs="Times New Roman" w:eastAsia="Times New Roman" w:hAnsi="Times New Roman"/>
          <w:sz w:val="17"/>
          <w:szCs w:val="17"/>
          <w:color w:val="auto"/>
        </w:rPr>
        <w:t xml:space="preserve">The Company follows FASB ASC Topic 360-10,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the difference of carrying value and fair value less cost to sell.</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Investments in real estate are carried at cost less accumulated depreciation, amortization,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25"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Investments in real estate which are determined to be “held for sale” pursuant to FASB Topic 360-10,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Equipment </w:t>
      </w:r>
      <w:r>
        <w:rPr>
          <w:rFonts w:ascii="Times New Roman" w:cs="Times New Roman" w:eastAsia="Times New Roman" w:hAnsi="Times New Roman"/>
          <w:sz w:val="18"/>
          <w:szCs w:val="18"/>
          <w:color w:val="auto"/>
        </w:rPr>
        <w:t>are reported separately on the consolidated balance sheets at the lesser of carrying value or fair value,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to sell. Real estate investments classified as held for sale are not depreciated.</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OF REAL ESTATE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LEASE REVENUE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March 31, 2026 and December 31, 2025, the Company’s allowance for doubtful accounts totaled $0.3 million and $0.2 million,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COMMERCIAL LOANS AND INVESTMENTS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Investments in commercial loans and investments held for investment are recorded at historical cost, net of unaccreted origination costs and current expected credit losses (“CECL”) reserve.</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Pursuant to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Sales of participations in commercial loans and investments are evaluated for achievement of the characteristics of participating interest pursuant to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As of March 31, 2026, the Company’s participation in commercial loans and investments purchased by a third-party did not achieve sale accounting and has been presented as an Obligation under Participation Agreement within the liabilities portion of the Company’s consolidated balance sheets.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RECOGNITION OF INTEREST INCOME FROM COMMERCIAL LOANS AND INVESTMENTS</w:t>
      </w:r>
    </w:p>
    <w:p>
      <w:pPr>
        <w:spacing w:after="0" w:line="227"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LAND LEASE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which leases are classified as operating leases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hand, bank demand accounts, and money market accounts having original maturities of 90 days or less. The Company’s bank balances as of March 31, 2026 and December 31, 2025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Restricted cash totaled $24.4 million as of March 31, 2026, of which (i) $5.5 million is being held in three escrow accounts to be reinvested through the like-kind exchange structure into other income properties and (ii) $18.9 million is being held in interest, real estate tax, insurance, and/or capital expenditure reserve accounts related to the Company’s portfolio of commercial loans and investments.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Depending upon the hedge’s value at each balance sheet date, the derivatives are included in either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included in other assets, accounts payable, and accrued expenses and other liabilities at as of March 31, 2026 and December 31, 2025, approximate fair value because of the short maturity of these instruments. The carrying value of the Revolving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83"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17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6"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27"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issued are redeemed for shares of our common stock on a one-for-one basis.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Certain individual tenants in the Company’s portfolio of properties accounted for more than 10% of lease income from the Company’s income properties during the three months ended March 31, 2026 and 2025.</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Lowe’s and Dick’s Sporting Goods accounted for 12% and 11% of lease income revenue, respectively. During the three months ended March 31, 2025, Dick’s Sporting Goods accounted for 12% of lease income revenue.</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14% of the Company’s income property portfolio, based on square footage, was located in the state of Texas.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 ACCOUNTING DEVELOPMENTS</w:t>
      </w:r>
    </w:p>
    <w:p>
      <w:pPr>
        <w:spacing w:after="0" w:line="225" w:lineRule="exact"/>
        <w:rPr>
          <w:sz w:val="20"/>
          <w:szCs w:val="20"/>
          <w:color w:val="auto"/>
        </w:rPr>
      </w:pPr>
    </w:p>
    <w:p>
      <w:pPr>
        <w:jc w:val="both"/>
        <w:ind w:left="60" w:right="59" w:firstLine="324"/>
        <w:spacing w:after="0" w:line="24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w:t>
      </w:r>
      <w:r>
        <w:rPr>
          <w:rFonts w:ascii="Times New Roman" w:cs="Times New Roman" w:eastAsia="Times New Roman" w:hAnsi="Times New Roman"/>
          <w:sz w:val="18"/>
          <w:szCs w:val="18"/>
          <w:color w:val="auto"/>
        </w:rPr>
        <w:t>which requires additional disclosures regarding public company’s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addresses requests from investors for more detailed information about the types of expenses (e.g., purchases of inventory, employee compensation, depreciation, amortization, and depletion) in commonly presented expense captions (e.g., cost of sales; selling, general, and administrative (SG&amp;A); and research and development (R&amp;D). ASU 2024-03 is effective for annual periods beginning after December 15, 2026 and interim reporting periods beginning after December 15, 2027. The Company is currently evaluating the impact of this guidance on its consolidated financial statements and related disclosures.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PROPERTY PORTFOLIO</w:t>
      </w:r>
    </w:p>
    <w:p>
      <w:pPr>
        <w:spacing w:after="0" w:line="21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income property portfolio consisted of 125 properties, including four properties classified as commercial loans and investments, with total square footage of 4.3 million.</w:t>
      </w:r>
    </w:p>
    <w:p>
      <w:pPr>
        <w:spacing w:after="0" w:line="108"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4280" w:type="dxa"/>
            <w:vAlign w:val="bottom"/>
            <w:tcBorders>
              <w:bottom w:val="single" w:sz="8" w:color="auto"/>
            </w:tcBorders>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r>
      <w:tr>
        <w:trPr>
          <w:trHeight w:val="185"/>
        </w:trPr>
        <w:tc>
          <w:tcPr>
            <w:tcW w:w="406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60" w:type="dxa"/>
            <w:vAlign w:val="bottom"/>
            <w:tcBorders>
              <w:bottom w:val="single" w:sz="8" w:color="auto"/>
            </w:tcBorders>
          </w:tcPr>
          <w:p>
            <w:pPr>
              <w:spacing w:after="0"/>
              <w:rPr>
                <w:sz w:val="16"/>
                <w:szCs w:val="16"/>
                <w:color w:val="auto"/>
              </w:rPr>
            </w:pPr>
          </w:p>
        </w:tc>
      </w:tr>
      <w:tr>
        <w:trPr>
          <w:trHeight w:val="183"/>
        </w:trPr>
        <w:tc>
          <w:tcPr>
            <w:tcW w:w="40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Lease Income</w:t>
            </w:r>
          </w:p>
        </w:tc>
        <w:tc>
          <w:tcPr>
            <w:tcW w:w="1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89"/>
        </w:trPr>
        <w:tc>
          <w:tcPr>
            <w:tcW w:w="4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Payments</w:t>
            </w:r>
          </w:p>
        </w:tc>
        <w:tc>
          <w:tcPr>
            <w:tcW w:w="1740" w:type="dxa"/>
            <w:vAlign w:val="bottom"/>
          </w:tcPr>
          <w:p>
            <w:pPr>
              <w:jc w:val="right"/>
              <w:ind w:right="15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220" w:type="dxa"/>
            <w:vAlign w:val="bottom"/>
          </w:tcPr>
          <w:p>
            <w:pPr>
              <w:spacing w:after="0"/>
              <w:rPr>
                <w:sz w:val="16"/>
                <w:szCs w:val="16"/>
                <w:color w:val="auto"/>
              </w:rPr>
            </w:pPr>
          </w:p>
        </w:tc>
        <w:tc>
          <w:tcPr>
            <w:tcW w:w="1760" w:type="dxa"/>
            <w:vAlign w:val="bottom"/>
          </w:tcPr>
          <w:p>
            <w:pPr>
              <w:jc w:val="right"/>
              <w:ind w:right="159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w:t>
            </w:r>
          </w:p>
        </w:tc>
      </w:tr>
      <w:tr>
        <w:trPr>
          <w:trHeight w:val="189"/>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Variable Lease Payments</w:t>
            </w:r>
          </w:p>
        </w:tc>
        <w:tc>
          <w:tcPr>
            <w:tcW w:w="17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22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w:t>
            </w:r>
          </w:p>
        </w:tc>
      </w:tr>
      <w:tr>
        <w:trPr>
          <w:trHeight w:val="183"/>
        </w:trPr>
        <w:tc>
          <w:tcPr>
            <w:tcW w:w="40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 Lease Income</w:t>
            </w:r>
          </w:p>
        </w:tc>
        <w:tc>
          <w:tcPr>
            <w:tcW w:w="1740" w:type="dxa"/>
            <w:vAlign w:val="bottom"/>
            <w:tcBorders>
              <w:bottom w:val="single" w:sz="8" w:color="auto"/>
            </w:tcBorders>
          </w:tcPr>
          <w:p>
            <w:pPr>
              <w:jc w:val="right"/>
              <w:ind w:right="157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12,602</w:t>
            </w:r>
          </w:p>
        </w:tc>
        <w:tc>
          <w:tcPr>
            <w:tcW w:w="220" w:type="dxa"/>
            <w:vAlign w:val="bottom"/>
          </w:tcPr>
          <w:p>
            <w:pPr>
              <w:spacing w:after="0"/>
              <w:rPr>
                <w:sz w:val="15"/>
                <w:szCs w:val="15"/>
                <w:color w:val="auto"/>
              </w:rPr>
            </w:pPr>
          </w:p>
        </w:tc>
        <w:tc>
          <w:tcPr>
            <w:tcW w:w="1760" w:type="dxa"/>
            <w:vAlign w:val="bottom"/>
            <w:tcBorders>
              <w:bottom w:val="single" w:sz="8" w:color="auto"/>
            </w:tcBorders>
          </w:tcPr>
          <w:p>
            <w:pPr>
              <w:jc w:val="right"/>
              <w:ind w:right="159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11,826</w:t>
            </w:r>
          </w:p>
        </w:tc>
      </w:tr>
      <w:tr>
        <w:trPr>
          <w:trHeight w:val="20"/>
        </w:trPr>
        <w:tc>
          <w:tcPr>
            <w:tcW w:w="40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Minimum Future Rental Receipts. </w:t>
      </w:r>
      <w:r>
        <w:rPr>
          <w:rFonts w:ascii="Times New Roman" w:cs="Times New Roman" w:eastAsia="Times New Roman" w:hAnsi="Times New Roman"/>
          <w:sz w:val="18"/>
          <w:szCs w:val="18"/>
          <w:color w:val="auto"/>
        </w:rPr>
        <w:t>Minimum future rental receipts under non-cancelable operating leases,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rent and other lease payments that are not fixed and determinable, having remaining terms in excess of one year subsequent to March 31, 2026, are summarized as follows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7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88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86"/>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31,398</w:t>
            </w:r>
          </w:p>
        </w:tc>
      </w:tr>
      <w:tr>
        <w:trPr>
          <w:trHeight w:val="189"/>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38,966</w:t>
            </w:r>
          </w:p>
        </w:tc>
      </w:tr>
      <w:tr>
        <w:trPr>
          <w:trHeight w:val="18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34,584</w:t>
            </w:r>
          </w:p>
        </w:tc>
      </w:tr>
      <w:tr>
        <w:trPr>
          <w:trHeight w:val="189"/>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29,438</w:t>
            </w:r>
          </w:p>
        </w:tc>
      </w:tr>
      <w:tr>
        <w:trPr>
          <w:trHeight w:val="18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25,445</w:t>
            </w:r>
          </w:p>
        </w:tc>
      </w:tr>
      <w:tr>
        <w:trPr>
          <w:trHeight w:val="189"/>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22,606</w:t>
            </w:r>
          </w:p>
        </w:tc>
      </w:tr>
      <w:tr>
        <w:trPr>
          <w:trHeight w:val="18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2032 and Thereafter (Cumulative)</w:t>
            </w:r>
          </w:p>
        </w:tc>
        <w:tc>
          <w:tcPr>
            <w:tcW w:w="2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88,427</w:t>
            </w:r>
          </w:p>
        </w:tc>
      </w:tr>
      <w:tr>
        <w:trPr>
          <w:trHeight w:val="183"/>
        </w:trPr>
        <w:tc>
          <w:tcPr>
            <w:tcW w:w="62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right"/>
              <w:ind w:right="29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270,864</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2026 Activity. </w:t>
      </w:r>
      <w:r>
        <w:rPr>
          <w:rFonts w:ascii="Times New Roman" w:cs="Times New Roman" w:eastAsia="Times New Roman" w:hAnsi="Times New Roman"/>
          <w:sz w:val="18"/>
          <w:szCs w:val="18"/>
          <w:color w:val="auto"/>
        </w:rPr>
        <w:t>During the three months ended March 31, 2026, the Company acquired one property for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$10.0 million through a sale-leaseback transaction that includes a tenant repurchase option (the "2026 Sale-Leaseback Property”). Due to the existence of the tenant repurchase option, and pursuant to FASB ASC Topic 842, Leases, GAAP requires that the $10.0 million investment be accounted for as a financing arrangement, and accordingly the related assets and corresponding revenue are included in the Company’s commercial loans and investments in the accompanying consolidated balance sheets and consolidated statements of operations. However, as the property constitutes as a real estate asset for both legal and tax purposes, we include it in the property portfolio when describing our property portfolio and for purposes of providing statistics related thereto.</w:t>
      </w:r>
    </w:p>
    <w:p>
      <w:pPr>
        <w:spacing w:after="0" w:line="15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sold three properties for an aggregate sales price of $5.8 million, generating aggregate gains on sale of $0.1 million.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59" w:firstLine="324"/>
        <w:spacing w:after="0"/>
        <w:rPr>
          <w:sz w:val="20"/>
          <w:szCs w:val="20"/>
          <w:color w:val="auto"/>
        </w:rPr>
      </w:pPr>
      <w:r>
        <w:rPr>
          <w:rFonts w:ascii="Times New Roman" w:cs="Times New Roman" w:eastAsia="Times New Roman" w:hAnsi="Times New Roman"/>
          <w:sz w:val="18"/>
          <w:szCs w:val="18"/>
          <w:i w:val="1"/>
          <w:iCs w:val="1"/>
          <w:color w:val="auto"/>
        </w:rPr>
        <w:t>2025 Activity</w:t>
      </w:r>
      <w:r>
        <w:rPr>
          <w:rFonts w:ascii="Times New Roman" w:cs="Times New Roman" w:eastAsia="Times New Roman" w:hAnsi="Times New Roman"/>
          <w:sz w:val="18"/>
          <w:szCs w:val="18"/>
          <w:color w:val="auto"/>
        </w:rPr>
        <w:t>. During the three months ended March 31, 2025, the Company acquired three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$39.7 million, or a total cost of $39.9 million including capitalized acquisition costs. The properties are located in three different states, leased to three different tenants, and had a weighted average remaining lease term of 14.3 years at the time of acquisition. Of the total acquisition cost, $4.7 million was allocated to land, $28.8 million was allocated to buildings and improvements, and $6.4 million was allocated to intangible assets pertaining to the in-place lease value, leasing fees, and above market lease value. The weighted average amortization period for the intangible assets was 14.1 years at acquisition.</w:t>
      </w:r>
    </w:p>
    <w:p>
      <w:pPr>
        <w:spacing w:after="0" w:line="14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three properties for an aggregate sales price of $11.7 million, generating aggregate gains on sale of $1.2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LOANS AND INVESTMENTS</w:t>
      </w:r>
    </w:p>
    <w:p>
      <w:pPr>
        <w:spacing w:after="0" w:line="214" w:lineRule="exact"/>
        <w:rPr>
          <w:sz w:val="20"/>
          <w:szCs w:val="20"/>
          <w:color w:val="auto"/>
        </w:rPr>
      </w:pPr>
    </w:p>
    <w:p>
      <w:pPr>
        <w:jc w:val="both"/>
        <w:ind w:left="60" w:right="59"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2026 Activity. </w:t>
      </w:r>
      <w:r>
        <w:rPr>
          <w:rFonts w:ascii="Times New Roman" w:cs="Times New Roman" w:eastAsia="Times New Roman" w:hAnsi="Times New Roman"/>
          <w:sz w:val="18"/>
          <w:szCs w:val="18"/>
          <w:color w:val="auto"/>
        </w:rPr>
        <w:t>During the three months ended March 31, 2026, the Company originated one commercial loan for $32.0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with an initial yield of 13% and acquired the 2026 Sale-Leaseback Property for a purchase price of $10.0 million. Additionally, during the three months ended March 31, 2026, two loan investments total face amounts were upsized by an aggregate of $31.9 million. In the aggregate, during the three months ended March 31, 2026, commercial loan and investment volume for new loan originations totaled $73.9 million, of which $50.4 million was funded, and $1.0 million of origination fees were received during the same period. Additionally, the Company funded $8.5 million for existing loans and received $8.2 million of principal repayments from borrowers during the three months ended March 31, 2026.</w:t>
      </w:r>
    </w:p>
    <w:p>
      <w:pPr>
        <w:spacing w:after="0" w:line="185" w:lineRule="exact"/>
        <w:rPr>
          <w:sz w:val="20"/>
          <w:szCs w:val="20"/>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During the three months ended March 31, 2026, the Company upsized and funded the 2025 Mortgage Note (hereinafter defined) by an additional $31.8 million and sold an additional $10.8 million A-1 participation interest, in the 2025 Mortgage Note (the “2026 Loan Participation Sale”). In the aggregate, the initial 2025 Mortgage Note totaled $61.3 million and the initial A-1 participation interest, which is entitled to a 10.0% yield on its respective portion of the outstanding principal balance and has priority preference with respect to all principal and interest payments of the 2025 Mortgage Note, totaled $20.8 million. The 2026 Loan Participation Sale did not achieve sale accounting pursuant to ASC 860, Transfers and Servicing, and accordingly, is treated as a secured borrowing. See Note 12, “Obligations Under Participation Agreement” for further information.</w:t>
      </w:r>
    </w:p>
    <w:p>
      <w:pPr>
        <w:spacing w:after="0" w:line="185" w:lineRule="exact"/>
        <w:rPr>
          <w:sz w:val="20"/>
          <w:szCs w:val="20"/>
          <w:color w:val="auto"/>
        </w:rPr>
      </w:pPr>
    </w:p>
    <w:p>
      <w:pPr>
        <w:jc w:val="both"/>
        <w:ind w:left="60" w:right="59"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2025 Activity. </w:t>
      </w:r>
      <w:r>
        <w:rPr>
          <w:rFonts w:ascii="Times New Roman" w:cs="Times New Roman" w:eastAsia="Times New Roman" w:hAnsi="Times New Roman"/>
          <w:sz w:val="18"/>
          <w:szCs w:val="18"/>
          <w:color w:val="auto"/>
        </w:rPr>
        <w:t>During the three months ended March 31, 2025, the Company originated two commercial loans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volume of $21.7 million at a weighted average initial yield of 9.6%. Additionally, during the three months ended March 31, 2025, the Company amended four existing commercial loan investments whereby certain maturity dates were extended and two loan investments total face amounts were upsized by an aggregate of $17.8 million. In the aggregate, during the three months ended March 31, 2025, commercial loan and investment activity totaled $39.5 million at a weighted average initial cash yield of 9.5%.</w:t>
      </w:r>
    </w:p>
    <w:p>
      <w:pPr>
        <w:spacing w:after="0" w:line="188" w:lineRule="exact"/>
        <w:rPr>
          <w:sz w:val="20"/>
          <w:szCs w:val="20"/>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During the year ended December 31, 2025, the Company originated a $29.5 million first mortgage secured by a portfolio of assets and related improvements (the “2025 Mortgage Note”). The 2025 Mortgage Note is being repaid by the borrower as the underlying assets within the portfolio are sold. During the year ended December 31, 2025, the Company sold a $10.0 million A-1 participation interest (the “2025 Loan Participation Sale”) in its 2025 Mortgage Note, which is entitled to a 10.0% yield on its respective portion of the outstanding principal balance and has priority preference with respect to all principal and interest payments of the 2025 Mortgage Note. The 2025 Loan Participation Sale did not achieve sale accounting pursuant to ASC 860, Transfers and Servicing, and accordingly, is treated as a secured borrowing. See Note 12, “Obligations Under Participation Agreement” for further information.</w:t>
      </w:r>
    </w:p>
    <w:p>
      <w:pPr>
        <w:spacing w:after="0" w:line="185" w:lineRule="exact"/>
        <w:rPr>
          <w:sz w:val="20"/>
          <w:szCs w:val="20"/>
          <w:color w:val="auto"/>
        </w:rPr>
      </w:pPr>
    </w:p>
    <w:p>
      <w:pPr>
        <w:jc w:val="both"/>
        <w:ind w:left="60" w:right="59"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Other Activity. </w:t>
      </w:r>
      <w:r>
        <w:rPr>
          <w:rFonts w:ascii="Times New Roman" w:cs="Times New Roman" w:eastAsia="Times New Roman" w:hAnsi="Times New Roman"/>
          <w:sz w:val="18"/>
          <w:szCs w:val="18"/>
          <w:color w:val="auto"/>
        </w:rPr>
        <w:t>During the year ended December 31, 2024, the Company acquired three single-tenant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properties in the greater Tampa Bay, Florida area. The acquisition of the three properties and the 2026 Sale-Leaseback Property (collectively, the “Sale-Leaseback Properties”) were structured as sale-leaseback transactions that include tenant repurchase options.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future repurchase rights present in the lease agreements preclude the transaction from being accounted for as a real estate acquisition. Accordingly, for GAAP purposes, the acquisitions of the Sale-Leaseback Properties are accounted for as financing arrangements, and the related assets and corresponding revenue are included in the Company’s commercial loans and investments on its consolidated balance sheets and consolidated statements of operations. The Company has imputed interest on the leases for the properties which is recognized as interest income from commercial loans and investments on the accompanying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Company’s commercial loans and investments were comprised of the following at March 31, 2026 (in thousands):</w:t>
      </w:r>
    </w:p>
    <w:p>
      <w:pPr>
        <w:spacing w:after="0" w:line="247" w:lineRule="exact"/>
        <w:rPr>
          <w:sz w:val="20"/>
          <w:szCs w:val="20"/>
          <w:color w:val="auto"/>
        </w:rPr>
      </w:pPr>
    </w:p>
    <w:p>
      <w:pPr>
        <w:ind w:left="5340"/>
        <w:spacing w:after="0"/>
        <w:tabs>
          <w:tab w:leader="none" w:pos="6240" w:val="left"/>
        </w:tabs>
        <w:rPr>
          <w:sz w:val="20"/>
          <w:szCs w:val="20"/>
          <w:color w:val="auto"/>
        </w:rPr>
      </w:pPr>
      <w:r>
        <w:rPr>
          <w:rFonts w:ascii="Times New Roman" w:cs="Times New Roman" w:eastAsia="Times New Roman" w:hAnsi="Times New Roman"/>
          <w:sz w:val="15"/>
          <w:szCs w:val="15"/>
          <w:b w:val="1"/>
          <w:bCs w:val="1"/>
          <w:color w:val="auto"/>
        </w:rPr>
        <w:t>Original</w:t>
      </w:r>
      <w:r>
        <w:rPr>
          <w:sz w:val="20"/>
          <w:szCs w:val="20"/>
          <w:color w:val="auto"/>
        </w:rPr>
        <w:tab/>
      </w:r>
      <w:r>
        <w:rPr>
          <w:rFonts w:ascii="Times New Roman" w:cs="Times New Roman" w:eastAsia="Times New Roman" w:hAnsi="Times New Roman"/>
          <w:sz w:val="15"/>
          <w:szCs w:val="15"/>
          <w:b w:val="1"/>
          <w:bCs w:val="1"/>
          <w:color w:val="auto"/>
        </w:rPr>
        <w:t>Current</w:t>
      </w:r>
    </w:p>
    <w:p>
      <w:pPr>
        <w:ind w:left="3180"/>
        <w:spacing w:after="0"/>
        <w:tabs>
          <w:tab w:leader="none" w:pos="5460" w:val="left"/>
          <w:tab w:leader="none" w:pos="6340" w:val="left"/>
          <w:tab w:leader="none" w:pos="7080" w:val="left"/>
        </w:tabs>
        <w:rPr>
          <w:sz w:val="20"/>
          <w:szCs w:val="20"/>
          <w:color w:val="auto"/>
        </w:rPr>
      </w:pPr>
      <w:r>
        <w:rPr>
          <w:rFonts w:ascii="Times New Roman" w:cs="Times New Roman" w:eastAsia="Times New Roman" w:hAnsi="Times New Roman"/>
          <w:sz w:val="15"/>
          <w:szCs w:val="15"/>
          <w:b w:val="1"/>
          <w:bCs w:val="1"/>
          <w:color w:val="auto"/>
        </w:rPr>
        <w:t>Date of</w:t>
      </w:r>
      <w:r>
        <w:rPr>
          <w:sz w:val="20"/>
          <w:szCs w:val="20"/>
          <w:color w:val="auto"/>
        </w:rPr>
        <w:tab/>
      </w:r>
      <w:r>
        <w:rPr>
          <w:rFonts w:ascii="Times New Roman" w:cs="Times New Roman" w:eastAsia="Times New Roman" w:hAnsi="Times New Roman"/>
          <w:sz w:val="15"/>
          <w:szCs w:val="15"/>
          <w:b w:val="1"/>
          <w:bCs w:val="1"/>
          <w:color w:val="auto"/>
        </w:rPr>
        <w:t>Face</w:t>
      </w:r>
      <w:r>
        <w:rPr>
          <w:sz w:val="20"/>
          <w:szCs w:val="20"/>
          <w:color w:val="auto"/>
        </w:rPr>
        <w:tab/>
      </w:r>
      <w:r>
        <w:rPr>
          <w:rFonts w:ascii="Times New Roman" w:cs="Times New Roman" w:eastAsia="Times New Roman" w:hAnsi="Times New Roman"/>
          <w:sz w:val="15"/>
          <w:szCs w:val="15"/>
          <w:b w:val="1"/>
          <w:bCs w:val="1"/>
          <w:color w:val="auto"/>
        </w:rPr>
        <w:t>Face</w:t>
      </w:r>
      <w:r>
        <w:rPr>
          <w:sz w:val="20"/>
          <w:szCs w:val="20"/>
          <w:color w:val="auto"/>
        </w:rPr>
        <w:tab/>
      </w:r>
      <w:r>
        <w:rPr>
          <w:rFonts w:ascii="Times New Roman" w:cs="Times New Roman" w:eastAsia="Times New Roman" w:hAnsi="Times New Roman"/>
          <w:sz w:val="15"/>
          <w:szCs w:val="15"/>
          <w:b w:val="1"/>
          <w:bCs w:val="1"/>
          <w:color w:val="auto"/>
        </w:rPr>
        <w:t>Carrying</w:t>
      </w:r>
    </w:p>
    <w:p>
      <w:pPr>
        <w:ind w:left="60"/>
        <w:spacing w:after="0" w:line="227" w:lineRule="auto"/>
        <w:tabs>
          <w:tab w:leader="none" w:pos="2800" w:val="left"/>
          <w:tab w:leader="none" w:pos="3980" w:val="left"/>
          <w:tab w:leader="none" w:pos="6040" w:val="left"/>
          <w:tab w:leader="none" w:pos="6940" w:val="left"/>
          <w:tab w:leader="none" w:pos="7200" w:val="left"/>
          <w:tab w:leader="none" w:pos="7820" w:val="left"/>
        </w:tabs>
        <w:rPr>
          <w:sz w:val="20"/>
          <w:szCs w:val="20"/>
          <w:color w:val="auto"/>
        </w:rPr>
      </w:pPr>
      <w:r>
        <w:rPr>
          <w:rFonts w:ascii="Times New Roman" w:cs="Times New Roman" w:eastAsia="Times New Roman" w:hAnsi="Times New Roman"/>
          <w:sz w:val="15"/>
          <w:szCs w:val="15"/>
          <w:b w:val="1"/>
          <w:bCs w:val="1"/>
          <w:color w:val="auto"/>
        </w:rPr>
        <w:t>Description</w:t>
      </w:r>
      <w:r>
        <w:rPr>
          <w:sz w:val="20"/>
          <w:szCs w:val="20"/>
          <w:color w:val="auto"/>
        </w:rPr>
        <w:tab/>
      </w:r>
      <w:r>
        <w:rPr>
          <w:rFonts w:ascii="Times New Roman" w:cs="Times New Roman" w:eastAsia="Times New Roman" w:hAnsi="Times New Roman"/>
          <w:sz w:val="15"/>
          <w:szCs w:val="15"/>
          <w:b w:val="1"/>
          <w:bCs w:val="1"/>
          <w:color w:val="auto"/>
        </w:rPr>
        <w:t>​​​  Investment</w:t>
        <w:tab/>
        <w:t>​​​Maturity Date  ​​​ Amount</w:t>
        <w:tab/>
        <w:t>​​​ Amount</w:t>
        <w:tab/>
        <w:t>​​​</w:t>
        <w:tab/>
        <w:t>Value</w:t>
        <w:tab/>
        <w:t>​​​Coupon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64896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21463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tbl>
      <w:tblPr>
        <w:tblLayout w:type="fixed"/>
        <w:tblInd w:w="40" w:type="dxa"/>
        <w:tblCellMar>
          <w:top w:w="0" w:type="dxa"/>
          <w:left w:w="0" w:type="dxa"/>
          <w:bottom w:w="0" w:type="dxa"/>
          <w:right w:w="0" w:type="dxa"/>
        </w:tblCellMar>
      </w:tblPr>
      <w:tr>
        <w:trPr>
          <w:trHeight w:val="138"/>
        </w:trPr>
        <w:tc>
          <w:tcPr>
            <w:tcW w:w="2700" w:type="dxa"/>
            <w:vAlign w:val="bottom"/>
            <w:tcBorders>
              <w:top w:val="single" w:sz="8" w:color="auto"/>
            </w:tcBorders>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Development – Greenwood, IN</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July 2023</w:t>
            </w: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July 2026</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14,980</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11,326</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   11,347</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9.50%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October 2023</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October 2026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7,425</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6,742</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6,756</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10.25%</w:t>
            </w:r>
          </w:p>
        </w:tc>
      </w:tr>
      <w:tr>
        <w:trPr>
          <w:trHeight w:val="187"/>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Sale-Leaseback – Bradenton Beach, FL</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40"/>
              <w:spacing w:after="0" w:line="187" w:lineRule="exact"/>
              <w:rPr>
                <w:sz w:val="20"/>
                <w:szCs w:val="20"/>
                <w:color w:val="auto"/>
              </w:rPr>
            </w:pPr>
            <w:r>
              <w:rPr>
                <w:rFonts w:ascii="Times New Roman" w:cs="Times New Roman" w:eastAsia="Times New Roman" w:hAnsi="Times New Roman"/>
                <w:sz w:val="15"/>
                <w:szCs w:val="15"/>
                <w:color w:val="auto"/>
                <w:w w:val="98"/>
              </w:rPr>
              <w:t xml:space="preserve">August 2029 </w:t>
            </w:r>
            <w:r>
              <w:rPr>
                <w:rFonts w:ascii="Times New Roman" w:cs="Times New Roman" w:eastAsia="Times New Roman" w:hAnsi="Times New Roman"/>
                <w:sz w:val="21"/>
                <w:szCs w:val="21"/>
                <w:color w:val="auto"/>
                <w:w w:val="98"/>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9,608</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9,496</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9,496</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8.30%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Anna Maria,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16,408</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16,216</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16,216</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8.30%</w:t>
            </w:r>
          </w:p>
        </w:tc>
      </w:tr>
      <w:tr>
        <w:trPr>
          <w:trHeight w:val="164"/>
        </w:trPr>
        <w:tc>
          <w:tcPr>
            <w:tcW w:w="288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5"/>
                <w:szCs w:val="15"/>
                <w:color w:val="auto"/>
              </w:rPr>
              <w:t>Sale-Leaseback – Long Boat Key, FL</w:t>
            </w:r>
          </w:p>
        </w:tc>
        <w:tc>
          <w:tcPr>
            <w:tcW w:w="1160" w:type="dxa"/>
            <w:vAlign w:val="bottom"/>
            <w:gridSpan w:val="2"/>
          </w:tcPr>
          <w:p>
            <w:pPr>
              <w:jc w:val="center"/>
              <w:ind w:right="160"/>
              <w:spacing w:after="0" w:line="164"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40"/>
              <w:spacing w:after="0" w:line="164"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9"/>
                <w:szCs w:val="19"/>
                <w:color w:val="auto"/>
                <w:vertAlign w:val="superscript"/>
              </w:rPr>
              <w:t>(1)</w:t>
            </w: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5,408</w:t>
            </w:r>
          </w:p>
        </w:tc>
        <w:tc>
          <w:tcPr>
            <w:tcW w:w="18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5,345</w:t>
            </w:r>
          </w:p>
        </w:tc>
        <w:tc>
          <w:tcPr>
            <w:tcW w:w="16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5,345</w:t>
            </w:r>
          </w:p>
        </w:tc>
        <w:tc>
          <w:tcPr>
            <w:tcW w:w="160" w:type="dxa"/>
            <w:vAlign w:val="bottom"/>
          </w:tcPr>
          <w:p>
            <w:pPr>
              <w:spacing w:after="0"/>
              <w:rPr>
                <w:sz w:val="14"/>
                <w:szCs w:val="14"/>
                <w:color w:val="auto"/>
              </w:rPr>
            </w:pPr>
          </w:p>
        </w:tc>
        <w:tc>
          <w:tcPr>
            <w:tcW w:w="8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rPr>
              <w:t>8.30%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At Home Plaza – North</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Canton, OH</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2025</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2028</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6,200</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6,200</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6,200</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8.65%</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Construction Loan – Retail Land</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Development – Stuart,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2025</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2027</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15,500</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8,964</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8,887</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11.00%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Construction Loan – Cornerstone Exchange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 Daytona Beach,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May 2025</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April 2027</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23,905</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7,625</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7,512</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10.00%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Old Time Pottery –</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Orange Park,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2025</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2028</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8.00%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Industrial – Fremont, CA</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2025</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2027</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23,788</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11.00%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Commercial Building –</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Reno, NV</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September 2025</w:t>
            </w: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September 2027</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8.00%</w:t>
            </w:r>
          </w:p>
        </w:tc>
      </w:tr>
      <w:tr>
        <w:trPr>
          <w:trHeight w:val="160"/>
        </w:trPr>
        <w:tc>
          <w:tcPr>
            <w:tcW w:w="28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5"/>
                <w:szCs w:val="15"/>
                <w:color w:val="auto"/>
              </w:rPr>
              <w:t>Mortgage Note – Luxury Residential</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4"/>
        </w:trPr>
        <w:tc>
          <w:tcPr>
            <w:tcW w:w="288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3"/>
                <w:szCs w:val="13"/>
                <w:color w:val="auto"/>
              </w:rPr>
              <w:t xml:space="preserve">Development – Austin, TX </w:t>
            </w:r>
            <w:r>
              <w:rPr>
                <w:rFonts w:ascii="Times New Roman" w:cs="Times New Roman" w:eastAsia="Times New Roman" w:hAnsi="Times New Roman"/>
                <w:sz w:val="19"/>
                <w:szCs w:val="19"/>
                <w:color w:val="auto"/>
                <w:vertAlign w:val="superscript"/>
              </w:rPr>
              <w:t>(2)</w:t>
            </w:r>
          </w:p>
        </w:tc>
        <w:tc>
          <w:tcPr>
            <w:tcW w:w="1160" w:type="dxa"/>
            <w:vAlign w:val="bottom"/>
            <w:gridSpan w:val="2"/>
          </w:tcPr>
          <w:p>
            <w:pPr>
              <w:jc w:val="center"/>
              <w:ind w:right="160"/>
              <w:spacing w:after="0" w:line="164" w:lineRule="exact"/>
              <w:rPr>
                <w:sz w:val="20"/>
                <w:szCs w:val="20"/>
                <w:color w:val="auto"/>
              </w:rPr>
            </w:pPr>
            <w:r>
              <w:rPr>
                <w:rFonts w:ascii="Times New Roman" w:cs="Times New Roman" w:eastAsia="Times New Roman" w:hAnsi="Times New Roman"/>
                <w:sz w:val="15"/>
                <w:szCs w:val="15"/>
                <w:color w:val="auto"/>
              </w:rPr>
              <w:t>October 2025</w:t>
            </w:r>
          </w:p>
        </w:tc>
        <w:tc>
          <w:tcPr>
            <w:tcW w:w="1180" w:type="dxa"/>
            <w:vAlign w:val="bottom"/>
            <w:gridSpan w:val="2"/>
          </w:tcPr>
          <w:p>
            <w:pPr>
              <w:jc w:val="center"/>
              <w:ind w:right="140"/>
              <w:spacing w:after="0" w:line="164" w:lineRule="exact"/>
              <w:rPr>
                <w:sz w:val="20"/>
                <w:szCs w:val="20"/>
                <w:color w:val="auto"/>
              </w:rPr>
            </w:pPr>
            <w:r>
              <w:rPr>
                <w:rFonts w:ascii="Times New Roman" w:cs="Times New Roman" w:eastAsia="Times New Roman" w:hAnsi="Times New Roman"/>
                <w:sz w:val="15"/>
                <w:szCs w:val="15"/>
                <w:color w:val="auto"/>
              </w:rPr>
              <w:t>October 2028</w:t>
            </w: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61,250</w:t>
            </w:r>
          </w:p>
        </w:tc>
        <w:tc>
          <w:tcPr>
            <w:tcW w:w="18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60,276</w:t>
            </w:r>
          </w:p>
        </w:tc>
        <w:tc>
          <w:tcPr>
            <w:tcW w:w="16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59,148</w:t>
            </w:r>
          </w:p>
        </w:tc>
        <w:tc>
          <w:tcPr>
            <w:tcW w:w="160" w:type="dxa"/>
            <w:vAlign w:val="bottom"/>
          </w:tcPr>
          <w:p>
            <w:pPr>
              <w:spacing w:after="0"/>
              <w:rPr>
                <w:sz w:val="14"/>
                <w:szCs w:val="14"/>
                <w:color w:val="auto"/>
              </w:rPr>
            </w:pPr>
          </w:p>
        </w:tc>
        <w:tc>
          <w:tcPr>
            <w:tcW w:w="8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17.00%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Construction Loan – Mixed-Use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Development – Lake Toxaway, NC</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October 2025</w:t>
            </w: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October 2027</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13,500</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7,753</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7,645</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16.00%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Construction Loan – Costco Mixed-Use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Development – Atlanta, GA</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October 2025</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2027</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4,500</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2,452</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2,416</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11.00%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Redevelopment Loan – Mixed-Use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Redevelopment – Denver, CO</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December 2025</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December 2028</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13,500</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8,613</w:t>
            </w: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8,427</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12.00%</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Mixed-Use Development</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Herndon, VA</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December 2025</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20,101</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19,847</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12.00%</w:t>
            </w:r>
          </w:p>
        </w:tc>
      </w:tr>
      <w:tr>
        <w:trPr>
          <w:trHeight w:val="18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Sale-Leaseback – Aspen, CO</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January 2026</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June 2027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9,995</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9,995</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8.39%</w:t>
            </w: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Construction Loan – Retail Development –</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7"/>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Covington, GA</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March 2026</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April 2028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32,000</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8,659</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8,351</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-2827020</wp:posOffset>
            </wp:positionV>
            <wp:extent cx="564896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-2595245</wp:posOffset>
            </wp:positionV>
            <wp:extent cx="564896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028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-2286635</wp:posOffset>
            </wp:positionV>
            <wp:extent cx="564896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20574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-1875155</wp:posOffset>
            </wp:positionV>
            <wp:extent cx="564896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20574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-1566545</wp:posOffset>
            </wp:positionV>
            <wp:extent cx="564896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20574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-1155065</wp:posOffset>
            </wp:positionV>
            <wp:extent cx="564896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20574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-743585</wp:posOffset>
            </wp:positionV>
            <wp:extent cx="564896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20574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-332105</wp:posOffset>
            </wp:positionV>
            <wp:extent cx="564896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(7)</w:t>
      </w:r>
    </w:p>
    <w:p>
      <w:pPr>
        <w:spacing w:after="0" w:line="11" w:lineRule="exact"/>
        <w:rPr>
          <w:sz w:val="20"/>
          <w:szCs w:val="20"/>
          <w:color w:val="auto"/>
        </w:rPr>
      </w:pPr>
    </w:p>
    <w:p>
      <w:pPr>
        <w:sectPr>
          <w:pgSz w:w="11900" w:h="16838" w:orient="portrait"/>
          <w:cols w:equalWidth="0" w:num="2">
            <w:col w:w="8820" w:space="0"/>
            <w:col w:w="19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58"/>
        </w:trPr>
        <w:tc>
          <w:tcPr>
            <w:tcW w:w="2240" w:type="dxa"/>
            <w:vAlign w:val="bottom"/>
            <w:tcBorders>
              <w:top w:val="single" w:sz="8" w:color="CCEEFF"/>
              <w:bottom w:val="single" w:sz="8" w:color="CCEEFF"/>
            </w:tcBorders>
            <w:shd w:val="clear" w:color="auto" w:fill="CCEEFF"/>
          </w:tcPr>
          <w:p>
            <w:pPr>
              <w:spacing w:after="0"/>
              <w:rPr>
                <w:sz w:val="13"/>
                <w:szCs w:val="13"/>
                <w:color w:val="auto"/>
              </w:rPr>
            </w:pPr>
          </w:p>
        </w:tc>
        <w:tc>
          <w:tcPr>
            <w:tcW w:w="29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5"/>
                <w:szCs w:val="15"/>
                <w:color w:val="auto"/>
              </w:rPr>
              <w:t>286,184</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5"/>
                <w:szCs w:val="15"/>
                <w:color w:val="auto"/>
              </w:rPr>
              <w:t>221,763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CCEEFF"/>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5"/>
                <w:szCs w:val="15"/>
                <w:color w:val="auto"/>
              </w:rPr>
              <w:t>219,376</w:t>
            </w: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CECL Reserve</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5"/>
                <w:szCs w:val="15"/>
                <w:color w:val="auto"/>
              </w:rPr>
              <w:t>(2,218)</w:t>
            </w:r>
          </w:p>
        </w:tc>
        <w:tc>
          <w:tcPr>
            <w:tcW w:w="0" w:type="dxa"/>
            <w:vAlign w:val="bottom"/>
          </w:tcPr>
          <w:p>
            <w:pPr>
              <w:spacing w:after="0" w:line="20" w:lineRule="exact"/>
              <w:rPr>
                <w:sz w:val="1"/>
                <w:szCs w:val="1"/>
                <w:color w:val="auto"/>
              </w:rPr>
            </w:pPr>
          </w:p>
        </w:tc>
      </w:tr>
      <w:tr>
        <w:trPr>
          <w:trHeight w:val="161"/>
        </w:trPr>
        <w:tc>
          <w:tcPr>
            <w:tcW w:w="5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360" w:type="dxa"/>
            <w:vAlign w:val="bottom"/>
            <w:tcBorders>
              <w:bottom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5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217,158</w:t>
            </w:r>
          </w:p>
        </w:tc>
        <w:tc>
          <w:tcPr>
            <w:tcW w:w="1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maturity date reflects the date the tenant’s repurchase right first becomes exercisable pursuant to the lease agreement.</w:t>
      </w:r>
    </w:p>
    <w:p>
      <w:pPr>
        <w:spacing w:after="0" w:line="3" w:lineRule="exact"/>
        <w:rPr>
          <w:rFonts w:ascii="Times New Roman" w:cs="Times New Roman" w:eastAsia="Times New Roman" w:hAnsi="Times New Roman"/>
          <w:sz w:val="11"/>
          <w:szCs w:val="11"/>
          <w:color w:val="auto"/>
        </w:rPr>
      </w:pPr>
    </w:p>
    <w:p>
      <w:pPr>
        <w:ind w:left="380" w:right="79" w:hanging="330"/>
        <w:spacing w:after="0" w:line="221"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after adjusting for the A-1 participation interests, as described in Note 12, “Obligations Under Participation Agreement”, the Company’s net remaining investment, at face value, in the 2025 Mortgage Note is $40.0 million.</w:t>
      </w:r>
    </w:p>
    <w:p>
      <w:pPr>
        <w:ind w:left="380" w:hanging="330"/>
        <w:spacing w:after="0" w:line="221"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13.00% cash interest and 4.00% paid-in-kind.</w:t>
      </w:r>
    </w:p>
    <w:p>
      <w:pPr>
        <w:ind w:left="380" w:hanging="330"/>
        <w:spacing w:after="0" w:line="221"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13.00% cash interest and 3.00% paid-in-kind.</w:t>
      </w:r>
    </w:p>
    <w:p>
      <w:pPr>
        <w:ind w:left="380" w:hanging="330"/>
        <w:spacing w:after="0" w:line="221"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9.00% cash interest and 3.00% paid-in-kind.</w:t>
      </w:r>
    </w:p>
    <w:p>
      <w:pPr>
        <w:ind w:left="380" w:hanging="330"/>
        <w:spacing w:after="0" w:line="221"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10.00% cash interest and 2.00% paid-in-kind.</w:t>
      </w:r>
    </w:p>
    <w:p>
      <w:pPr>
        <w:ind w:left="380" w:hanging="330"/>
        <w:spacing w:after="0"/>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11.50% cash interest and 1.50% paid-in-kind.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December 31, 2025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5"/>
              </w:rPr>
              <w:t>Original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160" w:type="dxa"/>
            <w:vAlign w:val="bottom"/>
          </w:tcPr>
          <w:p>
            <w:pPr>
              <w:spacing w:after="0"/>
              <w:rPr>
                <w:sz w:val="14"/>
                <w:szCs w:val="14"/>
                <w:color w:val="auto"/>
              </w:rPr>
            </w:pPr>
          </w:p>
        </w:tc>
        <w:tc>
          <w:tcPr>
            <w:tcW w:w="780" w:type="dxa"/>
            <w:vAlign w:val="bottom"/>
            <w:gridSpan w:val="3"/>
          </w:tcPr>
          <w:p>
            <w:pPr>
              <w:jc w:val="center"/>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Investment</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900" w:type="dxa"/>
            <w:vAlign w:val="bottom"/>
            <w:gridSpan w:val="3"/>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 Amount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30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​​​Coupon Rate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700" w:type="dxa"/>
            <w:vAlign w:val="bottom"/>
            <w:tcBorders>
              <w:top w:val="single" w:sz="8" w:color="auto"/>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Greenwood, IN</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July 2023</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July 2026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9,165</w:t>
            </w: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9.50%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7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2023</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6,317</w:t>
            </w:r>
          </w:p>
        </w:tc>
        <w:tc>
          <w:tcPr>
            <w:tcW w:w="40" w:type="dxa"/>
            <w:vAlign w:val="bottom"/>
          </w:tcPr>
          <w:p>
            <w:pPr>
              <w:spacing w:after="0"/>
              <w:rPr>
                <w:sz w:val="15"/>
                <w:szCs w:val="15"/>
                <w:color w:val="auto"/>
              </w:rPr>
            </w:pPr>
          </w:p>
        </w:tc>
        <w:tc>
          <w:tcPr>
            <w:tcW w:w="10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7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Outparcels –</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Lawrenceville, GA</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2024</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2026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1,095</w:t>
            </w: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11.25%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7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Development – Mount Carmel, OH</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2024</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September 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40" w:type="dxa"/>
            <w:vAlign w:val="bottom"/>
          </w:tcPr>
          <w:p>
            <w:pPr>
              <w:spacing w:after="0"/>
              <w:rPr>
                <w:sz w:val="15"/>
                <w:szCs w:val="15"/>
                <w:color w:val="auto"/>
              </w:rPr>
            </w:pPr>
          </w:p>
        </w:tc>
        <w:tc>
          <w:tcPr>
            <w:tcW w:w="10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11.50%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Sale-Leaseback – Bradenton Beach, FL</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August 2024</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97"/>
              </w:rPr>
              <w:t xml:space="preserve">August 2029 </w:t>
            </w:r>
            <w:r>
              <w:rPr>
                <w:rFonts w:ascii="Times New Roman" w:cs="Times New Roman" w:eastAsia="Times New Roman" w:hAnsi="Times New Roman"/>
                <w:sz w:val="22"/>
                <w:szCs w:val="22"/>
                <w:color w:val="auto"/>
                <w:w w:val="97"/>
                <w:vertAlign w:val="superscript"/>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9,519</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8.30%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Anna Maria, FL</w:t>
            </w: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16,408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16,256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16,256</w:t>
            </w:r>
          </w:p>
        </w:tc>
        <w:tc>
          <w:tcPr>
            <w:tcW w:w="40" w:type="dxa"/>
            <w:vAlign w:val="bottom"/>
          </w:tcPr>
          <w:p>
            <w:pPr>
              <w:spacing w:after="0"/>
              <w:rPr>
                <w:sz w:val="14"/>
                <w:szCs w:val="14"/>
                <w:color w:val="auto"/>
              </w:rPr>
            </w:pPr>
          </w:p>
        </w:tc>
        <w:tc>
          <w:tcPr>
            <w:tcW w:w="1000" w:type="dxa"/>
            <w:vAlign w:val="bottom"/>
            <w:gridSpan w:val="2"/>
          </w:tcPr>
          <w:p>
            <w:pPr>
              <w:jc w:val="center"/>
              <w:ind w:left="44"/>
              <w:spacing w:after="0" w:line="162" w:lineRule="exact"/>
              <w:rPr>
                <w:sz w:val="20"/>
                <w:szCs w:val="20"/>
                <w:color w:val="auto"/>
              </w:rPr>
            </w:pPr>
            <w:r>
              <w:rPr>
                <w:rFonts w:ascii="Times New Roman" w:cs="Times New Roman" w:eastAsia="Times New Roman" w:hAnsi="Times New Roman"/>
                <w:sz w:val="15"/>
                <w:szCs w:val="15"/>
                <w:color w:val="auto"/>
              </w:rPr>
              <w:t>8.30%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Long Boat Key, FL</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5,408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5,358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5,358</w:t>
            </w:r>
          </w:p>
        </w:tc>
        <w:tc>
          <w:tcPr>
            <w:tcW w:w="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left="44"/>
              <w:spacing w:after="0" w:line="162" w:lineRule="exact"/>
              <w:rPr>
                <w:sz w:val="20"/>
                <w:szCs w:val="20"/>
                <w:color w:val="auto"/>
              </w:rPr>
            </w:pPr>
            <w:r>
              <w:rPr>
                <w:rFonts w:ascii="Times New Roman" w:cs="Times New Roman" w:eastAsia="Times New Roman" w:hAnsi="Times New Roman"/>
                <w:sz w:val="15"/>
                <w:szCs w:val="15"/>
                <w:color w:val="auto"/>
              </w:rPr>
              <w:t>8.30%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At Home Plaza – North</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Canton, OH</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March 2025</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March 2028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40" w:type="dxa"/>
            <w:vAlign w:val="bottom"/>
          </w:tcPr>
          <w:p>
            <w:pPr>
              <w:spacing w:after="0"/>
              <w:rPr>
                <w:sz w:val="15"/>
                <w:szCs w:val="15"/>
                <w:color w:val="auto"/>
              </w:rPr>
            </w:pPr>
          </w:p>
        </w:tc>
        <w:tc>
          <w:tcPr>
            <w:tcW w:w="10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8.65%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7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Land</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Stuart, FL</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2025</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March 2027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6,987</w:t>
            </w: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7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Cornerstone Exchange</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Daytona Beach, FL</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2025</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April 2027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23,905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6,886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6,747</w:t>
            </w:r>
          </w:p>
        </w:tc>
        <w:tc>
          <w:tcPr>
            <w:tcW w:w="40" w:type="dxa"/>
            <w:vAlign w:val="bottom"/>
          </w:tcPr>
          <w:p>
            <w:pPr>
              <w:spacing w:after="0"/>
              <w:rPr>
                <w:sz w:val="15"/>
                <w:szCs w:val="15"/>
                <w:color w:val="auto"/>
              </w:rPr>
            </w:pPr>
          </w:p>
        </w:tc>
        <w:tc>
          <w:tcPr>
            <w:tcW w:w="10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7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Old Time Pottery –</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Orange Park, FL</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June 2025</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June 2028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8.00%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Industrial – Fremont, CA</w:t>
            </w:r>
          </w:p>
        </w:tc>
        <w:tc>
          <w:tcPr>
            <w:tcW w:w="1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August 2025</w:t>
            </w:r>
          </w:p>
        </w:tc>
        <w:tc>
          <w:tcPr>
            <w:tcW w:w="1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August 2027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23,751</w:t>
            </w:r>
          </w:p>
        </w:tc>
        <w:tc>
          <w:tcPr>
            <w:tcW w:w="40" w:type="dxa"/>
            <w:vAlign w:val="bottom"/>
          </w:tcPr>
          <w:p>
            <w:pPr>
              <w:spacing w:after="0"/>
              <w:rPr>
                <w:sz w:val="14"/>
                <w:szCs w:val="14"/>
                <w:color w:val="auto"/>
              </w:rPr>
            </w:pPr>
          </w:p>
        </w:tc>
        <w:tc>
          <w:tcPr>
            <w:tcW w:w="1000" w:type="dxa"/>
            <w:vAlign w:val="bottom"/>
            <w:gridSpan w:val="2"/>
          </w:tcPr>
          <w:p>
            <w:pPr>
              <w:jc w:val="center"/>
              <w:ind w:left="44"/>
              <w:spacing w:after="0" w:line="162" w:lineRule="exact"/>
              <w:rPr>
                <w:sz w:val="20"/>
                <w:szCs w:val="20"/>
                <w:color w:val="auto"/>
              </w:rPr>
            </w:pPr>
            <w:r>
              <w:rPr>
                <w:rFonts w:ascii="Times New Roman" w:cs="Times New Roman" w:eastAsia="Times New Roman" w:hAnsi="Times New Roman"/>
                <w:sz w:val="15"/>
                <w:szCs w:val="15"/>
                <w:color w:val="auto"/>
              </w:rPr>
              <w:t>11.00%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Commercial Building –</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Reno, NV</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September 2025</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September 2027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8.00%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5"/>
                <w:szCs w:val="15"/>
                <w:color w:val="auto"/>
              </w:rPr>
              <w:t>Mortgage Note – Luxury Residential</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5"/>
                <w:szCs w:val="15"/>
                <w:color w:val="auto"/>
              </w:rPr>
              <w:t xml:space="preserve">Development – Austin, TX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2025</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2028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28,627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28,070</w:t>
            </w:r>
          </w:p>
        </w:tc>
        <w:tc>
          <w:tcPr>
            <w:tcW w:w="40" w:type="dxa"/>
            <w:vAlign w:val="bottom"/>
          </w:tcPr>
          <w:p>
            <w:pPr>
              <w:spacing w:after="0"/>
              <w:rPr>
                <w:sz w:val="15"/>
                <w:szCs w:val="15"/>
                <w:color w:val="auto"/>
              </w:rPr>
            </w:pPr>
          </w:p>
        </w:tc>
        <w:tc>
          <w:tcPr>
            <w:tcW w:w="10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17.00%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7"/>
              </w:rPr>
              <w:t>(3)</w:t>
            </w:r>
          </w:p>
        </w:tc>
        <w:tc>
          <w:tcPr>
            <w:tcW w:w="0" w:type="dxa"/>
            <w:vAlign w:val="bottom"/>
          </w:tcPr>
          <w:p>
            <w:pPr>
              <w:spacing w:after="0"/>
              <w:rPr>
                <w:sz w:val="1"/>
                <w:szCs w:val="1"/>
                <w:color w:val="auto"/>
              </w:rPr>
            </w:pPr>
          </w:p>
        </w:tc>
      </w:tr>
      <w:tr>
        <w:trPr>
          <w:trHeight w:val="145"/>
        </w:trPr>
        <w:tc>
          <w:tcPr>
            <w:tcW w:w="27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Mixed-Use</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Lake Toxaway, NC</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October 2025</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October 2027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6,813</w:t>
            </w: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16.00%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(4)</w:t>
            </w:r>
          </w:p>
        </w:tc>
        <w:tc>
          <w:tcPr>
            <w:tcW w:w="0" w:type="dxa"/>
            <w:vAlign w:val="bottom"/>
          </w:tcPr>
          <w:p>
            <w:pPr>
              <w:spacing w:after="0"/>
              <w:rPr>
                <w:sz w:val="1"/>
                <w:szCs w:val="1"/>
                <w:color w:val="auto"/>
              </w:rPr>
            </w:pPr>
          </w:p>
        </w:tc>
      </w:tr>
      <w:tr>
        <w:trPr>
          <w:trHeight w:val="145"/>
        </w:trPr>
        <w:tc>
          <w:tcPr>
            <w:tcW w:w="27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Costco Mixed-Use</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Development – Atlanta, GA</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October 2025</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November 2027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40" w:type="dxa"/>
            <w:vAlign w:val="bottom"/>
          </w:tcPr>
          <w:p>
            <w:pPr>
              <w:spacing w:after="0"/>
              <w:rPr>
                <w:sz w:val="15"/>
                <w:szCs w:val="15"/>
                <w:color w:val="auto"/>
              </w:rPr>
            </w:pPr>
          </w:p>
        </w:tc>
        <w:tc>
          <w:tcPr>
            <w:tcW w:w="10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11.00%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7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Redevelopment Loan – Mixed-Use</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Redevelopment – Denver, CO</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December 2025</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December 2028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8,317</w:t>
            </w: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rPr>
              <w:t>12.00%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(5)</w:t>
            </w:r>
          </w:p>
        </w:tc>
        <w:tc>
          <w:tcPr>
            <w:tcW w:w="0" w:type="dxa"/>
            <w:vAlign w:val="bottom"/>
          </w:tcPr>
          <w:p>
            <w:pPr>
              <w:spacing w:after="0"/>
              <w:rPr>
                <w:sz w:val="1"/>
                <w:szCs w:val="1"/>
                <w:color w:val="auto"/>
              </w:rPr>
            </w:pPr>
          </w:p>
        </w:tc>
      </w:tr>
      <w:tr>
        <w:trPr>
          <w:trHeight w:val="145"/>
        </w:trPr>
        <w:tc>
          <w:tcPr>
            <w:tcW w:w="27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Mixed-Use Development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 Herndon, VA</w:t>
            </w: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December 2025</w:t>
            </w:r>
          </w:p>
        </w:tc>
        <w:tc>
          <w:tcPr>
            <w:tcW w:w="1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September 2028</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19,702</w:t>
            </w:r>
          </w:p>
        </w:tc>
        <w:tc>
          <w:tcPr>
            <w:tcW w:w="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center"/>
              <w:ind w:left="44"/>
              <w:spacing w:after="0"/>
              <w:rPr>
                <w:sz w:val="20"/>
                <w:szCs w:val="20"/>
                <w:color w:val="auto"/>
              </w:rPr>
            </w:pPr>
            <w:r>
              <w:rPr>
                <w:rFonts w:ascii="Times New Roman" w:cs="Times New Roman" w:eastAsia="Times New Roman" w:hAnsi="Times New Roman"/>
                <w:sz w:val="15"/>
                <w:szCs w:val="15"/>
                <w:color w:val="auto"/>
              </w:rPr>
              <w:t>12.00%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7"/>
              </w:rPr>
              <w:t>(6)</w:t>
            </w:r>
          </w:p>
        </w:tc>
        <w:tc>
          <w:tcPr>
            <w:tcW w:w="0" w:type="dxa"/>
            <w:vAlign w:val="bottom"/>
          </w:tcPr>
          <w:p>
            <w:pPr>
              <w:spacing w:after="0"/>
              <w:rPr>
                <w:sz w:val="1"/>
                <w:szCs w:val="1"/>
                <w:color w:val="auto"/>
              </w:rPr>
            </w:pPr>
          </w:p>
        </w:tc>
      </w:tr>
      <w:tr>
        <w:trPr>
          <w:trHeight w:val="155"/>
        </w:trPr>
        <w:tc>
          <w:tcPr>
            <w:tcW w:w="22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225,581</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170,946</w:t>
            </w: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169,262</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CECL Reserve</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(1,709)</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00" w:type="dxa"/>
            <w:vAlign w:val="bottom"/>
            <w:tcBorders>
              <w:top w:val="single" w:sz="8" w:color="CCEEFF"/>
              <w:bottom w:val="single" w:sz="8" w:color="CCEEFF"/>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167,553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maturity date reflects the date the tenant’s repurchase right first becomes exercisable pursuant to the lease agreement.</w:t>
      </w:r>
    </w:p>
    <w:p>
      <w:pPr>
        <w:spacing w:after="0" w:line="3" w:lineRule="exact"/>
        <w:rPr>
          <w:rFonts w:ascii="Times New Roman" w:cs="Times New Roman" w:eastAsia="Times New Roman" w:hAnsi="Times New Roman"/>
          <w:sz w:val="11"/>
          <w:szCs w:val="11"/>
          <w:color w:val="auto"/>
        </w:rPr>
      </w:pPr>
    </w:p>
    <w:p>
      <w:pPr>
        <w:ind w:left="380" w:right="159" w:hanging="330"/>
        <w:spacing w:after="0" w:line="221" w:lineRule="auto"/>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December 31, 2025, after adjusting for the A-1 participation interests, as described in Note 12, "Obligations Under Participation Agreement", the Company's net remaining investment, at face value, in the 2025 Mortgage Note is $18.6 million.</w:t>
      </w:r>
    </w:p>
    <w:p>
      <w:pPr>
        <w:ind w:left="380" w:hanging="330"/>
        <w:spacing w:after="0" w:line="221" w:lineRule="auto"/>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13.00% cash interest and 4.00% paid-in-kind.</w:t>
      </w:r>
    </w:p>
    <w:p>
      <w:pPr>
        <w:ind w:left="380" w:hanging="330"/>
        <w:spacing w:after="0" w:line="221" w:lineRule="auto"/>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13.00% cash interest and 3.00% paid-in-kind.</w:t>
      </w:r>
    </w:p>
    <w:p>
      <w:pPr>
        <w:ind w:left="380" w:hanging="330"/>
        <w:spacing w:after="0" w:line="221" w:lineRule="auto"/>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9.00% cash interest and 3.00% paid-in-kind.</w:t>
      </w: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coupon rate is comprised of 10.00% cash interest and 2.00% paid-in-kind.</w:t>
      </w:r>
    </w:p>
    <w:p>
      <w:pPr>
        <w:spacing w:after="0" w:line="192" w:lineRule="exact"/>
        <w:rPr>
          <w:sz w:val="20"/>
          <w:szCs w:val="20"/>
          <w:color w:val="auto"/>
        </w:rPr>
      </w:pPr>
    </w:p>
    <w:p>
      <w:pPr>
        <w:ind w:left="60" w:right="639" w:firstLine="389"/>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loans and investments consisted of the following at March 31, 2026 and December 31,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9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3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   ​​​ December 31, 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1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221,763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(2,387)</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(2,218)</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Loans and Investments</w:t>
            </w:r>
          </w:p>
        </w:tc>
        <w:tc>
          <w:tcPr>
            <w:tcW w:w="18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217,158</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2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7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FAIR VALUE OF FINANCIAL INSTRUMENTS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March 31, 2026 and December 31, 2025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1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w:t>
            </w:r>
          </w:p>
        </w:tc>
      </w:tr>
      <w:tr>
        <w:trPr>
          <w:trHeight w:val="198"/>
        </w:trPr>
        <w:tc>
          <w:tcPr>
            <w:tcW w:w="3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Commercial Loans and Investments -</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231,117</w:t>
            </w:r>
          </w:p>
        </w:tc>
        <w:tc>
          <w:tcPr>
            <w:tcW w:w="5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179,214</w:t>
            </w: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 Under Participation Agreement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Level 2</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5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359,428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350,193</w:t>
            </w:r>
          </w:p>
        </w:tc>
        <w:tc>
          <w:tcPr>
            <w:tcW w:w="5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377,739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376,286</w:t>
            </w:r>
          </w:p>
        </w:tc>
      </w:tr>
    </w:tbl>
    <w:p>
      <w:pPr>
        <w:spacing w:after="0" w:line="225"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6"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following tables present the fair value of assets measured on a recurring basis by level as of March 31, 2026 and December 31, 2025 (in thousands). See Note 14, “Interest Rate Swaps” for further disclosure related to the Company’s interest rate swaps.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 at Reporting Date Using</w:t>
            </w:r>
          </w:p>
        </w:tc>
      </w:tr>
      <w:tr>
        <w:trPr>
          <w:trHeight w:val="187"/>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 Unobservable</w:t>
            </w:r>
          </w:p>
        </w:tc>
      </w:tr>
      <w:tr>
        <w:trPr>
          <w:trHeight w:val="238"/>
        </w:trPr>
        <w:tc>
          <w:tcPr>
            <w:tcW w:w="334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 Inputs (Level 3)</w:t>
            </w: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33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2029 Term Loan Interest Rate Swap </w:t>
            </w:r>
            <w:r>
              <w:rPr>
                <w:rFonts w:ascii="Times New Roman" w:cs="Times New Roman" w:eastAsia="Times New Roman" w:hAnsi="Times New Roman"/>
                <w:sz w:val="25"/>
                <w:szCs w:val="25"/>
                <w:color w:val="auto"/>
                <w:vertAlign w:val="superscript"/>
              </w:rPr>
              <w:t>(1)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2031 Term Loan Interest Rate Swap </w:t>
            </w:r>
            <w:r>
              <w:rPr>
                <w:rFonts w:ascii="Times New Roman" w:cs="Times New Roman" w:eastAsia="Times New Roman" w:hAnsi="Times New Roman"/>
                <w:sz w:val="25"/>
                <w:szCs w:val="25"/>
                <w:color w:val="auto"/>
                <w:vertAlign w:val="superscript"/>
              </w:rPr>
              <w:t>(2)</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Revolving Facility Interest Rate Swap </w:t>
            </w:r>
            <w:r>
              <w:rPr>
                <w:rFonts w:ascii="Times New Roman" w:cs="Times New Roman" w:eastAsia="Times New Roman" w:hAnsi="Times New Roman"/>
                <w:sz w:val="25"/>
                <w:szCs w:val="25"/>
                <w:color w:val="auto"/>
                <w:vertAlign w:val="superscript"/>
              </w:rPr>
              <w:t>(3)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2026 Term Loan Interest Rate Swap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2027 Term Loan Interest Rate Swap</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Revolving Facility Interest Rate Swap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8" w:lineRule="exact"/>
        <w:rPr>
          <w:sz w:val="20"/>
          <w:szCs w:val="20"/>
          <w:color w:val="auto"/>
        </w:rPr>
      </w:pPr>
    </w:p>
    <w:p>
      <w:pPr>
        <w:ind w:left="380" w:right="79" w:hanging="330"/>
        <w:spacing w:after="0" w:line="233"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interest rate swaps to fix SOFR and achieve a weighted average fixed interest rate of 2.05% plus the applicable spread on the $100.0 million 2029 Term Loan (hereinafter defined) balance.</w:t>
      </w:r>
    </w:p>
    <w:p>
      <w:pPr>
        <w:ind w:left="380" w:right="79" w:hanging="330"/>
        <w:spacing w:after="0" w:line="221"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interest rate swaps to fix SOFR and achieve a weighted average fixed interest rate of 2.05% plus the applicable spread on the $100.0 million 2031 Term Loan (hereinafter defined) balance.</w:t>
      </w:r>
    </w:p>
    <w:p>
      <w:pPr>
        <w:ind w:left="380" w:right="79" w:hanging="330"/>
        <w:spacing w:after="0" w:line="239"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interest rate swaps to fix SOFR and achieve a weighted average fixed interest rate of 3.32% plus the applicable spread on $100.0 million of the outstanding balance on the Revolving Facility (hereinafter defined).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INTANGIBLE ASSETS AND LIABILITIES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Intangible assets and liabilities consisted of the following as of March 31, 2026 and December 31, 2025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8"/>
                <w:szCs w:val="18"/>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57,179</w:t>
            </w:r>
          </w:p>
        </w:tc>
        <w:tc>
          <w:tcPr>
            <w:tcW w:w="180" w:type="dxa"/>
            <w:vAlign w:val="bottom"/>
          </w:tcPr>
          <w:p>
            <w:pPr>
              <w:spacing w:after="0"/>
              <w:rPr>
                <w:sz w:val="18"/>
                <w:szCs w:val="18"/>
                <w:color w:val="auto"/>
              </w:rPr>
            </w:pPr>
          </w:p>
        </w:tc>
        <w:tc>
          <w:tcPr>
            <w:tcW w:w="5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56,614</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 w:type="dxa"/>
            <w:vAlign w:val="bottom"/>
          </w:tcPr>
          <w:p>
            <w:pPr>
              <w:spacing w:after="0"/>
              <w:rPr>
                <w:sz w:val="18"/>
                <w:szCs w:val="18"/>
                <w:color w:val="auto"/>
              </w:rPr>
            </w:pPr>
          </w:p>
        </w:tc>
      </w:tr>
      <w:tr>
        <w:trPr>
          <w:trHeight w:val="216"/>
        </w:trPr>
        <w:tc>
          <w:tcPr>
            <w:tcW w:w="5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20" w:type="dxa"/>
            <w:vAlign w:val="bottom"/>
          </w:tcPr>
          <w:p>
            <w:pPr>
              <w:spacing w:after="0"/>
              <w:rPr>
                <w:sz w:val="18"/>
                <w:szCs w:val="18"/>
                <w:color w:val="auto"/>
              </w:rPr>
            </w:pPr>
          </w:p>
        </w:tc>
      </w:tr>
      <w:tr>
        <w:trPr>
          <w:trHeight w:val="209"/>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77,779</w:t>
            </w:r>
          </w:p>
        </w:tc>
        <w:tc>
          <w:tcPr>
            <w:tcW w:w="20" w:type="dxa"/>
            <w:vAlign w:val="bottom"/>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(31,505)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w:t>
            </w:r>
          </w:p>
        </w:tc>
        <w:tc>
          <w:tcPr>
            <w:tcW w:w="20" w:type="dxa"/>
            <w:vAlign w:val="bottom"/>
          </w:tcPr>
          <w:p>
            <w:pPr>
              <w:spacing w:after="0"/>
              <w:rPr>
                <w:sz w:val="18"/>
                <w:szCs w:val="18"/>
                <w:color w:val="auto"/>
              </w:rPr>
            </w:pPr>
          </w:p>
        </w:tc>
      </w:tr>
      <w:tr>
        <w:trPr>
          <w:trHeight w:val="209"/>
        </w:trPr>
        <w:tc>
          <w:tcPr>
            <w:tcW w:w="5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46,759</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48,925</w:t>
            </w:r>
          </w:p>
        </w:tc>
        <w:tc>
          <w:tcPr>
            <w:tcW w:w="20" w:type="dxa"/>
            <w:vAlign w:val="bottom"/>
          </w:tcPr>
          <w:p>
            <w:pPr>
              <w:spacing w:after="0"/>
              <w:rPr>
                <w:sz w:val="18"/>
                <w:szCs w:val="18"/>
                <w:color w:val="auto"/>
              </w:rPr>
            </w:pPr>
          </w:p>
        </w:tc>
      </w:tr>
      <w:tr>
        <w:trPr>
          <w:trHeight w:val="20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(7,644)</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0" w:type="dxa"/>
            <w:vAlign w:val="bottom"/>
          </w:tcPr>
          <w:p>
            <w:pPr>
              <w:spacing w:after="0"/>
              <w:rPr>
                <w:sz w:val="18"/>
                <w:szCs w:val="18"/>
                <w:color w:val="auto"/>
              </w:rPr>
            </w:pPr>
          </w:p>
        </w:tc>
      </w:tr>
      <w:tr>
        <w:trPr>
          <w:trHeight w:val="209"/>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 w:type="dxa"/>
            <w:vAlign w:val="bottom"/>
          </w:tcPr>
          <w:p>
            <w:pPr>
              <w:spacing w:after="0"/>
              <w:rPr>
                <w:sz w:val="18"/>
                <w:szCs w:val="18"/>
                <w:color w:val="auto"/>
              </w:rPr>
            </w:pPr>
          </w:p>
        </w:tc>
      </w:tr>
      <w:tr>
        <w:trPr>
          <w:trHeight w:val="210"/>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0" w:type="dxa"/>
            <w:vAlign w:val="bottom"/>
          </w:tcPr>
          <w:p>
            <w:pPr>
              <w:spacing w:after="0"/>
              <w:rPr>
                <w:sz w:val="18"/>
                <w:szCs w:val="18"/>
                <w:color w:val="auto"/>
              </w:rPr>
            </w:pPr>
          </w:p>
        </w:tc>
      </w:tr>
      <w:tr>
        <w:trPr>
          <w:trHeight w:val="20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42,128</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43,954</w:t>
            </w:r>
          </w:p>
        </w:tc>
        <w:tc>
          <w:tcPr>
            <w:tcW w:w="2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Properties Revenue</w:t>
            </w:r>
          </w:p>
        </w:tc>
        <w:tc>
          <w:tcPr>
            <w:tcW w:w="2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r>
      <w:tr>
        <w:trPr>
          <w:trHeight w:val="210"/>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 of Intangible Assets and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Amortization of</w:t>
            </w: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Future Amortization</w:t>
            </w:r>
          </w:p>
        </w:tc>
        <w:tc>
          <w:tcPr>
            <w:tcW w:w="12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Future Accretion to</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Intangible Assets and</w:t>
            </w:r>
          </w:p>
        </w:tc>
      </w:tr>
      <w:tr>
        <w:trPr>
          <w:trHeight w:val="23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Property Revenue</w:t>
            </w:r>
          </w:p>
        </w:tc>
        <w:tc>
          <w:tcPr>
            <w:tcW w:w="180" w:type="dxa"/>
            <w:vAlign w:val="bottom"/>
          </w:tcPr>
          <w:p>
            <w:pPr>
              <w:spacing w:after="0"/>
              <w:rPr>
                <w:sz w:val="20"/>
                <w:szCs w:val="20"/>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10"/>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and Thereafter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r>
      <w:tr>
        <w:trPr>
          <w:trHeight w:val="21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42,128</w:t>
            </w: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weighted average amortization period of both the total intangible assets and liabilities was 8.8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PROVISION FOR IMPAIRMENT</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Income Properties</w:t>
      </w:r>
      <w:r>
        <w:rPr>
          <w:rFonts w:ascii="Times New Roman" w:cs="Times New Roman" w:eastAsia="Times New Roman" w:hAnsi="Times New Roman"/>
          <w:sz w:val="18"/>
          <w:szCs w:val="18"/>
          <w:color w:val="auto"/>
        </w:rPr>
        <w:t>. The Company assesses the impairment of long-lived assets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spacing w:after="0" w:line="18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on the Company’s income property portfolio during the three months ended March 31, 2026.</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a $1.8 million impairment charge primarily related to the provision for losses related to two retail properties, leased to Walgreens, within the Company’s income properties segment, which are classified as held for sale. The impairment charge of $1.8 million is equal to the estimated sales prices for these assets pursuant to purchase and sale agreements executed during the three months ended March 31, 2025, less the book value of the assets as of March 31, 2025, less estimated costs to sell.</w:t>
      </w:r>
    </w:p>
    <w:p>
      <w:pPr>
        <w:spacing w:after="0" w:line="18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Commercial Loans and Investments</w:t>
      </w:r>
      <w:r>
        <w:rPr>
          <w:rFonts w:ascii="Times New Roman" w:cs="Times New Roman" w:eastAsia="Times New Roman" w:hAnsi="Times New Roman"/>
          <w:sz w:val="18"/>
          <w:szCs w:val="18"/>
          <w:color w:val="auto"/>
        </w:rPr>
        <w:t>. The Company evaluates the collectability of its commercial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investments on a quarterly basis or whenever events or changes in circumstances indicate that the carrying amount of an asset may not be recoverable. The Company accounts for provisions for expected credit losses in accordance with ASC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Changes in the Company’s allowance for credit losses are presented within the provision for impairment in the accompanying consolidated statements of operations.</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charges of $0.5 million and $0.2 million, respectively, representing the provision for credit losses related to our commercial loans and investments. The impairment charges were driven by the initial estimated CECL allowance based on our investment activity during the three months ended March 31, 2026 and 2025.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8. OTHER ASSETS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10"/>
        </w:trPr>
        <w:tc>
          <w:tcPr>
            <w:tcW w:w="582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Tenant Receivables—Net of Allowance for Doubtful Accounts </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on Acquisitions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16"/>
        </w:trPr>
        <w:tc>
          <w:tcPr>
            <w:tcW w:w="5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582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Right-of-Use Asset </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r>
      <w:tr>
        <w:trPr>
          <w:trHeight w:val="210"/>
        </w:trPr>
        <w:tc>
          <w:tcPr>
            <w:tcW w:w="5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a $0.3 million and $0.2 million allowance for doubtful accounts as of March 31, 2026 and December 31, 2025, respectively.</w:t>
      </w:r>
    </w:p>
    <w:p>
      <w:pPr>
        <w:spacing w:after="0" w:line="3" w:lineRule="exact"/>
        <w:rPr>
          <w:rFonts w:ascii="Times New Roman" w:cs="Times New Roman" w:eastAsia="Times New Roman" w:hAnsi="Times New Roman"/>
          <w:sz w:val="11"/>
          <w:szCs w:val="11"/>
          <w:color w:val="auto"/>
        </w:rPr>
      </w:pPr>
    </w:p>
    <w:p>
      <w:pPr>
        <w:ind w:left="380" w:hanging="330"/>
        <w:spacing w:after="0"/>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right-of-use asset balance as of March 31, 2026.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OPERATING LAND LEASES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requires a lessee to recognize right-of-use assets and lease liabilities that arise from leases, whether qualifying as an operating or finance lease. As of March 31, 2026 and December 31, 2025, the Company’s right-of-use assets totaled $3.0 million and the corresponding lease liabilities totaled $3.1 million,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Amortization of right-of-use assets for operating land leases is recognized on a straight-line basis over the term of the lease and is included within real estate expenses in the consolidated statements of operations. Amortization totaled less than $0.1 million during the three months ended March 31, 2026 and 2025, respectively.</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operating land leases, under which the Company is the lessee, for the three months ended March 31, 2026 and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r>
      <w:tr>
        <w:trPr>
          <w:trHeight w:val="210"/>
        </w:trPr>
        <w:tc>
          <w:tcPr>
            <w:tcW w:w="5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Borders>
              <w:bottom w:val="single" w:sz="8" w:color="CCEEFF"/>
            </w:tcBorders>
          </w:tcPr>
          <w:p>
            <w:pPr>
              <w:spacing w:after="0"/>
              <w:rPr>
                <w:sz w:val="18"/>
                <w:szCs w:val="18"/>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Minimum future lease payments under non-cancelable operating land leases, having remaining terms in excess of one year subsequent to March 31, 2026, are summarized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0"/>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and Thereafter</w:t>
            </w:r>
          </w:p>
        </w:tc>
        <w:tc>
          <w:tcPr>
            <w:tcW w:w="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ASSETS HELD FOR SALE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Assets held for sale was comprised of two properties as of March 31, 2026 and three properties as of December 31, 2025. One of the properties classified as held for sale as of December 31, 2025 was placed back into service during the three months ended March 31, 2026. The Company determined the property no longer met the criteria to be classified as held for sale as the sale is no longer deemed probable based on the likely termination of the underlying purchase and sale agreement. As a result, the Company recorded $0.3 million of depreciation and amortization expense during the three months ended March 31, 2026 to account for the property being placed back into service.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Assets held for sale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6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8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8"/>
                <w:szCs w:val="18"/>
                <w:color w:val="auto"/>
              </w:rPr>
            </w:pP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20" w:type="dxa"/>
            <w:vAlign w:val="bottom"/>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0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Prior to Provision for Impairment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Impairment</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(2,095)</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0" w:type="dxa"/>
            <w:vAlign w:val="bottom"/>
          </w:tcPr>
          <w:p>
            <w:pPr>
              <w:spacing w:after="0"/>
              <w:rPr>
                <w:sz w:val="18"/>
                <w:szCs w:val="18"/>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2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CTO</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 Reserves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16"/>
        </w:trPr>
        <w:tc>
          <w:tcPr>
            <w:tcW w:w="51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Liability </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1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Accounts Payable,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7,877</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operating lease liability balance as of March 31, 2026.</w:t>
      </w: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NOTE 12. OBLIGATION UNDER PARTICIPATION AGREEMENT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2, “Summary of Significant Accounting Policies,” the Company follows the guidance in FASB Topic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described in Note 4, “Commercial Loans and Investments”, the Company’s 2025 Loan Participation Sale for $10.0 million and 2026 Loan Participation Sale for $10.8 million at a 10.0% interest rate did not achieve sale accounting. As of March 31, 2026, the Company’s obligation under participation agreement had a face value of $20.3 million, and the carrying value of the loan that is associated with this obligation under participation agreement was $20.1 million, net of a CECL reserve of $0.2 million. As of December 31, 2025, the Company’s obligation under participation agreement had a face value of $10.0 million, and the carrying value of the loan that is associated with this obligation under participation agreement was $9.9 million, net of a CECL reserve of $0.1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LONG-TERM DEBT</w:t>
      </w:r>
    </w:p>
    <w:p>
      <w:pPr>
        <w:spacing w:after="0" w:line="229" w:lineRule="exact"/>
        <w:rPr>
          <w:sz w:val="20"/>
          <w:szCs w:val="20"/>
          <w:color w:val="auto"/>
        </w:rPr>
      </w:pPr>
    </w:p>
    <w:p>
      <w:pPr>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outstanding indebtedness, at face value, was as follows. See Note 14, “Interest Rate Swaps” for further disclosure related to the Company’s interest rate swaps.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Wtd. Avg. Rate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Face Value Debt</w:t>
            </w:r>
          </w:p>
        </w:tc>
        <w:tc>
          <w:tcPr>
            <w:tcW w:w="140" w:type="dxa"/>
            <w:vAlign w:val="bottom"/>
          </w:tcPr>
          <w:p>
            <w:pPr>
              <w:spacing w:after="0"/>
              <w:rPr>
                <w:sz w:val="17"/>
                <w:szCs w:val="17"/>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Stated Interest</w:t>
            </w: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as of March 31,</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60" w:type="dxa"/>
            <w:vAlign w:val="bottom"/>
          </w:tcPr>
          <w:p>
            <w:pPr>
              <w:spacing w:after="0"/>
              <w:rPr>
                <w:sz w:val="19"/>
                <w:szCs w:val="19"/>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0" w:type="dxa"/>
            <w:vAlign w:val="bottom"/>
          </w:tcPr>
          <w:p>
            <w:pPr>
              <w:spacing w:after="0"/>
              <w:rPr>
                <w:sz w:val="1"/>
                <w:szCs w:val="1"/>
                <w:color w:val="auto"/>
              </w:rPr>
            </w:pPr>
          </w:p>
        </w:tc>
      </w:tr>
      <w:tr>
        <w:trPr>
          <w:trHeight w:val="175"/>
        </w:trPr>
        <w:tc>
          <w:tcPr>
            <w:tcW w:w="33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Revolving Facility </w:t>
            </w:r>
            <w:r>
              <w:rPr>
                <w:rFonts w:ascii="Times New Roman" w:cs="Times New Roman" w:eastAsia="Times New Roman" w:hAnsi="Times New Roman"/>
                <w:sz w:val="25"/>
                <w:szCs w:val="25"/>
                <w:color w:val="auto"/>
                <w:vertAlign w:val="superscript"/>
              </w:rPr>
              <w:t>(1)</w:t>
            </w: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SOFR +</w:t>
            </w:r>
          </w:p>
        </w:tc>
        <w:tc>
          <w:tcPr>
            <w:tcW w:w="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161,500</w:t>
            </w:r>
          </w:p>
        </w:tc>
        <w:tc>
          <w:tcPr>
            <w:tcW w:w="160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[1.25% - 2.20%]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4.96%</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February 2030</w:t>
            </w:r>
          </w:p>
        </w:tc>
        <w:tc>
          <w:tcPr>
            <w:tcW w:w="0" w:type="dxa"/>
            <w:vAlign w:val="bottom"/>
          </w:tcPr>
          <w:p>
            <w:pPr>
              <w:spacing w:after="0"/>
              <w:rPr>
                <w:sz w:val="1"/>
                <w:szCs w:val="1"/>
                <w:color w:val="auto"/>
              </w:rPr>
            </w:pPr>
          </w:p>
        </w:tc>
      </w:tr>
      <w:tr>
        <w:trPr>
          <w:trHeight w:val="18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2029 Term Loan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7"/>
                <w:szCs w:val="17"/>
                <w:color w:val="auto"/>
                <w:w w:val="99"/>
              </w:rPr>
              <w:t>SOFR +</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0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[1.25% - 1.90%]</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3.50%</w:t>
            </w:r>
          </w:p>
        </w:tc>
        <w:tc>
          <w:tcPr>
            <w:tcW w:w="160" w:type="dxa"/>
            <w:vAlign w:val="bottom"/>
          </w:tcPr>
          <w:p>
            <w:pPr>
              <w:spacing w:after="0"/>
              <w:rPr>
                <w:sz w:val="19"/>
                <w:szCs w:val="19"/>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February 2029</w:t>
            </w:r>
          </w:p>
        </w:tc>
        <w:tc>
          <w:tcPr>
            <w:tcW w:w="0" w:type="dxa"/>
            <w:vAlign w:val="bottom"/>
          </w:tcPr>
          <w:p>
            <w:pPr>
              <w:spacing w:after="0"/>
              <w:rPr>
                <w:sz w:val="1"/>
                <w:szCs w:val="1"/>
                <w:color w:val="auto"/>
              </w:rPr>
            </w:pPr>
          </w:p>
        </w:tc>
      </w:tr>
      <w:tr>
        <w:trPr>
          <w:trHeight w:val="181"/>
        </w:trPr>
        <w:tc>
          <w:tcPr>
            <w:tcW w:w="3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2031 Term Loan </w:t>
            </w:r>
            <w:r>
              <w:rPr>
                <w:rFonts w:ascii="Times New Roman" w:cs="Times New Roman" w:eastAsia="Times New Roman" w:hAnsi="Times New Roman"/>
                <w:sz w:val="25"/>
                <w:szCs w:val="25"/>
                <w:color w:val="auto"/>
                <w:vertAlign w:val="superscript"/>
              </w:rPr>
              <w:t>(3)</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center"/>
              <w:ind w:right="140"/>
              <w:spacing w:after="0" w:line="181" w:lineRule="exact"/>
              <w:rPr>
                <w:sz w:val="20"/>
                <w:szCs w:val="20"/>
                <w:color w:val="auto"/>
              </w:rPr>
            </w:pPr>
            <w:r>
              <w:rPr>
                <w:rFonts w:ascii="Times New Roman" w:cs="Times New Roman" w:eastAsia="Times New Roman" w:hAnsi="Times New Roman"/>
                <w:sz w:val="17"/>
                <w:szCs w:val="17"/>
                <w:color w:val="auto"/>
                <w:w w:val="99"/>
              </w:rPr>
              <w:t>SOFR +</w:t>
            </w: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20" w:type="dxa"/>
            <w:vAlign w:val="bottom"/>
            <w:gridSpan w:val="2"/>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0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[1.25% - 1.90%]</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February 2031</w:t>
            </w:r>
          </w:p>
        </w:tc>
        <w:tc>
          <w:tcPr>
            <w:tcW w:w="0" w:type="dxa"/>
            <w:vAlign w:val="bottom"/>
          </w:tcPr>
          <w:p>
            <w:pPr>
              <w:spacing w:after="0"/>
              <w:rPr>
                <w:sz w:val="1"/>
                <w:szCs w:val="1"/>
                <w:color w:val="auto"/>
              </w:rPr>
            </w:pPr>
          </w:p>
        </w:tc>
      </w:tr>
      <w:tr>
        <w:trPr>
          <w:trHeight w:val="19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Debt/Weighted-Average Rate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361,500</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4.15%</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79" w:hanging="330"/>
        <w:spacing w:after="0" w:line="233"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interest rate swaps to fix SOFR and achieve a weighted average fixed interest rate of 3.32% plus the applicable spread on $100 million of the outstanding balance on the Revolving Facility (hereinafter defined).</w:t>
      </w:r>
    </w:p>
    <w:p>
      <w:pPr>
        <w:ind w:left="380" w:right="79" w:hanging="330"/>
        <w:spacing w:after="0" w:line="221"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interest rate swaps to fix SOFR and achieve a weighted average fixed interest rate of 2.05% plus the applicable spread on the $100 million 2029 Term Loan (hereinafter defined) balance.</w:t>
      </w:r>
    </w:p>
    <w:p>
      <w:pPr>
        <w:ind w:left="380" w:right="79" w:hanging="330"/>
        <w:spacing w:after="0" w:line="239" w:lineRule="auto"/>
        <w:tabs>
          <w:tab w:leader="none" w:pos="3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 of March 31, 2026, the Company has utilized interest rate swaps to fix SOFR and achieve a weighted average fixed interest rate of 2.05% plus the applicable spread on the $100 million 2031 Term Loan (hereinafter defined) balance.</w:t>
      </w:r>
    </w:p>
    <w:p>
      <w:pPr>
        <w:spacing w:after="0" w:line="16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On February 4, 2026, the Company, the Operating Partnership, as borrower (the “Borrower”),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subsidiaries of the Borrower entered into an Amended and Restated Credit Agreement with Truist Bank, N.A., as administrative agent, and certain other lenders named therein (the “Amended and Restated Credit Agreement”). The Amended and Restated Credit Agreement provides for a $250 million senior unsecured revolving credit facility (the “Revolving Facility”), a $100 million senior unsecured term loan credit facility maturing in 2029 (the “2029 Term Loan”), and a $100 million senior unsecured term loan credit facility maturing in 2031 (the “2031 Term Loan” and, together with the Revolving Facility and the 2029 Term Loan, the “Facilities”). On February 4, 2026, in connection with the Borrower’s entry into the Amended and Restated Credit Agreement, the Borrower repaid all obligations outstanding under its previous credit agreement with KeyBank National Association, dated as of September 30, 2022, among the Company, as parent guarantor, the Borrower, certain subsidiaries of the Borrower, KeyBank National Association, as administrative agent, and certain other lenders named therein (as amended, the “Prior Credit Agreement”). As a result, the Prior Credit Agreement was terminated and the obligations thereunder were discharged.</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terms of the Amended and Restated Credit Agreement include, among other things:</w:t>
      </w:r>
    </w:p>
    <w:p>
      <w:pPr>
        <w:spacing w:after="0" w:line="158" w:lineRule="exact"/>
        <w:rPr>
          <w:sz w:val="20"/>
          <w:szCs w:val="20"/>
          <w:color w:val="auto"/>
        </w:rPr>
      </w:pPr>
    </w:p>
    <w:p>
      <w:pPr>
        <w:ind w:left="720" w:right="7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the Revolving Facility in the amount of $250 million which matures on February 4, 2030, with two six-month extension options;</w:t>
      </w:r>
    </w:p>
    <w:p>
      <w:pPr>
        <w:jc w:val="both"/>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Revolving Facility accrues at a rate ranging from SOFR plus 125 basis points to SOFR plus 220 basis points, based on the total balance outstanding under the Revolving Facility as a percentage of the total asset value of the Company, as defined in the Amended and Restated Credit Agreement. The Company may utilize daily simple SOFR or term SOFR, at its election. The Revolving Facility also accrues a fee of 15 or 25 basis points for any unused portion of the borrowing capacity based on whether the unused portion is greater or less than 50% of the total borrowing capacity;</w:t>
      </w:r>
    </w:p>
    <w:p>
      <w:pPr>
        <w:spacing w:after="0" w:line="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a the 2029 Term Loan in the amount of $100 million that matures on February 4, 2029;</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the 2031 Term Loan in the amount of $100 million that matures on February 4, 2031;</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under the 2029 Term Loan and the 2031 Term Loan accrues at a rate ranging from SOFR plus 125 basis points to SOFR plus 190 basis points, based on the total balance outstanding under the Facilities as a percentage of the total asset value of the Company, as defined in the Amended and Restated Credit Agreement. The Company may utilize daily simple SOFR or term SOFR, at its election;</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accordion feature which allows for total borrowings under the Facilities, in the aggregate, to be increased to an amount to not to exceed $750 million; and</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certain financial covenants.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commitment level under the Revolving Facility was $250.0 million and the Company had an outstanding balance of $161.5 million. The available borrowing capacity under the Revolving Facility, subject to borrowing base restrictions, was $81.2 million as of March 31, 2026.</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customary restrictive covenants under the Amended and Restated Credit Agreement, including, but not limited to, limitations on the Company’s ability to: (a) incur indebtedness; (b) make certain investments;</w:t>
      </w:r>
    </w:p>
    <w:p>
      <w:pPr>
        <w:jc w:val="both"/>
        <w:ind w:left="60" w:right="59" w:hanging="10"/>
        <w:spacing w:after="0" w:line="253" w:lineRule="auto"/>
        <w:tabs>
          <w:tab w:leader="none" w:pos="3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 (d) engage in certain affiliate transactions; and (e) engage in certain major transactions such as mergers. The Amended and Restated Credit Agreement also contain financial covenants covering the Company, including but not limited to, tangible net worth and fixed charge coverage ratios. The Company was in compliance with all of its debt covenants as of March 31, 2026.</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as of March 31, 2026 and December 31, 2025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20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4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 Due Within</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 Due Within</w:t>
            </w:r>
          </w:p>
        </w:tc>
      </w:tr>
      <w:tr>
        <w:trPr>
          <w:trHeight w:val="238"/>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00" w:type="dxa"/>
            <w:vAlign w:val="bottom"/>
          </w:tcPr>
          <w:p>
            <w:pPr>
              <w:spacing w:after="0"/>
              <w:rPr>
                <w:sz w:val="20"/>
                <w:szCs w:val="20"/>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One Year</w:t>
            </w: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Term Loan</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Term Loan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Term Loan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39" w:firstLine="324"/>
        <w:spacing w:after="0" w:line="282" w:lineRule="auto"/>
        <w:rPr>
          <w:sz w:val="20"/>
          <w:szCs w:val="20"/>
          <w:color w:val="auto"/>
        </w:rPr>
      </w:pPr>
      <w:r>
        <w:rPr>
          <w:rFonts w:ascii="Times New Roman" w:cs="Times New Roman" w:eastAsia="Times New Roman" w:hAnsi="Times New Roman"/>
          <w:sz w:val="18"/>
          <w:szCs w:val="18"/>
          <w:color w:val="auto"/>
        </w:rPr>
        <w:t>Payments applicable to reduction of principal amounts as of March 31, 2026 will be required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161,500</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 and Thereafter</w:t>
            </w: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361,500</w:t>
            </w: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long-term debt as of March 31, 2026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361,500</w:t>
            </w:r>
          </w:p>
        </w:tc>
      </w:tr>
      <w:tr>
        <w:trPr>
          <w:trHeight w:val="216"/>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1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359,428</w:t>
            </w:r>
          </w:p>
        </w:tc>
      </w:tr>
      <w:tr>
        <w:trPr>
          <w:trHeight w:val="20"/>
        </w:trPr>
        <w:tc>
          <w:tcPr>
            <w:tcW w:w="7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$2.1 million of financing costs, net of accumulated amortization included in the table above, as of March 31, 2026, the Company also had financing costs, net of accumulated amortization related to the Revolving Facility of $2.6 million which is included in other assets on the consolidated balance sheets. These costs are amortized on a straight-line basis over the term of the Revolving Facility and are included in interest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months ended March 31, 2026 and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Obligation Under Participation Agreement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 to 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197"/>
        </w:trPr>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INTEREST RATE SWAPS</w:t>
      </w:r>
    </w:p>
    <w:p>
      <w:pPr>
        <w:spacing w:after="0" w:line="121"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months ended March 31, 2026 and 2025. Accordingly, the changes in fair value on the interest rate swaps have been classified in other comprehensive income. The fair value of the interest rate swap agreements are included in other assets and accounts payable, accrued expenses and other liabilities, respectively, on the consolidated balance sheets.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related to the Company’s interest rate swap agreements is noted below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15"/>
        </w:trPr>
        <w:tc>
          <w:tcPr>
            <w:tcW w:w="2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23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(1)</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2.05% +</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2029</w:t>
            </w:r>
          </w:p>
        </w:tc>
        <w:tc>
          <w:tcPr>
            <w:tcW w:w="236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5/21/2021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5/21/2026</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(2)</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3.36% +</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2029</w:t>
            </w:r>
          </w:p>
        </w:tc>
        <w:tc>
          <w:tcPr>
            <w:tcW w:w="2360" w:type="dxa"/>
            <w:vAlign w:val="bottom"/>
            <w:gridSpan w:val="3"/>
            <w:vMerge w:val="continue"/>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5/21/2026</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2/2/2029</w:t>
            </w:r>
          </w:p>
        </w:tc>
        <w:tc>
          <w:tcPr>
            <w:tcW w:w="140" w:type="dxa"/>
            <w:vAlign w:val="bottom"/>
          </w:tcPr>
          <w:p>
            <w:pPr>
              <w:spacing w:after="0"/>
              <w:rPr>
                <w:sz w:val="18"/>
                <w:szCs w:val="18"/>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23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(3)</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2031</w:t>
            </w:r>
          </w:p>
        </w:tc>
        <w:tc>
          <w:tcPr>
            <w:tcW w:w="236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1/29/2027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2/4/2031</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(4)</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1.61% +</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2031</w:t>
            </w:r>
          </w:p>
        </w:tc>
        <w:tc>
          <w:tcPr>
            <w:tcW w:w="2360" w:type="dxa"/>
            <w:vAlign w:val="bottom"/>
            <w:gridSpan w:val="3"/>
            <w:vMerge w:val="continue"/>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11/29/2024</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1/31/2027</w:t>
            </w:r>
          </w:p>
        </w:tc>
        <w:tc>
          <w:tcPr>
            <w:tcW w:w="140" w:type="dxa"/>
            <w:vAlign w:val="bottom"/>
          </w:tcPr>
          <w:p>
            <w:pPr>
              <w:spacing w:after="0"/>
              <w:rPr>
                <w:sz w:val="18"/>
                <w:szCs w:val="18"/>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23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(5)</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3.84% +</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2031</w:t>
            </w:r>
          </w:p>
        </w:tc>
        <w:tc>
          <w:tcPr>
            <w:tcW w:w="2360" w:type="dxa"/>
            <w:vAlign w:val="bottom"/>
            <w:gridSpan w:val="3"/>
            <w:vMerge w:val="continue"/>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9/30/2022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1/31/2027</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9"/>
        </w:trPr>
        <w:tc>
          <w:tcPr>
            <w:tcW w:w="2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Revolving Facility </w:t>
            </w:r>
            <w:r>
              <w:rPr>
                <w:rFonts w:ascii="Times New Roman" w:cs="Times New Roman" w:eastAsia="Times New Roman" w:hAnsi="Times New Roman"/>
                <w:sz w:val="24"/>
                <w:szCs w:val="24"/>
                <w:color w:val="auto"/>
                <w:vertAlign w:val="superscript"/>
              </w:rPr>
              <w:t>(6)</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 +</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gridSpan w:val="4"/>
            <w:vMerge w:val="continue"/>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3/1/2023</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3/1/2028</w:t>
            </w:r>
          </w:p>
        </w:tc>
        <w:tc>
          <w:tcPr>
            <w:tcW w:w="140" w:type="dxa"/>
            <w:vAlign w:val="bottom"/>
          </w:tcPr>
          <w:p>
            <w:pPr>
              <w:spacing w:after="0"/>
              <w:rPr>
                <w:sz w:val="18"/>
                <w:szCs w:val="18"/>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189"/>
        </w:trPr>
        <w:tc>
          <w:tcPr>
            <w:tcW w:w="272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Revolving Facility </w:t>
            </w:r>
            <w:r>
              <w:rPr>
                <w:rFonts w:ascii="Times New Roman" w:cs="Times New Roman" w:eastAsia="Times New Roman" w:hAnsi="Times New Roman"/>
                <w:sz w:val="24"/>
                <w:szCs w:val="24"/>
                <w:color w:val="auto"/>
                <w:vertAlign w:val="superscript"/>
              </w:rPr>
              <w:t>(7)</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3.43% +</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gridSpan w:val="4"/>
            <w:vMerge w:val="continue"/>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4/4/2025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1/1/2027</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79" w:hanging="330"/>
        <w:spacing w:after="0" w:line="233" w:lineRule="auto"/>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interest rate swaps to fix SOFR and achieve a weighted average fixed interest rate of 2.05% plus the applicable spread on the $100.0 million 2029 Term Loan balance.</w:t>
      </w:r>
    </w:p>
    <w:p>
      <w:pPr>
        <w:ind w:left="380" w:right="79" w:hanging="330"/>
        <w:spacing w:after="0" w:line="221" w:lineRule="auto"/>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interest rate swap agreement hedges $100.0 million 2029 Term Loan balance under different terms and commences on May 21, 2026 to extend the fixed interest rate through February 2, 2029.</w:t>
      </w:r>
    </w:p>
    <w:p>
      <w:pPr>
        <w:ind w:left="380" w:right="79" w:hanging="330"/>
        <w:spacing w:after="0" w:line="221" w:lineRule="auto"/>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interest rate swap agreement hedges $100.0 million 2031 Term Loan balance under different terms and commences on January 29, 2027 to extend the fixed interest rate through February 4, 2031.</w:t>
      </w:r>
    </w:p>
    <w:p>
      <w:pPr>
        <w:ind w:left="380" w:right="79" w:hanging="330"/>
        <w:spacing w:after="0" w:line="221" w:lineRule="auto"/>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interest rate swaps to fix SOFR and achieve a fixed interest rate of 1.61% plus the applicable spread on $80.0 million of the $100.0 million 2031 Term Loan balance.</w:t>
      </w:r>
    </w:p>
    <w:p>
      <w:pPr>
        <w:ind w:left="380" w:right="79" w:hanging="330"/>
        <w:spacing w:after="0" w:line="221" w:lineRule="auto"/>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an interest rate swap to fix SOFR and achieve a fixed interest rate of 3.84% plus the applicable spread on $20.0 million of the $100.0 million 2031 Term Loan balance.</w:t>
      </w:r>
    </w:p>
    <w:p>
      <w:pPr>
        <w:ind w:left="380" w:right="79" w:hanging="330"/>
        <w:spacing w:after="0" w:line="221" w:lineRule="auto"/>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an interest rate swap to fix SOFR and achieve a fixed interest rate of 3.21% plus the applicable spread on $50.0 million of the outstanding balance on the Revolving Facility.</w:t>
      </w:r>
    </w:p>
    <w:p>
      <w:pPr>
        <w:ind w:left="380" w:right="79" w:hanging="330"/>
        <w:spacing w:after="0" w:line="239" w:lineRule="auto"/>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March 31, 2026, the Company has utilized an interest rate swap to fix SOFR and achieve a fixed interest rate of 3.43% plus the applicable spread on $50.0 million of the outstanding balance on the Revolving Facility.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47" w:lineRule="auto"/>
        <w:rPr>
          <w:sz w:val="20"/>
          <w:szCs w:val="20"/>
          <w:color w:val="auto"/>
        </w:rPr>
      </w:pPr>
      <w:r>
        <w:rPr>
          <w:rFonts w:ascii="Times New Roman" w:cs="Times New Roman" w:eastAsia="Times New Roman" w:hAnsi="Times New Roman"/>
          <w:sz w:val="18"/>
          <w:szCs w:val="18"/>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March 31, 2026 and December 31, 2025, there were no events of default related to the Company's interest rate swap agreements.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EQUITY</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87"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w:t>
      </w:r>
    </w:p>
    <w:p>
      <w:pPr>
        <w:spacing w:after="0" w:line="177" w:lineRule="exact"/>
        <w:rPr>
          <w:sz w:val="20"/>
          <w:szCs w:val="20"/>
          <w:color w:val="auto"/>
        </w:rPr>
      </w:pPr>
    </w:p>
    <w:p>
      <w:pPr>
        <w:jc w:val="both"/>
        <w:ind w:left="60" w:right="59" w:firstLine="324"/>
        <w:spacing w:after="0" w:line="246" w:lineRule="auto"/>
        <w:rPr>
          <w:sz w:val="20"/>
          <w:szCs w:val="20"/>
          <w:color w:val="auto"/>
        </w:rPr>
      </w:pPr>
      <w:r>
        <w:rPr>
          <w:rFonts w:ascii="Times New Roman" w:cs="Times New Roman" w:eastAsia="Times New Roman" w:hAnsi="Times New Roman"/>
          <w:sz w:val="18"/>
          <w:szCs w:val="18"/>
          <w:color w:val="auto"/>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200"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ATM PROGRAM</w:t>
      </w:r>
    </w:p>
    <w:p>
      <w:pPr>
        <w:spacing w:after="0" w:line="200" w:lineRule="exact"/>
        <w:rPr>
          <w:sz w:val="20"/>
          <w:szCs w:val="20"/>
          <w:color w:val="auto"/>
        </w:rPr>
      </w:pPr>
    </w:p>
    <w:p>
      <w:pPr>
        <w:jc w:val="both"/>
        <w:ind w:left="60" w:right="59" w:firstLine="324"/>
        <w:spacing w:after="0" w:line="246" w:lineRule="auto"/>
        <w:rPr>
          <w:sz w:val="20"/>
          <w:szCs w:val="20"/>
          <w:color w:val="auto"/>
        </w:rPr>
      </w:pPr>
      <w:r>
        <w:rPr>
          <w:rFonts w:ascii="Times New Roman" w:cs="Times New Roman" w:eastAsia="Times New Roman" w:hAnsi="Times New Roman"/>
          <w:sz w:val="18"/>
          <w:szCs w:val="18"/>
          <w:color w:val="auto"/>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spacing w:after="0" w:line="166"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On October 21, 2022, the Company implemented a $150.0 million “at-the-market” equity offering program (the “2022 ATM Program”) pursuant to which the Company may sell, from time to time, shares of the Company’s common stock. During the three months ended March 31, 2026, the Company sold 1,661,724 shares under the 2022 ATM Program for gross proceeds of $32.1 million at a weighted average price of $19.31 per share, generating net proceeds of $31.6 million after deducting transaction fees totaling $0.5 million. The Company was not active under the 2022 ATM Program during the three months ended March 31, 2025. During the year ended December 31, 2025, the Company sold 618,757 shares under the 2022 ATM Program for gross proceeds of $10.6 million at a weighted average price of $17.10 per share, generating net proceeds of $10.4 million after deducting transaction fees totaling $0.2 million. During the year ended December 31, 2024, the Company sold 1,059,271 shares under the 2022 ATM Program for gross proceeds of $19.1 million at a weighted average price of $18.04 per share, generating net proceeds of $18.8 million after deducting transaction fees totaling $0.3 million. During the year ended December 31, 2023, the Company sold 665,929 shares under the 2022 ATM Program for gross proceeds of $12.6 million at a weighted average price of $18.96 per share, generating net proceeds of $12.4 million after deducting transaction fees totaling $0.2 million. During the year ended December 31, 2022, the Company sold 1,479,241 shares under the 2022 ATM Program for gross proceeds of $27.8 million at a weighted average price of $18.81 per share, generating net proceeds of $27.4 million after deducting transaction fees totaling $0.4 million. As of March 31, 2026, $47.8 million of availability remained under the 2022 ATM Program.</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14"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On November 5, 2025, the Company priced a public offering of 2,000,000 shares of the Company’s 8.00% Series A Cumulative Redeemable Preferred Stock (the “Series A Preferred Stock”) at a public offering price of $25.00 per share. The offering closed on November 12, 2025, and the Company received gross proceeds of $50.0 million before deducting the underwriting discount and expenses, with net proceeds totaling $48.1 million.</w:t>
      </w:r>
    </w:p>
    <w:p>
      <w:pPr>
        <w:spacing w:after="0" w:line="164" w:lineRule="exact"/>
        <w:rPr>
          <w:sz w:val="20"/>
          <w:szCs w:val="20"/>
          <w:color w:val="auto"/>
        </w:rPr>
      </w:pPr>
    </w:p>
    <w:p>
      <w:pPr>
        <w:jc w:val="both"/>
        <w:ind w:left="60" w:right="59" w:firstLine="324"/>
        <w:spacing w:after="0" w:line="244" w:lineRule="auto"/>
        <w:rPr>
          <w:sz w:val="20"/>
          <w:szCs w:val="20"/>
          <w:color w:val="auto"/>
        </w:rPr>
      </w:pPr>
      <w:r>
        <w:rPr>
          <w:rFonts w:ascii="Times New Roman" w:cs="Times New Roman" w:eastAsia="Times New Roman" w:hAnsi="Times New Roman"/>
          <w:sz w:val="18"/>
          <w:szCs w:val="18"/>
          <w:color w:val="auto"/>
        </w:rPr>
        <w:t>On December 5, 2025, the Company implemented a $35.0 million “at-the-market” preferred stock equity offering program (the “2025 Preferred Stock ATM Program”) pursuant to which the Company may sell, from time to time, shares of the Company’s Series A Preferred Stock. During the three months ended March 31, 2026, the Company sold 186,238 shares under the 2025 Preferred Stock ATM Program for gross proceeds of $4.7 million at a weighted average price of $25.17 per share, generating net proceeds of $4.6 million after deducting transaction fees totaling less than $0.1 million. During the year ended December 31, 2025, the Company sold 83,328 shares under the 2025 Preferred Stock ATM Program for gross proceeds of $2.1 million at a weighted average price of $24.96 per share, generating net proceeds of $2.0 million after deducting transaction fees totaling less than $0.1 million. As of March 31, 2026, $28.2 million of availability remained under the 2025 Preferred Stock ATM Program.</w:t>
      </w:r>
    </w:p>
    <w:p>
      <w:pPr>
        <w:spacing w:after="0" w:line="185" w:lineRule="exact"/>
        <w:rPr>
          <w:sz w:val="20"/>
          <w:szCs w:val="20"/>
          <w:color w:val="auto"/>
        </w:rPr>
      </w:pPr>
    </w:p>
    <w:p>
      <w:pPr>
        <w:jc w:val="both"/>
        <w:ind w:left="60" w:right="59" w:firstLine="324"/>
        <w:spacing w:after="0" w:line="241" w:lineRule="auto"/>
        <w:rPr>
          <w:sz w:val="20"/>
          <w:szCs w:val="20"/>
          <w:color w:val="auto"/>
        </w:rPr>
      </w:pPr>
      <w:r>
        <w:rPr>
          <w:rFonts w:ascii="Times New Roman" w:cs="Times New Roman" w:eastAsia="Times New Roman" w:hAnsi="Times New Roman"/>
          <w:sz w:val="18"/>
          <w:szCs w:val="18"/>
          <w:color w:val="auto"/>
        </w:rPr>
        <w:t>The Series A Preferred Stock ranks senior to the Company’s common stock with respect to dividend rights and rights upon liquidation, dissolution or winding up of the Company. The Series A Preferred Stock has no maturity date and will remain outstanding unless redeemed. The Series A Preferred Stock is not redeemable by the Company prior to November 12, 2030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14"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As of March 31, 2026, CTO holds, directly and indirectly, a 6.9% noncontrolling ownership interest in the Operating Partnership as a result of 1,223,854 OP Units issued to CTO and its wholly owned subsidiaries at the time of the Company’s IPO.</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jc w:val="both"/>
        <w:ind w:left="60" w:right="59" w:firstLine="324"/>
        <w:spacing w:after="0" w:line="244"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March 31, 2026 and 2025, the Company declared and paid cash dividends on its common stock and OP Units of $0.300 and $0.285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COMMON STOCK AND EARNINGS PER SHARE</w:t>
      </w:r>
    </w:p>
    <w:p>
      <w:pPr>
        <w:spacing w:after="0" w:line="229" w:lineRule="exact"/>
        <w:rPr>
          <w:sz w:val="20"/>
          <w:szCs w:val="20"/>
          <w:color w:val="auto"/>
        </w:rPr>
      </w:pPr>
    </w:p>
    <w:p>
      <w:pPr>
        <w:jc w:val="both"/>
        <w:ind w:left="60" w:right="59" w:firstLine="324"/>
        <w:spacing w:after="0" w:line="244"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are redeemed for shares of our common stock on a one-for-one basis.</w:t>
      </w:r>
    </w:p>
    <w:p>
      <w:pPr>
        <w:spacing w:after="0" w:line="2"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(in thousands, except share and per share data):</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6080" w:type="dxa"/>
            <w:vAlign w:val="bottom"/>
          </w:tcPr>
          <w:p>
            <w:pPr>
              <w:spacing w:after="0"/>
              <w:rPr>
                <w:sz w:val="18"/>
                <w:szCs w:val="18"/>
                <w:color w:val="auto"/>
              </w:rPr>
            </w:pPr>
          </w:p>
        </w:tc>
        <w:tc>
          <w:tcPr>
            <w:tcW w:w="15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18"/>
                <w:szCs w:val="18"/>
                <w:color w:val="auto"/>
              </w:rPr>
            </w:pPr>
          </w:p>
        </w:tc>
      </w:tr>
      <w:tr>
        <w:trPr>
          <w:trHeight w:val="209"/>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15,544,745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14,628,921</w:t>
            </w:r>
          </w:p>
        </w:tc>
        <w:tc>
          <w:tcPr>
            <w:tcW w:w="20" w:type="dxa"/>
            <w:vAlign w:val="bottom"/>
          </w:tcPr>
          <w:p>
            <w:pPr>
              <w:spacing w:after="0"/>
              <w:rPr>
                <w:sz w:val="18"/>
                <w:szCs w:val="18"/>
                <w:color w:val="auto"/>
              </w:rPr>
            </w:pPr>
          </w:p>
        </w:tc>
      </w:tr>
      <w:tr>
        <w:trPr>
          <w:trHeight w:val="190"/>
        </w:trPr>
        <w:tc>
          <w:tcPr>
            <w:tcW w:w="6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Shares Applicable to OP Units using</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6080" w:type="dxa"/>
            <w:vAlign w:val="bottom"/>
            <w:tcBorders>
              <w:bottom w:val="single" w:sz="8" w:color="CCEEFF"/>
            </w:tcBorders>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Treasury Stock Method </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20" w:type="dxa"/>
            <w:vAlign w:val="bottom"/>
          </w:tcPr>
          <w:p>
            <w:pPr>
              <w:spacing w:after="0"/>
              <w:rPr>
                <w:sz w:val="21"/>
                <w:szCs w:val="21"/>
                <w:color w:val="auto"/>
              </w:rPr>
            </w:pPr>
          </w:p>
        </w:tc>
      </w:tr>
      <w:tr>
        <w:trPr>
          <w:trHeight w:val="21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Applicable to Diluted Earnings per Share</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16,768,599</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15,852,775</w:t>
            </w:r>
          </w:p>
        </w:tc>
        <w:tc>
          <w:tcPr>
            <w:tcW w:w="2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8"/>
                <w:szCs w:val="18"/>
                <w:color w:val="auto"/>
              </w:rPr>
            </w:pPr>
          </w:p>
        </w:tc>
      </w:tr>
      <w:tr>
        <w:trPr>
          <w:trHeight w:val="234"/>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8" w:lineRule="exact"/>
        <w:rPr>
          <w:sz w:val="20"/>
          <w:szCs w:val="20"/>
          <w:color w:val="auto"/>
        </w:rPr>
      </w:pPr>
    </w:p>
    <w:p>
      <w:pPr>
        <w:ind w:left="380" w:right="79" w:hanging="330"/>
        <w:spacing w:after="0" w:line="261" w:lineRule="auto"/>
        <w:tabs>
          <w:tab w:leader="none" w:pos="3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OP Units issued to CTO and its subsidiaries in connection with our formation transactions (See Note 19, “Related Party Management Company”).</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17. SHARE REPURCHASES</w:t>
      </w:r>
    </w:p>
    <w:p>
      <w:pPr>
        <w:spacing w:after="0" w:line="229"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year ended December 31, 2023.</w:t>
      </w:r>
    </w:p>
    <w:p>
      <w:pPr>
        <w:spacing w:after="0" w:line="177" w:lineRule="exact"/>
        <w:rPr>
          <w:sz w:val="20"/>
          <w:szCs w:val="20"/>
          <w:color w:val="auto"/>
        </w:rPr>
      </w:pPr>
    </w:p>
    <w:p>
      <w:pPr>
        <w:jc w:val="both"/>
        <w:ind w:left="60" w:right="59" w:firstLine="383"/>
        <w:spacing w:after="0" w:line="250" w:lineRule="auto"/>
        <w:rPr>
          <w:sz w:val="20"/>
          <w:szCs w:val="20"/>
          <w:color w:val="auto"/>
        </w:rPr>
      </w:pPr>
      <w:r>
        <w:rPr>
          <w:rFonts w:ascii="Times New Roman" w:cs="Times New Roman" w:eastAsia="Times New Roman" w:hAnsi="Times New Roman"/>
          <w:sz w:val="18"/>
          <w:szCs w:val="18"/>
          <w:color w:val="auto"/>
        </w:rPr>
        <w:t>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w:t>
      </w:r>
    </w:p>
    <w:p>
      <w:pPr>
        <w:spacing w:after="0" w:line="16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aggregate, the Company repurchased 899,011 shares of its common stock on the open market for a total cost of $14.6 million, or an average price per share of $16.23, during the year ended December 31, 2023.</w:t>
      </w:r>
    </w:p>
    <w:p>
      <w:pPr>
        <w:spacing w:after="0" w:line="13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Under the 2023 $15.0 Million Repurchase Program, the Company repurchased 45,768 shares of its common stock on the open market for a total cost of $0.8 million, or an average price per share of $16.90, during the three months ended March 31, 2024, which completed the 2023 $15.0 Million Repurchase Program.</w:t>
      </w:r>
    </w:p>
    <w:p>
      <w:pPr>
        <w:spacing w:after="0" w:line="169"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In February 2025, the Board approved a $10.0 million stock repurchase program (the “2025 $10.0 Million Repurchase Program”). The Company was not active under the 2025 $10.0 Million Repurchase Program during the three months ended March 31, 2026. Under the 2025 $10.0 Million Repurchase Program, the Company repurchased 273,825 shares of its common stock on the open market for a total cost of $4.5 million, or an average price per share of $16.33, during the three months ended March 31, 2025. Under the 2025 $10.0 Million Repurchase Program, the Company repurchased 546,390 shares of its common stock on the open market for a total cost of $8.8 million, or an average price per share of $16.07, during the year ended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18. STOCK-BASED COMPENSATION</w:t>
      </w:r>
    </w:p>
    <w:p>
      <w:pPr>
        <w:spacing w:after="0" w:line="229" w:lineRule="exact"/>
        <w:rPr>
          <w:sz w:val="20"/>
          <w:szCs w:val="20"/>
          <w:color w:val="auto"/>
        </w:rPr>
      </w:pPr>
    </w:p>
    <w:p>
      <w:pPr>
        <w:jc w:val="both"/>
        <w:ind w:left="60" w:right="59" w:firstLine="324"/>
        <w:spacing w:after="0" w:line="243" w:lineRule="auto"/>
        <w:rPr>
          <w:sz w:val="20"/>
          <w:szCs w:val="20"/>
          <w:color w:val="auto"/>
        </w:rPr>
      </w:pPr>
      <w:r>
        <w:rPr>
          <w:rFonts w:ascii="Times New Roman" w:cs="Times New Roman" w:eastAsia="Times New Roman" w:hAnsi="Times New Roman"/>
          <w:sz w:val="18"/>
          <w:szCs w:val="18"/>
          <w:color w:val="auto"/>
        </w:rPr>
        <w:t>Under the Company’s non-employee director compensation policy, each non-employee member of the Board receives a portion of their annual retainer fee in shares of Company common stock, and a portion in cash; and, with respect to the cash portion, each director may elect to receive such portion in shares of Company common stock rather than cash. The number of shares issued to the directors is calculated quarterly by dividing (i) the amount of the quarterly retainer fee payment due to such director by (ii) the 20-day trailing average closing price of the Company’s common stock as of the last business day of the quarter for which such payment applied, rounded down to the nearest whole number of shares. During the three months ended March 31, 2026, the expense recognized for the value of the Company’s common stock received by non-employee directors totaled $0.1 million, or 5,060 shares, which were issued on April 1, 2026. During the three months ended March 31, 2025, the expense recognized for the value of the Company’s common stock received by non-employee directors totaled $0.1 million, or 5,806 shares, which were issued on April 1, 2025.</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19. RELATED PARTY MANAGEMENT COMPANY</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externally managed by the Manager, a wholly owned subsidiary of CTO. Subsequent to the IPO, through March 31, 2026, CTO has, directly and indirectly through a wholly owned subsidiary, purchased an aggregate of 431,912 shares of PINE common stock in the open market including (i) 109,081 shares purchased during the year ended December 31, 2025 for $1.6 million, or an average price per share of $14.24, (ii) 29,807 shares purchased during the year ended December 31, 2024 for $0.4 million, or an average price per share of $14.97, (iii) 129,271 shares purchased during the year ended December 31, 2023 for $2.1 million, or an average price per share of $16.21, (iv) 155,665 shares purchased during the year ended December 31, 2022 for $2.7 million, or an average price per share of $17.57 and (v) 8,088 shares purchased during the year ended December 31, 2021 for $0.1 million, or an average price per share of $17.65.</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CTO owns, directly and indirectly through wholly owned subsidiaries, in the aggregate, 1,223,854 OP Units and 1,247,702 shares of PINE common stock, inclusive of (i) 394,737 shares of common stock totaling $7.5 million issued in connection with a private placement that closed concurrently with the IPO, (ii) 421,053 shares of common stock totaling $8.0 million issued in connection with the IPO, and (iii) 431,912 shares of common stock totaling $7.0 million purchased by CTO, directly and indirectly through a wholly owned subsidiary, subsequent to the IPO. The aggregate 1,223,854 OP Units and 1,247,702 shares of PINE common stock held by CTO represent an investment totaling $44.5 million, or 14.0% of PINE’s combined total of 17,674,611 shares of outstanding common stock and OP Units, as of March 31, 2026.</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 Our Manager has waived a portion of the base management fee attributable to the inclusion of the net cash proceeds from the issuance of the Series A Preferred Stock in our “total equity” (the “Incremental Equity Base”), such that the base management fee rate on the Incremental Equity Base is equal to 0.75% per annum (0.1875% per quarter), instead of 1.50% per annum (0.375% per quarter) as provided in the Management Agreement.</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on that date the term of the Management Agreement automatically renewed for a one-year term. The current term of the Management Agreement expires on January 31, 2027, and the Management Agreement will automatically renew for an unlimited number of successive one-year periods thereafter, unless the Management Agreement is not renewed or is terminated in accordance with its terms.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independent directors review our Manager’s performance and the management fees annually, and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without the payment of any termination fee, with 30 days’ prior written notice from the Board.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80"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The Company incurred management fee expenses totaling $1.3 million during the three months ended March 31, 2026. The Company also paid dividends on the common stock and OP Units owned by affiliates of the Manager in the amount of $0.7 million for the three months ended March 31, 2026. The Company incurred management fee expenses totaling $1.1 million during the three months ended March 31, 2025. The Company also paid dividends on the common stock and OP Units owned by affiliates of the Manager in the amount of $0.7 million for the three months ended March 31, 2025.</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amounts due to CTO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Included in accrued expenses, see Note 11, “Accounts Payable, Accrued Expenses, and Other Liabilities”.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ROFO Agreement</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term of the ROFO Agreement will continue for so long as the Management Agreement with our Manager is in effect.</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April 6, 2021, the Company entered into a purchase and sale agreement with a certain subsidiary of CTO for the purchase of one net lease property for $11.5 million. The acquisition was completed on April 23, 2021.</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January 5, 2022, the Company entered into a purchase and sale agreement with a certain subsidiary of CTO for the purchase of one net lease property for $6.9 million. The acquisition was completed on January 7, 2022.</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entry into these purchase and sale agreements, and subsequent completion of the related acquisitions, are a result of the Company exercising its right to purchase the aforementioned properties under the ROFO Agreement.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20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20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76" w:lineRule="exact"/>
        <w:rPr>
          <w:sz w:val="20"/>
          <w:szCs w:val="20"/>
          <w:color w:val="auto"/>
        </w:rPr>
      </w:pPr>
    </w:p>
    <w:p>
      <w:pPr>
        <w:jc w:val="both"/>
        <w:ind w:left="60" w:right="59" w:firstLine="383"/>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Sharing Agreement</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December 4, 2023, CTO entered into an asset management agreement to manage a portfolio of real estate assets. The Company entered into a revenue sharing agreement with CTO whereby the Company receives a share of the asset management fees, disposition management fees, leasing commissions, and other fees related to CTO’s management and administration of the portfolio (the “Revenue Sharing Agreement”). The Company’s share of the fees under the Revenue Sharing Agreement is based on fees earned by CTO associated with the single tenant properties within the portfolio.</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$0.1 million of revenue pursuant to the Revenue Sharing Agreement during the three months ended March 31, 2026 and 2025, which is included in other revenue on the Company’s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COMMITMENTS AND CONTINGENCIES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14" w:lineRule="exact"/>
        <w:rPr>
          <w:sz w:val="20"/>
          <w:szCs w:val="20"/>
          <w:color w:val="auto"/>
        </w:rPr>
      </w:pPr>
    </w:p>
    <w:p>
      <w:pPr>
        <w:jc w:val="both"/>
        <w:ind w:left="60" w:right="79" w:firstLine="38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COMMITMENTS – EXPENDITURES</w:t>
      </w:r>
    </w:p>
    <w:p>
      <w:pPr>
        <w:spacing w:after="0" w:line="227" w:lineRule="exact"/>
        <w:rPr>
          <w:sz w:val="20"/>
          <w:szCs w:val="20"/>
          <w:color w:val="auto"/>
        </w:rPr>
      </w:pPr>
    </w:p>
    <w:p>
      <w:pPr>
        <w:jc w:val="both"/>
        <w:ind w:left="60" w:right="79" w:firstLine="389"/>
        <w:spacing w:after="0" w:line="266" w:lineRule="auto"/>
        <w:rPr>
          <w:sz w:val="20"/>
          <w:szCs w:val="20"/>
          <w:color w:val="auto"/>
        </w:rPr>
      </w:pPr>
      <w:r>
        <w:rPr>
          <w:rFonts w:ascii="Times New Roman" w:cs="Times New Roman" w:eastAsia="Times New Roman" w:hAnsi="Times New Roman"/>
          <w:sz w:val="18"/>
          <w:szCs w:val="18"/>
          <w:color w:val="auto"/>
        </w:rPr>
        <w:t>The Company has unfunded loan commitments under the Company’s eight construction/redevelopment loans as described in Note 4, “Commercial Loans and Investments”. The unfunded portion of the construction/redevelopment loans totaled $59.1 million as of March 31, 2026.</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The Company has committed to fund certain capital improvements related to several properties, which include tenant improvements, landlord work, leasing commissions, and other capital improvements. As of March 31, 2026, the commitments totaled $0.6 million, of which $0.2 million has been paid, leaving a remaining commitment of $0.4 million. The improvements are generally expected to be completed within 12 months of March 31,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BUSINESS SEGMENT DATA</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income property operations consist of lease income from income producing properties and our business plan is focused on investing in additional income-producing properties. Our income property operations accounted for 66% and 71% of our identifiable assets as of March 31, 2026 and December 31, 2025, respectively, and 68% and 83% of our consolidated revenues for the three months ended March 31, 2026 and 2025, respectively. Our commercial loans and investment operations accounted for 32% and 25% of our identifiable assets as of March 31, 2026 and December 31, 2025, respectively, and 31% and 16% of our consolidated revenues for the three months ended March 31, 2026 and 2025, respectively. As of March 31, 2026, our commercial loans investment portfolio consisted of 18 commercial loan investments, of which four are related to properties acquired through sale-leaseback transactions whereby the tenants have future repurchase rights.</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CODM evaluates segment performance based on total revenues less direct costs of revenues when making decisions about allocating capital to the segments. The Company’s reportable segments are strategic business units that offer different products. They are managed separately because each segment requires different management techniques, knowledge, and skill.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March 31, 2026,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40" w:type="dxa"/>
            <w:vAlign w:val="bottom"/>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r>
      <w:tr>
        <w:trPr>
          <w:trHeight w:val="238"/>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w:t>
            </w: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18,360</w:t>
            </w:r>
          </w:p>
        </w:tc>
      </w:tr>
      <w:tr>
        <w:trPr>
          <w:trHeight w:val="230"/>
        </w:trPr>
        <w:tc>
          <w:tcPr>
            <w:tcW w:w="4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18,406</w:t>
            </w:r>
          </w:p>
        </w:tc>
      </w:tr>
      <w:tr>
        <w:trPr>
          <w:trHeight w:val="197"/>
        </w:trPr>
        <w:tc>
          <w:tcPr>
            <w:tcW w:w="4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1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16,058</w:t>
            </w: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r>
      <w:tr>
        <w:trPr>
          <w:trHeight w:val="178"/>
        </w:trPr>
        <w:tc>
          <w:tcPr>
            <w:tcW w:w="464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3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Reconciliation to 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-110490</wp:posOffset>
            </wp:positionV>
            <wp:extent cx="56489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and Other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Net Income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46</w:t>
      </w:r>
    </w:p>
    <w:p>
      <w:pPr>
        <w:spacing w:after="0" w:line="27"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(1,859)</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91</w:t>
      </w:r>
    </w:p>
    <w:p>
      <w:pPr>
        <w:spacing w:after="0" w:line="2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(4,353)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857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 w:lineRule="exact"/>
        <w:rPr>
          <w:sz w:val="20"/>
          <w:szCs w:val="20"/>
          <w:color w:val="auto"/>
        </w:rPr>
      </w:pPr>
    </w:p>
    <w:p>
      <w:pPr>
        <w:ind w:left="860" w:hanging="860"/>
        <w:spacing w:after="0"/>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8572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31750</wp:posOffset>
            </wp:positionV>
            <wp:extent cx="8572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1400"/>
          </w:cols>
          <w:pgMar w:left="1440" w:top="513" w:right="1440"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March 31, 2025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2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3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Income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of each segment for the three months ended March 31, 2026 and 2025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39,988</w:t>
            </w:r>
          </w:p>
        </w:tc>
      </w:tr>
      <w:tr>
        <w:trPr>
          <w:trHeight w:val="21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w:t>
            </w:r>
          </w:p>
        </w:tc>
      </w:tr>
      <w:tr>
        <w:trPr>
          <w:trHeight w:val="210"/>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61,371</w:t>
            </w: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Identifiable assets of each segment as of March 31, 2026 and December 31, 2025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r>
      <w:tr>
        <w:trPr>
          <w:trHeight w:val="187"/>
        </w:trPr>
        <w:tc>
          <w:tcPr>
            <w:tcW w:w="5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60" w:type="dxa"/>
            <w:vAlign w:val="bottom"/>
          </w:tcPr>
          <w:p>
            <w:pPr>
              <w:spacing w:after="0"/>
              <w:rPr>
                <w:sz w:val="20"/>
                <w:szCs w:val="20"/>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493,769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505,273</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182,397</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28,157</w:t>
            </w: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745,126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715,874</w:t>
            </w:r>
          </w:p>
        </w:tc>
      </w:tr>
      <w:tr>
        <w:trPr>
          <w:trHeight w:val="20"/>
        </w:trPr>
        <w:tc>
          <w:tcPr>
            <w:tcW w:w="5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Identifiable assets by segment are those assets that are used in the Company’s operations in each segment. Corporate and other assets consist primarily of cash and restricted cash as well as the interest rate swaps.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SUBSEQUENT EVENTS</w:t>
      </w:r>
    </w:p>
    <w:p>
      <w:pPr>
        <w:spacing w:after="0" w:line="24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April 23, 2026, the date the consolidated financial statements were issued. There were no reportable transactions.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“Part I, Item 1A. Risk Factors” of the Company’s Annual Report on Form 10-K for the year ended December 31, 2025, and in “Part II, Item 1A. Risk Factors” of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higher interest rates, and tariffs and international trade policies;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See “Part I, Item 1A. Risk Factors” of the Company’s Annual Report on Form 10-K for the year ended December 31, 2025 and “Part II, Item 1A. Risk Factors” of this Quarterly Report on Form 10-Q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Alpine Income Property Trust, Inc. is a Maryland corporation that conducts its operations so as to qualify as a REIT for U.S. federal income tax purposes. Substantially all of our operations are conducted through our Operating Partnership.</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Company acquired one property for a purchase price of $10.0 million through a sale-leaseback transaction that includes a tenant repurchase option. Due to the existence of the tenant repurchase option, and pursuant to FASB ASC Topic 842, Leases, GAAP requires that the $10.0 million investment be accounted for as a financing arrangement, and accordingly the related assets and corresponding revenue are included in the Company’s commercial loans and investments in the accompanying consolidated balance sheets and consolidated statement of operations. During the three months ended March 31, 2026, the Company sold three properties for an aggregate sales price of $5.8 million, generating aggregate gains on sale of $0.1 million.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we owned 125 properties, including the four properties classified as commercial loans and investments, with an aggregate gross leasable area of 4.3 million square feet, located in 31 states, with a weighted average remaining lease term of 9.3 years. Our portfolio was 100% occupied as of March 31, 2026.</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As of March 31, 2026, the Company’s commercial loan investments portfolio had a total carrying value of $217.2 million and was comprised of eight construction/redevelopment loans, six mortgage notes, and four properties acquired pursuant to sale-leaseback transactions whereby the tenants have a future repurchase rights.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three months ended March 31, 2026, as compared to the three months ended March 31, 2025 (in thousands):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220"/>
              <w:spacing w:after="0" w:line="196" w:lineRule="exact"/>
              <w:rPr>
                <w:sz w:val="20"/>
                <w:szCs w:val="20"/>
                <w:color w:val="auto"/>
              </w:rPr>
            </w:pPr>
            <w:r>
              <w:rPr>
                <w:rFonts w:ascii="Times New Roman" w:cs="Times New Roman" w:eastAsia="Times New Roman" w:hAnsi="Times New Roman"/>
                <w:sz w:val="20"/>
                <w:szCs w:val="20"/>
                <w:b w:val="1"/>
                <w:bCs w:val="1"/>
                <w:color w:val="auto"/>
                <w:w w:val="95"/>
              </w:rPr>
              <w:t>March 31,</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1"/>
              <w:spacing w:after="0" w:line="196" w:lineRule="exact"/>
              <w:rPr>
                <w:sz w:val="20"/>
                <w:szCs w:val="20"/>
                <w:color w:val="auto"/>
              </w:rPr>
            </w:pPr>
            <w:r>
              <w:rPr>
                <w:rFonts w:ascii="Times New Roman" w:cs="Times New Roman" w:eastAsia="Times New Roman" w:hAnsi="Times New Roman"/>
                <w:sz w:val="20"/>
                <w:szCs w:val="20"/>
                <w:b w:val="1"/>
                <w:bCs w:val="1"/>
                <w:color w:val="auto"/>
                <w:w w:val="97"/>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2026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5"/>
              </w:rPr>
              <w:t>Variance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 Variance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Revenues:</w:t>
            </w: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Lease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11,826</w:t>
            </w:r>
          </w:p>
        </w:tc>
        <w:tc>
          <w:tcPr>
            <w:tcW w:w="100" w:type="dxa"/>
            <w:vAlign w:val="bottom"/>
          </w:tcPr>
          <w:p>
            <w:pPr>
              <w:spacing w:after="0"/>
              <w:rPr>
                <w:sz w:val="19"/>
                <w:szCs w:val="19"/>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20"/>
                <w:szCs w:val="20"/>
                <w:color w:val="auto"/>
              </w:rPr>
              <w:t>Interest Income from Commercial Loans and</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Investments</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5,758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3,457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150.2%</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Revenue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(33)</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Revenues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18,406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14,206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4,200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29.6%</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Operating Expenses: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Expenses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Provision for Impairment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(1,523)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(92)</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11,884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13,088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(1,204)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Gain on Disposition of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(1,054)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from Operations</w:t>
            </w: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6,619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4,350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191.7%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and Other Income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(4,353)</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(3,592)</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(761)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(Loss)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2,357</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(1,278)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3,635</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284.4%</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20"/>
                <w:szCs w:val="20"/>
                <w:color w:val="auto"/>
              </w:rPr>
              <w:t>Less: Net Loss (Income) Attributable to</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Noncontrolling Interest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(172)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(271)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(273.7)%</w:t>
            </w:r>
          </w:p>
        </w:tc>
        <w:tc>
          <w:tcPr>
            <w:tcW w:w="0" w:type="dxa"/>
            <w:vAlign w:val="bottom"/>
          </w:tcPr>
          <w:p>
            <w:pPr>
              <w:spacing w:after="0"/>
              <w:rPr>
                <w:sz w:val="1"/>
                <w:szCs w:val="1"/>
                <w:color w:val="auto"/>
              </w:rPr>
            </w:pPr>
          </w:p>
        </w:tc>
      </w:tr>
      <w:tr>
        <w:trPr>
          <w:trHeight w:val="187"/>
        </w:trPr>
        <w:tc>
          <w:tcPr>
            <w:tcW w:w="43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Net Income (Loss) Attributable to Alpine Income</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2,185</w:t>
            </w:r>
          </w:p>
        </w:tc>
        <w:tc>
          <w:tcPr>
            <w:tcW w:w="120" w:type="dxa"/>
            <w:vAlign w:val="bottom"/>
          </w:tcPr>
          <w:p>
            <w:pPr>
              <w:spacing w:after="0"/>
              <w:rPr>
                <w:sz w:val="16"/>
                <w:szCs w:val="16"/>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(1,179)</w:t>
            </w:r>
          </w:p>
        </w:tc>
        <w:tc>
          <w:tcPr>
            <w:tcW w:w="100" w:type="dxa"/>
            <w:vAlign w:val="bottom"/>
            <w:vMerge w:val="restart"/>
          </w:tcPr>
          <w:p>
            <w:pPr>
              <w:spacing w:after="0"/>
              <w:rPr>
                <w:sz w:val="16"/>
                <w:szCs w:val="16"/>
                <w:color w:val="auto"/>
              </w:rPr>
            </w:pPr>
          </w:p>
        </w:tc>
        <w:tc>
          <w:tcPr>
            <w:tcW w:w="220" w:type="dxa"/>
            <w:vAlign w:val="bottom"/>
            <w:tcBorders>
              <w:top w:val="single" w:sz="8" w:color="auto"/>
            </w:tcBorders>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3,364</w:t>
            </w:r>
          </w:p>
        </w:tc>
        <w:tc>
          <w:tcPr>
            <w:tcW w:w="100" w:type="dxa"/>
            <w:vAlign w:val="bottom"/>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285.3%</w:t>
            </w:r>
          </w:p>
        </w:tc>
        <w:tc>
          <w:tcPr>
            <w:tcW w:w="0" w:type="dxa"/>
            <w:vAlign w:val="bottom"/>
          </w:tcPr>
          <w:p>
            <w:pPr>
              <w:spacing w:after="0"/>
              <w:rPr>
                <w:sz w:val="1"/>
                <w:szCs w:val="1"/>
                <w:color w:val="auto"/>
              </w:rPr>
            </w:pPr>
          </w:p>
        </w:tc>
      </w:tr>
      <w:tr>
        <w:trPr>
          <w:trHeight w:val="244"/>
        </w:trPr>
        <w:tc>
          <w:tcPr>
            <w:tcW w:w="4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Property Trust, Inc.</w:t>
            </w:r>
          </w:p>
        </w:tc>
        <w:tc>
          <w:tcPr>
            <w:tcW w:w="1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our property operations totaled $12.6 million and $11.8 million during the three months ended March 31, 2026 and 2025, respectively. The $0.8 million increase in lease income is primarily attributable to an increase in rents due to the volume of property acquisitions versus dispositions. The direct costs of revenues for our income properties totaled $2.3 million and $2.0 million during the three months ended March 31, 2026 and 2025, respectively. The increase in the direct costs of revenues is reflective of the Company’s expanded property portfolio.</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389"/>
        <w:spacing w:after="0" w:line="255" w:lineRule="auto"/>
        <w:rPr>
          <w:sz w:val="20"/>
          <w:szCs w:val="20"/>
          <w:color w:val="auto"/>
        </w:rPr>
      </w:pPr>
      <w:r>
        <w:rPr>
          <w:rFonts w:ascii="Times New Roman" w:cs="Times New Roman" w:eastAsia="Times New Roman" w:hAnsi="Times New Roman"/>
          <w:sz w:val="18"/>
          <w:szCs w:val="18"/>
          <w:color w:val="auto"/>
        </w:rPr>
        <w:t>Interest income from commercial loans and investments totaled $5.8 million and $2.3 million for the three months ended March 31, 2026 and 2025, respectively. The $3.5 million increase in income is attributable to the expanded portfolio of commercial loans and investments which, as of March 31, 2026, was comprised of eight construction/redevelopment loans, six mortgage notes, and four properties acquired pursuant to sale-leaseback transactions whereby the tenants have a future repurchase rights. As of March 31, 2025, the Company’s portfolio of commercial loans and investments was comprised of six construction loans, two mortgage notes, and three properties acquired pursuant to a sale-leaseback transaction whereby the tenant has a future repurchase right.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Other revenue totaled $0.1 million for the three months ended March 31, 2026 and 2025. The revenue is attributable to fees earned from a revenue sharing agreement the Company entered into with CTO as further described in Note 19, “Related Party Management Company” in the Notes to the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three months ended March 31, 2026, as compared to the three months ended March 31, 2025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87"/>
        </w:trPr>
        <w:tc>
          <w:tcPr>
            <w:tcW w:w="4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 Expense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totaled $1.9 million and $1.7 million during the three months ended March 31, 2026 and 2025, respectively. The $0.2 million increase is primarily the result of an increase in the management fee due to an increase in the weighted average of the Company’s equity base.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b w:val="1"/>
          <w:bCs w:val="1"/>
          <w:color w:val="auto"/>
        </w:rPr>
        <w:t>rovision for Impairment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a $0.5 million impairment charge which represents the CECL reserve related to our commercial loans and investments. During the three months ended March 31, 2025, the Company recorded a $1.8 million impairment charge representing the provision for losses related to certain income properties as further described in Note 7, “Provision for Impairment”, and a $0.2 million impairment charge which represents the CECL reserve related to our commercial loans and investments.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4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totaled $7.2 million and $7.3 million during the three months ended March 31, 2026 and 2025, respectively. The $0.1 million decrease in depreciation and amortization expense is reflective of the increase in asset cost basis of the Company’s income property portfolio, offset by an acceleration of $0.4 million of amortization associated with certain intangible lease assets during the three months ended March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sold three properties for an aggregate sales price of $5.8 million, generating aggregate gains on sale of $0.1 million. During the three months ended March 31, 2025, the Company sold three properties for an aggregate sales price of $11.7 million, generating aggregate gains on sale of $1.2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Investment and other income was relatively flat during the three months ended March 31, 2026 and 2025, which totaled $0.1 million in each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expense totaled $4.4 million and $3.6 million during the three months ended March 31, 2026 and 2025, respectively. The $0.8 million increase in interest expense is attributable to the higher average outstanding balance on the Company’s Revolving Facility. The overall increase in the Company’s long-term debt was primarily utilized to fund the acquisition of properties and commercial loans and investments subsequent to the three months ended March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income totaled $2.3 million and net loss totaled $1.3 million during the three months ended March 31, 2026 and 2025, respectively. The $3.6 million increase in net income is attributable to the factors described above, most notably the $3.5 million increase in interest income from commercial loans and investments and the $1.5 million decrease in provision for impairment, which is partially offset by the $1.1 million decrease in gains on sales of properties.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totaled $27.0 million as of March 31, 2026, including restricted cash of $24.4 million. See Note 2 “Summary of Significant Accounting Policies” under the heading Restricted Cash for the Company’s disclosure related to its restricted cash balance as of March 31, 2026.</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March 31, 2026, the commitment level under the Revolving Facility was $250.0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had an outstanding balance of $161.5 million and $81.2 million of available capacity. The Company also had $200.0 million in term loans outstanding as of March 31, 2026. See Note 13, “Long-Term Debt” for the Company’s disclosure related to its long-term debt balance as of March 31, 2026.</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Acquisitions and Dispositions. </w:t>
      </w:r>
      <w:r>
        <w:rPr>
          <w:rFonts w:ascii="Times New Roman" w:cs="Times New Roman" w:eastAsia="Times New Roman" w:hAnsi="Times New Roman"/>
          <w:sz w:val="18"/>
          <w:szCs w:val="18"/>
          <w:color w:val="auto"/>
        </w:rPr>
        <w:t>As further described in Note 3, “Property Portfolio,”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the Company acquired one property for a purchase price of $10.0 million through a sale-leaseback transaction that includes a tenant repurchase option. Due to the existence of the tenant repurchase option, and pursuant to FASB ASC Topic 842, Leases, GAAP requires that the $10.0 million investment be accounted for as a financing arrangement, and accordingly the related assets and corresponding revenue are included in the Company’s commercial loans and investments in the accompanying consolidated balance sheets and consolidated statement of operations. During the three months ended March 31, 2026, the Company sold three properties for an aggregate sales price of $5.8 million, generating aggregate gains on sale of $0.1 million.</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During the three months ended March 31, 2026, the Company sold 1,661,724 shares under the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ATM Program for gross proceeds of $32.1 million at a weighted average price of $19.31 per share, generating net proceeds of $31.6 million after deducting transaction fees totaling $0.5 million. During the three months ended March 31, 2026, the Company sold 186,238 shares under the 2025 Preferred Stock ATM Program for gross proceeds of $4.7 million at a weighted average price of $25.17 per share, generating net proceeds of $4.6 million after deducting transaction fees totaling less than $0.1 million.</w:t>
      </w:r>
    </w:p>
    <w:p>
      <w:pPr>
        <w:spacing w:after="0" w:line="1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As of March 31, 2026, the Company has committed to fund certain capital improvements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properties, which include tenant improvements, landlord work, leasing commissions, and other capital improvements. As of March 31, 2026, the commitments totaled $0.6 million, of which $0.2 million has been paid, leaving a remaining commitment of $0.4 million. The improvements are generally expected to be completed within 12 months of March 31, 2026. Additionally, as of March 31, 2026, the Company has unfunded loan commitments under the Company’s eight construction/redevelopment loans as described in Note 4, “Commercial Loans and Investments”. The unfunded portion of the construction/redevelopment loans totaled $59.1 million as of March 31, 2026</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$47.8 million of availability under the 2022 ATM Program, $28.2 million of availability under the 2025 Preferred Stock ATM Program, and $81.2 million of available capacity on the existing $250.0 million Revolving Facility.</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the Revolving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FFO and AFFO do not represent cash generated from operating activities and are not necessarily indicative of cash available to fund cash requirements; accordingly, they should not be considered alternatives to net income or loss or as a performance measure or cash flows from operations as reported on our statement of cash flows as a liquidity measure and should be considered in addition to, and not in lieu of, GAAP financial measures.</w:t>
      </w:r>
    </w:p>
    <w:p>
      <w:pPr>
        <w:spacing w:after="0" w:line="19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or loss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 Attributable to Common Stockholders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 and Liabilities to Lease Income</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22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to Interest Expense</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Adjusted Funds From Operations Attributable to Common</w:t>
            </w: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80" w:type="dxa"/>
            <w:vAlign w:val="bottom"/>
          </w:tcPr>
          <w:p>
            <w:pPr>
              <w:spacing w:after="0"/>
              <w:rPr>
                <w:sz w:val="15"/>
                <w:szCs w:val="15"/>
                <w:color w:val="auto"/>
              </w:rPr>
            </w:pP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Borders>
              <w:bottom w:val="single" w:sz="8" w:color="auto"/>
            </w:tcBorders>
            <w:vMerge w:val="continue"/>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15,544,745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16,768,599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PIK Interest Earned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PIK Interest Paid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PIK Interest Earned in Excess of Cash Paid</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Attributable to Common Stockholders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Attributable to Common Stockholders per Diluted Share</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 Attributable to Common Stockholders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Attributable to Common Stockholders per Diluted Share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GAAP,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There were no acquisitions of real estate subject to this estimate for the three months ended March 31, 2026.</w:t>
      </w:r>
    </w:p>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0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March 31, 2026, that have materially affected, or are reasonably likely to materially affect, the Company’s internal control over financial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02"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there have been no material changes in our risk factors from those set forth under the heading Part I, “Item 1A. Risk Factors” in the Company’s Annual Report on Form 10-K for the year ended December 31, 2025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w:t>
            </w:r>
          </w:p>
        </w:tc>
        <w:tc>
          <w:tcPr>
            <w:tcW w:w="748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Articles of Amendment and Restatement of Alpine Income Property Trust, Inc. (incorporated by reference to</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5980" w:type="dxa"/>
            <w:vAlign w:val="bottom"/>
            <w:tcBorders>
              <w:bottom w:val="single" w:sz="8" w:color="0000EE"/>
            </w:tcBorders>
            <w:gridSpan w:val="7"/>
          </w:tcPr>
          <w:p>
            <w:pPr>
              <w:spacing w:after="0" w:line="183" w:lineRule="exact"/>
              <w:rPr>
                <w:rFonts w:ascii="Times New Roman" w:cs="Times New Roman" w:eastAsia="Times New Roman" w:hAnsi="Times New Roman"/>
                <w:sz w:val="17"/>
                <w:szCs w:val="17"/>
                <w:color w:val="0000EE"/>
                <w:w w:val="99"/>
              </w:rPr>
            </w:pPr>
            <w:hyperlink r:id="rId80">
              <w:r>
                <w:rPr>
                  <w:rFonts w:ascii="Times New Roman" w:cs="Times New Roman" w:eastAsia="Times New Roman" w:hAnsi="Times New Roman"/>
                  <w:sz w:val="17"/>
                  <w:szCs w:val="17"/>
                  <w:color w:val="0000EE"/>
                  <w:w w:val="99"/>
                </w:rPr>
                <w:t>Exhibit 3.1 to the Company’s Current Report on Form 8-K filed on December 3, 2019).</w:t>
              </w:r>
            </w:hyperlink>
          </w:p>
        </w:tc>
        <w:tc>
          <w:tcPr>
            <w:tcW w:w="15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w:t>
            </w:r>
          </w:p>
        </w:tc>
        <w:tc>
          <w:tcPr>
            <w:tcW w:w="748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0000EE"/>
                </w:rPr>
                <w:t>Third Amended and Restated Bylaws of Alpine Income Property Trust, Inc. (incorporated by reference to</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590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0000EE"/>
                </w:rPr>
                <w:t>Exhibit 3.1 to the Company’s Current Report on Form 8-K filed on February 3, 2023).</w:t>
              </w:r>
            </w:hyperlink>
          </w:p>
        </w:tc>
        <w:tc>
          <w:tcPr>
            <w:tcW w:w="15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3.3</w:t>
            </w:r>
          </w:p>
        </w:tc>
        <w:tc>
          <w:tcPr>
            <w:tcW w:w="74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Articles Supplementary, designating Alpine Income Property Trust, Inc.’s 8.00% Series A Cumulative</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Redeemable Preferred Stock (incorporated by reference to Exhibit 3.2 to the Company’s Registration</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7480" w:type="dxa"/>
            <w:vAlign w:val="bottom"/>
            <w:gridSpan w:val="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Statement on Form 8-A filed on November 10, 2025).</w:t>
              </w:r>
            </w:hyperlink>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Exhibit 3.4</w:t>
            </w:r>
          </w:p>
        </w:tc>
        <w:tc>
          <w:tcPr>
            <w:tcW w:w="1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400" w:type="dxa"/>
            <w:vAlign w:val="bottom"/>
            <w:vMerge w:val="continue"/>
          </w:tcPr>
          <w:p>
            <w:pPr>
              <w:spacing w:after="0"/>
              <w:rPr>
                <w:sz w:val="24"/>
                <w:szCs w:val="24"/>
                <w:color w:val="auto"/>
              </w:rPr>
            </w:pPr>
          </w:p>
        </w:tc>
        <w:tc>
          <w:tcPr>
            <w:tcW w:w="74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Articles Supplementary, classifying and designating 1,458,334 additional shares of Alpine Income</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Property Trust, Inc.’s 8.00% Series A Cumulative Redeemable Preferred Stock (incorporated by</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7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reference to Exhibit 3.1 to the Company’s Current Report on Form 8-K filed on December 5, 2025).</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4.1</w:t>
            </w:r>
          </w:p>
        </w:tc>
        <w:tc>
          <w:tcPr>
            <w:tcW w:w="748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84">
              <w:r>
                <w:rPr>
                  <w:rFonts w:ascii="Times New Roman" w:cs="Times New Roman" w:eastAsia="Times New Roman" w:hAnsi="Times New Roman"/>
                  <w:sz w:val="17"/>
                  <w:szCs w:val="17"/>
                  <w:color w:val="0000EE"/>
                </w:rPr>
                <w:t>Specimen Common Stock Certificate of Alpine Income Property Trust, Inc. (incorporated by reference to</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7480" w:type="dxa"/>
            <w:vAlign w:val="bottom"/>
            <w:tcBorders>
              <w:bottom w:val="single" w:sz="8" w:color="0000EE"/>
            </w:tcBorders>
            <w:gridSpan w:val="9"/>
          </w:tcPr>
          <w:p>
            <w:pPr>
              <w:spacing w:after="0" w:line="183" w:lineRule="exact"/>
              <w:rPr>
                <w:rFonts w:ascii="Times New Roman" w:cs="Times New Roman" w:eastAsia="Times New Roman" w:hAnsi="Times New Roman"/>
                <w:sz w:val="17"/>
                <w:szCs w:val="17"/>
                <w:color w:val="0000EE"/>
              </w:rPr>
            </w:pPr>
            <w:hyperlink r:id="rId84">
              <w:r>
                <w:rPr>
                  <w:rFonts w:ascii="Times New Roman" w:cs="Times New Roman" w:eastAsia="Times New Roman" w:hAnsi="Times New Roman"/>
                  <w:sz w:val="17"/>
                  <w:szCs w:val="17"/>
                  <w:color w:val="0000EE"/>
                </w:rPr>
                <w:t>Exhibit 4.1 to the Registrant’s Registration Statement on Form S-11/A (File No. 333-234304) filed with the</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7480" w:type="dxa"/>
            <w:vAlign w:val="bottom"/>
            <w:gridSpan w:val="9"/>
          </w:tcPr>
          <w:p>
            <w:pPr>
              <w:spacing w:after="0" w:line="183" w:lineRule="exact"/>
              <w:rPr>
                <w:rFonts w:ascii="Times New Roman" w:cs="Times New Roman" w:eastAsia="Times New Roman" w:hAnsi="Times New Roman"/>
                <w:sz w:val="17"/>
                <w:szCs w:val="17"/>
                <w:color w:val="0000EE"/>
              </w:rPr>
            </w:pPr>
            <w:hyperlink r:id="rId84">
              <w:r>
                <w:rPr>
                  <w:rFonts w:ascii="Times New Roman" w:cs="Times New Roman" w:eastAsia="Times New Roman" w:hAnsi="Times New Roman"/>
                  <w:sz w:val="17"/>
                  <w:szCs w:val="17"/>
                  <w:color w:val="0000EE"/>
                </w:rPr>
                <w:t>Commission on October 29, 2019).</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w:t>
            </w:r>
          </w:p>
        </w:tc>
        <w:tc>
          <w:tcPr>
            <w:tcW w:w="748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Amended and Restated Credit Agreement, dated as of February 4, 2026, among Alpine Income Property, OP,</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7480" w:type="dxa"/>
            <w:vAlign w:val="bottom"/>
            <w:tcBorders>
              <w:bottom w:val="single" w:sz="8" w:color="0000EE"/>
            </w:tcBorders>
            <w:gridSpan w:val="9"/>
          </w:tcPr>
          <w:p>
            <w:pPr>
              <w:spacing w:after="0" w:line="183" w:lineRule="exact"/>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LP, Alpine Income Property Trust, Inc., the other Guarantors from time to time parties thereto, Truist Bank</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7480" w:type="dxa"/>
            <w:vAlign w:val="bottom"/>
            <w:tcBorders>
              <w:bottom w:val="single" w:sz="8" w:color="0000EE"/>
            </w:tcBorders>
            <w:gridSpan w:val="9"/>
          </w:tcPr>
          <w:p>
            <w:pPr>
              <w:spacing w:after="0" w:line="183" w:lineRule="exact"/>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N.A., and certain other lenders named therein (incorporated by reference to Exhibit 10.16 to the Company’s</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7480" w:type="dxa"/>
            <w:vAlign w:val="bottom"/>
            <w:gridSpan w:val="9"/>
          </w:tcPr>
          <w:p>
            <w:pPr>
              <w:spacing w:after="0" w:line="183" w:lineRule="exact"/>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Annual Report on Form 10-K filed on February 5, 2026).</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31.1*</w:t>
            </w:r>
          </w:p>
        </w:tc>
        <w:tc>
          <w:tcPr>
            <w:tcW w:w="748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31.2*</w:t>
            </w:r>
          </w:p>
        </w:tc>
        <w:tc>
          <w:tcPr>
            <w:tcW w:w="748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32.1**</w:t>
            </w:r>
          </w:p>
        </w:tc>
        <w:tc>
          <w:tcPr>
            <w:tcW w:w="7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748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EE"/>
              </w:rPr>
              <w:t>Sarbanes-Oxley Act of 2002.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32.2**</w:t>
            </w:r>
          </w:p>
        </w:tc>
        <w:tc>
          <w:tcPr>
            <w:tcW w:w="7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748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EE"/>
              </w:rPr>
              <w:t>Sarbanes-Oxley Act of 2002.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101.INS</w:t>
            </w:r>
          </w:p>
        </w:tc>
        <w:tc>
          <w:tcPr>
            <w:tcW w:w="74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101.SCH</w:t>
            </w:r>
          </w:p>
        </w:tc>
        <w:tc>
          <w:tcPr>
            <w:tcW w:w="74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101.CAL</w:t>
            </w:r>
          </w:p>
        </w:tc>
        <w:tc>
          <w:tcPr>
            <w:tcW w:w="74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101.DEF</w:t>
            </w:r>
          </w:p>
        </w:tc>
        <w:tc>
          <w:tcPr>
            <w:tcW w:w="74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101.LAB</w:t>
            </w:r>
          </w:p>
        </w:tc>
        <w:tc>
          <w:tcPr>
            <w:tcW w:w="74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101.PRE</w:t>
            </w:r>
          </w:p>
        </w:tc>
        <w:tc>
          <w:tcPr>
            <w:tcW w:w="74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104</w:t>
            </w:r>
          </w:p>
        </w:tc>
        <w:tc>
          <w:tcPr>
            <w:tcW w:w="74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60960</wp:posOffset>
            </wp:positionV>
            <wp:extent cx="1414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36" w:lineRule="exact"/>
        <w:rPr>
          <w:sz w:val="20"/>
          <w:szCs w:val="20"/>
          <w:color w:val="auto"/>
        </w:rPr>
      </w:pPr>
    </w:p>
    <w:p>
      <w:pPr>
        <w:ind w:left="300" w:hanging="250"/>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23, 2026</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23, 2026</w:t>
      </w:r>
      <w:r>
        <w:rPr>
          <w:sz w:val="20"/>
          <w:szCs w:val="20"/>
          <w:color w:val="auto"/>
        </w:rPr>
        <w:tab/>
      </w:r>
      <w:r>
        <w:rPr>
          <w:rFonts w:ascii="Times New Roman" w:cs="Times New Roman" w:eastAsia="Times New Roman" w:hAnsi="Times New Roman"/>
          <w:sz w:val="18"/>
          <w:szCs w:val="18"/>
          <w:color w:val="auto"/>
        </w:rPr>
        <w:t>By:  /s/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Philip R. Mays,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April 23, 2026</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and 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Mays, certify that:</w:t>
      </w:r>
    </w:p>
    <w:p>
      <w:pPr>
        <w:spacing w:after="0" w:line="185" w:lineRule="exact"/>
        <w:rPr>
          <w:sz w:val="20"/>
          <w:szCs w:val="20"/>
          <w:color w:val="auto"/>
        </w:rPr>
      </w:pPr>
    </w:p>
    <w:p>
      <w:pPr>
        <w:ind w:left="700" w:hanging="650"/>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March 31, 2026,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March 31, 2026,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6746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Letter"/>
      <w:start w:val="3"/>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80" Type="http://schemas.openxmlformats.org/officeDocument/2006/relationships/hyperlink" Target="https://www.sec.gov/Archives/edgar/data/0001786117/000155837019011294/ex-3d1.htm" TargetMode="External"/><Relationship Id="rId81" Type="http://schemas.openxmlformats.org/officeDocument/2006/relationships/hyperlink" Target="https://www.sec.gov/Archives/edgar/data/1786117/000155837023000881/pine-20230201xex3d1.htm" TargetMode="External"/><Relationship Id="rId82" Type="http://schemas.openxmlformats.org/officeDocument/2006/relationships/hyperlink" Target="https://www.sec.gov/Archives/edgar/data/1786117/000110465925109185/tm2530776d1_ex3-2.htm" TargetMode="External"/><Relationship Id="rId83" Type="http://schemas.openxmlformats.org/officeDocument/2006/relationships/hyperlink" Target="https://www.sec.gov/Archives/edgar/data/1786117/000110465925118920/tm2532814d1_ex3-1.htm" TargetMode="External"/><Relationship Id="rId84" Type="http://schemas.openxmlformats.org/officeDocument/2006/relationships/hyperlink" Target="https://www.sec.gov/Archives/edgar/data/0001786117/000119312519277917/d793798dex41.htm" TargetMode="External"/><Relationship Id="rId85" Type="http://schemas.openxmlformats.org/officeDocument/2006/relationships/hyperlink" Target="https://www.sec.gov/Archives/edgar/data/1786117/000110465926010910/pine-20251231xex10d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2026-04-23T15:48:52Z</dcterms:created>
  <dcterms:modified xsi:type="dcterms:W3CDTF">2026-04-23T15:48:52Z</dcterms:modified>
</cp:coreProperties>
</file>